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  <w:lang w:val="en-US"/>
        </w:rPr>
      </w:pPr>
      <w:r w:rsidRPr="005D02EB">
        <w:rPr>
          <w:rFonts w:ascii="Calibri" w:hAnsi="Calibri" w:cs="Calibri"/>
          <w:b/>
          <w:color w:val="000000"/>
          <w:lang w:val="en-US"/>
        </w:rPr>
        <w:t>A Use / Disuse Para</w:t>
      </w:r>
      <w:r>
        <w:rPr>
          <w:rFonts w:ascii="Calibri" w:hAnsi="Calibri" w:cs="Calibri"/>
          <w:b/>
          <w:color w:val="000000"/>
          <w:lang w:val="en-US"/>
        </w:rPr>
        <w:t>d</w:t>
      </w:r>
      <w:r w:rsidRPr="005D02EB">
        <w:rPr>
          <w:rFonts w:ascii="Calibri" w:hAnsi="Calibri" w:cs="Calibri"/>
          <w:b/>
          <w:color w:val="000000"/>
          <w:lang w:val="en-US"/>
        </w:rPr>
        <w:t>igm for CRISPR-Cas Systems</w:t>
      </w:r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In his insightful review, Eugene V.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discusses various aspects of CRISPR-Cas systems with a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strong focus on their qualities as “</w:t>
      </w:r>
      <w:r w:rsidRPr="005D02EB">
        <w:rPr>
          <w:rFonts w:ascii="Calibri" w:hAnsi="Calibri" w:cs="Calibri"/>
          <w:color w:val="000000"/>
          <w:sz w:val="23"/>
          <w:szCs w:val="23"/>
          <w:lang w:val="en-US"/>
        </w:rPr>
        <w:t xml:space="preserve">adaptive (acquired) immune </w:t>
      </w:r>
      <w:proofErr w:type="gramStart"/>
      <w:r w:rsidRPr="005D02EB">
        <w:rPr>
          <w:rFonts w:ascii="Calibri" w:hAnsi="Calibri" w:cs="Calibri"/>
          <w:color w:val="000000"/>
          <w:sz w:val="23"/>
          <w:szCs w:val="23"/>
          <w:lang w:val="en-US"/>
        </w:rPr>
        <w:t>systems“ (</w:t>
      </w:r>
      <w:proofErr w:type="spellStart"/>
      <w:proofErr w:type="gramEnd"/>
      <w:r w:rsidRPr="005D02EB">
        <w:rPr>
          <w:rFonts w:ascii="Calibri" w:hAnsi="Calibri" w:cs="Calibri"/>
          <w:color w:val="000000"/>
          <w:sz w:val="23"/>
          <w:szCs w:val="23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sz w:val="23"/>
          <w:szCs w:val="23"/>
          <w:lang w:val="en-US"/>
        </w:rPr>
        <w:t xml:space="preserve"> 2018, 3)</w:t>
      </w:r>
      <w:r w:rsidRPr="005D02EB">
        <w:rPr>
          <w:rFonts w:ascii="Calibri" w:hAnsi="Calibri" w:cs="Calibri"/>
          <w:color w:val="000000"/>
          <w:lang w:val="en-US"/>
        </w:rPr>
        <w:t>. The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CRISPR-Cas system is most famous for its application as a gene-editing tool.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provides a deeper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insight into its biological function in bacteria, which is to immunize the cell against parasite DNA. I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shall comment on one issue discussed in the text, in two steps. First, I shall elaborate on CRISPR-Cas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systems and their supposed Lamarckian character. Criteria for calling biological phenomena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genuinely Lamarckian will be narrowed down and then applied to the CRISPR-Cas system, considering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interference-driven spacer acquisition (IDSA) as an instantiation of a truly Lamarckian paradigm.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Second, I shall consider whether Lamarckian and “canonical” instances of inheritance are a case of</w:t>
      </w:r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theoretical pluralism, being two non-reducible, yet interconnected paradigms.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suggests that CRISPR-Cas based inheritance of acquired traits (IAC) might be an example for a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genuine Lamarckian mechanism, because it operates by “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i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) specific, heritable changes in the genome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caused by an external factor, ii) specific phenotypic effect of those changes that constitutes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adaptation to the causative factor” (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, 2018, 6f). Yet, this definition is not exclusively referring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to Lamarck’s musings. For example, such properties are also associated with Darwin’s “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gemmuli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” or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“pangenesis” (which have recently been quite more beloved metaphors than any of Lamarck’s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concepts (Chen et al., 2016)). Nevertheless, it is possible to differentiate the general idea of IAC from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a genuinely Lamarckian theme. Lamarck proposed a mechanistic paradigm that coordinates the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inheritance of acquired traits: the “use/disuse paradigm.” This paradigm postulates that through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continuous “use” of certain “organs” these “organs” will be augmented. Contrarily, through “disuse”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of certain “organs”, these “organs” will be reduced (Lamarck, 1809 cited in Burkhardt, 1995).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Naturally, we need to grant some interpretative charity when working with the </w:t>
      </w:r>
      <w:proofErr w:type="gramStart"/>
      <w:r w:rsidRPr="005D02EB">
        <w:rPr>
          <w:rFonts w:ascii="Calibri" w:hAnsi="Calibri" w:cs="Calibri"/>
          <w:color w:val="000000"/>
          <w:lang w:val="en-US"/>
        </w:rPr>
        <w:t>terms</w:t>
      </w:r>
      <w:proofErr w:type="gramEnd"/>
      <w:r w:rsidRPr="005D02EB">
        <w:rPr>
          <w:rFonts w:ascii="Calibri" w:hAnsi="Calibri" w:cs="Calibri"/>
          <w:color w:val="000000"/>
          <w:lang w:val="en-US"/>
        </w:rPr>
        <w:t xml:space="preserve"> “organ” and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“use/disuse”. Notably, working with Lamarck’s use/disuse paradigm is of great epistemological value</w:t>
      </w:r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for understanding other instances of IAC (Veigl, 2017).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I want to propose a way how one could fit CRISPR-Cas into a use/disuse paradigm. In so doing, we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must shift our attention to one distinct feature of use/disuse, namely its focus on the quantitative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aspects of the process. In a use/disuse scenario, we do not primarily deal with qualitative yes/no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phenomena, but with gradual processes. Therefore, we shall consider pools of crRNA species instead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of discrete spacers in CRISPR arrays. This should also help to understand the continuum between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Darwinian and Lamarckian types of inheritance (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, 13), as they might work upon different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substrates (DNA vs. RNA), integrating differently from case to case. One instance of the use/disuse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lastRenderedPageBreak/>
        <w:t>paradigm is interference-driven spacer acquisition (IDSA) (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Staals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et al., 2016;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Hille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et al. 2018). IDSA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links interference to adaption, meaning that crRNA/CRISPR targeted parasite DNA becomes a source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for new spacers which are integrated into the CRISPR array. The newly acquired spacers are slightly</w:t>
      </w:r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different in sequence but target the same parasite DNA.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With IDSA and the use/disuse paradigm at hand I shall now analyze the phase of interference. Here,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we have to consider that Cas molecules as well as their targets (nucleic acids) are present in different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concentrations. There is a pool of Cas proteins, and there is a pool of crRNAs. As a result of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differences in sequence, each crRNA deriving from a spacer region has slightly different biochemical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properties. Such differences might facilitate or impede binding. Ensuing expression, a pool of various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crRNAs </w:t>
      </w:r>
      <w:proofErr w:type="gramStart"/>
      <w:r w:rsidRPr="005D02EB">
        <w:rPr>
          <w:rFonts w:ascii="Calibri" w:hAnsi="Calibri" w:cs="Calibri"/>
          <w:color w:val="000000"/>
          <w:lang w:val="en-US"/>
        </w:rPr>
        <w:t>competes</w:t>
      </w:r>
      <w:proofErr w:type="gramEnd"/>
      <w:r w:rsidRPr="005D02EB">
        <w:rPr>
          <w:rFonts w:ascii="Calibri" w:hAnsi="Calibri" w:cs="Calibri"/>
          <w:color w:val="000000"/>
          <w:lang w:val="en-US"/>
        </w:rPr>
        <w:t xml:space="preserve"> for binding to Cas molecules. What we shall define as “use” is a situation in which a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specific crRNA (crRNA 1) binds a Cas protein and targets a parasite DNA sequence (thus both, binding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to Cas and the parasite DNA, are required for “use”). Protospacers will be salvaged and inserted into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the CRISPR array during elimination of the parasite nucleic acid. In the next round of expression,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there will be a higher concentration of crRNA 1-associated crRNAs, and this subspecies is more likely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to bind to a Cas protein again, as a result of its higher abundance. Thus, we have augmentation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through use. Of course, use and disuse go hand in hand, as more use of one subspecies implies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disuse of other species and their relative reduction in abundance. It has been shown that CRISPR-Cas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complexes show a preference for more recently acquired spacers, cementing disuse and reduction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on the RNA level for less used spacers. In addition, there are optimal numbers for spacers in CRISPR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arrays (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, 2018, p15,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Martynov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et al. 2017) and thus, spacers must be lost over time.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The case of IDSA shows that shifting our attention to other phases than the DNA phase of CRISPR will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help us to find resonance with a modern interpretation of Lamarck’s “use/disuse paradigm.” DNA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might be the genuine playground of Darwinian paradigms, yet this does not mean that other material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sources are not present. It is often claimed that all forms of inheritance are in the end reducible to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DNA-based mechanisms, as the relevant biomolecules, such as the crRNAs, derive from it. Yet one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must not confuse DNA’s primacy in biochemistry with that in inheritance and evolution, as here,</w:t>
      </w:r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clearly, other levels can play a role, as shows use/disuse of crRNAs.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I want to highlight one possible implication of CRISPR-Cas for philosophical problems, namely its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potential for discussions centering around scientific pluralism. I define scientific pluralism here very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broadly as the claim that to approach a certain phenomenon, several non-reducible theories,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explanations or methods are, might be or should be required (see Kellert et al., 2006). For the case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considered, we shall adopt the pluralist attitude that there are (at least) two non-reducible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mechanistic paradigms that govern the processes of inheritance. These two mechanistic paradigms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lastRenderedPageBreak/>
        <w:t>are based on two different theoretical approaches: IAC vs. Natural Selection through Random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Variation. In addition, both approaches have a different understanding of the interplay between the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(inducing as well as selecting) environment, inheritance and evolution. We will add, to be fully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fledged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pluralists, that we are approving of this situation, because we find it either epistemologically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beneficial or claim that this kind of plurality is metaphysically resonant with what the world is like. (I,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personally, refrain from the latter and find the former sufficiently desirable.) Now we shall turn again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to the phenomenon at stake: CRISPR-Cas systems produce types of inheritance (that might have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evolutionary impact) which are not included in an up-to-date version of the modern synthesis.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Although CRISPR arrays are subjected to Darwinian random mutation, the arrays also adapt through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a Lamarckian type, directed adaption, orchestrated by a use/disuse paradigm. Of course, both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D02EB">
        <w:rPr>
          <w:rFonts w:ascii="Calibri" w:hAnsi="Calibri" w:cs="Calibri"/>
          <w:color w:val="000000"/>
          <w:lang w:val="en-US"/>
        </w:rPr>
        <w:t>processes do not exclude each other, in principle. Yet, it is one key feature of the modern synthesis’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supporters to exclude any instances of IAC, especially forms that can be associated with Lamarck’s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theory.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Now, how shall we characterize this instance of pluralism? What kind of attack on orthodoxy does it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pose if one shows that some core theoretical assumptions do not universally apply? Let me draw an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analogy from a core theoretical assumption in physics: the first law of thermodynamics. Is claiming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“sometimes Lamarckian inheritance is instantiated” the same as claiming “sometimes energy is not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conserved”? What is now key here is that the answer might be “yes” and “no”. To some, such an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analogy is valid (Haig, 2007). I would call these researchers “Neo-Darwinian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singularists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.” Yet, to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others the answer is clearly “no”: Scientists insisting on instances of Lamarckian inheritance usually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accept all instances where a Darwinian framework has more explanatory power and also accept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“compound cases”, where integration of both modes explains a phenotype (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Koonin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, 2018, 13). I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suggest calling these actors “dualists”. I am not conscious of actors who would fit the definition of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“Lamarckian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singularists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”, insisting that all instances of inheritance and evolution are strictly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Lamarckian. Thus, we are encountering certain tensions and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assymetries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, both for the perspective of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the philosopher vs. actors in the research field, as well as within the scientific community. Whereas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“pluralism” seems to be a category mainly used by philosophers, the categories of “dualism” and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“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singularism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” might better describe the positions researchers take. Individual takes of researchers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concerning pluralism are not defined by them being dualist or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singularist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. Yet one could suspect that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dualism might invite a pluralist interpretation of the phenomenon at stake. To conclude, CRISPR-Cas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teaches us a lot about alternative trajectories of inheritance, which might constitute an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assymmetric</w:t>
      </w:r>
      <w:proofErr w:type="spellEnd"/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case for theoretical pluralism. Nevertheless, we should pay close attention to the actors within the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respective field, who will finally negotiate the rise and decline of plurality in their research area.</w:t>
      </w:r>
      <w:bookmarkStart w:id="0" w:name="_GoBack"/>
      <w:bookmarkEnd w:id="0"/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Burkhardt, Richard Wellington (1995): “The Spirit of System: Lamarck and Evolutionary Biology: Now</w:t>
      </w:r>
    </w:p>
    <w:p w:rsid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lastRenderedPageBreak/>
        <w:t>with" Lamarck in 1995"” Harvard University Press.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Chen, Qi, Wei Yan, and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Enkui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Duan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(2016): "Epigenetic inheritance of acquired traits through sperm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RNAs and sperm RNA modifications." </w:t>
      </w:r>
      <w:r w:rsidRPr="005D02EB">
        <w:rPr>
          <w:rFonts w:ascii="Calibri,Italic" w:hAnsi="Calibri,Italic" w:cs="Calibri,Italic"/>
          <w:i/>
          <w:iCs/>
          <w:color w:val="000000"/>
          <w:lang w:val="en-US"/>
        </w:rPr>
        <w:t xml:space="preserve">Nature Reviews Genetics </w:t>
      </w:r>
      <w:r w:rsidRPr="005D02EB">
        <w:rPr>
          <w:rFonts w:ascii="Calibri" w:hAnsi="Calibri" w:cs="Calibri"/>
          <w:color w:val="000000"/>
          <w:lang w:val="en-US"/>
        </w:rPr>
        <w:t>17.12: 733-743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Haig, David (2007): "Weismann rules! OK? Epigenetics and the Lamarckian temptation." Biology &amp;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Philosophy 22.3: 415-428.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proofErr w:type="spellStart"/>
      <w:r w:rsidRPr="005D02EB">
        <w:rPr>
          <w:rFonts w:ascii="Calibri" w:hAnsi="Calibri" w:cs="Calibri"/>
          <w:color w:val="000000"/>
          <w:lang w:val="en-US"/>
        </w:rPr>
        <w:t>Hille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, Frank, et al. (2018): "The biology of CRISPR-Cas: backward and forward." </w:t>
      </w:r>
      <w:r w:rsidRPr="005D02EB">
        <w:rPr>
          <w:rFonts w:ascii="Calibri,Italic" w:hAnsi="Calibri,Italic" w:cs="Calibri,Italic"/>
          <w:i/>
          <w:iCs/>
          <w:color w:val="000000"/>
          <w:lang w:val="en-US"/>
        </w:rPr>
        <w:t xml:space="preserve">Cell </w:t>
      </w:r>
      <w:r w:rsidRPr="005D02EB">
        <w:rPr>
          <w:rFonts w:ascii="Calibri" w:hAnsi="Calibri" w:cs="Calibri"/>
          <w:color w:val="000000"/>
          <w:lang w:val="en-US"/>
        </w:rPr>
        <w:t>172.6: 1239-1259.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Kellert, Stephen H., Helen E.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Longino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, and C. Kenneth Waters, eds. (2006): “Scientific pluralism” Vol.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19. U of Minnesota Press, 2006.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proofErr w:type="spellStart"/>
      <w:r w:rsidRPr="005D02EB">
        <w:rPr>
          <w:rFonts w:ascii="Calibri" w:hAnsi="Calibri" w:cs="Calibri"/>
          <w:color w:val="000000"/>
          <w:lang w:val="en-US"/>
        </w:rPr>
        <w:t>Martynov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, Alexander, Konstantin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Severinov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, and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Iaroslav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Ispolatov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(2017) "Optimal number of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spacers in CRISPR arrays." </w:t>
      </w:r>
      <w:proofErr w:type="spellStart"/>
      <w:r w:rsidRPr="005D02EB">
        <w:rPr>
          <w:rFonts w:ascii="Calibri" w:hAnsi="Calibri" w:cs="Calibri"/>
          <w:color w:val="000000"/>
          <w:lang w:val="en-US"/>
        </w:rPr>
        <w:t>PLoS</w:t>
      </w:r>
      <w:proofErr w:type="spellEnd"/>
      <w:r w:rsidRPr="005D02EB">
        <w:rPr>
          <w:rFonts w:ascii="Calibri" w:hAnsi="Calibri" w:cs="Calibri"/>
          <w:color w:val="000000"/>
          <w:lang w:val="en-US"/>
        </w:rPr>
        <w:t xml:space="preserve"> computational biology 13.12: e1005891.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proofErr w:type="spellStart"/>
      <w:r w:rsidRPr="005D02EB">
        <w:rPr>
          <w:rFonts w:ascii="Calibri" w:hAnsi="Calibri" w:cs="Calibri"/>
          <w:color w:val="000000"/>
          <w:lang w:val="en-US"/>
        </w:rPr>
        <w:t>Staals</w:t>
      </w:r>
      <w:proofErr w:type="spellEnd"/>
      <w:r w:rsidRPr="005D02EB">
        <w:rPr>
          <w:rFonts w:ascii="Calibri" w:hAnsi="Calibri" w:cs="Calibri"/>
          <w:color w:val="000000"/>
          <w:lang w:val="en-US"/>
        </w:rPr>
        <w:t>, Raymond HJ, et al. (2016): "Interference-driven spacer acquisition is dominant over naive and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primed adaptation in a native CRISPR–Cas system." Nature communications 7: 12853.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>Veigl, Sophie Juliane (2017): "Use/disuse paradigms are ubiquitous concepts in characterizing the</w:t>
      </w:r>
    </w:p>
    <w:p w:rsidR="005D02EB" w:rsidRPr="005D02EB" w:rsidRDefault="005D02EB" w:rsidP="005D02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US"/>
        </w:rPr>
      </w:pPr>
      <w:r w:rsidRPr="005D02EB">
        <w:rPr>
          <w:rFonts w:ascii="Calibri" w:hAnsi="Calibri" w:cs="Calibri"/>
          <w:color w:val="000000"/>
          <w:lang w:val="en-US"/>
        </w:rPr>
        <w:t xml:space="preserve">process of inheritance." </w:t>
      </w:r>
      <w:r w:rsidRPr="005D02EB">
        <w:rPr>
          <w:rFonts w:ascii="Calibri,Italic" w:hAnsi="Calibri,Italic" w:cs="Calibri,Italic"/>
          <w:i/>
          <w:iCs/>
          <w:color w:val="000000"/>
          <w:lang w:val="en-US"/>
        </w:rPr>
        <w:t xml:space="preserve">RNA biology </w:t>
      </w:r>
      <w:r w:rsidRPr="005D02EB">
        <w:rPr>
          <w:rFonts w:ascii="Calibri" w:hAnsi="Calibri" w:cs="Calibri"/>
          <w:color w:val="000000"/>
          <w:lang w:val="en-US"/>
        </w:rPr>
        <w:t>14.12: 1700-1704.</w:t>
      </w:r>
    </w:p>
    <w:p w:rsidR="00F7141E" w:rsidRPr="005D02EB" w:rsidRDefault="00F7141E" w:rsidP="005D02EB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0"/>
          <w:szCs w:val="20"/>
        </w:rPr>
      </w:pPr>
    </w:p>
    <w:sectPr w:rsidR="00F7141E" w:rsidRPr="005D0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B"/>
    <w:rsid w:val="005D02EB"/>
    <w:rsid w:val="00F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4BB5"/>
  <w15:chartTrackingRefBased/>
  <w15:docId w15:val="{D9E4E25F-6B79-400A-B9DD-EC192A6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Veigl</dc:creator>
  <cp:keywords/>
  <dc:description/>
  <cp:lastModifiedBy>Sophie Veigl</cp:lastModifiedBy>
  <cp:revision>1</cp:revision>
  <dcterms:created xsi:type="dcterms:W3CDTF">2018-11-26T12:36:00Z</dcterms:created>
  <dcterms:modified xsi:type="dcterms:W3CDTF">2018-11-26T12:40:00Z</dcterms:modified>
</cp:coreProperties>
</file>