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D2D2A" w14:textId="2F83C9CF" w:rsidR="00C10B37" w:rsidRDefault="003677B2" w:rsidP="00C10B37">
      <w:pPr>
        <w:rPr>
          <w:rStyle w:val="TitleChar"/>
        </w:rPr>
      </w:pPr>
      <w:bookmarkStart w:id="0" w:name="_GoBack"/>
      <w:bookmarkEnd w:id="0"/>
      <w:r w:rsidRPr="00C10B37">
        <w:rPr>
          <w:rStyle w:val="TitleChar"/>
        </w:rPr>
        <w:t xml:space="preserve">Why </w:t>
      </w:r>
      <w:r w:rsidR="00F951F0">
        <w:rPr>
          <w:rStyle w:val="TitleChar"/>
        </w:rPr>
        <w:t>‘</w:t>
      </w:r>
      <w:r w:rsidRPr="00C10B37">
        <w:rPr>
          <w:rStyle w:val="TitleChar"/>
        </w:rPr>
        <w:t>scaffolding</w:t>
      </w:r>
      <w:r w:rsidR="00F951F0">
        <w:rPr>
          <w:rStyle w:val="TitleChar"/>
        </w:rPr>
        <w:t>’</w:t>
      </w:r>
      <w:r w:rsidRPr="00C10B37">
        <w:rPr>
          <w:rStyle w:val="TitleChar"/>
        </w:rPr>
        <w:t xml:space="preserve"> is the wrong metaphor</w:t>
      </w:r>
      <w:r w:rsidR="00F951F0">
        <w:rPr>
          <w:rStyle w:val="FootnoteReference"/>
          <w:rFonts w:asciiTheme="majorHAnsi" w:eastAsiaTheme="majorEastAsia" w:hAnsiTheme="majorHAnsi" w:cstheme="majorBidi"/>
          <w:spacing w:val="-10"/>
          <w:kern w:val="28"/>
          <w:sz w:val="56"/>
          <w:szCs w:val="56"/>
        </w:rPr>
        <w:footnoteReference w:id="1"/>
      </w:r>
    </w:p>
    <w:p w14:paraId="6DE1C910" w14:textId="7B09DD16" w:rsidR="00855AA6" w:rsidRDefault="00855AA6" w:rsidP="00855AA6">
      <w:pPr>
        <w:pStyle w:val="Subtitle"/>
        <w:jc w:val="center"/>
        <w:rPr>
          <w:rStyle w:val="TitleChar"/>
        </w:rPr>
      </w:pPr>
      <w:r>
        <w:rPr>
          <w:rStyle w:val="TitleChar"/>
        </w:rPr>
        <w:t>Brendan Larvor</w:t>
      </w:r>
      <w:r>
        <w:rPr>
          <w:rStyle w:val="FootnoteReference"/>
          <w:rFonts w:asciiTheme="majorHAnsi" w:eastAsiaTheme="majorEastAsia" w:hAnsiTheme="majorHAnsi" w:cstheme="majorBidi"/>
          <w:spacing w:val="-10"/>
          <w:kern w:val="28"/>
          <w:sz w:val="56"/>
          <w:szCs w:val="56"/>
        </w:rPr>
        <w:footnoteReference w:id="2"/>
      </w:r>
    </w:p>
    <w:p w14:paraId="4000B5E6" w14:textId="6D493626" w:rsidR="00620905" w:rsidRDefault="009C46E6">
      <w:r>
        <w:t>T</w:t>
      </w:r>
      <w:r w:rsidR="00367939">
        <w:t xml:space="preserve">here is an important difference between mathematical representations and </w:t>
      </w:r>
      <w:r w:rsidR="0004148C">
        <w:t>writing in natural language</w:t>
      </w:r>
      <w:r w:rsidR="00367939">
        <w:t xml:space="preserve">.  It is an </w:t>
      </w:r>
      <w:r w:rsidR="00EA7B41">
        <w:t>essential feature of mathematical representations that they invite action</w:t>
      </w:r>
      <w:r w:rsidR="008E528B">
        <w:t xml:space="preserve">s of a </w:t>
      </w:r>
      <w:r w:rsidR="00302CE4">
        <w:t xml:space="preserve">disciplined sort that </w:t>
      </w:r>
      <w:r w:rsidR="00A05BC0">
        <w:t>encode rules of rigour</w:t>
      </w:r>
      <w:r w:rsidR="00EA7B41">
        <w:t xml:space="preserve">.  </w:t>
      </w:r>
      <w:r w:rsidR="008E3B64">
        <w:t>In Euclidean plane geometry</w:t>
      </w:r>
      <w:r w:rsidR="008E3B64">
        <w:rPr>
          <w:rStyle w:val="FootnoteReference"/>
        </w:rPr>
        <w:footnoteReference w:id="3"/>
      </w:r>
      <w:r w:rsidR="007E34C0">
        <w:t xml:space="preserve">, there is a short list of </w:t>
      </w:r>
      <w:r w:rsidR="00E170D9">
        <w:t>actions</w:t>
      </w:r>
      <w:r w:rsidR="007E34C0">
        <w:t xml:space="preserve"> that one </w:t>
      </w:r>
      <w:r w:rsidR="000427BE">
        <w:t xml:space="preserve">is </w:t>
      </w:r>
      <w:r w:rsidR="00283709">
        <w:t xml:space="preserve">explicitly </w:t>
      </w:r>
      <w:r w:rsidR="000427BE">
        <w:t>permitted to</w:t>
      </w:r>
      <w:r w:rsidR="007E34C0">
        <w:t xml:space="preserve"> do to a drawn figure</w:t>
      </w:r>
      <w:r w:rsidR="00A44712">
        <w:t xml:space="preserve"> (the first three postulates</w:t>
      </w:r>
      <w:r w:rsidR="004937A4">
        <w:t>)</w:t>
      </w:r>
      <w:r w:rsidR="000D0E93">
        <w:t xml:space="preserve">. </w:t>
      </w:r>
      <w:r w:rsidR="008E3B64">
        <w:t xml:space="preserve"> </w:t>
      </w:r>
      <w:r w:rsidR="004937A4">
        <w:t xml:space="preserve">To this explicit list may be added other moves that are implicit in the practice, such as superposition.  </w:t>
      </w:r>
      <w:r w:rsidR="000D0E93">
        <w:t xml:space="preserve">Sticking to this list </w:t>
      </w:r>
      <w:r w:rsidR="00E3540E">
        <w:t xml:space="preserve">of </w:t>
      </w:r>
      <w:r w:rsidR="004937A4">
        <w:t xml:space="preserve">implicitly and explicitly </w:t>
      </w:r>
      <w:r w:rsidR="00E3540E">
        <w:t xml:space="preserve">permitted actions </w:t>
      </w:r>
      <w:r w:rsidR="000D0E93">
        <w:t xml:space="preserve">is part of what it means to work rigorously in Euclid’s system.  </w:t>
      </w:r>
      <w:r w:rsidR="003F796A">
        <w:t>(</w:t>
      </w:r>
      <w:r w:rsidR="0025325B">
        <w:t xml:space="preserve">The rest of the specification of rigour in Euclid books I-IV concerns the </w:t>
      </w:r>
      <w:r w:rsidR="00636520">
        <w:t>interaction between the diagram and the accompanying text.</w:t>
      </w:r>
      <w:r w:rsidR="004572C2">
        <w:rPr>
          <w:rStyle w:val="FootnoteReference"/>
        </w:rPr>
        <w:footnoteReference w:id="4"/>
      </w:r>
      <w:r w:rsidR="000E2C56">
        <w:t xml:space="preserve">)  </w:t>
      </w:r>
      <w:r w:rsidR="000E323E">
        <w:t xml:space="preserve">Similarly, </w:t>
      </w:r>
      <w:r w:rsidR="00784FC4">
        <w:t>the difference between number-words</w:t>
      </w:r>
      <w:r w:rsidR="00602A17">
        <w:rPr>
          <w:rStyle w:val="FootnoteReference"/>
        </w:rPr>
        <w:footnoteReference w:id="5"/>
      </w:r>
      <w:r w:rsidR="00784FC4">
        <w:t xml:space="preserve"> in natural language </w:t>
      </w:r>
      <w:r w:rsidR="00094069">
        <w:t xml:space="preserve">(whether written or spoken) </w:t>
      </w:r>
      <w:r w:rsidR="00784FC4">
        <w:t xml:space="preserve">and numerals in a system of arithmetic is that the </w:t>
      </w:r>
      <w:r w:rsidR="006C4285">
        <w:t xml:space="preserve">arithmetic numerical </w:t>
      </w:r>
      <w:r w:rsidR="00784FC4">
        <w:t xml:space="preserve">system </w:t>
      </w:r>
      <w:r w:rsidR="00BA769E">
        <w:t xml:space="preserve">has rules </w:t>
      </w:r>
      <w:r w:rsidR="000B744E">
        <w:t xml:space="preserve">for the manipulation of its symbols that (mostly) ensure that </w:t>
      </w:r>
      <w:r w:rsidR="004666EE">
        <w:t xml:space="preserve">the reckoning is accurate. </w:t>
      </w:r>
      <w:r w:rsidR="00501126">
        <w:t xml:space="preserve"> With Hindu-Arabic numerals, the algorithms for</w:t>
      </w:r>
      <w:r w:rsidR="00E170D9">
        <w:t xml:space="preserve"> adding, subtracting, multiplying and dividing</w:t>
      </w:r>
      <w:r w:rsidR="00501126">
        <w:t xml:space="preserve"> large numbers work even in the hands of someone who does not know how or why they work.  The task of tracking all the single-digit calculations and recombining them correctly has been off-loaded to </w:t>
      </w:r>
      <w:r w:rsidR="00A4065B">
        <w:t xml:space="preserve">the numeral </w:t>
      </w:r>
      <w:r w:rsidR="00501126">
        <w:t>system and its associated practices</w:t>
      </w:r>
      <w:r w:rsidR="001032A9">
        <w:t xml:space="preserve"> (such as long multiplication and long division)</w:t>
      </w:r>
      <w:r w:rsidR="00501126">
        <w:t xml:space="preserve">.  </w:t>
      </w:r>
      <w:r w:rsidR="00F351B5">
        <w:t>High</w:t>
      </w:r>
      <w:r w:rsidR="0068078C">
        <w:t>-</w:t>
      </w:r>
      <w:r w:rsidR="00F351B5">
        <w:t>school algebra has the same feature</w:t>
      </w:r>
      <w:r w:rsidR="001032A9">
        <w:t>.  In addition to rules for forming expressions, algebra</w:t>
      </w:r>
      <w:r w:rsidR="0068078C">
        <w:t xml:space="preserve"> at this elementary level</w:t>
      </w:r>
      <w:r w:rsidR="001032A9">
        <w:t xml:space="preserve"> has rules for transforming </w:t>
      </w:r>
      <w:r w:rsidR="00573593">
        <w:t xml:space="preserve">them (such as the rules for multiplying out brackets or gathering terms).  These transformation rules embody a good deal of the </w:t>
      </w:r>
      <w:r w:rsidR="00A377BE">
        <w:t>rigour of the practice.</w:t>
      </w:r>
      <w:r w:rsidR="00DC1206">
        <w:rPr>
          <w:rStyle w:val="FootnoteReference"/>
        </w:rPr>
        <w:footnoteReference w:id="6"/>
      </w:r>
      <w:r w:rsidR="00A377BE">
        <w:t xml:space="preserve">  </w:t>
      </w:r>
      <w:r w:rsidR="002D6DB8">
        <w:t>This is not true of natural language</w:t>
      </w:r>
      <w:r w:rsidR="006C4285">
        <w:t xml:space="preserve"> (whether spoken or written)</w:t>
      </w:r>
      <w:r w:rsidR="002D6DB8">
        <w:t xml:space="preserve">.  </w:t>
      </w:r>
      <w:r w:rsidR="00573593">
        <w:t xml:space="preserve">Grasping that “Mary and John are in the kitchen” means the same as “Mary is in the kitchen and John is in the kitchen” is part of knowing the </w:t>
      </w:r>
      <w:proofErr w:type="gramStart"/>
      <w:r w:rsidR="00573593">
        <w:t>language, but</w:t>
      </w:r>
      <w:proofErr w:type="gramEnd"/>
      <w:r w:rsidR="00573593">
        <w:t xml:space="preserve"> understanding such equivalences does very little to aid </w:t>
      </w:r>
      <w:r w:rsidR="0068078C">
        <w:t>inference and calculation</w:t>
      </w:r>
      <w:r w:rsidR="00573593">
        <w:t xml:space="preserve">.  </w:t>
      </w:r>
      <w:r w:rsidR="00EA7B41">
        <w:t xml:space="preserve">In a slogan: we do things </w:t>
      </w:r>
      <w:r w:rsidR="00EA7B41" w:rsidRPr="00367939">
        <w:rPr>
          <w:i/>
        </w:rPr>
        <w:t>with</w:t>
      </w:r>
      <w:r w:rsidR="00EA7B41">
        <w:t xml:space="preserve"> words, but we do </w:t>
      </w:r>
      <w:r w:rsidR="001F4757">
        <w:t xml:space="preserve">(disciplined, rule-governed) </w:t>
      </w:r>
      <w:r w:rsidR="00EA7B41">
        <w:t xml:space="preserve">things </w:t>
      </w:r>
      <w:r w:rsidR="00EA7B41" w:rsidRPr="00367939">
        <w:rPr>
          <w:i/>
        </w:rPr>
        <w:t>to</w:t>
      </w:r>
      <w:r w:rsidR="00EA7B41">
        <w:t xml:space="preserve"> mathematical representations.  </w:t>
      </w:r>
      <w:r w:rsidR="00C66948">
        <w:t xml:space="preserve">We extend their baselines, we join their points with lines, we gather their terms and </w:t>
      </w:r>
      <w:r w:rsidR="00B63B5C">
        <w:t xml:space="preserve">factorise their expressions.  </w:t>
      </w:r>
      <w:r w:rsidR="004572C2">
        <w:t xml:space="preserve">In </w:t>
      </w:r>
      <w:r w:rsidR="00EA5E61">
        <w:t>using these representations</w:t>
      </w:r>
      <w:r w:rsidR="004572C2">
        <w:t xml:space="preserve">, we offload </w:t>
      </w:r>
      <w:r w:rsidR="00EA5E61">
        <w:t>much</w:t>
      </w:r>
      <w:r w:rsidR="004572C2">
        <w:t xml:space="preserve"> of the cognitive load of calculation and inference.</w:t>
      </w:r>
      <w:r w:rsidR="00EA5E61">
        <w:t xml:space="preserve">  </w:t>
      </w:r>
    </w:p>
    <w:p w14:paraId="2A2135B5" w14:textId="6CE2E09F" w:rsidR="008E20BF" w:rsidRDefault="00296DA7">
      <w:r>
        <w:lastRenderedPageBreak/>
        <w:t xml:space="preserve">Explaining this in more detail will </w:t>
      </w:r>
      <w:r w:rsidR="000A7773">
        <w:t xml:space="preserve">supply examples and embellishment to </w:t>
      </w:r>
      <w:r w:rsidR="00DB43EA">
        <w:t xml:space="preserve">Richard </w:t>
      </w:r>
      <w:r w:rsidR="000A7773">
        <w:t xml:space="preserve">Menary’s </w:t>
      </w:r>
      <w:r w:rsidR="00380FF2">
        <w:t xml:space="preserve">(2015) </w:t>
      </w:r>
      <w:r w:rsidR="00312204">
        <w:t xml:space="preserve">argument for his </w:t>
      </w:r>
      <w:r w:rsidR="000A7773">
        <w:t xml:space="preserve">claim that enculturation does not merely refine and </w:t>
      </w:r>
      <w:r w:rsidR="004572C2">
        <w:t>ripen</w:t>
      </w:r>
      <w:r w:rsidR="000A7773">
        <w:t xml:space="preserve"> our natural mathematical </w:t>
      </w:r>
      <w:proofErr w:type="gramStart"/>
      <w:r w:rsidR="000A7773">
        <w:t>abilities, but</w:t>
      </w:r>
      <w:proofErr w:type="gramEnd"/>
      <w:r w:rsidR="000A7773">
        <w:t xml:space="preserve"> transforms them and embeds them in a world of representations, practices and artefacts without which they could not function.  </w:t>
      </w:r>
      <w:r w:rsidR="000A60AB">
        <w:t>More precisely, we will add detail to the arguments that Menary offers in sections five and six of his paper</w:t>
      </w:r>
      <w:r w:rsidR="00A72246">
        <w:t xml:space="preserve"> (Menary 2015)</w:t>
      </w:r>
      <w:r w:rsidR="000A60AB">
        <w:t xml:space="preserve">. </w:t>
      </w:r>
      <w:r w:rsidR="000638A9">
        <w:t xml:space="preserve"> As a philosopher of mathematical practices, I have nothing to say </w:t>
      </w:r>
      <w:r w:rsidR="00312204">
        <w:t xml:space="preserve">directly </w:t>
      </w:r>
      <w:r w:rsidR="000638A9">
        <w:t>about brains.</w:t>
      </w:r>
      <w:r w:rsidR="00F951F0">
        <w:rPr>
          <w:rStyle w:val="FootnoteReference"/>
        </w:rPr>
        <w:footnoteReference w:id="7"/>
      </w:r>
      <w:r w:rsidR="000638A9">
        <w:t xml:space="preserve">  </w:t>
      </w:r>
      <w:r w:rsidR="00EA5E61">
        <w:t>The contribution of this paper to Menary’s argument is that mathematics must be enculturated because mathematical reason is encoded in and offloaded to external representations to a much greater degree than other discourses.</w:t>
      </w:r>
      <w:r w:rsidR="004108E2">
        <w:rPr>
          <w:rStyle w:val="FootnoteReference"/>
        </w:rPr>
        <w:footnoteReference w:id="8"/>
      </w:r>
      <w:r w:rsidR="00EA5E61">
        <w:t xml:space="preserve">  </w:t>
      </w:r>
    </w:p>
    <w:p w14:paraId="6D725066" w14:textId="6FE835D0" w:rsidR="002D2F32" w:rsidRDefault="00EA5E61">
      <w:r>
        <w:t xml:space="preserve">For this reason, ‘scaffolding’ is a poor metaphor for the cognitive assistance that we get from mathematical representations.  </w:t>
      </w:r>
      <w:r w:rsidR="002D2F32">
        <w:t>First, we need to see where this</w:t>
      </w:r>
      <w:r w:rsidR="005B1C92">
        <w:t xml:space="preserve"> scaffolding</w:t>
      </w:r>
      <w:r w:rsidR="002D2F32">
        <w:t xml:space="preserve"> metaphor came from, and </w:t>
      </w:r>
      <w:r w:rsidR="0039373C">
        <w:t xml:space="preserve">in </w:t>
      </w:r>
      <w:r w:rsidR="007C0E21">
        <w:t xml:space="preserve">which </w:t>
      </w:r>
      <w:r w:rsidR="0039373C">
        <w:t xml:space="preserve">respects it is and is not accurate.  </w:t>
      </w:r>
      <w:r w:rsidR="009C35FE">
        <w:t xml:space="preserve">As we will see, it </w:t>
      </w:r>
      <w:r w:rsidR="00790920">
        <w:t>has</w:t>
      </w:r>
      <w:r w:rsidR="009C35FE">
        <w:t xml:space="preserve"> never </w:t>
      </w:r>
      <w:r w:rsidR="00790920">
        <w:t xml:space="preserve">been </w:t>
      </w:r>
      <w:r w:rsidR="009C35FE">
        <w:t>a very good metaphor</w:t>
      </w:r>
      <w:r w:rsidR="00E42906">
        <w:t xml:space="preserve">, even </w:t>
      </w:r>
      <w:r w:rsidR="006537CC">
        <w:t>for the purpose</w:t>
      </w:r>
      <w:r w:rsidR="00E42906">
        <w:t xml:space="preserve"> it </w:t>
      </w:r>
      <w:r w:rsidR="006537CC">
        <w:t xml:space="preserve">had when it </w:t>
      </w:r>
      <w:r w:rsidR="00E42906">
        <w:t>was first introduced</w:t>
      </w:r>
      <w:r w:rsidR="00FC3DE4">
        <w:t xml:space="preserve"> in educational psychology</w:t>
      </w:r>
      <w:r w:rsidR="00E42906">
        <w:t xml:space="preserve">.  </w:t>
      </w:r>
      <w:r w:rsidR="00A06390">
        <w:t xml:space="preserve">Nor is it especially apt for expressing </w:t>
      </w:r>
      <w:r w:rsidR="00FC3DE4">
        <w:t xml:space="preserve">scaffolding theory in cognitive science.  </w:t>
      </w:r>
      <w:r w:rsidR="00380FF2">
        <w:t>Despite</w:t>
      </w:r>
      <w:r w:rsidR="008A6567">
        <w:t xml:space="preserve"> its shortcomings</w:t>
      </w:r>
      <w:r w:rsidR="00D204E3">
        <w:t>,</w:t>
      </w:r>
      <w:r w:rsidR="008A6567">
        <w:t xml:space="preserve"> it is </w:t>
      </w:r>
      <w:r w:rsidR="00931211">
        <w:t xml:space="preserve">now </w:t>
      </w:r>
      <w:r w:rsidR="00983282">
        <w:t xml:space="preserve">so </w:t>
      </w:r>
      <w:r w:rsidR="008A6567">
        <w:t xml:space="preserve">entrenched </w:t>
      </w:r>
      <w:r w:rsidR="00983282">
        <w:t xml:space="preserve">that it is best regarded as a </w:t>
      </w:r>
      <w:r w:rsidR="00790920">
        <w:t>dead</w:t>
      </w:r>
      <w:r w:rsidR="009B1C1D">
        <w:t xml:space="preserve"> </w:t>
      </w:r>
      <w:r w:rsidR="00983282">
        <w:t>metaphor</w:t>
      </w:r>
      <w:r w:rsidR="00B15E6B">
        <w:t xml:space="preserve">.  </w:t>
      </w:r>
      <w:r w:rsidR="009B1C1D">
        <w:t>There is no point in campaigning for its removal</w:t>
      </w:r>
      <w:r w:rsidR="000B1208">
        <w:t xml:space="preserve">.  </w:t>
      </w:r>
      <w:r w:rsidR="006B2B12">
        <w:t xml:space="preserve">The </w:t>
      </w:r>
      <w:r w:rsidR="00D204E3">
        <w:t>value</w:t>
      </w:r>
      <w:r w:rsidR="006B2B12">
        <w:t xml:space="preserve"> of assessing it as a metaphor is to </w:t>
      </w:r>
      <w:r w:rsidR="00E05C4C">
        <w:t xml:space="preserve">throw into relief some </w:t>
      </w:r>
      <w:r>
        <w:t>of</w:t>
      </w:r>
      <w:r w:rsidR="00E05C4C">
        <w:t xml:space="preserve"> </w:t>
      </w:r>
      <w:r w:rsidR="00A10FBE">
        <w:t xml:space="preserve">the </w:t>
      </w:r>
      <w:proofErr w:type="gramStart"/>
      <w:r w:rsidR="00A10FBE">
        <w:t>particular advantages</w:t>
      </w:r>
      <w:proofErr w:type="gramEnd"/>
      <w:r w:rsidR="00A10FBE">
        <w:t xml:space="preserve"> of </w:t>
      </w:r>
      <w:r w:rsidR="00E05C4C">
        <w:t xml:space="preserve">mathematical representations.  </w:t>
      </w:r>
    </w:p>
    <w:p w14:paraId="21A56CAD" w14:textId="0B646343" w:rsidR="000A7773" w:rsidRPr="00E05DC9" w:rsidRDefault="000A7773" w:rsidP="000A7773">
      <w:pPr>
        <w:pStyle w:val="Heading1"/>
      </w:pPr>
      <w:r>
        <w:t>Scaffolding—</w:t>
      </w:r>
      <w:r w:rsidR="007831E9">
        <w:t>the origins of a metaphor</w:t>
      </w:r>
    </w:p>
    <w:p w14:paraId="7C16D351" w14:textId="4DFAEF21" w:rsidR="00407D37" w:rsidRDefault="00407D37" w:rsidP="008F43C1">
      <w:pPr>
        <w:spacing w:after="120"/>
      </w:pPr>
      <w:r>
        <w:t>The scaffolding metaphor originates in a</w:t>
      </w:r>
      <w:r w:rsidR="00F35AC4">
        <w:t>n education</w:t>
      </w:r>
      <w:r w:rsidR="00F60C21">
        <w:t>al</w:t>
      </w:r>
      <w:r w:rsidR="00F35AC4">
        <w:t xml:space="preserve"> psychology </w:t>
      </w:r>
      <w:r>
        <w:t>paper from 1976, ‘</w:t>
      </w:r>
      <w:r w:rsidRPr="00DB72CC">
        <w:rPr>
          <w:rFonts w:asciiTheme="minorHAnsi" w:hAnsiTheme="minorHAnsi" w:cstheme="minorHAnsi"/>
        </w:rPr>
        <w:t>The role of tutoring in problem solving</w:t>
      </w:r>
      <w:r>
        <w:rPr>
          <w:rFonts w:asciiTheme="minorHAnsi" w:hAnsiTheme="minorHAnsi" w:cstheme="minorHAnsi"/>
        </w:rPr>
        <w:t xml:space="preserve">’ by </w:t>
      </w:r>
      <w:r>
        <w:t>Wood, Bruner &amp; Ross.</w:t>
      </w:r>
      <w:r w:rsidR="00DF67D3">
        <w:rPr>
          <w:rStyle w:val="FootnoteReference"/>
        </w:rPr>
        <w:footnoteReference w:id="9"/>
      </w:r>
      <w:r>
        <w:t xml:space="preserve">  Just as cognitive science, at a corresponding stage of its development, modelled the human mind as an isolated system that receives inputs from and sends outputs to its environment but remains separate from it, so educational psychology treated children as isolated units.  This paper by Wood</w:t>
      </w:r>
      <w:r w:rsidR="004C5F60">
        <w:t xml:space="preserve"> et al.</w:t>
      </w:r>
      <w:r>
        <w:t xml:space="preserve"> was part of a critical reaction to that approach: </w:t>
      </w:r>
    </w:p>
    <w:p w14:paraId="12B5D712" w14:textId="77777777" w:rsidR="00407D37" w:rsidRDefault="00407D37" w:rsidP="008F43C1">
      <w:pPr>
        <w:spacing w:after="120"/>
        <w:ind w:left="720"/>
      </w:pPr>
      <w:r>
        <w:t>Discussions of problem solving or skill acquisition are usually premised on the assumption that the learner is alone and unassisted.  If the social context is taken into account, it is usually treated as an instance of modelling and imitation.  But the intervention of a tutor may involve much more than this.  More often than not, it involves a kind of "scaffolding" process that enables a child or novice to solve a problem, carry out a task or achieve a goal which would be beyond his unassisted efforts.  This scaffolding consists essentially of the adult “controlling” those elements of the task that are initially beyond the learner's capacity, thus permitting him to concentrate upon and complete only those elements that are within his range of competence. (Wood, Bruner &amp; Ross, 1976 p. 2)</w:t>
      </w:r>
    </w:p>
    <w:p w14:paraId="6713C26E" w14:textId="0C7BE8C0" w:rsidR="00407D37" w:rsidRDefault="00407D37" w:rsidP="00C74497">
      <w:r>
        <w:t>Note th</w:t>
      </w:r>
      <w:r w:rsidR="00F35AC4">
        <w:t xml:space="preserve">at </w:t>
      </w:r>
      <w:r>
        <w:t>the presence of scaffolding is signalled by success in some task that would</w:t>
      </w:r>
      <w:r w:rsidR="00897467">
        <w:t xml:space="preserve"> at first</w:t>
      </w:r>
      <w:r>
        <w:t xml:space="preserve"> be beyond the bare, isolated individual.  The</w:t>
      </w:r>
      <w:r w:rsidR="004C1A45">
        <w:t xml:space="preserve"> most</w:t>
      </w:r>
      <w:r>
        <w:t xml:space="preserve"> accurate element in the scaffolding metaphor here is that the tutor’s assistance is temporary.  As the child achieves mastery, the scaffolding is removed.  </w:t>
      </w:r>
    </w:p>
    <w:p w14:paraId="089CD22A" w14:textId="297A9256" w:rsidR="009B44F1" w:rsidRDefault="00D611F1" w:rsidP="00C74497">
      <w:r>
        <w:lastRenderedPageBreak/>
        <w:t>Note also</w:t>
      </w:r>
      <w:r w:rsidR="009B44F1">
        <w:t xml:space="preserve"> that the tutor is active in helping the child to learn.  Wood </w:t>
      </w:r>
      <w:r w:rsidR="009B44F1" w:rsidRPr="00270FE7">
        <w:rPr>
          <w:i/>
        </w:rPr>
        <w:t>et al.</w:t>
      </w:r>
      <w:r w:rsidR="009B44F1">
        <w:t xml:space="preserve"> offer six functions that the ‘scaffolding’ tutor performs while the child attempts the set task, including direction maintenance, marking critical features and frustration control.  At every stage, the tutor seeks to minimise her interventions, so she constantly monitors and reacts to the child’s propensity to wander off task, overlook critical features and get frustrated.  In this sense, ‘scaffolding’ was always a poor metaphor for what Wood </w:t>
      </w:r>
      <w:r w:rsidR="009B44F1" w:rsidRPr="00270FE7">
        <w:rPr>
          <w:i/>
        </w:rPr>
        <w:t>et al.</w:t>
      </w:r>
      <w:r w:rsidR="009B44F1">
        <w:t xml:space="preserve"> ha</w:t>
      </w:r>
      <w:r w:rsidR="00A66376">
        <w:t>d</w:t>
      </w:r>
      <w:r w:rsidR="009B44F1">
        <w:t xml:space="preserve"> in mind.  Literal scaffolding is inert and indifferent.  It does not vary the support it offers precisely according to need.  </w:t>
      </w:r>
      <w:r w:rsidR="004108E2">
        <w:t xml:space="preserve">Given that it is not an especially apt metaphor, one </w:t>
      </w:r>
      <w:r w:rsidR="001425C5">
        <w:t xml:space="preserve">might </w:t>
      </w:r>
      <w:r w:rsidR="004108E2">
        <w:t xml:space="preserve">wonder why it was chosen.  </w:t>
      </w:r>
      <w:r w:rsidR="009B44F1">
        <w:t xml:space="preserve">It may be that the scaffolding metaphor suggested itself as a development of constructivist approaches to educational psychology.  If the child constructs the edifice of its own knowledge, then ‘scaffolding’ is a natural way of extending the architectural-construction metaphor to include the role of the tutor in facilitating (but not contributing to) that cognitive building-work.  Whatever its shortcomings, the scaffolding metaphor in this educational context denotes something precise, namely the teacher’s six functions.  It captures the temporary nature of the support and the constructivist idea that the principal agent is the child, not the teacher.  </w:t>
      </w:r>
    </w:p>
    <w:p w14:paraId="0809CAF8" w14:textId="3B55F455" w:rsidR="008E20BF" w:rsidRPr="00200B88" w:rsidRDefault="000A7773" w:rsidP="00C74497">
      <w:r w:rsidRPr="00200B88">
        <w:t xml:space="preserve">The word ‘scaffolding’ seems to have entered the discourse of cognitive science </w:t>
      </w:r>
      <w:r w:rsidR="00D2639A">
        <w:t xml:space="preserve">just over twenty years later, </w:t>
      </w:r>
      <w:r w:rsidR="00056066" w:rsidRPr="00200B88">
        <w:t>thanks to Andy Clark:</w:t>
      </w:r>
    </w:p>
    <w:p w14:paraId="6EC46B8E" w14:textId="3033ECDF" w:rsidR="00056066" w:rsidRPr="00200B88" w:rsidRDefault="00056066" w:rsidP="00C74497">
      <w:pPr>
        <w:ind w:left="720"/>
        <w:rPr>
          <w:rFonts w:asciiTheme="minorHAnsi" w:hAnsiTheme="minorHAnsi" w:cstheme="minorHAnsi"/>
        </w:rPr>
      </w:pPr>
      <w:r w:rsidRPr="00200B88">
        <w:rPr>
          <w:color w:val="000000"/>
        </w:rPr>
        <w:t xml:space="preserve">We may call an action ‘scaffolded’ to the extent that it relies on some kind of external support.  Such support could come from the use of tools, or the knowledge and skills of others; that is to say, scaffolding (as I shall use the term) denotes a broad class of physical, </w:t>
      </w:r>
      <w:r w:rsidRPr="00200B88">
        <w:rPr>
          <w:rFonts w:asciiTheme="minorHAnsi" w:hAnsiTheme="minorHAnsi" w:cstheme="minorHAnsi"/>
          <w:color w:val="000000"/>
        </w:rPr>
        <w:t xml:space="preserve">cognitive and social augmentations—augmentations which allow us to achieve some goal which would otherwise be beyond us. Simple examples include the use of a compass and pencil to draw a perfect circle, the role of other crew members in enabling a ship's pilot to steer a course and the infant’s ability to take its first steps only while suspended in the enabling grip of its parents. </w:t>
      </w:r>
      <w:r w:rsidR="004D3C36">
        <w:rPr>
          <w:rFonts w:asciiTheme="minorHAnsi" w:hAnsiTheme="minorHAnsi" w:cstheme="minorHAnsi"/>
          <w:color w:val="000000"/>
        </w:rPr>
        <w:t xml:space="preserve"> </w:t>
      </w:r>
      <w:r w:rsidRPr="00200B88">
        <w:rPr>
          <w:rFonts w:asciiTheme="minorHAnsi" w:hAnsiTheme="minorHAnsi" w:cstheme="minorHAnsi"/>
          <w:color w:val="000000"/>
        </w:rPr>
        <w:t>(Andy Clark, 1998)</w:t>
      </w:r>
      <w:r w:rsidR="00F6135F">
        <w:rPr>
          <w:rStyle w:val="FootnoteReference"/>
          <w:rFonts w:asciiTheme="minorHAnsi" w:hAnsiTheme="minorHAnsi" w:cstheme="minorHAnsi"/>
          <w:color w:val="000000"/>
        </w:rPr>
        <w:footnoteReference w:id="10"/>
      </w:r>
    </w:p>
    <w:p w14:paraId="4637EF21" w14:textId="1F8EF7E6" w:rsidR="00771CCD" w:rsidRPr="00200B88" w:rsidRDefault="00200B88" w:rsidP="00C74497">
      <w:pPr>
        <w:autoSpaceDE w:val="0"/>
        <w:autoSpaceDN w:val="0"/>
        <w:adjustRightInd w:val="0"/>
        <w:spacing w:after="120"/>
        <w:rPr>
          <w:rFonts w:asciiTheme="minorHAnsi" w:hAnsiTheme="minorHAnsi" w:cstheme="minorHAnsi"/>
        </w:rPr>
      </w:pPr>
      <w:r w:rsidRPr="00200B88">
        <w:rPr>
          <w:rFonts w:asciiTheme="minorHAnsi" w:hAnsiTheme="minorHAnsi" w:cstheme="minorHAnsi"/>
        </w:rPr>
        <w:t xml:space="preserve">On this definition, almost everything we do is scaffolded action, except the most elementary bodily functions </w:t>
      </w:r>
      <w:r w:rsidR="0003286B">
        <w:rPr>
          <w:rFonts w:asciiTheme="minorHAnsi" w:hAnsiTheme="minorHAnsi" w:cstheme="minorHAnsi"/>
        </w:rPr>
        <w:t>including singing</w:t>
      </w:r>
      <w:r w:rsidR="008C5FF8">
        <w:rPr>
          <w:rFonts w:asciiTheme="minorHAnsi" w:hAnsiTheme="minorHAnsi" w:cstheme="minorHAnsi"/>
        </w:rPr>
        <w:t>,</w:t>
      </w:r>
      <w:r w:rsidR="0003286B">
        <w:rPr>
          <w:rFonts w:asciiTheme="minorHAnsi" w:hAnsiTheme="minorHAnsi" w:cstheme="minorHAnsi"/>
        </w:rPr>
        <w:t xml:space="preserve"> whistling </w:t>
      </w:r>
      <w:r w:rsidRPr="00200B88">
        <w:rPr>
          <w:rFonts w:asciiTheme="minorHAnsi" w:hAnsiTheme="minorHAnsi" w:cstheme="minorHAnsi"/>
        </w:rPr>
        <w:t xml:space="preserve">and silent cogitation.  Notice that </w:t>
      </w:r>
      <w:r w:rsidR="0003286B">
        <w:rPr>
          <w:rFonts w:asciiTheme="minorHAnsi" w:hAnsiTheme="minorHAnsi" w:cstheme="minorHAnsi"/>
        </w:rPr>
        <w:t xml:space="preserve">the </w:t>
      </w:r>
      <w:r w:rsidRPr="00200B88">
        <w:rPr>
          <w:rFonts w:asciiTheme="minorHAnsi" w:hAnsiTheme="minorHAnsi" w:cstheme="minorHAnsi"/>
        </w:rPr>
        <w:t xml:space="preserve">scaffolding metaphor is sustained in the word ‘support’.  </w:t>
      </w:r>
      <w:r w:rsidR="002D1168">
        <w:rPr>
          <w:rFonts w:asciiTheme="minorHAnsi" w:hAnsiTheme="minorHAnsi" w:cstheme="minorHAnsi"/>
        </w:rPr>
        <w:t>Even when we confine ourselves to epistemic action</w:t>
      </w:r>
      <w:r w:rsidR="00C15D92">
        <w:rPr>
          <w:rFonts w:asciiTheme="minorHAnsi" w:hAnsiTheme="minorHAnsi" w:cstheme="minorHAnsi"/>
        </w:rPr>
        <w:t>s</w:t>
      </w:r>
      <w:r w:rsidR="0003286B">
        <w:rPr>
          <w:rStyle w:val="FootnoteReference"/>
          <w:rFonts w:asciiTheme="minorHAnsi" w:hAnsiTheme="minorHAnsi" w:cstheme="minorHAnsi"/>
        </w:rPr>
        <w:footnoteReference w:id="11"/>
      </w:r>
      <w:r w:rsidR="002D1168">
        <w:rPr>
          <w:rFonts w:asciiTheme="minorHAnsi" w:hAnsiTheme="minorHAnsi" w:cstheme="minorHAnsi"/>
        </w:rPr>
        <w:t>, the scope</w:t>
      </w:r>
      <w:r w:rsidR="00C15D92">
        <w:rPr>
          <w:rFonts w:asciiTheme="minorHAnsi" w:hAnsiTheme="minorHAnsi" w:cstheme="minorHAnsi"/>
        </w:rPr>
        <w:t xml:space="preserve"> of the term ‘scaffolded action’</w:t>
      </w:r>
      <w:r w:rsidR="002D1168">
        <w:rPr>
          <w:rFonts w:asciiTheme="minorHAnsi" w:hAnsiTheme="minorHAnsi" w:cstheme="minorHAnsi"/>
        </w:rPr>
        <w:t xml:space="preserve"> is </w:t>
      </w:r>
      <w:r w:rsidR="005E13FD">
        <w:rPr>
          <w:rFonts w:asciiTheme="minorHAnsi" w:hAnsiTheme="minorHAnsi" w:cstheme="minorHAnsi"/>
        </w:rPr>
        <w:t>broad</w:t>
      </w:r>
      <w:r w:rsidR="0039373C">
        <w:rPr>
          <w:rFonts w:asciiTheme="minorHAnsi" w:hAnsiTheme="minorHAnsi" w:cstheme="minorHAnsi"/>
        </w:rPr>
        <w:t>.  Turning to an early reviewer of Clark’s book</w:t>
      </w:r>
      <w:r w:rsidRPr="00200B88">
        <w:rPr>
          <w:rFonts w:asciiTheme="minorHAnsi" w:hAnsiTheme="minorHAnsi" w:cstheme="minorHAnsi"/>
        </w:rPr>
        <w:t xml:space="preserve">: </w:t>
      </w:r>
    </w:p>
    <w:p w14:paraId="557601EB" w14:textId="7A39FB4F" w:rsidR="007722CF" w:rsidRPr="00200B88" w:rsidRDefault="007722CF" w:rsidP="00C74497">
      <w:pPr>
        <w:ind w:left="720"/>
      </w:pPr>
      <w:r w:rsidRPr="00200B88">
        <w:rPr>
          <w:rFonts w:asciiTheme="minorHAnsi" w:hAnsiTheme="minorHAnsi" w:cstheme="minorHAnsi"/>
          <w:color w:val="000000"/>
        </w:rPr>
        <w:lastRenderedPageBreak/>
        <w:t>Both these categories, epistemic action and external scaffolding, Clark points out, are extremely large: maps, models</w:t>
      </w:r>
      <w:r w:rsidRPr="00200B88">
        <w:rPr>
          <w:color w:val="000000"/>
        </w:rPr>
        <w:t>, tools, language and culture can all act as external scaffolding; using any of these pieces of scaffolding, for example, writing one large number above another to multiply them with pen on paper, is epistemic action.</w:t>
      </w:r>
      <w:r w:rsidR="001B61B3" w:rsidRPr="00200B88">
        <w:rPr>
          <w:color w:val="000000"/>
        </w:rPr>
        <w:t xml:space="preserve"> </w:t>
      </w:r>
      <w:r w:rsidRPr="00200B88">
        <w:rPr>
          <w:color w:val="000000"/>
        </w:rPr>
        <w:t xml:space="preserve"> In all these cases, we act so as to </w:t>
      </w:r>
      <w:r w:rsidRPr="00A01478">
        <w:rPr>
          <w:color w:val="000000"/>
        </w:rPr>
        <w:t>simplify</w:t>
      </w:r>
      <w:r w:rsidRPr="00200B88">
        <w:rPr>
          <w:color w:val="000000"/>
        </w:rPr>
        <w:t xml:space="preserve"> cognitive tasks by </w:t>
      </w:r>
      <w:r w:rsidR="00BD636B" w:rsidRPr="00200B88">
        <w:rPr>
          <w:color w:val="000000"/>
        </w:rPr>
        <w:t>“</w:t>
      </w:r>
      <w:r w:rsidRPr="00200B88">
        <w:rPr>
          <w:color w:val="000000"/>
        </w:rPr>
        <w:t>leaning on</w:t>
      </w:r>
      <w:r w:rsidR="00BD636B" w:rsidRPr="00200B88">
        <w:rPr>
          <w:color w:val="000000"/>
        </w:rPr>
        <w:t>”</w:t>
      </w:r>
      <w:r w:rsidRPr="00200B88">
        <w:rPr>
          <w:color w:val="000000"/>
        </w:rPr>
        <w:t xml:space="preserve"> the structures in our environment.</w:t>
      </w:r>
      <w:r w:rsidR="008C5FF8">
        <w:rPr>
          <w:rStyle w:val="FootnoteReference"/>
          <w:color w:val="000000"/>
        </w:rPr>
        <w:footnoteReference w:id="12"/>
      </w:r>
      <w:r w:rsidR="00200B88" w:rsidRPr="00200B88">
        <w:rPr>
          <w:color w:val="000000"/>
        </w:rPr>
        <w:t xml:space="preserve">  </w:t>
      </w:r>
    </w:p>
    <w:p w14:paraId="077A12AC" w14:textId="27C48E8E" w:rsidR="00C33E77" w:rsidRDefault="00200B88" w:rsidP="00C33E77">
      <w:pPr>
        <w:spacing w:after="120"/>
      </w:pPr>
      <w:r>
        <w:t xml:space="preserve">Here, the metaphor is more explicitly maintained; </w:t>
      </w:r>
      <w:r w:rsidR="00C15D92">
        <w:t>‘</w:t>
      </w:r>
      <w:r>
        <w:t>scaffolding</w:t>
      </w:r>
      <w:r w:rsidR="00C15D92">
        <w:t>’</w:t>
      </w:r>
      <w:r>
        <w:t xml:space="preserve"> means </w:t>
      </w:r>
      <w:r w:rsidR="00C15D92">
        <w:t xml:space="preserve">external </w:t>
      </w:r>
      <w:r>
        <w:t xml:space="preserve">structures on which we lean.  </w:t>
      </w:r>
      <w:r w:rsidR="00C15D92">
        <w:t xml:space="preserve">It invokes a temporary structure of spars and planks erected around a building.  </w:t>
      </w:r>
      <w:r w:rsidR="00F560AE">
        <w:t>It is worth pausing to consider this metaphor</w:t>
      </w:r>
      <w:r w:rsidR="001425C5">
        <w:t xml:space="preserve"> in the context of cognitive science</w:t>
      </w:r>
      <w:r w:rsidR="00F560AE">
        <w:t xml:space="preserve">.  </w:t>
      </w:r>
      <w:r w:rsidR="000E0658">
        <w:t>Literal scaffolding</w:t>
      </w:r>
      <w:r w:rsidR="00C15D92">
        <w:t xml:space="preserve"> is</w:t>
      </w:r>
      <w:r w:rsidR="000E0658">
        <w:t xml:space="preserve"> </w:t>
      </w:r>
      <w:r w:rsidR="00C15D92">
        <w:t xml:space="preserve">immobile—it is vital to </w:t>
      </w:r>
      <w:r w:rsidR="000E0658">
        <w:t>its</w:t>
      </w:r>
      <w:r w:rsidR="00C15D92">
        <w:t xml:space="preserve"> function that it should not move </w:t>
      </w:r>
      <w:r w:rsidR="00D2639A">
        <w:t xml:space="preserve">much </w:t>
      </w:r>
      <w:r w:rsidR="00C15D92">
        <w:t xml:space="preserve">beneath the feet of the workmen </w:t>
      </w:r>
      <w:r w:rsidR="00F560AE">
        <w:t xml:space="preserve">standing </w:t>
      </w:r>
      <w:r w:rsidR="00C15D92">
        <w:t xml:space="preserve">on it.  It is not open to manipulation.  </w:t>
      </w:r>
      <w:r w:rsidR="00985885">
        <w:t xml:space="preserve">So long as it does not wobble when you stand on it, it has done its job.  </w:t>
      </w:r>
      <w:r w:rsidR="003D5128">
        <w:t>The tools and practices that make mathematics possible are nothing like this</w:t>
      </w:r>
      <w:r w:rsidR="005002B2">
        <w:t>, as we shall see</w:t>
      </w:r>
      <w:r w:rsidR="003D5128">
        <w:t xml:space="preserve">.  </w:t>
      </w:r>
      <w:r w:rsidR="00290C8E">
        <w:t>Even before we consider mathematical examples, it</w:t>
      </w:r>
      <w:r w:rsidR="00711211">
        <w:t xml:space="preserve"> i</w:t>
      </w:r>
      <w:r w:rsidR="00290C8E">
        <w:t xml:space="preserve">s clear that </w:t>
      </w:r>
      <w:r w:rsidR="009A3E33">
        <w:t xml:space="preserve">much of what Clark would regard as cognitive scaffolding is unlike literal scaffolding.  </w:t>
      </w:r>
      <w:r w:rsidR="005F1A7B">
        <w:t>Language and culture</w:t>
      </w:r>
      <w:r w:rsidR="00FB7705">
        <w:t xml:space="preserve">, and the assistance of crew-mates, </w:t>
      </w:r>
      <w:r w:rsidR="005F1A7B">
        <w:t xml:space="preserve">can be </w:t>
      </w:r>
      <w:r w:rsidR="00FB7705">
        <w:t xml:space="preserve">dynamic and refined.  </w:t>
      </w:r>
      <w:r w:rsidR="000E0658">
        <w:t>Scaffolding of the literal sort, in addition to being temporary, is strictly speaking separate from the building it abuts.  However close it is, it remains a separate structure with a separate function.  In contrast, t</w:t>
      </w:r>
      <w:r w:rsidR="00FB7705">
        <w:t xml:space="preserve">he </w:t>
      </w:r>
      <w:r w:rsidR="006C41FC">
        <w:t xml:space="preserve">principal claim </w:t>
      </w:r>
      <w:r w:rsidR="00FB7705">
        <w:t xml:space="preserve">of the extended mind hypothesis is that </w:t>
      </w:r>
      <w:r w:rsidR="00A90591">
        <w:t xml:space="preserve">there is a continuity of function between the </w:t>
      </w:r>
      <w:r w:rsidR="00C82AB8">
        <w:t>embodied brain</w:t>
      </w:r>
      <w:r w:rsidR="00A90591">
        <w:t xml:space="preserve"> and the </w:t>
      </w:r>
      <w:r w:rsidR="00C425F1">
        <w:t>environmental</w:t>
      </w:r>
      <w:r w:rsidR="007023A1">
        <w:rPr>
          <w:rStyle w:val="FootnoteReference"/>
        </w:rPr>
        <w:footnoteReference w:id="13"/>
      </w:r>
      <w:r w:rsidR="00C425F1">
        <w:t xml:space="preserve"> affordances with which it is coupled. </w:t>
      </w:r>
      <w:r w:rsidR="00166E27">
        <w:t xml:space="preserve"> Literal scaffolding does not </w:t>
      </w:r>
      <w:r w:rsidR="000E0658">
        <w:t xml:space="preserve">usually </w:t>
      </w:r>
      <w:r w:rsidR="00166E27">
        <w:t xml:space="preserve">share its function with the building it abuts.  </w:t>
      </w:r>
      <w:r w:rsidR="000E0658">
        <w:t xml:space="preserve">As we shall see, there is an intimate back-and-forth between the body of the mathematician and the inscriptions of mathematical practices.  </w:t>
      </w:r>
    </w:p>
    <w:p w14:paraId="2DD9DCCD" w14:textId="7A177969" w:rsidR="00676943" w:rsidRDefault="00B075A8" w:rsidP="00C33E77">
      <w:pPr>
        <w:spacing w:after="120"/>
      </w:pPr>
      <w:r>
        <w:t xml:space="preserve">Scaffolding in Clark’s sense is a much broader category than in </w:t>
      </w:r>
      <w:r w:rsidR="00F60C21">
        <w:t>Wood</w:t>
      </w:r>
      <w:r>
        <w:t xml:space="preserve"> et al.  </w:t>
      </w:r>
      <w:r w:rsidR="00676943">
        <w:t>In contrast to the temporary assistance provided by teachers, much of the scaffolding in Clark’s sense is permanent (though not the parental support of the toddler learning to walk).  I will always need a compass to draw a circle; even champions at mental arithmetic cannot compute</w:t>
      </w:r>
      <w:r w:rsidR="00B37C6E">
        <w:t xml:space="preserve"> large or complex calculations</w:t>
      </w:r>
      <w:r w:rsidR="00676943">
        <w:t xml:space="preserve">; the pilot will always need a crew; and so on.  </w:t>
      </w:r>
      <w:r w:rsidR="00F436EB">
        <w:t xml:space="preserve">On the other hand, </w:t>
      </w:r>
      <w:r w:rsidR="007A7B9F">
        <w:t>t</w:t>
      </w:r>
      <w:r w:rsidR="00112841">
        <w:t xml:space="preserve">he tutor </w:t>
      </w:r>
      <w:r w:rsidR="007A7B9F">
        <w:t xml:space="preserve">in the experiment reported by Wood et al. </w:t>
      </w:r>
      <w:r w:rsidR="00112841">
        <w:t xml:space="preserve">is not a passive artefact like a compass.  </w:t>
      </w:r>
    </w:p>
    <w:p w14:paraId="7EAD069B" w14:textId="2859FDA3" w:rsidR="00FE4FDC" w:rsidRDefault="00A84D88" w:rsidP="00C74497">
      <w:r>
        <w:t xml:space="preserve">In Clark’s sense, ‘scaffolding’ is any </w:t>
      </w:r>
      <w:r w:rsidR="001C2ED6">
        <w:t xml:space="preserve">object (natural or fabricated) or practice </w:t>
      </w:r>
      <w:r w:rsidR="003248EC">
        <w:t>that permits us to achieve something that we could not manage alone and naked.</w:t>
      </w:r>
      <w:r w:rsidR="0089369A">
        <w:rPr>
          <w:rStyle w:val="FootnoteReference"/>
        </w:rPr>
        <w:footnoteReference w:id="14"/>
      </w:r>
      <w:r w:rsidR="003248EC">
        <w:t xml:space="preserve">  </w:t>
      </w:r>
      <w:r w:rsidR="00F008D6">
        <w:t>That</w:t>
      </w:r>
      <w:r w:rsidR="00570C51">
        <w:t xml:space="preserve"> i</w:t>
      </w:r>
      <w:r w:rsidR="00F008D6">
        <w:t>s not a problem for Clark</w:t>
      </w:r>
      <w:r w:rsidR="008B77E9">
        <w:t xml:space="preserve">.  It helps his </w:t>
      </w:r>
      <w:r w:rsidR="009F0715">
        <w:t>project in cognitive science if almost all human action is ‘scaffolded’ in his sense</w:t>
      </w:r>
      <w:r w:rsidR="001C30AF">
        <w:t xml:space="preserve">, because </w:t>
      </w:r>
      <w:r w:rsidR="003736AD">
        <w:t>he needs to show that pattern-matching neural nets can do everything we can do.  From his point of view, the more help they have, the better</w:t>
      </w:r>
      <w:r w:rsidR="009F0715">
        <w:t xml:space="preserve">.  </w:t>
      </w:r>
      <w:r w:rsidR="00280F50">
        <w:t xml:space="preserve">On the other hand, it does mean that the language of </w:t>
      </w:r>
      <w:r w:rsidR="00280F50">
        <w:lastRenderedPageBreak/>
        <w:t xml:space="preserve">scaffolding is </w:t>
      </w:r>
      <w:r w:rsidR="003911E2">
        <w:t>inapt to explore the variety of</w:t>
      </w:r>
      <w:r w:rsidR="003736AD">
        <w:t xml:space="preserve"> kinds of</w:t>
      </w:r>
      <w:r w:rsidR="003911E2">
        <w:t xml:space="preserve"> environmental cognitive assistance, and the specific advantages of mathematical representations.  </w:t>
      </w:r>
    </w:p>
    <w:p w14:paraId="7F06948A" w14:textId="339C508A" w:rsidR="00667FE2" w:rsidRDefault="00974007" w:rsidP="00C74497">
      <w:pPr>
        <w:pStyle w:val="Heading1"/>
      </w:pPr>
      <w:r>
        <w:t xml:space="preserve">Menary’s argument </w:t>
      </w:r>
      <w:r w:rsidR="002E48A6">
        <w:t>and the philosophy of mathematical practices</w:t>
      </w:r>
    </w:p>
    <w:p w14:paraId="1A899E43" w14:textId="1332D22F" w:rsidR="00543196" w:rsidRDefault="00987157" w:rsidP="00C74497">
      <w:pPr>
        <w:autoSpaceDE w:val="0"/>
        <w:autoSpaceDN w:val="0"/>
        <w:adjustRightInd w:val="0"/>
        <w:spacing w:after="120"/>
        <w:rPr>
          <w:rFonts w:asciiTheme="minorHAnsi" w:eastAsia="LMRoman10-Regular" w:hAnsiTheme="minorHAnsi" w:cstheme="minorHAnsi"/>
          <w:lang w:eastAsia="en-GB"/>
        </w:rPr>
      </w:pPr>
      <w:r w:rsidRPr="00204FBF">
        <w:rPr>
          <w:rFonts w:asciiTheme="minorHAnsi" w:eastAsia="LMRoman10-Regular" w:hAnsiTheme="minorHAnsi" w:cstheme="minorHAnsi"/>
          <w:lang w:eastAsia="en-GB"/>
        </w:rPr>
        <w:t xml:space="preserve">The conclusion of Menary’s argument </w:t>
      </w:r>
      <w:r w:rsidR="00B32C42">
        <w:rPr>
          <w:rFonts w:asciiTheme="minorHAnsi" w:eastAsia="LMRoman10-Regular" w:hAnsiTheme="minorHAnsi" w:cstheme="minorHAnsi"/>
          <w:lang w:eastAsia="en-GB"/>
        </w:rPr>
        <w:t xml:space="preserve">in his (2015) </w:t>
      </w:r>
      <w:r w:rsidRPr="00204FBF">
        <w:rPr>
          <w:rFonts w:asciiTheme="minorHAnsi" w:eastAsia="LMRoman10-Regular" w:hAnsiTheme="minorHAnsi" w:cstheme="minorHAnsi"/>
          <w:lang w:eastAsia="en-GB"/>
        </w:rPr>
        <w:t>is about brain development.  He argues against the view that “</w:t>
      </w:r>
      <w:r w:rsidRPr="00204FBF">
        <w:rPr>
          <w:rFonts w:asciiTheme="minorHAnsi" w:hAnsiTheme="minorHAnsi" w:cstheme="minorHAnsi"/>
          <w:lang w:eastAsia="en-GB"/>
        </w:rPr>
        <w:t>we are born with our primary cognitive faculties intact and they simply need to mature, or be finetuned</w:t>
      </w:r>
      <w:r w:rsidR="00543196" w:rsidRPr="00204FBF">
        <w:rPr>
          <w:rFonts w:asciiTheme="minorHAnsi" w:hAnsiTheme="minorHAnsi" w:cstheme="minorHAnsi"/>
          <w:lang w:eastAsia="en-GB"/>
        </w:rPr>
        <w:t xml:space="preserve"> </w:t>
      </w:r>
      <w:r w:rsidRPr="00204FBF">
        <w:rPr>
          <w:rFonts w:asciiTheme="minorHAnsi" w:hAnsiTheme="minorHAnsi" w:cstheme="minorHAnsi"/>
          <w:lang w:eastAsia="en-GB"/>
        </w:rPr>
        <w:t>by learning mechanisms</w:t>
      </w:r>
      <w:r w:rsidRPr="00204FBF">
        <w:rPr>
          <w:rFonts w:asciiTheme="minorHAnsi" w:eastAsia="LMRoman10-Regular" w:hAnsiTheme="minorHAnsi" w:cstheme="minorHAnsi"/>
          <w:lang w:eastAsia="en-GB"/>
        </w:rPr>
        <w:t>”</w:t>
      </w:r>
      <w:r w:rsidR="00204FBF" w:rsidRPr="00204FBF">
        <w:rPr>
          <w:rFonts w:asciiTheme="minorHAnsi" w:eastAsia="LMRoman10-Regular" w:hAnsiTheme="minorHAnsi" w:cstheme="minorHAnsi"/>
          <w:lang w:eastAsia="en-GB"/>
        </w:rPr>
        <w:t xml:space="preserve"> (Menary 2015, abstract)</w:t>
      </w:r>
      <w:r w:rsidRPr="00204FBF">
        <w:rPr>
          <w:rFonts w:asciiTheme="minorHAnsi" w:eastAsia="LMRoman10-Regular" w:hAnsiTheme="minorHAnsi" w:cstheme="minorHAnsi"/>
          <w:lang w:eastAsia="en-GB"/>
        </w:rPr>
        <w:t xml:space="preserve">.  Rather, he claims that, “a </w:t>
      </w:r>
      <w:r w:rsidRPr="00204FBF">
        <w:rPr>
          <w:rFonts w:asciiTheme="minorHAnsi" w:hAnsiTheme="minorHAnsi" w:cstheme="minorHAnsi"/>
          <w:lang w:eastAsia="en-GB"/>
        </w:rPr>
        <w:t>process of enculturation transforms our basic</w:t>
      </w:r>
      <w:r w:rsidR="00543196" w:rsidRPr="00204FBF">
        <w:rPr>
          <w:rFonts w:asciiTheme="minorHAnsi" w:hAnsiTheme="minorHAnsi" w:cstheme="minorHAnsi"/>
          <w:lang w:eastAsia="en-GB"/>
        </w:rPr>
        <w:t xml:space="preserve"> </w:t>
      </w:r>
      <w:r w:rsidRPr="00204FBF">
        <w:rPr>
          <w:rFonts w:asciiTheme="minorHAnsi" w:hAnsiTheme="minorHAnsi" w:cstheme="minorHAnsi"/>
          <w:lang w:eastAsia="en-GB"/>
        </w:rPr>
        <w:t>biological faculties.</w:t>
      </w:r>
      <w:r w:rsidRPr="00204FBF">
        <w:rPr>
          <w:rFonts w:asciiTheme="minorHAnsi" w:eastAsia="LMRoman10-Regular" w:hAnsiTheme="minorHAnsi" w:cstheme="minorHAnsi"/>
          <w:lang w:eastAsia="en-GB"/>
        </w:rPr>
        <w:t>”</w:t>
      </w:r>
      <w:r w:rsidR="00204FBF" w:rsidRPr="00204FBF">
        <w:rPr>
          <w:rFonts w:asciiTheme="minorHAnsi" w:eastAsia="LMRoman10-Regular" w:hAnsiTheme="minorHAnsi" w:cstheme="minorHAnsi"/>
          <w:lang w:eastAsia="en-GB"/>
        </w:rPr>
        <w:t xml:space="preserve"> (</w:t>
      </w:r>
      <w:r w:rsidR="00204FBF" w:rsidRPr="00204FBF">
        <w:rPr>
          <w:rFonts w:asciiTheme="minorHAnsi" w:eastAsia="LMRoman10-Regular" w:hAnsiTheme="minorHAnsi" w:cstheme="minorHAnsi"/>
          <w:i/>
          <w:lang w:eastAsia="en-GB"/>
        </w:rPr>
        <w:t>ibid.</w:t>
      </w:r>
      <w:r w:rsidR="00204FBF" w:rsidRPr="00204FBF">
        <w:rPr>
          <w:rFonts w:asciiTheme="minorHAnsi" w:eastAsia="LMRoman10-Regular" w:hAnsiTheme="minorHAnsi" w:cstheme="minorHAnsi"/>
          <w:lang w:eastAsia="en-GB"/>
        </w:rPr>
        <w:t>)</w:t>
      </w:r>
      <w:r w:rsidRPr="00204FBF">
        <w:rPr>
          <w:rFonts w:asciiTheme="minorHAnsi" w:eastAsia="LMRoman10-Regular" w:hAnsiTheme="minorHAnsi" w:cstheme="minorHAnsi"/>
          <w:lang w:eastAsia="en-GB"/>
        </w:rPr>
        <w:t xml:space="preserve">—right down to the level of </w:t>
      </w:r>
      <w:r w:rsidR="00543196" w:rsidRPr="00204FBF">
        <w:rPr>
          <w:rFonts w:asciiTheme="minorHAnsi" w:eastAsia="LMRoman10-Regular" w:hAnsiTheme="minorHAnsi" w:cstheme="minorHAnsi"/>
          <w:lang w:eastAsia="en-GB"/>
        </w:rPr>
        <w:t xml:space="preserve">brain-structure.  I have nothing to say about brains, but </w:t>
      </w:r>
      <w:r w:rsidR="00790920">
        <w:rPr>
          <w:rFonts w:asciiTheme="minorHAnsi" w:eastAsia="LMRoman10-Regular" w:hAnsiTheme="minorHAnsi" w:cstheme="minorHAnsi"/>
          <w:lang w:eastAsia="en-GB"/>
        </w:rPr>
        <w:t xml:space="preserve">I </w:t>
      </w:r>
      <w:r w:rsidR="00543196" w:rsidRPr="00204FBF">
        <w:rPr>
          <w:rFonts w:asciiTheme="minorHAnsi" w:eastAsia="LMRoman10-Regular" w:hAnsiTheme="minorHAnsi" w:cstheme="minorHAnsi"/>
          <w:lang w:eastAsia="en-GB"/>
        </w:rPr>
        <w:t>am interested in Menary’s argument, which is indirect</w:t>
      </w:r>
      <w:r w:rsidR="0016158C">
        <w:rPr>
          <w:rFonts w:asciiTheme="minorHAnsi" w:eastAsia="LMRoman10-Regular" w:hAnsiTheme="minorHAnsi" w:cstheme="minorHAnsi"/>
          <w:lang w:eastAsia="en-GB"/>
        </w:rPr>
        <w:t xml:space="preserve"> and takes a route through the philosophy of mathematical practices</w:t>
      </w:r>
      <w:r w:rsidR="00543196" w:rsidRPr="00204FBF">
        <w:rPr>
          <w:rFonts w:asciiTheme="minorHAnsi" w:eastAsia="LMRoman10-Regular" w:hAnsiTheme="minorHAnsi" w:cstheme="minorHAnsi"/>
          <w:lang w:eastAsia="en-GB"/>
        </w:rPr>
        <w:t xml:space="preserve">.  He offers as evidence for his enculturation view of mathematical cognition, “A </w:t>
      </w:r>
      <w:r w:rsidR="00543196" w:rsidRPr="00204FBF">
        <w:rPr>
          <w:rFonts w:asciiTheme="minorHAnsi" w:hAnsiTheme="minorHAnsi" w:cstheme="minorHAnsi"/>
          <w:lang w:eastAsia="en-GB"/>
        </w:rPr>
        <w:t>long period of development, learning-driven plasticity, and a cultural environment suffused with practices, symbols, and complex social interactions</w:t>
      </w:r>
      <w:r w:rsidR="00543196" w:rsidRPr="00204FBF">
        <w:rPr>
          <w:rFonts w:asciiTheme="minorHAnsi" w:eastAsia="LMRoman10-Regular" w:hAnsiTheme="minorHAnsi" w:cstheme="minorHAnsi"/>
          <w:lang w:eastAsia="en-GB"/>
        </w:rPr>
        <w:t>”</w:t>
      </w:r>
      <w:r w:rsidR="00204FBF" w:rsidRPr="00204FBF">
        <w:rPr>
          <w:rFonts w:asciiTheme="minorHAnsi" w:eastAsia="LMRoman10-Regular" w:hAnsiTheme="minorHAnsi" w:cstheme="minorHAnsi"/>
          <w:lang w:eastAsia="en-GB"/>
        </w:rPr>
        <w:t xml:space="preserve"> (</w:t>
      </w:r>
      <w:r w:rsidR="00204FBF" w:rsidRPr="00204FBF">
        <w:rPr>
          <w:rFonts w:asciiTheme="minorHAnsi" w:eastAsia="LMRoman10-Regular" w:hAnsiTheme="minorHAnsi" w:cstheme="minorHAnsi"/>
          <w:i/>
          <w:lang w:eastAsia="en-GB"/>
        </w:rPr>
        <w:t>ibid.</w:t>
      </w:r>
      <w:r w:rsidR="00204FBF" w:rsidRPr="00204FBF">
        <w:rPr>
          <w:rFonts w:asciiTheme="minorHAnsi" w:eastAsia="LMRoman10-Regular" w:hAnsiTheme="minorHAnsi" w:cstheme="minorHAnsi"/>
          <w:lang w:eastAsia="en-GB"/>
        </w:rPr>
        <w:t>)</w:t>
      </w:r>
      <w:r w:rsidR="00543196" w:rsidRPr="00204FBF">
        <w:rPr>
          <w:rFonts w:asciiTheme="minorHAnsi" w:eastAsia="LMRoman10-Regular" w:hAnsiTheme="minorHAnsi" w:cstheme="minorHAnsi"/>
          <w:lang w:eastAsia="en-GB"/>
        </w:rPr>
        <w:t xml:space="preserve">.  </w:t>
      </w:r>
      <w:r w:rsidR="00204FBF" w:rsidRPr="00204FBF">
        <w:rPr>
          <w:rFonts w:asciiTheme="minorHAnsi" w:eastAsia="LMRoman10-Regular" w:hAnsiTheme="minorHAnsi" w:cstheme="minorHAnsi"/>
          <w:lang w:eastAsia="en-GB"/>
        </w:rPr>
        <w:t xml:space="preserve">If the learning mechanisms for mathematical cognition do no more than fine-tune our inborn cognitive faculties, then </w:t>
      </w:r>
      <w:r w:rsidR="00DF6608">
        <w:rPr>
          <w:rFonts w:asciiTheme="minorHAnsi" w:eastAsia="LMRoman10-Regular" w:hAnsiTheme="minorHAnsi" w:cstheme="minorHAnsi"/>
          <w:lang w:eastAsia="en-GB"/>
        </w:rPr>
        <w:t xml:space="preserve">(he asks) </w:t>
      </w:r>
      <w:r w:rsidR="00204FBF" w:rsidRPr="00204FBF">
        <w:rPr>
          <w:rFonts w:asciiTheme="minorHAnsi" w:eastAsia="LMRoman10-Regular" w:hAnsiTheme="minorHAnsi" w:cstheme="minorHAnsi"/>
          <w:lang w:eastAsia="en-GB"/>
        </w:rPr>
        <w:t xml:space="preserve">how come </w:t>
      </w:r>
      <w:r w:rsidR="00B32C42">
        <w:rPr>
          <w:rFonts w:asciiTheme="minorHAnsi" w:eastAsia="LMRoman10-Regular" w:hAnsiTheme="minorHAnsi" w:cstheme="minorHAnsi"/>
          <w:lang w:eastAsia="en-GB"/>
        </w:rPr>
        <w:t>i</w:t>
      </w:r>
      <w:r w:rsidR="00204FBF" w:rsidRPr="00204FBF">
        <w:rPr>
          <w:rFonts w:asciiTheme="minorHAnsi" w:eastAsia="LMRoman10-Regular" w:hAnsiTheme="minorHAnsi" w:cstheme="minorHAnsi"/>
          <w:lang w:eastAsia="en-GB"/>
        </w:rPr>
        <w:t>t takes so long and involves so much that lies outside the brain?  On Menary’s view, the education of a competent human is more a matter of establishing dynamic couplings between that person and the inherited cognitive practices</w:t>
      </w:r>
      <w:r w:rsidR="00D40C8D">
        <w:rPr>
          <w:rFonts w:asciiTheme="minorHAnsi" w:eastAsia="LMRoman10-Regular" w:hAnsiTheme="minorHAnsi" w:cstheme="minorHAnsi"/>
          <w:lang w:eastAsia="en-GB"/>
        </w:rPr>
        <w:t xml:space="preserve"> in the environment</w:t>
      </w:r>
      <w:r w:rsidR="00204FBF" w:rsidRPr="00204FBF">
        <w:rPr>
          <w:rFonts w:asciiTheme="minorHAnsi" w:eastAsia="LMRoman10-Regular" w:hAnsiTheme="minorHAnsi" w:cstheme="minorHAnsi"/>
          <w:lang w:eastAsia="en-GB"/>
        </w:rPr>
        <w:t>.</w:t>
      </w:r>
      <w:r w:rsidR="000156B5">
        <w:rPr>
          <w:rStyle w:val="FootnoteReference"/>
          <w:rFonts w:asciiTheme="minorHAnsi" w:eastAsia="LMRoman10-Regular" w:hAnsiTheme="minorHAnsi" w:cstheme="minorHAnsi"/>
          <w:lang w:eastAsia="en-GB"/>
        </w:rPr>
        <w:footnoteReference w:id="15"/>
      </w:r>
      <w:r w:rsidR="00204FBF" w:rsidRPr="00204FBF">
        <w:rPr>
          <w:rFonts w:asciiTheme="minorHAnsi" w:eastAsia="LMRoman10-Regular" w:hAnsiTheme="minorHAnsi" w:cstheme="minorHAnsi"/>
          <w:lang w:eastAsia="en-GB"/>
        </w:rPr>
        <w:t xml:space="preserve">  </w:t>
      </w:r>
    </w:p>
    <w:p w14:paraId="73CCB5F4" w14:textId="0ECA8EC2" w:rsidR="00D40C8D" w:rsidRPr="00204FBF" w:rsidRDefault="00D40C8D" w:rsidP="00C74497">
      <w:pPr>
        <w:autoSpaceDE w:val="0"/>
        <w:autoSpaceDN w:val="0"/>
        <w:adjustRightInd w:val="0"/>
        <w:spacing w:after="120"/>
        <w:rPr>
          <w:rFonts w:asciiTheme="minorHAnsi" w:eastAsia="LMRoman10-Regular" w:hAnsiTheme="minorHAnsi" w:cstheme="minorHAnsi"/>
          <w:color w:val="000000"/>
          <w:lang w:eastAsia="en-GB"/>
        </w:rPr>
      </w:pPr>
      <w:r>
        <w:rPr>
          <w:rFonts w:asciiTheme="minorHAnsi" w:eastAsia="LMRoman10-Regular" w:hAnsiTheme="minorHAnsi" w:cstheme="minorHAnsi"/>
          <w:color w:val="000000"/>
          <w:lang w:eastAsia="en-GB"/>
        </w:rPr>
        <w:t>From the point of view of the philosophy of mathematical practice</w:t>
      </w:r>
      <w:r w:rsidR="002E48A6">
        <w:rPr>
          <w:rFonts w:asciiTheme="minorHAnsi" w:eastAsia="LMRoman10-Regular" w:hAnsiTheme="minorHAnsi" w:cstheme="minorHAnsi"/>
          <w:color w:val="000000"/>
          <w:lang w:eastAsia="en-GB"/>
        </w:rPr>
        <w:t>s</w:t>
      </w:r>
      <w:r>
        <w:rPr>
          <w:rFonts w:asciiTheme="minorHAnsi" w:eastAsia="LMRoman10-Regular" w:hAnsiTheme="minorHAnsi" w:cstheme="minorHAnsi"/>
          <w:color w:val="000000"/>
          <w:lang w:eastAsia="en-GB"/>
        </w:rPr>
        <w:t>, Menary’s description of enculturation sounds entirely familiar</w:t>
      </w:r>
      <w:r w:rsidR="002E48A6">
        <w:rPr>
          <w:rFonts w:asciiTheme="minorHAnsi" w:eastAsia="LMRoman10-Regular" w:hAnsiTheme="minorHAnsi" w:cstheme="minorHAnsi"/>
          <w:color w:val="000000"/>
          <w:lang w:eastAsia="en-GB"/>
        </w:rPr>
        <w:t>:</w:t>
      </w:r>
    </w:p>
    <w:p w14:paraId="11443029" w14:textId="0BD36D0A" w:rsidR="002E48A6" w:rsidRDefault="00543196" w:rsidP="00C74497">
      <w:pPr>
        <w:autoSpaceDE w:val="0"/>
        <w:autoSpaceDN w:val="0"/>
        <w:adjustRightInd w:val="0"/>
        <w:spacing w:after="120"/>
        <w:ind w:left="720"/>
        <w:rPr>
          <w:rFonts w:asciiTheme="minorHAnsi" w:eastAsia="LMRoman10-Regular" w:hAnsiTheme="minorHAnsi" w:cstheme="minorHAnsi"/>
          <w:lang w:eastAsia="en-GB"/>
        </w:rPr>
      </w:pPr>
      <w:r w:rsidRPr="00204FBF">
        <w:rPr>
          <w:rFonts w:asciiTheme="minorHAnsi" w:eastAsia="LMRoman10-Regular" w:hAnsiTheme="minorHAnsi" w:cstheme="minorHAnsi"/>
          <w:color w:val="000000"/>
          <w:lang w:eastAsia="en-GB"/>
        </w:rPr>
        <w:t>Practices govern how we deploy tools, writing systems, number systems, and other kinds of representational systems to complete cognitive tasks. These are not simply static vehicles that have contents; they are active components embedded in dynamical patterns of cultural practice.</w:t>
      </w:r>
      <w:r w:rsidR="002E48A6" w:rsidRPr="002E48A6">
        <w:rPr>
          <w:rFonts w:asciiTheme="minorHAnsi" w:eastAsia="LMRoman10-Regular" w:hAnsiTheme="minorHAnsi" w:cstheme="minorHAnsi"/>
          <w:lang w:eastAsia="en-GB"/>
        </w:rPr>
        <w:t xml:space="preserve"> </w:t>
      </w:r>
      <w:r w:rsidR="002E48A6" w:rsidRPr="00204FBF">
        <w:rPr>
          <w:rFonts w:asciiTheme="minorHAnsi" w:eastAsia="LMRoman10-Regular" w:hAnsiTheme="minorHAnsi" w:cstheme="minorHAnsi"/>
          <w:lang w:eastAsia="en-GB"/>
        </w:rPr>
        <w:t>(p. 4)</w:t>
      </w:r>
    </w:p>
    <w:p w14:paraId="7C885787" w14:textId="116DED95" w:rsidR="009467D2" w:rsidRDefault="002E48A6" w:rsidP="00C74497">
      <w:pPr>
        <w:autoSpaceDE w:val="0"/>
        <w:autoSpaceDN w:val="0"/>
        <w:adjustRightInd w:val="0"/>
        <w:spacing w:after="120"/>
        <w:rPr>
          <w:rFonts w:asciiTheme="minorHAnsi" w:hAnsiTheme="minorHAnsi" w:cstheme="minorHAnsi"/>
          <w:lang w:eastAsia="en-GB"/>
        </w:rPr>
      </w:pPr>
      <w:r>
        <w:rPr>
          <w:rFonts w:asciiTheme="minorHAnsi" w:eastAsia="LMRoman10-Regular" w:hAnsiTheme="minorHAnsi" w:cstheme="minorHAnsi"/>
          <w:color w:val="000000"/>
          <w:lang w:eastAsia="en-GB"/>
        </w:rPr>
        <w:t>Philosophers of mathematical practices have been making versions of this point for some time.  Consider ordinary algebraic notation, as learned in secondary school.  This was invented and developed to the point where it became an accepted tool of mathematical argument within the lifetime of one of its</w:t>
      </w:r>
      <w:r w:rsidR="00482776" w:rsidRPr="00482776">
        <w:rPr>
          <w:rFonts w:asciiTheme="minorHAnsi" w:eastAsia="LMRoman10-Regular" w:hAnsiTheme="minorHAnsi" w:cstheme="minorHAnsi"/>
          <w:color w:val="000000"/>
          <w:lang w:eastAsia="en-GB"/>
        </w:rPr>
        <w:t xml:space="preserve"> </w:t>
      </w:r>
      <w:r w:rsidR="00DB7C80">
        <w:rPr>
          <w:rFonts w:asciiTheme="minorHAnsi" w:eastAsia="LMRoman10-Regular" w:hAnsiTheme="minorHAnsi" w:cstheme="minorHAnsi"/>
          <w:color w:val="000000"/>
          <w:lang w:eastAsia="en-GB"/>
        </w:rPr>
        <w:t>developers</w:t>
      </w:r>
      <w:r>
        <w:rPr>
          <w:rFonts w:asciiTheme="minorHAnsi" w:eastAsia="LMRoman10-Regular" w:hAnsiTheme="minorHAnsi" w:cstheme="minorHAnsi"/>
          <w:color w:val="000000"/>
          <w:lang w:eastAsia="en-GB"/>
        </w:rPr>
        <w:t>, René Descartes (</w:t>
      </w:r>
      <w:r w:rsidR="00480070">
        <w:rPr>
          <w:rFonts w:asciiTheme="minorHAnsi" w:eastAsia="LMRoman10-Regular" w:hAnsiTheme="minorHAnsi" w:cstheme="minorHAnsi"/>
          <w:color w:val="000000"/>
          <w:lang w:eastAsia="en-GB"/>
        </w:rPr>
        <w:t xml:space="preserve">1596-1650).  When he was born, </w:t>
      </w:r>
      <w:r w:rsidR="00F75D0A">
        <w:rPr>
          <w:rFonts w:asciiTheme="minorHAnsi" w:eastAsia="LMRoman10-Regular" w:hAnsiTheme="minorHAnsi" w:cstheme="minorHAnsi"/>
          <w:color w:val="000000"/>
          <w:lang w:eastAsia="en-GB"/>
        </w:rPr>
        <w:t xml:space="preserve">many </w:t>
      </w:r>
      <w:r w:rsidRPr="00DB15D6">
        <w:rPr>
          <w:rFonts w:asciiTheme="minorHAnsi" w:hAnsiTheme="minorHAnsi" w:cstheme="minorHAnsi"/>
          <w:lang w:eastAsia="en-GB"/>
        </w:rPr>
        <w:t xml:space="preserve">mathematicians were still writing algebraic procedures out in </w:t>
      </w:r>
      <w:r w:rsidR="00DF6608">
        <w:rPr>
          <w:rFonts w:asciiTheme="minorHAnsi" w:hAnsiTheme="minorHAnsi" w:cstheme="minorHAnsi"/>
          <w:lang w:eastAsia="en-GB"/>
        </w:rPr>
        <w:t xml:space="preserve">something close to </w:t>
      </w:r>
      <w:r w:rsidRPr="00DB15D6">
        <w:rPr>
          <w:rFonts w:asciiTheme="minorHAnsi" w:hAnsiTheme="minorHAnsi" w:cstheme="minorHAnsi"/>
          <w:lang w:eastAsia="en-GB"/>
        </w:rPr>
        <w:t xml:space="preserve">ordinary prose. </w:t>
      </w:r>
      <w:r w:rsidR="00480070">
        <w:rPr>
          <w:rFonts w:asciiTheme="minorHAnsi" w:hAnsiTheme="minorHAnsi" w:cstheme="minorHAnsi"/>
          <w:lang w:eastAsia="en-GB"/>
        </w:rPr>
        <w:t xml:space="preserve"> </w:t>
      </w:r>
      <w:r w:rsidRPr="00DB15D6">
        <w:rPr>
          <w:rFonts w:asciiTheme="minorHAnsi" w:hAnsiTheme="minorHAnsi" w:cstheme="minorHAnsi"/>
          <w:lang w:eastAsia="en-GB"/>
        </w:rPr>
        <w:t>This mathematical prose had ready abbreviations for ‘the thing sought’, ‘square’ and so on, and these were eventually replaced by symbols.</w:t>
      </w:r>
      <w:r w:rsidR="00480070">
        <w:rPr>
          <w:rFonts w:asciiTheme="minorHAnsi" w:hAnsiTheme="minorHAnsi" w:cstheme="minorHAnsi"/>
          <w:lang w:eastAsia="en-GB"/>
        </w:rPr>
        <w:t xml:space="preserve"> </w:t>
      </w:r>
      <w:r w:rsidRPr="00DB15D6">
        <w:rPr>
          <w:rFonts w:asciiTheme="minorHAnsi" w:hAnsiTheme="minorHAnsi" w:cstheme="minorHAnsi"/>
          <w:lang w:eastAsia="en-GB"/>
        </w:rPr>
        <w:t xml:space="preserve"> The crucial breakthrough, however, was the introduction of</w:t>
      </w:r>
      <w:r w:rsidR="00612322">
        <w:rPr>
          <w:rFonts w:asciiTheme="minorHAnsi" w:hAnsiTheme="minorHAnsi" w:cstheme="minorHAnsi"/>
          <w:lang w:eastAsia="en-GB"/>
        </w:rPr>
        <w:t xml:space="preserve"> </w:t>
      </w:r>
      <w:r w:rsidRPr="00DB15D6">
        <w:rPr>
          <w:rFonts w:asciiTheme="minorHAnsi" w:hAnsiTheme="minorHAnsi" w:cstheme="minorHAnsi"/>
          <w:lang w:eastAsia="en-GB"/>
        </w:rPr>
        <w:t>brackets.</w:t>
      </w:r>
      <w:r>
        <w:rPr>
          <w:rStyle w:val="FootnoteReference"/>
          <w:rFonts w:asciiTheme="minorHAnsi" w:hAnsiTheme="minorHAnsi" w:cstheme="minorHAnsi"/>
          <w:lang w:eastAsia="en-GB"/>
        </w:rPr>
        <w:footnoteReference w:id="16"/>
      </w:r>
      <w:r w:rsidRPr="00DB15D6">
        <w:rPr>
          <w:rFonts w:asciiTheme="minorHAnsi" w:hAnsiTheme="minorHAnsi" w:cstheme="minorHAnsi"/>
          <w:lang w:eastAsia="en-GB"/>
        </w:rPr>
        <w:t xml:space="preserve"> </w:t>
      </w:r>
      <w:r w:rsidR="00480070">
        <w:rPr>
          <w:rFonts w:asciiTheme="minorHAnsi" w:hAnsiTheme="minorHAnsi" w:cstheme="minorHAnsi"/>
          <w:lang w:eastAsia="en-GB"/>
        </w:rPr>
        <w:t xml:space="preserve"> </w:t>
      </w:r>
      <w:r w:rsidRPr="00DB15D6">
        <w:rPr>
          <w:rFonts w:asciiTheme="minorHAnsi" w:hAnsiTheme="minorHAnsi" w:cstheme="minorHAnsi"/>
          <w:lang w:eastAsia="en-GB"/>
        </w:rPr>
        <w:t xml:space="preserve">Then, the same quantity could be written in two ways (that is to say, brackets can be multiplied out, or conversely terms can be gathered). </w:t>
      </w:r>
      <w:r w:rsidR="009467D2">
        <w:rPr>
          <w:rFonts w:asciiTheme="minorHAnsi" w:hAnsiTheme="minorHAnsi" w:cstheme="minorHAnsi"/>
          <w:lang w:eastAsia="en-GB"/>
        </w:rPr>
        <w:t xml:space="preserve"> </w:t>
      </w:r>
      <w:r w:rsidRPr="00DB15D6">
        <w:rPr>
          <w:rFonts w:asciiTheme="minorHAnsi" w:hAnsiTheme="minorHAnsi" w:cstheme="minorHAnsi"/>
          <w:lang w:eastAsia="en-GB"/>
        </w:rPr>
        <w:t>At first, the</w:t>
      </w:r>
      <w:r>
        <w:rPr>
          <w:rFonts w:asciiTheme="minorHAnsi" w:hAnsiTheme="minorHAnsi" w:cstheme="minorHAnsi"/>
          <w:lang w:eastAsia="en-GB"/>
        </w:rPr>
        <w:t xml:space="preserve"> </w:t>
      </w:r>
      <w:r w:rsidRPr="00DB15D6">
        <w:rPr>
          <w:rFonts w:asciiTheme="minorHAnsi" w:hAnsiTheme="minorHAnsi" w:cstheme="minorHAnsi"/>
          <w:lang w:eastAsia="en-GB"/>
        </w:rPr>
        <w:t xml:space="preserve">manipulation of </w:t>
      </w:r>
      <w:r w:rsidRPr="00DB15D6">
        <w:rPr>
          <w:rFonts w:asciiTheme="minorHAnsi" w:hAnsiTheme="minorHAnsi" w:cstheme="minorHAnsi"/>
          <w:lang w:eastAsia="en-GB"/>
        </w:rPr>
        <w:lastRenderedPageBreak/>
        <w:t xml:space="preserve">these new symbols was regarded as a useful calculating aid, but such manipulations quickly (that is, in a couple of decades) gained the status of proof-procedures. </w:t>
      </w:r>
      <w:r w:rsidR="009467D2">
        <w:rPr>
          <w:rFonts w:asciiTheme="minorHAnsi" w:hAnsiTheme="minorHAnsi" w:cstheme="minorHAnsi"/>
          <w:lang w:eastAsia="en-GB"/>
        </w:rPr>
        <w:t xml:space="preserve"> </w:t>
      </w:r>
      <w:r w:rsidRPr="00DB15D6">
        <w:rPr>
          <w:rFonts w:asciiTheme="minorHAnsi" w:hAnsiTheme="minorHAnsi" w:cstheme="minorHAnsi"/>
          <w:lang w:eastAsia="en-GB"/>
        </w:rPr>
        <w:t>Mathematicians had invented syntactic argumentation</w:t>
      </w:r>
      <w:r w:rsidR="00482776">
        <w:rPr>
          <w:rFonts w:asciiTheme="minorHAnsi" w:hAnsiTheme="minorHAnsi" w:cstheme="minorHAnsi"/>
          <w:lang w:eastAsia="en-GB"/>
        </w:rPr>
        <w:t>, in the sense that the rules for</w:t>
      </w:r>
      <w:r w:rsidR="00D534EE">
        <w:rPr>
          <w:rFonts w:asciiTheme="minorHAnsi" w:hAnsiTheme="minorHAnsi" w:cstheme="minorHAnsi"/>
          <w:lang w:eastAsia="en-GB"/>
        </w:rPr>
        <w:t xml:space="preserve"> transforming the symbols</w:t>
      </w:r>
      <w:r w:rsidR="00482776">
        <w:rPr>
          <w:rFonts w:asciiTheme="minorHAnsi" w:hAnsiTheme="minorHAnsi" w:cstheme="minorHAnsi"/>
          <w:lang w:eastAsia="en-GB"/>
        </w:rPr>
        <w:t xml:space="preserve"> coincide with most of the rules of arithmetic</w:t>
      </w:r>
      <w:r w:rsidRPr="00DB15D6">
        <w:rPr>
          <w:rFonts w:asciiTheme="minorHAnsi" w:hAnsiTheme="minorHAnsi" w:cstheme="minorHAnsi"/>
          <w:lang w:eastAsia="en-GB"/>
        </w:rPr>
        <w:t>.</w:t>
      </w:r>
      <w:r>
        <w:rPr>
          <w:rStyle w:val="FootnoteReference"/>
          <w:rFonts w:asciiTheme="minorHAnsi" w:hAnsiTheme="minorHAnsi" w:cstheme="minorHAnsi"/>
          <w:lang w:eastAsia="en-GB"/>
        </w:rPr>
        <w:footnoteReference w:id="17"/>
      </w:r>
      <w:r w:rsidRPr="00DB15D6">
        <w:rPr>
          <w:rFonts w:asciiTheme="minorHAnsi" w:hAnsiTheme="minorHAnsi" w:cstheme="minorHAnsi"/>
          <w:lang w:eastAsia="en-GB"/>
        </w:rPr>
        <w:t xml:space="preserve"> </w:t>
      </w:r>
      <w:r w:rsidR="009467D2">
        <w:rPr>
          <w:rFonts w:asciiTheme="minorHAnsi" w:hAnsiTheme="minorHAnsi" w:cstheme="minorHAnsi"/>
          <w:lang w:eastAsia="en-GB"/>
        </w:rPr>
        <w:t xml:space="preserve"> </w:t>
      </w:r>
      <w:r w:rsidR="0094186D">
        <w:rPr>
          <w:rFonts w:asciiTheme="minorHAnsi" w:hAnsiTheme="minorHAnsi" w:cstheme="minorHAnsi"/>
          <w:lang w:eastAsia="en-GB"/>
        </w:rPr>
        <w:t xml:space="preserve">When Newton, late in the </w:t>
      </w:r>
      <w:r w:rsidR="00E314F0">
        <w:rPr>
          <w:rFonts w:asciiTheme="minorHAnsi" w:hAnsiTheme="minorHAnsi" w:cstheme="minorHAnsi"/>
          <w:lang w:eastAsia="en-GB"/>
        </w:rPr>
        <w:t>17</w:t>
      </w:r>
      <w:r w:rsidR="00E314F0" w:rsidRPr="00E314F0">
        <w:rPr>
          <w:rFonts w:asciiTheme="minorHAnsi" w:hAnsiTheme="minorHAnsi" w:cstheme="minorHAnsi"/>
          <w:vertAlign w:val="superscript"/>
          <w:lang w:eastAsia="en-GB"/>
        </w:rPr>
        <w:t>th</w:t>
      </w:r>
      <w:r w:rsidR="00E314F0">
        <w:rPr>
          <w:rFonts w:asciiTheme="minorHAnsi" w:hAnsiTheme="minorHAnsi" w:cstheme="minorHAnsi"/>
          <w:lang w:eastAsia="en-GB"/>
        </w:rPr>
        <w:t xml:space="preserve"> </w:t>
      </w:r>
      <w:r w:rsidR="0094186D">
        <w:rPr>
          <w:rFonts w:asciiTheme="minorHAnsi" w:hAnsiTheme="minorHAnsi" w:cstheme="minorHAnsi"/>
          <w:lang w:eastAsia="en-GB"/>
        </w:rPr>
        <w:t xml:space="preserve">century, retained the practice of offering geometrical proofs for results that he had found algebraically, this made him something of a conservative.  </w:t>
      </w:r>
      <w:r w:rsidR="00A354C6">
        <w:rPr>
          <w:rFonts w:asciiTheme="minorHAnsi" w:hAnsiTheme="minorHAnsi" w:cstheme="minorHAnsi"/>
          <w:lang w:eastAsia="en-GB"/>
        </w:rPr>
        <w:t xml:space="preserve">For almost everyone else, manipulating symbols according to syntactic rules without worrying about what the symbols meant was a perfectly rigorous way of doing mathematics.  </w:t>
      </w:r>
      <w:r w:rsidR="00417647">
        <w:rPr>
          <w:rFonts w:asciiTheme="minorHAnsi" w:hAnsiTheme="minorHAnsi" w:cstheme="minorHAnsi"/>
          <w:lang w:eastAsia="en-GB"/>
        </w:rPr>
        <w:t xml:space="preserve">With the new notation, </w:t>
      </w:r>
      <w:r w:rsidR="00F940A0">
        <w:rPr>
          <w:rFonts w:asciiTheme="minorHAnsi" w:hAnsiTheme="minorHAnsi" w:cstheme="minorHAnsi"/>
          <w:lang w:eastAsia="en-GB"/>
        </w:rPr>
        <w:t>more</w:t>
      </w:r>
      <w:r w:rsidR="00CB338B">
        <w:rPr>
          <w:rFonts w:asciiTheme="minorHAnsi" w:hAnsiTheme="minorHAnsi" w:cstheme="minorHAnsi"/>
          <w:lang w:eastAsia="en-GB"/>
        </w:rPr>
        <w:t xml:space="preserve"> of the rigour was offloaded into the symbolism</w:t>
      </w:r>
      <w:r w:rsidR="00F940A0">
        <w:rPr>
          <w:rFonts w:asciiTheme="minorHAnsi" w:hAnsiTheme="minorHAnsi" w:cstheme="minorHAnsi"/>
          <w:lang w:eastAsia="en-GB"/>
        </w:rPr>
        <w:t xml:space="preserve"> than ever before</w:t>
      </w:r>
      <w:r w:rsidR="00417647">
        <w:rPr>
          <w:rFonts w:asciiTheme="minorHAnsi" w:hAnsiTheme="minorHAnsi" w:cstheme="minorHAnsi"/>
          <w:lang w:eastAsia="en-GB"/>
        </w:rPr>
        <w:t>.</w:t>
      </w:r>
    </w:p>
    <w:p w14:paraId="6C50B279" w14:textId="11DBC873" w:rsidR="002E48A6" w:rsidRPr="00DB15D6" w:rsidRDefault="002E48A6" w:rsidP="00C74497">
      <w:pPr>
        <w:autoSpaceDE w:val="0"/>
        <w:autoSpaceDN w:val="0"/>
        <w:adjustRightInd w:val="0"/>
        <w:spacing w:after="120"/>
        <w:rPr>
          <w:rFonts w:asciiTheme="minorHAnsi" w:hAnsiTheme="minorHAnsi" w:cstheme="minorHAnsi"/>
          <w:lang w:eastAsia="en-GB"/>
        </w:rPr>
      </w:pPr>
      <w:r w:rsidRPr="00DB15D6">
        <w:rPr>
          <w:rFonts w:asciiTheme="minorHAnsi" w:hAnsiTheme="minorHAnsi" w:cstheme="minorHAnsi"/>
          <w:lang w:eastAsia="en-GB"/>
        </w:rPr>
        <w:t>T</w:t>
      </w:r>
      <w:r w:rsidR="00417647">
        <w:rPr>
          <w:rFonts w:asciiTheme="minorHAnsi" w:hAnsiTheme="minorHAnsi" w:cstheme="minorHAnsi"/>
          <w:lang w:eastAsia="en-GB"/>
        </w:rPr>
        <w:t xml:space="preserve">urning from </w:t>
      </w:r>
      <w:r w:rsidR="00251DB7">
        <w:rPr>
          <w:rFonts w:asciiTheme="minorHAnsi" w:hAnsiTheme="minorHAnsi" w:cstheme="minorHAnsi"/>
          <w:lang w:eastAsia="en-GB"/>
        </w:rPr>
        <w:t>the history of mathematics to cognitive science, t</w:t>
      </w:r>
      <w:r w:rsidRPr="00DB15D6">
        <w:rPr>
          <w:rFonts w:asciiTheme="minorHAnsi" w:hAnsiTheme="minorHAnsi" w:cstheme="minorHAnsi"/>
          <w:lang w:eastAsia="en-GB"/>
        </w:rPr>
        <w:t xml:space="preserve">he </w:t>
      </w:r>
      <w:r w:rsidR="00BD4CE5">
        <w:rPr>
          <w:rFonts w:asciiTheme="minorHAnsi" w:hAnsiTheme="minorHAnsi" w:cstheme="minorHAnsi"/>
          <w:lang w:eastAsia="en-GB"/>
        </w:rPr>
        <w:t xml:space="preserve">first </w:t>
      </w:r>
      <w:r w:rsidRPr="00DB15D6">
        <w:rPr>
          <w:rFonts w:asciiTheme="minorHAnsi" w:hAnsiTheme="minorHAnsi" w:cstheme="minorHAnsi"/>
          <w:lang w:eastAsia="en-GB"/>
        </w:rPr>
        <w:t xml:space="preserve">point to note is that the actions </w:t>
      </w:r>
      <w:r w:rsidR="0094186D">
        <w:rPr>
          <w:rFonts w:asciiTheme="minorHAnsi" w:hAnsiTheme="minorHAnsi" w:cstheme="minorHAnsi"/>
          <w:lang w:eastAsia="en-GB"/>
        </w:rPr>
        <w:t xml:space="preserve">on algebraic symbols </w:t>
      </w:r>
      <w:r w:rsidRPr="00DB15D6">
        <w:rPr>
          <w:rFonts w:asciiTheme="minorHAnsi" w:hAnsiTheme="minorHAnsi" w:cstheme="minorHAnsi"/>
          <w:lang w:eastAsia="en-GB"/>
        </w:rPr>
        <w:t xml:space="preserve">that constitute the process of </w:t>
      </w:r>
      <w:r w:rsidR="00B11D81">
        <w:rPr>
          <w:rFonts w:asciiTheme="minorHAnsi" w:hAnsiTheme="minorHAnsi" w:cstheme="minorHAnsi"/>
          <w:lang w:eastAsia="en-GB"/>
        </w:rPr>
        <w:t>proof</w:t>
      </w:r>
      <w:r w:rsidRPr="00DB15D6">
        <w:rPr>
          <w:rFonts w:asciiTheme="minorHAnsi" w:hAnsiTheme="minorHAnsi" w:cstheme="minorHAnsi"/>
          <w:lang w:eastAsia="en-GB"/>
        </w:rPr>
        <w:t xml:space="preserve"> are not actions that one could perform on the same content represented</w:t>
      </w:r>
      <w:r w:rsidR="0094186D">
        <w:rPr>
          <w:rFonts w:asciiTheme="minorHAnsi" w:hAnsiTheme="minorHAnsi" w:cstheme="minorHAnsi"/>
          <w:lang w:eastAsia="en-GB"/>
        </w:rPr>
        <w:t xml:space="preserve"> by means available to mathematically untrained but otherwise cognitively normal adult humans</w:t>
      </w:r>
      <w:r w:rsidRPr="00DB15D6">
        <w:rPr>
          <w:rFonts w:asciiTheme="minorHAnsi" w:hAnsiTheme="minorHAnsi" w:cstheme="minorHAnsi"/>
          <w:lang w:eastAsia="en-GB"/>
        </w:rPr>
        <w:t xml:space="preserve">. </w:t>
      </w:r>
      <w:r w:rsidR="009467D2">
        <w:rPr>
          <w:rFonts w:asciiTheme="minorHAnsi" w:hAnsiTheme="minorHAnsi" w:cstheme="minorHAnsi"/>
          <w:lang w:eastAsia="en-GB"/>
        </w:rPr>
        <w:t xml:space="preserve"> </w:t>
      </w:r>
      <w:r w:rsidRPr="00DB15D6">
        <w:rPr>
          <w:rFonts w:asciiTheme="minorHAnsi" w:hAnsiTheme="minorHAnsi" w:cstheme="minorHAnsi"/>
          <w:lang w:eastAsia="en-GB"/>
        </w:rPr>
        <w:t>To see this, consi</w:t>
      </w:r>
      <w:r w:rsidR="00DB279A">
        <w:rPr>
          <w:rFonts w:asciiTheme="minorHAnsi" w:hAnsiTheme="minorHAnsi" w:cstheme="minorHAnsi"/>
          <w:lang w:eastAsia="en-GB"/>
        </w:rPr>
        <w:t xml:space="preserve">der the following </w:t>
      </w:r>
      <w:r w:rsidR="00CD7675">
        <w:rPr>
          <w:rFonts w:asciiTheme="minorHAnsi" w:hAnsiTheme="minorHAnsi" w:cstheme="minorHAnsi"/>
          <w:lang w:eastAsia="en-GB"/>
        </w:rPr>
        <w:t>init</w:t>
      </w:r>
      <w:r w:rsidR="00B04F62">
        <w:rPr>
          <w:rFonts w:asciiTheme="minorHAnsi" w:hAnsiTheme="minorHAnsi" w:cstheme="minorHAnsi"/>
          <w:lang w:eastAsia="en-GB"/>
        </w:rPr>
        <w:t xml:space="preserve">ial </w:t>
      </w:r>
      <w:r w:rsidR="00DB279A">
        <w:rPr>
          <w:rFonts w:asciiTheme="minorHAnsi" w:hAnsiTheme="minorHAnsi" w:cstheme="minorHAnsi"/>
          <w:lang w:eastAsia="en-GB"/>
        </w:rPr>
        <w:t>step in</w:t>
      </w:r>
      <w:r w:rsidRPr="00DB15D6">
        <w:rPr>
          <w:rFonts w:asciiTheme="minorHAnsi" w:hAnsiTheme="minorHAnsi" w:cstheme="minorHAnsi"/>
          <w:lang w:eastAsia="en-GB"/>
        </w:rPr>
        <w:t xml:space="preserve"> a proof by</w:t>
      </w:r>
      <w:r w:rsidR="006C6CCA">
        <w:rPr>
          <w:rFonts w:asciiTheme="minorHAnsi" w:hAnsiTheme="minorHAnsi" w:cstheme="minorHAnsi"/>
          <w:lang w:eastAsia="en-GB"/>
        </w:rPr>
        <w:t xml:space="preserve"> George</w:t>
      </w:r>
      <w:r w:rsidRPr="00DB15D6">
        <w:rPr>
          <w:rFonts w:asciiTheme="minorHAnsi" w:hAnsiTheme="minorHAnsi" w:cstheme="minorHAnsi"/>
          <w:lang w:eastAsia="en-GB"/>
        </w:rPr>
        <w:t xml:space="preserve"> Pólya:</w:t>
      </w:r>
    </w:p>
    <w:p w14:paraId="275F76C4" w14:textId="77777777" w:rsidR="00DD0D10" w:rsidRDefault="002E48A6" w:rsidP="007A11E5">
      <w:pPr>
        <w:autoSpaceDE w:val="0"/>
        <w:autoSpaceDN w:val="0"/>
        <w:adjustRightInd w:val="0"/>
        <w:spacing w:before="120" w:after="120"/>
        <w:ind w:firstLine="720"/>
        <w:rPr>
          <w:rFonts w:asciiTheme="minorHAnsi" w:hAnsiTheme="minorHAnsi" w:cstheme="minorHAnsi"/>
          <w:lang w:eastAsia="en-GB"/>
        </w:rPr>
      </w:pPr>
      <w:r w:rsidRPr="00DB15D6">
        <w:rPr>
          <w:rFonts w:asciiTheme="minorHAnsi" w:hAnsiTheme="minorHAnsi" w:cstheme="minorHAnsi"/>
          <w:lang w:eastAsia="en-GB"/>
        </w:rPr>
        <w:t>Define the real numbers</w:t>
      </w:r>
      <w:r>
        <w:rPr>
          <w:rFonts w:asciiTheme="minorHAnsi" w:hAnsiTheme="minorHAnsi" w:cstheme="minorHAnsi"/>
          <w:lang w:eastAsia="en-GB"/>
        </w:rPr>
        <w:t xml:space="preserve"> </w:t>
      </w:r>
      <m:oMath>
        <m:sSub>
          <m:sSubPr>
            <m:ctrlPr>
              <w:rPr>
                <w:rFonts w:ascii="Cambria Math" w:hAnsi="Cambria Math" w:cstheme="minorHAnsi"/>
                <w:i/>
                <w:lang w:eastAsia="en-GB"/>
              </w:rPr>
            </m:ctrlPr>
          </m:sSubPr>
          <m:e>
            <m:r>
              <w:rPr>
                <w:rFonts w:ascii="Cambria Math" w:hAnsi="Cambria Math" w:cstheme="minorHAnsi"/>
                <w:lang w:eastAsia="en-GB"/>
              </w:rPr>
              <m:t>c</m:t>
            </m:r>
          </m:e>
          <m:sub>
            <m:r>
              <w:rPr>
                <w:rFonts w:ascii="Cambria Math" w:hAnsi="Cambria Math" w:cstheme="minorHAnsi"/>
                <w:lang w:eastAsia="en-GB"/>
              </w:rPr>
              <m:t>1</m:t>
            </m:r>
          </m:sub>
        </m:sSub>
        <m:r>
          <w:rPr>
            <w:rFonts w:ascii="Cambria Math" w:hAnsi="Cambria Math" w:cstheme="minorHAnsi"/>
            <w:lang w:eastAsia="en-GB"/>
          </w:rPr>
          <m:t xml:space="preserve">, </m:t>
        </m:r>
        <m:sSub>
          <m:sSubPr>
            <m:ctrlPr>
              <w:rPr>
                <w:rFonts w:ascii="Cambria Math" w:hAnsi="Cambria Math" w:cstheme="minorHAnsi"/>
                <w:i/>
                <w:lang w:eastAsia="en-GB"/>
              </w:rPr>
            </m:ctrlPr>
          </m:sSubPr>
          <m:e>
            <m:r>
              <w:rPr>
                <w:rFonts w:ascii="Cambria Math" w:hAnsi="Cambria Math" w:cstheme="minorHAnsi"/>
                <w:lang w:eastAsia="en-GB"/>
              </w:rPr>
              <m:t>c</m:t>
            </m:r>
          </m:e>
          <m:sub>
            <m:r>
              <w:rPr>
                <w:rFonts w:ascii="Cambria Math" w:hAnsi="Cambria Math" w:cstheme="minorHAnsi"/>
                <w:lang w:eastAsia="en-GB"/>
              </w:rPr>
              <m:t>2</m:t>
            </m:r>
          </m:sub>
        </m:sSub>
        <m:r>
          <w:rPr>
            <w:rFonts w:ascii="Cambria Math" w:hAnsi="Cambria Math" w:cstheme="minorHAnsi"/>
            <w:lang w:eastAsia="en-GB"/>
          </w:rPr>
          <m:t xml:space="preserve">, </m:t>
        </m:r>
        <m:sSub>
          <m:sSubPr>
            <m:ctrlPr>
              <w:rPr>
                <w:rFonts w:ascii="Cambria Math" w:hAnsi="Cambria Math" w:cstheme="minorHAnsi"/>
                <w:i/>
                <w:lang w:eastAsia="en-GB"/>
              </w:rPr>
            </m:ctrlPr>
          </m:sSubPr>
          <m:e>
            <m:r>
              <w:rPr>
                <w:rFonts w:ascii="Cambria Math" w:hAnsi="Cambria Math" w:cstheme="minorHAnsi"/>
                <w:lang w:eastAsia="en-GB"/>
              </w:rPr>
              <m:t>c</m:t>
            </m:r>
          </m:e>
          <m:sub>
            <m:r>
              <w:rPr>
                <w:rFonts w:ascii="Cambria Math" w:hAnsi="Cambria Math" w:cstheme="minorHAnsi"/>
                <w:lang w:eastAsia="en-GB"/>
              </w:rPr>
              <m:t>3</m:t>
            </m:r>
          </m:sub>
        </m:sSub>
        <m:r>
          <w:rPr>
            <w:rFonts w:ascii="Cambria Math" w:hAnsi="Cambria Math" w:cstheme="minorHAnsi"/>
            <w:lang w:eastAsia="en-GB"/>
          </w:rPr>
          <m:t>,…</m:t>
        </m:r>
        <m:sSub>
          <m:sSubPr>
            <m:ctrlPr>
              <w:rPr>
                <w:rFonts w:ascii="Cambria Math" w:hAnsi="Cambria Math" w:cstheme="minorHAnsi"/>
                <w:i/>
                <w:lang w:eastAsia="en-GB"/>
              </w:rPr>
            </m:ctrlPr>
          </m:sSubPr>
          <m:e>
            <m:r>
              <w:rPr>
                <w:rFonts w:ascii="Cambria Math" w:hAnsi="Cambria Math" w:cstheme="minorHAnsi"/>
                <w:lang w:eastAsia="en-GB"/>
              </w:rPr>
              <m:t>c</m:t>
            </m:r>
          </m:e>
          <m:sub>
            <m:r>
              <w:rPr>
                <w:rFonts w:ascii="Cambria Math" w:hAnsi="Cambria Math" w:cstheme="minorHAnsi"/>
                <w:lang w:eastAsia="en-GB"/>
              </w:rPr>
              <m:t>n</m:t>
            </m:r>
          </m:sub>
        </m:sSub>
        <m:r>
          <w:rPr>
            <w:rFonts w:ascii="Cambria Math" w:hAnsi="Cambria Math" w:cstheme="minorHAnsi"/>
            <w:lang w:eastAsia="en-GB"/>
          </w:rPr>
          <m:t>,…</m:t>
        </m:r>
      </m:oMath>
      <w:r>
        <w:rPr>
          <w:rFonts w:asciiTheme="minorHAnsi" w:hAnsiTheme="minorHAnsi" w:cstheme="minorHAnsi"/>
          <w:lang w:eastAsia="en-GB"/>
        </w:rPr>
        <w:t xml:space="preserve"> </w:t>
      </w:r>
      <w:r w:rsidRPr="00DB15D6">
        <w:rPr>
          <w:rFonts w:asciiTheme="minorHAnsi" w:hAnsiTheme="minorHAnsi" w:cstheme="minorHAnsi"/>
          <w:lang w:eastAsia="en-GB"/>
        </w:rPr>
        <w:t>by</w:t>
      </w:r>
      <w:r w:rsidR="00AF4312">
        <w:rPr>
          <w:rFonts w:asciiTheme="minorHAnsi" w:hAnsiTheme="minorHAnsi" w:cstheme="minorHAnsi"/>
          <w:lang w:eastAsia="en-GB"/>
        </w:rPr>
        <w:t>:</w:t>
      </w:r>
    </w:p>
    <w:p w14:paraId="6EDBB082" w14:textId="1EDB5527" w:rsidR="002E48A6" w:rsidRPr="00E74C55" w:rsidRDefault="00C5769F" w:rsidP="00C74497">
      <w:pPr>
        <w:autoSpaceDE w:val="0"/>
        <w:autoSpaceDN w:val="0"/>
        <w:adjustRightInd w:val="0"/>
        <w:spacing w:before="120" w:after="120"/>
        <w:rPr>
          <w:rFonts w:asciiTheme="minorHAnsi" w:hAnsiTheme="minorHAnsi" w:cstheme="minorHAnsi"/>
          <w:lang w:eastAsia="en-GB"/>
        </w:rPr>
      </w:pPr>
      <m:oMathPara>
        <m:oMath>
          <m:sSub>
            <m:sSubPr>
              <m:ctrlPr>
                <w:rPr>
                  <w:rFonts w:ascii="Cambria Math" w:hAnsi="Cambria Math" w:cstheme="minorHAnsi"/>
                  <w:i/>
                  <w:lang w:eastAsia="en-GB"/>
                </w:rPr>
              </m:ctrlPr>
            </m:sSubPr>
            <m:e>
              <m:r>
                <w:rPr>
                  <w:rFonts w:ascii="Cambria Math" w:hAnsi="Cambria Math" w:cstheme="minorHAnsi"/>
                  <w:lang w:eastAsia="en-GB"/>
                </w:rPr>
                <m:t>c</m:t>
              </m:r>
            </m:e>
            <m:sub>
              <m:r>
                <w:rPr>
                  <w:rFonts w:ascii="Cambria Math" w:hAnsi="Cambria Math" w:cstheme="minorHAnsi"/>
                  <w:lang w:eastAsia="en-GB"/>
                </w:rPr>
                <m:t>1</m:t>
              </m:r>
            </m:sub>
          </m:sSub>
          <m:sSub>
            <m:sSubPr>
              <m:ctrlPr>
                <w:rPr>
                  <w:rFonts w:ascii="Cambria Math" w:hAnsi="Cambria Math" w:cstheme="minorHAnsi"/>
                  <w:i/>
                  <w:lang w:eastAsia="en-GB"/>
                </w:rPr>
              </m:ctrlPr>
            </m:sSubPr>
            <m:e>
              <m:r>
                <w:rPr>
                  <w:rFonts w:ascii="Cambria Math" w:hAnsi="Cambria Math" w:cstheme="minorHAnsi"/>
                  <w:lang w:eastAsia="en-GB"/>
                </w:rPr>
                <m:t>c</m:t>
              </m:r>
            </m:e>
            <m:sub>
              <m:r>
                <w:rPr>
                  <w:rFonts w:ascii="Cambria Math" w:hAnsi="Cambria Math" w:cstheme="minorHAnsi"/>
                  <w:lang w:eastAsia="en-GB"/>
                </w:rPr>
                <m:t>2</m:t>
              </m:r>
            </m:sub>
          </m:sSub>
          <m:sSub>
            <m:sSubPr>
              <m:ctrlPr>
                <w:rPr>
                  <w:rFonts w:ascii="Cambria Math" w:hAnsi="Cambria Math" w:cstheme="minorHAnsi"/>
                  <w:i/>
                  <w:lang w:eastAsia="en-GB"/>
                </w:rPr>
              </m:ctrlPr>
            </m:sSubPr>
            <m:e>
              <m:r>
                <w:rPr>
                  <w:rFonts w:ascii="Cambria Math" w:hAnsi="Cambria Math" w:cstheme="minorHAnsi"/>
                  <w:lang w:eastAsia="en-GB"/>
                </w:rPr>
                <m:t>c</m:t>
              </m:r>
            </m:e>
            <m:sub>
              <m:r>
                <w:rPr>
                  <w:rFonts w:ascii="Cambria Math" w:hAnsi="Cambria Math" w:cstheme="minorHAnsi"/>
                  <w:lang w:eastAsia="en-GB"/>
                </w:rPr>
                <m:t>3</m:t>
              </m:r>
            </m:sub>
          </m:sSub>
          <m:r>
            <w:rPr>
              <w:rFonts w:ascii="Cambria Math" w:hAnsi="Cambria Math" w:cstheme="minorHAnsi"/>
              <w:lang w:eastAsia="en-GB"/>
            </w:rPr>
            <m:t>…</m:t>
          </m:r>
          <m:sSub>
            <m:sSubPr>
              <m:ctrlPr>
                <w:rPr>
                  <w:rFonts w:ascii="Cambria Math" w:hAnsi="Cambria Math" w:cstheme="minorHAnsi"/>
                  <w:i/>
                  <w:lang w:eastAsia="en-GB"/>
                </w:rPr>
              </m:ctrlPr>
            </m:sSubPr>
            <m:e>
              <m:r>
                <w:rPr>
                  <w:rFonts w:ascii="Cambria Math" w:hAnsi="Cambria Math" w:cstheme="minorHAnsi"/>
                  <w:lang w:eastAsia="en-GB"/>
                </w:rPr>
                <m:t>c</m:t>
              </m:r>
            </m:e>
            <m:sub>
              <m:r>
                <w:rPr>
                  <w:rFonts w:ascii="Cambria Math" w:hAnsi="Cambria Math" w:cstheme="minorHAnsi"/>
                  <w:lang w:eastAsia="en-GB"/>
                </w:rPr>
                <m:t>n</m:t>
              </m:r>
            </m:sub>
          </m:sSub>
          <m:r>
            <w:rPr>
              <w:rFonts w:ascii="Cambria Math" w:hAnsi="Cambria Math" w:cstheme="minorHAnsi"/>
              <w:lang w:eastAsia="en-GB"/>
            </w:rPr>
            <m:t>=</m:t>
          </m:r>
          <m:sSup>
            <m:sSupPr>
              <m:ctrlPr>
                <w:rPr>
                  <w:rFonts w:ascii="Cambria Math" w:hAnsi="Cambria Math" w:cstheme="minorHAnsi"/>
                  <w:i/>
                  <w:lang w:eastAsia="en-GB"/>
                </w:rPr>
              </m:ctrlPr>
            </m:sSupPr>
            <m:e>
              <m:r>
                <w:rPr>
                  <w:rFonts w:ascii="Cambria Math" w:hAnsi="Cambria Math" w:cstheme="minorHAnsi"/>
                  <w:lang w:eastAsia="en-GB"/>
                </w:rPr>
                <m:t>(n+1)</m:t>
              </m:r>
            </m:e>
            <m:sup>
              <m:r>
                <w:rPr>
                  <w:rFonts w:ascii="Cambria Math" w:hAnsi="Cambria Math" w:cstheme="minorHAnsi"/>
                  <w:lang w:eastAsia="en-GB"/>
                </w:rPr>
                <m:t>n</m:t>
              </m:r>
            </m:sup>
          </m:sSup>
        </m:oMath>
      </m:oMathPara>
    </w:p>
    <w:p w14:paraId="52403C3A" w14:textId="031BF6B3" w:rsidR="002E48A6" w:rsidRDefault="002E48A6" w:rsidP="007A11E5">
      <w:pPr>
        <w:autoSpaceDE w:val="0"/>
        <w:autoSpaceDN w:val="0"/>
        <w:adjustRightInd w:val="0"/>
        <w:spacing w:after="120"/>
        <w:ind w:firstLine="720"/>
        <w:rPr>
          <w:rFonts w:ascii="NimbusRomNo9L-Regu" w:hAnsi="NimbusRomNo9L-Regu" w:cs="NimbusRomNo9L-Regu"/>
          <w:sz w:val="20"/>
          <w:szCs w:val="20"/>
          <w:lang w:eastAsia="en-GB"/>
        </w:rPr>
      </w:pPr>
      <w:r>
        <w:rPr>
          <w:rFonts w:ascii="NimbusRomNo9L-Regu" w:hAnsi="NimbusRomNo9L-Regu" w:cs="NimbusRomNo9L-Regu"/>
          <w:sz w:val="20"/>
          <w:szCs w:val="20"/>
          <w:lang w:eastAsia="en-GB"/>
        </w:rPr>
        <w:t xml:space="preserve">Then trivially, for any real </w:t>
      </w:r>
      <w:r w:rsidRPr="00DB15D6">
        <w:rPr>
          <w:rFonts w:asciiTheme="minorHAnsi" w:hAnsiTheme="minorHAnsi" w:cstheme="minorHAnsi"/>
          <w:lang w:eastAsia="en-GB"/>
        </w:rPr>
        <w:t>numbers</w:t>
      </w:r>
      <w:r>
        <w:rPr>
          <w:rFonts w:asciiTheme="minorHAnsi" w:hAnsiTheme="minorHAnsi" w:cstheme="minorHAnsi"/>
          <w:lang w:eastAsia="en-GB"/>
        </w:rPr>
        <w:t xml:space="preserve"> </w:t>
      </w:r>
      <m:oMath>
        <m:sSub>
          <m:sSubPr>
            <m:ctrlPr>
              <w:rPr>
                <w:rFonts w:ascii="Cambria Math" w:hAnsi="Cambria Math" w:cstheme="minorHAnsi"/>
                <w:i/>
                <w:lang w:eastAsia="en-GB"/>
              </w:rPr>
            </m:ctrlPr>
          </m:sSubPr>
          <m:e>
            <m:r>
              <w:rPr>
                <w:rFonts w:ascii="Cambria Math" w:hAnsi="Cambria Math" w:cstheme="minorHAnsi"/>
                <w:lang w:eastAsia="en-GB"/>
              </w:rPr>
              <m:t>a</m:t>
            </m:r>
          </m:e>
          <m:sub>
            <m:r>
              <w:rPr>
                <w:rFonts w:ascii="Cambria Math" w:hAnsi="Cambria Math" w:cstheme="minorHAnsi"/>
                <w:lang w:eastAsia="en-GB"/>
              </w:rPr>
              <m:t>1</m:t>
            </m:r>
          </m:sub>
        </m:sSub>
        <m:r>
          <w:rPr>
            <w:rFonts w:ascii="Cambria Math" w:hAnsi="Cambria Math" w:cstheme="minorHAnsi"/>
            <w:lang w:eastAsia="en-GB"/>
          </w:rPr>
          <m:t xml:space="preserve">, </m:t>
        </m:r>
        <m:sSub>
          <m:sSubPr>
            <m:ctrlPr>
              <w:rPr>
                <w:rFonts w:ascii="Cambria Math" w:hAnsi="Cambria Math" w:cstheme="minorHAnsi"/>
                <w:i/>
                <w:lang w:eastAsia="en-GB"/>
              </w:rPr>
            </m:ctrlPr>
          </m:sSubPr>
          <m:e>
            <m:r>
              <w:rPr>
                <w:rFonts w:ascii="Cambria Math" w:hAnsi="Cambria Math" w:cstheme="minorHAnsi"/>
                <w:lang w:eastAsia="en-GB"/>
              </w:rPr>
              <m:t>a</m:t>
            </m:r>
          </m:e>
          <m:sub>
            <m:r>
              <w:rPr>
                <w:rFonts w:ascii="Cambria Math" w:hAnsi="Cambria Math" w:cstheme="minorHAnsi"/>
                <w:lang w:eastAsia="en-GB"/>
              </w:rPr>
              <m:t>2</m:t>
            </m:r>
          </m:sub>
        </m:sSub>
        <m:r>
          <w:rPr>
            <w:rFonts w:ascii="Cambria Math" w:hAnsi="Cambria Math" w:cstheme="minorHAnsi"/>
            <w:lang w:eastAsia="en-GB"/>
          </w:rPr>
          <m:t xml:space="preserve">, </m:t>
        </m:r>
        <m:sSub>
          <m:sSubPr>
            <m:ctrlPr>
              <w:rPr>
                <w:rFonts w:ascii="Cambria Math" w:hAnsi="Cambria Math" w:cstheme="minorHAnsi"/>
                <w:i/>
                <w:lang w:eastAsia="en-GB"/>
              </w:rPr>
            </m:ctrlPr>
          </m:sSubPr>
          <m:e>
            <m:r>
              <w:rPr>
                <w:rFonts w:ascii="Cambria Math" w:hAnsi="Cambria Math" w:cstheme="minorHAnsi"/>
                <w:lang w:eastAsia="en-GB"/>
              </w:rPr>
              <m:t>a</m:t>
            </m:r>
          </m:e>
          <m:sub>
            <m:r>
              <w:rPr>
                <w:rFonts w:ascii="Cambria Math" w:hAnsi="Cambria Math" w:cstheme="minorHAnsi"/>
                <w:lang w:eastAsia="en-GB"/>
              </w:rPr>
              <m:t>3</m:t>
            </m:r>
          </m:sub>
        </m:sSub>
        <m:r>
          <w:rPr>
            <w:rFonts w:ascii="Cambria Math" w:hAnsi="Cambria Math" w:cstheme="minorHAnsi"/>
            <w:lang w:eastAsia="en-GB"/>
          </w:rPr>
          <m:t>,…</m:t>
        </m:r>
        <m:sSub>
          <m:sSubPr>
            <m:ctrlPr>
              <w:rPr>
                <w:rFonts w:ascii="Cambria Math" w:hAnsi="Cambria Math" w:cstheme="minorHAnsi"/>
                <w:i/>
                <w:lang w:eastAsia="en-GB"/>
              </w:rPr>
            </m:ctrlPr>
          </m:sSubPr>
          <m:e>
            <m:r>
              <w:rPr>
                <w:rFonts w:ascii="Cambria Math" w:hAnsi="Cambria Math" w:cstheme="minorHAnsi"/>
                <w:lang w:eastAsia="en-GB"/>
              </w:rPr>
              <m:t>a</m:t>
            </m:r>
          </m:e>
          <m:sub>
            <m:r>
              <w:rPr>
                <w:rFonts w:ascii="Cambria Math" w:hAnsi="Cambria Math" w:cstheme="minorHAnsi"/>
                <w:lang w:eastAsia="en-GB"/>
              </w:rPr>
              <m:t>n</m:t>
            </m:r>
          </m:sub>
        </m:sSub>
        <m:r>
          <w:rPr>
            <w:rFonts w:ascii="Cambria Math" w:hAnsi="Cambria Math" w:cstheme="minorHAnsi"/>
            <w:lang w:eastAsia="en-GB"/>
          </w:rPr>
          <m:t>,…</m:t>
        </m:r>
      </m:oMath>
      <w:r>
        <w:rPr>
          <w:rFonts w:ascii="NimbusRomNo9L-Regu" w:hAnsi="NimbusRomNo9L-Regu" w:cs="NimbusRomNo9L-Regu"/>
          <w:sz w:val="20"/>
          <w:szCs w:val="20"/>
          <w:lang w:eastAsia="en-GB"/>
        </w:rPr>
        <w:t xml:space="preserve"> it follow</w:t>
      </w:r>
      <w:r w:rsidR="009467D2">
        <w:rPr>
          <w:rFonts w:ascii="NimbusRomNo9L-Regu" w:hAnsi="NimbusRomNo9L-Regu" w:cs="NimbusRomNo9L-Regu"/>
          <w:sz w:val="20"/>
          <w:szCs w:val="20"/>
          <w:lang w:eastAsia="en-GB"/>
        </w:rPr>
        <w:t>s</w:t>
      </w:r>
      <w:r>
        <w:rPr>
          <w:rFonts w:ascii="NimbusRomNo9L-Regu" w:hAnsi="NimbusRomNo9L-Regu" w:cs="NimbusRomNo9L-Regu"/>
          <w:sz w:val="20"/>
          <w:szCs w:val="20"/>
          <w:lang w:eastAsia="en-GB"/>
        </w:rPr>
        <w:t xml:space="preserve"> that: </w:t>
      </w:r>
      <w:r>
        <w:rPr>
          <w:rFonts w:ascii="NimbusRomNo9L-Regu" w:hAnsi="NimbusRomNo9L-Regu" w:cs="NimbusRomNo9L-Regu"/>
          <w:sz w:val="20"/>
          <w:szCs w:val="20"/>
          <w:lang w:eastAsia="en-GB"/>
        </w:rPr>
        <w:br/>
      </w:r>
      <m:oMathPara>
        <m:oMath>
          <m:nary>
            <m:naryPr>
              <m:chr m:val="∑"/>
              <m:limLoc m:val="undOvr"/>
              <m:ctrlPr>
                <w:rPr>
                  <w:rFonts w:ascii="Cambria Math" w:hAnsi="Cambria Math" w:cs="NimbusRomNo9L-Regu"/>
                  <w:i/>
                  <w:sz w:val="20"/>
                  <w:szCs w:val="20"/>
                  <w:lang w:eastAsia="en-GB"/>
                </w:rPr>
              </m:ctrlPr>
            </m:naryPr>
            <m:sub>
              <m:r>
                <w:rPr>
                  <w:rFonts w:ascii="Cambria Math" w:hAnsi="Cambria Math" w:cs="NimbusRomNo9L-Regu"/>
                  <w:sz w:val="20"/>
                  <w:szCs w:val="20"/>
                  <w:lang w:eastAsia="en-GB"/>
                </w:rPr>
                <m:t>1</m:t>
              </m:r>
            </m:sub>
            <m:sup>
              <m:r>
                <w:rPr>
                  <w:rFonts w:ascii="Cambria Math" w:hAnsi="Cambria Math" w:cs="NimbusRomNo9L-Regu"/>
                  <w:sz w:val="20"/>
                  <w:szCs w:val="20"/>
                  <w:lang w:eastAsia="en-GB"/>
                </w:rPr>
                <m:t>∞</m:t>
              </m:r>
            </m:sup>
            <m:e>
              <m:sSup>
                <m:sSupPr>
                  <m:ctrlPr>
                    <w:rPr>
                      <w:rFonts w:ascii="Cambria Math" w:hAnsi="Cambria Math" w:cs="NimbusRomNo9L-Regu"/>
                      <w:i/>
                      <w:sz w:val="20"/>
                      <w:szCs w:val="20"/>
                      <w:lang w:eastAsia="en-GB"/>
                    </w:rPr>
                  </m:ctrlPr>
                </m:sSupPr>
                <m:e>
                  <m:r>
                    <w:rPr>
                      <w:rFonts w:ascii="Cambria Math" w:hAnsi="Cambria Math" w:cs="NimbusRomNo9L-Regu"/>
                      <w:sz w:val="20"/>
                      <w:szCs w:val="20"/>
                      <w:lang w:eastAsia="en-GB"/>
                    </w:rPr>
                    <m:t>(</m:t>
                  </m:r>
                  <m:sSub>
                    <m:sSubPr>
                      <m:ctrlPr>
                        <w:rPr>
                          <w:rFonts w:ascii="Cambria Math" w:hAnsi="Cambria Math" w:cs="NimbusRomNo9L-Regu"/>
                          <w:i/>
                          <w:sz w:val="20"/>
                          <w:szCs w:val="20"/>
                          <w:lang w:eastAsia="en-GB"/>
                        </w:rPr>
                      </m:ctrlPr>
                    </m:sSubPr>
                    <m:e>
                      <m:r>
                        <w:rPr>
                          <w:rFonts w:ascii="Cambria Math" w:hAnsi="Cambria Math" w:cs="NimbusRomNo9L-Regu"/>
                          <w:sz w:val="20"/>
                          <w:szCs w:val="20"/>
                          <w:lang w:eastAsia="en-GB"/>
                        </w:rPr>
                        <m:t>a</m:t>
                      </m:r>
                    </m:e>
                    <m:sub>
                      <m:r>
                        <w:rPr>
                          <w:rFonts w:ascii="Cambria Math" w:hAnsi="Cambria Math" w:cs="NimbusRomNo9L-Regu"/>
                          <w:sz w:val="20"/>
                          <w:szCs w:val="20"/>
                          <w:lang w:eastAsia="en-GB"/>
                        </w:rPr>
                        <m:t>1</m:t>
                      </m:r>
                    </m:sub>
                  </m:sSub>
                  <m:sSub>
                    <m:sSubPr>
                      <m:ctrlPr>
                        <w:rPr>
                          <w:rFonts w:ascii="Cambria Math" w:hAnsi="Cambria Math" w:cs="NimbusRomNo9L-Regu"/>
                          <w:i/>
                          <w:sz w:val="20"/>
                          <w:szCs w:val="20"/>
                          <w:lang w:eastAsia="en-GB"/>
                        </w:rPr>
                      </m:ctrlPr>
                    </m:sSubPr>
                    <m:e>
                      <m:r>
                        <w:rPr>
                          <w:rFonts w:ascii="Cambria Math" w:hAnsi="Cambria Math" w:cs="NimbusRomNo9L-Regu"/>
                          <w:sz w:val="20"/>
                          <w:szCs w:val="20"/>
                          <w:lang w:eastAsia="en-GB"/>
                        </w:rPr>
                        <m:t>a</m:t>
                      </m:r>
                    </m:e>
                    <m:sub>
                      <m:r>
                        <w:rPr>
                          <w:rFonts w:ascii="Cambria Math" w:hAnsi="Cambria Math" w:cs="NimbusRomNo9L-Regu"/>
                          <w:sz w:val="20"/>
                          <w:szCs w:val="20"/>
                          <w:lang w:eastAsia="en-GB"/>
                        </w:rPr>
                        <m:t>2</m:t>
                      </m:r>
                    </m:sub>
                  </m:sSub>
                  <m:r>
                    <w:rPr>
                      <w:rFonts w:ascii="Cambria Math" w:hAnsi="Cambria Math" w:cs="NimbusRomNo9L-Regu"/>
                      <w:sz w:val="20"/>
                      <w:szCs w:val="20"/>
                      <w:lang w:eastAsia="en-GB"/>
                    </w:rPr>
                    <m:t>…</m:t>
                  </m:r>
                  <m:sSub>
                    <m:sSubPr>
                      <m:ctrlPr>
                        <w:rPr>
                          <w:rFonts w:ascii="Cambria Math" w:hAnsi="Cambria Math" w:cs="NimbusRomNo9L-Regu"/>
                          <w:i/>
                          <w:sz w:val="20"/>
                          <w:szCs w:val="20"/>
                          <w:lang w:eastAsia="en-GB"/>
                        </w:rPr>
                      </m:ctrlPr>
                    </m:sSubPr>
                    <m:e>
                      <m:r>
                        <w:rPr>
                          <w:rFonts w:ascii="Cambria Math" w:hAnsi="Cambria Math" w:cs="NimbusRomNo9L-Regu"/>
                          <w:sz w:val="20"/>
                          <w:szCs w:val="20"/>
                          <w:lang w:eastAsia="en-GB"/>
                        </w:rPr>
                        <m:t>a</m:t>
                      </m:r>
                    </m:e>
                    <m:sub>
                      <m:r>
                        <w:rPr>
                          <w:rFonts w:ascii="Cambria Math" w:hAnsi="Cambria Math" w:cs="NimbusRomNo9L-Regu"/>
                          <w:sz w:val="20"/>
                          <w:szCs w:val="20"/>
                          <w:lang w:eastAsia="en-GB"/>
                        </w:rPr>
                        <m:t>n</m:t>
                      </m:r>
                    </m:sub>
                  </m:sSub>
                  <m:r>
                    <w:rPr>
                      <w:rFonts w:ascii="Cambria Math" w:hAnsi="Cambria Math" w:cs="NimbusRomNo9L-Regu"/>
                      <w:sz w:val="20"/>
                      <w:szCs w:val="20"/>
                      <w:lang w:eastAsia="en-GB"/>
                    </w:rPr>
                    <m:t>)</m:t>
                  </m:r>
                </m:e>
                <m:sup>
                  <m:r>
                    <w:rPr>
                      <w:rFonts w:ascii="Cambria Math" w:hAnsi="Cambria Math" w:cs="NimbusRomNo9L-Regu"/>
                      <w:sz w:val="20"/>
                      <w:szCs w:val="20"/>
                      <w:lang w:eastAsia="en-GB"/>
                    </w:rPr>
                    <m:t>1/n</m:t>
                  </m:r>
                </m:sup>
              </m:sSup>
            </m:e>
          </m:nary>
          <m:r>
            <w:rPr>
              <w:rFonts w:ascii="Cambria Math" w:hAnsi="Cambria Math" w:cs="NimbusRomNo9L-Regu"/>
              <w:sz w:val="20"/>
              <w:szCs w:val="20"/>
              <w:lang w:eastAsia="en-GB"/>
            </w:rPr>
            <m:t>=</m:t>
          </m:r>
          <m:nary>
            <m:naryPr>
              <m:chr m:val="∑"/>
              <m:limLoc m:val="undOvr"/>
              <m:ctrlPr>
                <w:rPr>
                  <w:rFonts w:ascii="Cambria Math" w:hAnsi="Cambria Math" w:cs="NimbusRomNo9L-Regu"/>
                  <w:i/>
                  <w:sz w:val="20"/>
                  <w:szCs w:val="20"/>
                  <w:lang w:eastAsia="en-GB"/>
                </w:rPr>
              </m:ctrlPr>
            </m:naryPr>
            <m:sub>
              <m:r>
                <w:rPr>
                  <w:rFonts w:ascii="Cambria Math" w:hAnsi="Cambria Math" w:cs="NimbusRomNo9L-Regu"/>
                  <w:sz w:val="20"/>
                  <w:szCs w:val="20"/>
                  <w:lang w:eastAsia="en-GB"/>
                </w:rPr>
                <m:t>1</m:t>
              </m:r>
            </m:sub>
            <m:sup>
              <m:r>
                <w:rPr>
                  <w:rFonts w:ascii="Cambria Math" w:hAnsi="Cambria Math" w:cs="NimbusRomNo9L-Regu"/>
                  <w:sz w:val="20"/>
                  <w:szCs w:val="20"/>
                  <w:lang w:eastAsia="en-GB"/>
                </w:rPr>
                <m:t>∞</m:t>
              </m:r>
            </m:sup>
            <m:e>
              <m:f>
                <m:fPr>
                  <m:ctrlPr>
                    <w:rPr>
                      <w:rFonts w:ascii="Cambria Math" w:hAnsi="Cambria Math" w:cs="NimbusRomNo9L-Regu"/>
                      <w:i/>
                      <w:sz w:val="20"/>
                      <w:szCs w:val="20"/>
                      <w:lang w:eastAsia="en-GB"/>
                    </w:rPr>
                  </m:ctrlPr>
                </m:fPr>
                <m:num>
                  <m:sSup>
                    <m:sSupPr>
                      <m:ctrlPr>
                        <w:rPr>
                          <w:rFonts w:ascii="Cambria Math" w:hAnsi="Cambria Math" w:cs="NimbusRomNo9L-Regu"/>
                          <w:i/>
                          <w:sz w:val="20"/>
                          <w:szCs w:val="20"/>
                          <w:lang w:eastAsia="en-GB"/>
                        </w:rPr>
                      </m:ctrlPr>
                    </m:sSupPr>
                    <m:e>
                      <m:r>
                        <w:rPr>
                          <w:rFonts w:ascii="Cambria Math" w:hAnsi="Cambria Math" w:cs="NimbusRomNo9L-Regu"/>
                          <w:sz w:val="20"/>
                          <w:szCs w:val="20"/>
                          <w:lang w:eastAsia="en-GB"/>
                        </w:rPr>
                        <m:t>(</m:t>
                      </m:r>
                      <m:sSub>
                        <m:sSubPr>
                          <m:ctrlPr>
                            <w:rPr>
                              <w:rFonts w:ascii="Cambria Math" w:hAnsi="Cambria Math" w:cs="NimbusRomNo9L-Regu"/>
                              <w:i/>
                              <w:sz w:val="20"/>
                              <w:szCs w:val="20"/>
                              <w:lang w:eastAsia="en-GB"/>
                            </w:rPr>
                          </m:ctrlPr>
                        </m:sSubPr>
                        <m:e>
                          <m:r>
                            <w:rPr>
                              <w:rFonts w:ascii="Cambria Math" w:hAnsi="Cambria Math" w:cs="NimbusRomNo9L-Regu"/>
                              <w:sz w:val="20"/>
                              <w:szCs w:val="20"/>
                              <w:lang w:eastAsia="en-GB"/>
                            </w:rPr>
                            <m:t>a</m:t>
                          </m:r>
                        </m:e>
                        <m:sub>
                          <m:r>
                            <w:rPr>
                              <w:rFonts w:ascii="Cambria Math" w:hAnsi="Cambria Math" w:cs="NimbusRomNo9L-Regu"/>
                              <w:sz w:val="20"/>
                              <w:szCs w:val="20"/>
                              <w:lang w:eastAsia="en-GB"/>
                            </w:rPr>
                            <m:t>1</m:t>
                          </m:r>
                        </m:sub>
                      </m:sSub>
                      <m:sSub>
                        <m:sSubPr>
                          <m:ctrlPr>
                            <w:rPr>
                              <w:rFonts w:ascii="Cambria Math" w:hAnsi="Cambria Math" w:cstheme="minorHAnsi"/>
                              <w:i/>
                              <w:lang w:eastAsia="en-GB"/>
                            </w:rPr>
                          </m:ctrlPr>
                        </m:sSubPr>
                        <m:e>
                          <m:r>
                            <w:rPr>
                              <w:rFonts w:ascii="Cambria Math" w:hAnsi="Cambria Math" w:cstheme="minorHAnsi"/>
                              <w:lang w:eastAsia="en-GB"/>
                            </w:rPr>
                            <m:t>c</m:t>
                          </m:r>
                        </m:e>
                        <m:sub>
                          <m:r>
                            <w:rPr>
                              <w:rFonts w:ascii="Cambria Math" w:hAnsi="Cambria Math" w:cstheme="minorHAnsi"/>
                              <w:lang w:eastAsia="en-GB"/>
                            </w:rPr>
                            <m:t>1</m:t>
                          </m:r>
                        </m:sub>
                      </m:sSub>
                      <m:sSub>
                        <m:sSubPr>
                          <m:ctrlPr>
                            <w:rPr>
                              <w:rFonts w:ascii="Cambria Math" w:hAnsi="Cambria Math" w:cs="NimbusRomNo9L-Regu"/>
                              <w:i/>
                              <w:sz w:val="20"/>
                              <w:szCs w:val="20"/>
                              <w:lang w:eastAsia="en-GB"/>
                            </w:rPr>
                          </m:ctrlPr>
                        </m:sSubPr>
                        <m:e>
                          <m:r>
                            <w:rPr>
                              <w:rFonts w:ascii="Cambria Math" w:hAnsi="Cambria Math" w:cs="NimbusRomNo9L-Regu"/>
                              <w:sz w:val="20"/>
                              <w:szCs w:val="20"/>
                              <w:lang w:eastAsia="en-GB"/>
                            </w:rPr>
                            <m:t>a</m:t>
                          </m:r>
                        </m:e>
                        <m:sub>
                          <m:r>
                            <w:rPr>
                              <w:rFonts w:ascii="Cambria Math" w:hAnsi="Cambria Math" w:cs="NimbusRomNo9L-Regu"/>
                              <w:sz w:val="20"/>
                              <w:szCs w:val="20"/>
                              <w:lang w:eastAsia="en-GB"/>
                            </w:rPr>
                            <m:t>2</m:t>
                          </m:r>
                        </m:sub>
                      </m:sSub>
                      <m:sSub>
                        <m:sSubPr>
                          <m:ctrlPr>
                            <w:rPr>
                              <w:rFonts w:ascii="Cambria Math" w:hAnsi="Cambria Math" w:cstheme="minorHAnsi"/>
                              <w:i/>
                              <w:lang w:eastAsia="en-GB"/>
                            </w:rPr>
                          </m:ctrlPr>
                        </m:sSubPr>
                        <m:e>
                          <m:r>
                            <w:rPr>
                              <w:rFonts w:ascii="Cambria Math" w:hAnsi="Cambria Math" w:cstheme="minorHAnsi"/>
                              <w:lang w:eastAsia="en-GB"/>
                            </w:rPr>
                            <m:t>c</m:t>
                          </m:r>
                        </m:e>
                        <m:sub>
                          <m:r>
                            <w:rPr>
                              <w:rFonts w:ascii="Cambria Math" w:hAnsi="Cambria Math" w:cstheme="minorHAnsi"/>
                              <w:lang w:eastAsia="en-GB"/>
                            </w:rPr>
                            <m:t>2</m:t>
                          </m:r>
                        </m:sub>
                      </m:sSub>
                      <m:r>
                        <w:rPr>
                          <w:rFonts w:ascii="Cambria Math" w:hAnsi="Cambria Math" w:cs="NimbusRomNo9L-Regu"/>
                          <w:sz w:val="20"/>
                          <w:szCs w:val="20"/>
                          <w:lang w:eastAsia="en-GB"/>
                        </w:rPr>
                        <m:t>…</m:t>
                      </m:r>
                      <m:sSub>
                        <m:sSubPr>
                          <m:ctrlPr>
                            <w:rPr>
                              <w:rFonts w:ascii="Cambria Math" w:hAnsi="Cambria Math" w:cs="NimbusRomNo9L-Regu"/>
                              <w:i/>
                              <w:sz w:val="20"/>
                              <w:szCs w:val="20"/>
                              <w:lang w:eastAsia="en-GB"/>
                            </w:rPr>
                          </m:ctrlPr>
                        </m:sSubPr>
                        <m:e>
                          <m:r>
                            <w:rPr>
                              <w:rFonts w:ascii="Cambria Math" w:hAnsi="Cambria Math" w:cs="NimbusRomNo9L-Regu"/>
                              <w:sz w:val="20"/>
                              <w:szCs w:val="20"/>
                              <w:lang w:eastAsia="en-GB"/>
                            </w:rPr>
                            <m:t>a</m:t>
                          </m:r>
                        </m:e>
                        <m:sub>
                          <m:r>
                            <w:rPr>
                              <w:rFonts w:ascii="Cambria Math" w:hAnsi="Cambria Math" w:cs="NimbusRomNo9L-Regu"/>
                              <w:sz w:val="20"/>
                              <w:szCs w:val="20"/>
                              <w:lang w:eastAsia="en-GB"/>
                            </w:rPr>
                            <m:t>n</m:t>
                          </m:r>
                        </m:sub>
                      </m:sSub>
                      <m:sSub>
                        <m:sSubPr>
                          <m:ctrlPr>
                            <w:rPr>
                              <w:rFonts w:ascii="Cambria Math" w:hAnsi="Cambria Math" w:cstheme="minorHAnsi"/>
                              <w:i/>
                              <w:lang w:eastAsia="en-GB"/>
                            </w:rPr>
                          </m:ctrlPr>
                        </m:sSubPr>
                        <m:e>
                          <m:r>
                            <w:rPr>
                              <w:rFonts w:ascii="Cambria Math" w:hAnsi="Cambria Math" w:cstheme="minorHAnsi"/>
                              <w:lang w:eastAsia="en-GB"/>
                            </w:rPr>
                            <m:t>c</m:t>
                          </m:r>
                        </m:e>
                        <m:sub>
                          <m:r>
                            <w:rPr>
                              <w:rFonts w:ascii="Cambria Math" w:hAnsi="Cambria Math" w:cstheme="minorHAnsi"/>
                              <w:lang w:eastAsia="en-GB"/>
                            </w:rPr>
                            <m:t>n</m:t>
                          </m:r>
                        </m:sub>
                      </m:sSub>
                      <m:r>
                        <w:rPr>
                          <w:rFonts w:ascii="Cambria Math" w:hAnsi="Cambria Math" w:cs="NimbusRomNo9L-Regu"/>
                          <w:sz w:val="20"/>
                          <w:szCs w:val="20"/>
                          <w:lang w:eastAsia="en-GB"/>
                        </w:rPr>
                        <m:t>)</m:t>
                      </m:r>
                    </m:e>
                    <m:sup>
                      <m:r>
                        <w:rPr>
                          <w:rFonts w:ascii="Cambria Math" w:hAnsi="Cambria Math" w:cs="NimbusRomNo9L-Regu"/>
                          <w:sz w:val="20"/>
                          <w:szCs w:val="20"/>
                          <w:lang w:eastAsia="en-GB"/>
                        </w:rPr>
                        <m:t>1/n</m:t>
                      </m:r>
                    </m:sup>
                  </m:sSup>
                </m:num>
                <m:den>
                  <m:r>
                    <w:rPr>
                      <w:rFonts w:ascii="Cambria Math" w:hAnsi="Cambria Math" w:cs="NimbusRomNo9L-Regu"/>
                      <w:sz w:val="20"/>
                      <w:szCs w:val="20"/>
                      <w:lang w:eastAsia="en-GB"/>
                    </w:rPr>
                    <m:t>n+1</m:t>
                  </m:r>
                </m:den>
              </m:f>
            </m:e>
          </m:nary>
        </m:oMath>
      </m:oMathPara>
    </w:p>
    <w:p w14:paraId="3107FAA0" w14:textId="12908335" w:rsidR="005D5F0E" w:rsidRDefault="002E48A6" w:rsidP="00C74497">
      <w:pPr>
        <w:autoSpaceDE w:val="0"/>
        <w:autoSpaceDN w:val="0"/>
        <w:adjustRightInd w:val="0"/>
        <w:spacing w:after="120"/>
        <w:rPr>
          <w:rFonts w:asciiTheme="minorHAnsi" w:hAnsiTheme="minorHAnsi" w:cstheme="minorHAnsi"/>
          <w:lang w:eastAsia="en-GB"/>
        </w:rPr>
      </w:pPr>
      <w:r w:rsidRPr="00E74C55">
        <w:rPr>
          <w:rFonts w:asciiTheme="minorHAnsi" w:hAnsiTheme="minorHAnsi" w:cstheme="minorHAnsi"/>
          <w:lang w:eastAsia="en-GB"/>
        </w:rPr>
        <w:t>This is the first step in a proof that consists entirely of re-arrangements and replacements of terms (Pólya, 1954, II, 147).</w:t>
      </w:r>
      <w:r w:rsidR="009467D2">
        <w:rPr>
          <w:rFonts w:asciiTheme="minorHAnsi" w:hAnsiTheme="minorHAnsi" w:cstheme="minorHAnsi"/>
          <w:lang w:eastAsia="en-GB"/>
        </w:rPr>
        <w:t xml:space="preserve"> </w:t>
      </w:r>
      <w:r w:rsidRPr="00E74C55">
        <w:rPr>
          <w:rFonts w:asciiTheme="minorHAnsi" w:hAnsiTheme="minorHAnsi" w:cstheme="minorHAnsi"/>
          <w:lang w:eastAsia="en-GB"/>
        </w:rPr>
        <w:t xml:space="preserve"> Given the definition of the</w:t>
      </w:r>
      <w:r>
        <w:rPr>
          <w:rFonts w:asciiTheme="minorHAnsi" w:hAnsiTheme="minorHAnsi" w:cstheme="minorHAnsi"/>
          <w:lang w:eastAsia="en-GB"/>
        </w:rPr>
        <w:t xml:space="preserve"> </w:t>
      </w:r>
      <m:oMath>
        <m:sSub>
          <m:sSubPr>
            <m:ctrlPr>
              <w:rPr>
                <w:rFonts w:ascii="Cambria Math" w:hAnsi="Cambria Math" w:cstheme="minorHAnsi"/>
                <w:i/>
                <w:lang w:eastAsia="en-GB"/>
              </w:rPr>
            </m:ctrlPr>
          </m:sSubPr>
          <m:e>
            <m:r>
              <w:rPr>
                <w:rFonts w:ascii="Cambria Math" w:hAnsi="Cambria Math" w:cstheme="minorHAnsi"/>
                <w:lang w:eastAsia="en-GB"/>
              </w:rPr>
              <m:t>c</m:t>
            </m:r>
          </m:e>
          <m:sub>
            <m:r>
              <w:rPr>
                <w:rFonts w:ascii="Cambria Math" w:hAnsi="Cambria Math" w:cstheme="minorHAnsi"/>
                <w:lang w:eastAsia="en-GB"/>
              </w:rPr>
              <m:t>i</m:t>
            </m:r>
          </m:sub>
        </m:sSub>
      </m:oMath>
      <w:r w:rsidRPr="00E74C55">
        <w:rPr>
          <w:rFonts w:asciiTheme="minorHAnsi" w:hAnsiTheme="minorHAnsi" w:cstheme="minorHAnsi"/>
          <w:lang w:eastAsia="en-GB"/>
        </w:rPr>
        <w:t xml:space="preserve">, this first step is </w:t>
      </w:r>
      <w:r w:rsidR="007A11E5">
        <w:rPr>
          <w:rFonts w:asciiTheme="minorHAnsi" w:hAnsiTheme="minorHAnsi" w:cstheme="minorHAnsi"/>
          <w:lang w:eastAsia="en-GB"/>
        </w:rPr>
        <w:t>relatively easy for a trained mathematical eye to see</w:t>
      </w:r>
      <w:r w:rsidRPr="00E74C55">
        <w:rPr>
          <w:rFonts w:asciiTheme="minorHAnsi" w:hAnsiTheme="minorHAnsi" w:cstheme="minorHAnsi"/>
          <w:lang w:eastAsia="en-GB"/>
        </w:rPr>
        <w:t xml:space="preserve">—provided we have the </w:t>
      </w:r>
      <w:r w:rsidR="009467D2">
        <w:rPr>
          <w:rFonts w:asciiTheme="minorHAnsi" w:hAnsiTheme="minorHAnsi" w:cstheme="minorHAnsi"/>
          <w:lang w:eastAsia="en-GB"/>
        </w:rPr>
        <w:t>algebraic</w:t>
      </w:r>
      <w:r w:rsidRPr="00E74C55">
        <w:rPr>
          <w:rFonts w:asciiTheme="minorHAnsi" w:hAnsiTheme="minorHAnsi" w:cstheme="minorHAnsi"/>
          <w:lang w:eastAsia="en-GB"/>
        </w:rPr>
        <w:t xml:space="preserve"> notation available to us, for this is a mathematical </w:t>
      </w:r>
      <w:r w:rsidR="00015371">
        <w:rPr>
          <w:rFonts w:asciiTheme="minorHAnsi" w:hAnsiTheme="minorHAnsi" w:cstheme="minorHAnsi"/>
          <w:lang w:eastAsia="en-GB"/>
        </w:rPr>
        <w:t>inference</w:t>
      </w:r>
      <w:r w:rsidRPr="00E74C55">
        <w:rPr>
          <w:rFonts w:asciiTheme="minorHAnsi" w:hAnsiTheme="minorHAnsi" w:cstheme="minorHAnsi"/>
          <w:lang w:eastAsia="en-GB"/>
        </w:rPr>
        <w:t xml:space="preserve"> made evident and compelling by the notation. </w:t>
      </w:r>
      <w:r w:rsidR="009467D2">
        <w:rPr>
          <w:rFonts w:asciiTheme="minorHAnsi" w:hAnsiTheme="minorHAnsi" w:cstheme="minorHAnsi"/>
          <w:lang w:eastAsia="en-GB"/>
        </w:rPr>
        <w:t xml:space="preserve"> </w:t>
      </w:r>
      <w:r w:rsidRPr="00E74C55">
        <w:rPr>
          <w:rFonts w:asciiTheme="minorHAnsi" w:hAnsiTheme="minorHAnsi" w:cstheme="minorHAnsi"/>
          <w:lang w:eastAsia="en-GB"/>
        </w:rPr>
        <w:t>We could</w:t>
      </w:r>
      <w:r>
        <w:rPr>
          <w:rFonts w:asciiTheme="minorHAnsi" w:hAnsiTheme="minorHAnsi" w:cstheme="minorHAnsi"/>
          <w:lang w:eastAsia="en-GB"/>
        </w:rPr>
        <w:t xml:space="preserve"> </w:t>
      </w:r>
      <w:r w:rsidRPr="00E74C55">
        <w:rPr>
          <w:rFonts w:asciiTheme="minorHAnsi" w:hAnsiTheme="minorHAnsi" w:cstheme="minorHAnsi"/>
          <w:lang w:eastAsia="en-GB"/>
        </w:rPr>
        <w:t xml:space="preserve">write this out in mathematical prose, but </w:t>
      </w:r>
      <w:r w:rsidR="00015371">
        <w:rPr>
          <w:rFonts w:asciiTheme="minorHAnsi" w:hAnsiTheme="minorHAnsi" w:cstheme="minorHAnsi"/>
          <w:lang w:eastAsia="en-GB"/>
        </w:rPr>
        <w:t>then the correctness of the equation would be lost in a mass of words</w:t>
      </w:r>
      <w:r w:rsidRPr="00E74C55">
        <w:rPr>
          <w:rFonts w:asciiTheme="minorHAnsi" w:hAnsiTheme="minorHAnsi" w:cstheme="minorHAnsi"/>
          <w:lang w:eastAsia="en-GB"/>
        </w:rPr>
        <w:t xml:space="preserve">. </w:t>
      </w:r>
      <w:r w:rsidR="00015371">
        <w:rPr>
          <w:rFonts w:asciiTheme="minorHAnsi" w:hAnsiTheme="minorHAnsi" w:cstheme="minorHAnsi"/>
          <w:lang w:eastAsia="en-GB"/>
        </w:rPr>
        <w:t xml:space="preserve"> </w:t>
      </w:r>
      <w:r w:rsidRPr="00E74C55">
        <w:rPr>
          <w:rFonts w:asciiTheme="minorHAnsi" w:hAnsiTheme="minorHAnsi" w:cstheme="minorHAnsi"/>
          <w:lang w:eastAsia="en-GB"/>
        </w:rPr>
        <w:t xml:space="preserve">One way to see the importance of the notation is to consider why Pólya used the recursive definition of the </w:t>
      </w:r>
      <m:oMath>
        <m:sSub>
          <m:sSubPr>
            <m:ctrlPr>
              <w:rPr>
                <w:rFonts w:ascii="Cambria Math" w:hAnsi="Cambria Math" w:cstheme="minorHAnsi"/>
                <w:i/>
                <w:lang w:eastAsia="en-GB"/>
              </w:rPr>
            </m:ctrlPr>
          </m:sSubPr>
          <m:e>
            <m:r>
              <w:rPr>
                <w:rFonts w:ascii="Cambria Math" w:hAnsi="Cambria Math" w:cstheme="minorHAnsi"/>
                <w:lang w:eastAsia="en-GB"/>
              </w:rPr>
              <m:t>c</m:t>
            </m:r>
          </m:e>
          <m:sub>
            <m:r>
              <w:rPr>
                <w:rFonts w:ascii="Cambria Math" w:hAnsi="Cambria Math" w:cstheme="minorHAnsi"/>
                <w:lang w:eastAsia="en-GB"/>
              </w:rPr>
              <m:t>i</m:t>
            </m:r>
          </m:sub>
        </m:sSub>
      </m:oMath>
      <w:r w:rsidRPr="00E74C55">
        <w:rPr>
          <w:rFonts w:asciiTheme="minorHAnsi" w:hAnsiTheme="minorHAnsi" w:cstheme="minorHAnsi"/>
          <w:lang w:eastAsia="en-GB"/>
        </w:rPr>
        <w:t xml:space="preserve">. </w:t>
      </w:r>
      <w:r w:rsidR="009467D2">
        <w:rPr>
          <w:rFonts w:asciiTheme="minorHAnsi" w:hAnsiTheme="minorHAnsi" w:cstheme="minorHAnsi"/>
          <w:lang w:eastAsia="en-GB"/>
        </w:rPr>
        <w:t xml:space="preserve"> </w:t>
      </w:r>
      <w:r w:rsidRPr="00E74C55">
        <w:rPr>
          <w:rFonts w:asciiTheme="minorHAnsi" w:hAnsiTheme="minorHAnsi" w:cstheme="minorHAnsi"/>
          <w:lang w:eastAsia="en-GB"/>
        </w:rPr>
        <w:t xml:space="preserve">Formally, he might just as well have defined </w:t>
      </w:r>
      <m:oMath>
        <m:sSub>
          <m:sSubPr>
            <m:ctrlPr>
              <w:rPr>
                <w:rFonts w:ascii="Cambria Math" w:hAnsi="Cambria Math" w:cstheme="minorHAnsi"/>
                <w:i/>
                <w:lang w:eastAsia="en-GB"/>
              </w:rPr>
            </m:ctrlPr>
          </m:sSubPr>
          <m:e>
            <m:r>
              <w:rPr>
                <w:rFonts w:ascii="Cambria Math" w:hAnsi="Cambria Math" w:cstheme="minorHAnsi"/>
                <w:lang w:eastAsia="en-GB"/>
              </w:rPr>
              <m:t>c</m:t>
            </m:r>
          </m:e>
          <m:sub>
            <m:r>
              <w:rPr>
                <w:rFonts w:ascii="Cambria Math" w:hAnsi="Cambria Math" w:cstheme="minorHAnsi"/>
                <w:lang w:eastAsia="en-GB"/>
              </w:rPr>
              <m:t>n</m:t>
            </m:r>
          </m:sub>
        </m:sSub>
      </m:oMath>
      <w:r w:rsidRPr="00E74C55">
        <w:rPr>
          <w:rFonts w:asciiTheme="minorHAnsi" w:hAnsiTheme="minorHAnsi" w:cstheme="minorHAnsi"/>
          <w:lang w:eastAsia="en-GB"/>
        </w:rPr>
        <w:t xml:space="preserve"> as</w:t>
      </w:r>
      <w:r>
        <w:rPr>
          <w:rFonts w:asciiTheme="minorHAnsi" w:hAnsiTheme="minorHAnsi" w:cstheme="minorHAnsi"/>
          <w:lang w:eastAsia="en-GB"/>
        </w:rPr>
        <w:t xml:space="preserve"> </w:t>
      </w:r>
      <m:oMath>
        <m:f>
          <m:fPr>
            <m:type m:val="skw"/>
            <m:ctrlPr>
              <w:rPr>
                <w:rFonts w:ascii="Cambria Math" w:hAnsi="Cambria Math" w:cstheme="minorHAnsi"/>
                <w:i/>
                <w:lang w:eastAsia="en-GB"/>
              </w:rPr>
            </m:ctrlPr>
          </m:fPr>
          <m:num>
            <m:sSup>
              <m:sSupPr>
                <m:ctrlPr>
                  <w:rPr>
                    <w:rFonts w:ascii="Cambria Math" w:hAnsi="Cambria Math" w:cstheme="minorHAnsi"/>
                    <w:i/>
                    <w:lang w:eastAsia="en-GB"/>
                  </w:rPr>
                </m:ctrlPr>
              </m:sSupPr>
              <m:e>
                <m:d>
                  <m:dPr>
                    <m:ctrlPr>
                      <w:rPr>
                        <w:rFonts w:ascii="Cambria Math" w:hAnsi="Cambria Math" w:cstheme="minorHAnsi"/>
                        <w:i/>
                        <w:lang w:eastAsia="en-GB"/>
                      </w:rPr>
                    </m:ctrlPr>
                  </m:dPr>
                  <m:e>
                    <m:r>
                      <w:rPr>
                        <w:rFonts w:ascii="Cambria Math" w:hAnsi="Cambria Math" w:cstheme="minorHAnsi"/>
                        <w:lang w:eastAsia="en-GB"/>
                      </w:rPr>
                      <m:t>n+1</m:t>
                    </m:r>
                  </m:e>
                </m:d>
              </m:e>
              <m:sup>
                <m:r>
                  <w:rPr>
                    <w:rFonts w:ascii="Cambria Math" w:hAnsi="Cambria Math" w:cstheme="minorHAnsi"/>
                    <w:lang w:eastAsia="en-GB"/>
                  </w:rPr>
                  <m:t>n</m:t>
                </m:r>
              </m:sup>
            </m:sSup>
          </m:num>
          <m:den>
            <m:sSup>
              <m:sSupPr>
                <m:ctrlPr>
                  <w:rPr>
                    <w:rFonts w:ascii="Cambria Math" w:hAnsi="Cambria Math" w:cstheme="minorHAnsi"/>
                    <w:i/>
                    <w:lang w:eastAsia="en-GB"/>
                  </w:rPr>
                </m:ctrlPr>
              </m:sSupPr>
              <m:e>
                <m:r>
                  <w:rPr>
                    <w:rFonts w:ascii="Cambria Math" w:hAnsi="Cambria Math" w:cstheme="minorHAnsi"/>
                    <w:lang w:eastAsia="en-GB"/>
                  </w:rPr>
                  <m:t>n</m:t>
                </m:r>
              </m:e>
              <m:sup>
                <m:r>
                  <w:rPr>
                    <w:rFonts w:ascii="Cambria Math" w:hAnsi="Cambria Math" w:cstheme="minorHAnsi"/>
                    <w:lang w:eastAsia="en-GB"/>
                  </w:rPr>
                  <m:t>n-1</m:t>
                </m:r>
              </m:sup>
            </m:sSup>
          </m:den>
        </m:f>
      </m:oMath>
      <w:r w:rsidRPr="00E74C55">
        <w:rPr>
          <w:rFonts w:asciiTheme="minorHAnsi" w:hAnsiTheme="minorHAnsi" w:cstheme="minorHAnsi"/>
          <w:lang w:eastAsia="en-GB"/>
        </w:rPr>
        <w:t xml:space="preserve">, but then </w:t>
      </w:r>
      <w:r w:rsidR="00015371">
        <w:rPr>
          <w:rFonts w:asciiTheme="minorHAnsi" w:hAnsiTheme="minorHAnsi" w:cstheme="minorHAnsi"/>
          <w:lang w:eastAsia="en-GB"/>
        </w:rPr>
        <w:t>Pólya’s</w:t>
      </w:r>
      <w:r w:rsidRPr="00E74C55">
        <w:rPr>
          <w:rFonts w:asciiTheme="minorHAnsi" w:hAnsiTheme="minorHAnsi" w:cstheme="minorHAnsi"/>
          <w:lang w:eastAsia="en-GB"/>
        </w:rPr>
        <w:t xml:space="preserve"> </w:t>
      </w:r>
      <w:r>
        <w:rPr>
          <w:rFonts w:asciiTheme="minorHAnsi" w:hAnsiTheme="minorHAnsi" w:cstheme="minorHAnsi"/>
          <w:lang w:eastAsia="en-GB"/>
        </w:rPr>
        <w:t>‘</w:t>
      </w:r>
      <w:r w:rsidRPr="00E74C55">
        <w:rPr>
          <w:rFonts w:asciiTheme="minorHAnsi" w:hAnsiTheme="minorHAnsi" w:cstheme="minorHAnsi"/>
          <w:lang w:eastAsia="en-GB"/>
        </w:rPr>
        <w:t>trivial</w:t>
      </w:r>
      <w:r>
        <w:rPr>
          <w:rFonts w:asciiTheme="minorHAnsi" w:hAnsiTheme="minorHAnsi" w:cstheme="minorHAnsi"/>
          <w:lang w:eastAsia="en-GB"/>
        </w:rPr>
        <w:t>’</w:t>
      </w:r>
      <w:r w:rsidRPr="00E74C55">
        <w:rPr>
          <w:rFonts w:asciiTheme="minorHAnsi" w:hAnsiTheme="minorHAnsi" w:cstheme="minorHAnsi"/>
          <w:lang w:eastAsia="en-GB"/>
        </w:rPr>
        <w:t xml:space="preserve"> step would not have been as obvious. </w:t>
      </w:r>
      <w:r w:rsidR="007A11E5">
        <w:rPr>
          <w:rFonts w:asciiTheme="minorHAnsi" w:hAnsiTheme="minorHAnsi" w:cstheme="minorHAnsi"/>
          <w:lang w:eastAsia="en-GB"/>
        </w:rPr>
        <w:t xml:space="preserve"> </w:t>
      </w:r>
      <w:r w:rsidRPr="00E74C55">
        <w:rPr>
          <w:rFonts w:asciiTheme="minorHAnsi" w:hAnsiTheme="minorHAnsi" w:cstheme="minorHAnsi"/>
          <w:lang w:eastAsia="en-GB"/>
        </w:rPr>
        <w:t xml:space="preserve">Even setting up the </w:t>
      </w:r>
      <w:r w:rsidR="001D0864">
        <w:rPr>
          <w:rFonts w:asciiTheme="minorHAnsi" w:hAnsiTheme="minorHAnsi" w:cstheme="minorHAnsi"/>
          <w:lang w:eastAsia="en-GB"/>
        </w:rPr>
        <w:t xml:space="preserve">simpler </w:t>
      </w:r>
      <w:r w:rsidRPr="00E74C55">
        <w:rPr>
          <w:rFonts w:asciiTheme="minorHAnsi" w:hAnsiTheme="minorHAnsi" w:cstheme="minorHAnsi"/>
          <w:lang w:eastAsia="en-GB"/>
        </w:rPr>
        <w:t xml:space="preserve">left-hand side would baffle many people who can easily understand the operation as </w:t>
      </w:r>
      <w:r w:rsidR="009467D2">
        <w:rPr>
          <w:rFonts w:asciiTheme="minorHAnsi" w:hAnsiTheme="minorHAnsi" w:cstheme="minorHAnsi"/>
          <w:lang w:eastAsia="en-GB"/>
        </w:rPr>
        <w:t>written here</w:t>
      </w:r>
      <w:r w:rsidRPr="00E74C55">
        <w:rPr>
          <w:rFonts w:asciiTheme="minorHAnsi" w:hAnsiTheme="minorHAnsi" w:cstheme="minorHAnsi"/>
          <w:lang w:eastAsia="en-GB"/>
        </w:rPr>
        <w:t xml:space="preserve"> (“Think of an infinite set of real numbers and put them in some order. </w:t>
      </w:r>
      <w:r w:rsidR="009467D2">
        <w:rPr>
          <w:rFonts w:asciiTheme="minorHAnsi" w:hAnsiTheme="minorHAnsi" w:cstheme="minorHAnsi"/>
          <w:lang w:eastAsia="en-GB"/>
        </w:rPr>
        <w:t xml:space="preserve"> </w:t>
      </w:r>
      <w:r w:rsidR="005D5F0E">
        <w:rPr>
          <w:rFonts w:asciiTheme="minorHAnsi" w:hAnsiTheme="minorHAnsi" w:cstheme="minorHAnsi"/>
          <w:lang w:eastAsia="en-GB"/>
        </w:rPr>
        <w:t>I</w:t>
      </w:r>
      <w:r w:rsidRPr="00E74C55">
        <w:rPr>
          <w:rFonts w:asciiTheme="minorHAnsi" w:hAnsiTheme="minorHAnsi" w:cstheme="minorHAnsi"/>
          <w:lang w:eastAsia="en-GB"/>
        </w:rPr>
        <w:t xml:space="preserve">t doesn’t matter what order. </w:t>
      </w:r>
      <w:r w:rsidR="009467D2">
        <w:rPr>
          <w:rFonts w:asciiTheme="minorHAnsi" w:hAnsiTheme="minorHAnsi" w:cstheme="minorHAnsi"/>
          <w:lang w:eastAsia="en-GB"/>
        </w:rPr>
        <w:t xml:space="preserve"> </w:t>
      </w:r>
      <w:r w:rsidRPr="00E74C55">
        <w:rPr>
          <w:rFonts w:asciiTheme="minorHAnsi" w:hAnsiTheme="minorHAnsi" w:cstheme="minorHAnsi"/>
          <w:lang w:eastAsia="en-GB"/>
        </w:rPr>
        <w:t xml:space="preserve">Now consider the sequence of initial segments of that order. </w:t>
      </w:r>
      <w:r w:rsidR="009467D2">
        <w:rPr>
          <w:rFonts w:asciiTheme="minorHAnsi" w:hAnsiTheme="minorHAnsi" w:cstheme="minorHAnsi"/>
          <w:lang w:eastAsia="en-GB"/>
        </w:rPr>
        <w:t xml:space="preserve"> </w:t>
      </w:r>
      <w:r w:rsidRPr="00E74C55">
        <w:rPr>
          <w:rFonts w:asciiTheme="minorHAnsi" w:hAnsiTheme="minorHAnsi" w:cstheme="minorHAnsi"/>
          <w:lang w:eastAsia="en-GB"/>
        </w:rPr>
        <w:t xml:space="preserve">Then form the sum of the geometric means of those initial segments. </w:t>
      </w:r>
      <w:r w:rsidR="009467D2">
        <w:rPr>
          <w:rFonts w:asciiTheme="minorHAnsi" w:hAnsiTheme="minorHAnsi" w:cstheme="minorHAnsi"/>
          <w:lang w:eastAsia="en-GB"/>
        </w:rPr>
        <w:t xml:space="preserve"> </w:t>
      </w:r>
      <w:r w:rsidRPr="00E74C55">
        <w:rPr>
          <w:rFonts w:asciiTheme="minorHAnsi" w:hAnsiTheme="minorHAnsi" w:cstheme="minorHAnsi"/>
          <w:lang w:eastAsia="en-GB"/>
        </w:rPr>
        <w:t xml:space="preserve">Now hold that thought while we define another infinite set of real numbers…”). </w:t>
      </w:r>
      <w:r w:rsidR="009467D2">
        <w:rPr>
          <w:rFonts w:asciiTheme="minorHAnsi" w:hAnsiTheme="minorHAnsi" w:cstheme="minorHAnsi"/>
          <w:lang w:eastAsia="en-GB"/>
        </w:rPr>
        <w:t xml:space="preserve"> </w:t>
      </w:r>
      <w:r w:rsidRPr="00E74C55">
        <w:rPr>
          <w:rFonts w:asciiTheme="minorHAnsi" w:hAnsiTheme="minorHAnsi" w:cstheme="minorHAnsi"/>
          <w:lang w:eastAsia="en-GB"/>
        </w:rPr>
        <w:t xml:space="preserve">Suppose </w:t>
      </w:r>
      <w:r w:rsidR="0094186D">
        <w:rPr>
          <w:rFonts w:asciiTheme="minorHAnsi" w:hAnsiTheme="minorHAnsi" w:cstheme="minorHAnsi"/>
          <w:lang w:eastAsia="en-GB"/>
        </w:rPr>
        <w:t xml:space="preserve">that a </w:t>
      </w:r>
      <w:r w:rsidR="005D5F0E">
        <w:rPr>
          <w:rFonts w:asciiTheme="minorHAnsi" w:hAnsiTheme="minorHAnsi" w:cstheme="minorHAnsi"/>
          <w:lang w:eastAsia="en-GB"/>
        </w:rPr>
        <w:t>reader</w:t>
      </w:r>
      <w:r w:rsidR="0094186D">
        <w:rPr>
          <w:rFonts w:asciiTheme="minorHAnsi" w:hAnsiTheme="minorHAnsi" w:cstheme="minorHAnsi"/>
          <w:lang w:eastAsia="en-GB"/>
        </w:rPr>
        <w:t xml:space="preserve"> has understood </w:t>
      </w:r>
      <w:r w:rsidR="005D5F0E">
        <w:rPr>
          <w:rFonts w:asciiTheme="minorHAnsi" w:hAnsiTheme="minorHAnsi" w:cstheme="minorHAnsi"/>
          <w:lang w:eastAsia="en-GB"/>
        </w:rPr>
        <w:t xml:space="preserve">such </w:t>
      </w:r>
      <w:r w:rsidR="0094186D">
        <w:rPr>
          <w:rFonts w:asciiTheme="minorHAnsi" w:hAnsiTheme="minorHAnsi" w:cstheme="minorHAnsi"/>
          <w:lang w:eastAsia="en-GB"/>
        </w:rPr>
        <w:t>a p</w:t>
      </w:r>
      <w:r w:rsidRPr="00E74C55">
        <w:rPr>
          <w:rFonts w:asciiTheme="minorHAnsi" w:hAnsiTheme="minorHAnsi" w:cstheme="minorHAnsi"/>
          <w:lang w:eastAsia="en-GB"/>
        </w:rPr>
        <w:t xml:space="preserve">rose equivalent to the expression on the left-hand side </w:t>
      </w:r>
      <w:r w:rsidR="0094186D">
        <w:rPr>
          <w:rFonts w:asciiTheme="minorHAnsi" w:hAnsiTheme="minorHAnsi" w:cstheme="minorHAnsi"/>
          <w:lang w:eastAsia="en-GB"/>
        </w:rPr>
        <w:t xml:space="preserve">of Pólya’s equation </w:t>
      </w:r>
      <w:r w:rsidRPr="00E74C55">
        <w:rPr>
          <w:rFonts w:asciiTheme="minorHAnsi" w:hAnsiTheme="minorHAnsi" w:cstheme="minorHAnsi"/>
          <w:lang w:eastAsia="en-GB"/>
        </w:rPr>
        <w:t xml:space="preserve">and </w:t>
      </w:r>
      <w:r w:rsidR="0094186D">
        <w:rPr>
          <w:rFonts w:asciiTheme="minorHAnsi" w:hAnsiTheme="minorHAnsi" w:cstheme="minorHAnsi"/>
          <w:lang w:eastAsia="en-GB"/>
        </w:rPr>
        <w:t>further understood the def</w:t>
      </w:r>
      <w:r w:rsidRPr="00E74C55">
        <w:rPr>
          <w:rFonts w:asciiTheme="minorHAnsi" w:hAnsiTheme="minorHAnsi" w:cstheme="minorHAnsi"/>
          <w:lang w:eastAsia="en-GB"/>
        </w:rPr>
        <w:t>in</w:t>
      </w:r>
      <w:r w:rsidR="0094186D">
        <w:rPr>
          <w:rFonts w:asciiTheme="minorHAnsi" w:hAnsiTheme="minorHAnsi" w:cstheme="minorHAnsi"/>
          <w:lang w:eastAsia="en-GB"/>
        </w:rPr>
        <w:t xml:space="preserve">ition of the </w:t>
      </w:r>
      <m:oMath>
        <m:sSub>
          <m:sSubPr>
            <m:ctrlPr>
              <w:rPr>
                <w:rFonts w:ascii="Cambria Math" w:hAnsi="Cambria Math" w:cstheme="minorHAnsi"/>
                <w:i/>
                <w:lang w:eastAsia="en-GB"/>
              </w:rPr>
            </m:ctrlPr>
          </m:sSubPr>
          <m:e>
            <m:r>
              <w:rPr>
                <w:rFonts w:ascii="Cambria Math" w:hAnsi="Cambria Math" w:cstheme="minorHAnsi"/>
                <w:lang w:eastAsia="en-GB"/>
              </w:rPr>
              <m:t>c</m:t>
            </m:r>
          </m:e>
          <m:sub>
            <m:r>
              <w:rPr>
                <w:rFonts w:ascii="Cambria Math" w:hAnsi="Cambria Math" w:cstheme="minorHAnsi"/>
                <w:lang w:eastAsia="en-GB"/>
              </w:rPr>
              <m:t>i</m:t>
            </m:r>
          </m:sub>
        </m:sSub>
      </m:oMath>
      <w:r w:rsidRPr="00E74C55">
        <w:rPr>
          <w:rFonts w:asciiTheme="minorHAnsi" w:hAnsiTheme="minorHAnsi" w:cstheme="minorHAnsi"/>
          <w:lang w:eastAsia="en-GB"/>
        </w:rPr>
        <w:t xml:space="preserve"> without making any use of algebraic notation. </w:t>
      </w:r>
      <w:r w:rsidR="0094186D">
        <w:rPr>
          <w:rFonts w:asciiTheme="minorHAnsi" w:hAnsiTheme="minorHAnsi" w:cstheme="minorHAnsi"/>
          <w:lang w:eastAsia="en-GB"/>
        </w:rPr>
        <w:t xml:space="preserve"> </w:t>
      </w:r>
      <w:r w:rsidR="005D5F0E">
        <w:rPr>
          <w:rFonts w:asciiTheme="minorHAnsi" w:hAnsiTheme="minorHAnsi" w:cstheme="minorHAnsi"/>
          <w:lang w:eastAsia="en-GB"/>
        </w:rPr>
        <w:t>The whole equation written in prose would be baffling, and it would be very difficult to see why it is true</w:t>
      </w:r>
      <w:r w:rsidRPr="00E74C55">
        <w:rPr>
          <w:rFonts w:asciiTheme="minorHAnsi" w:hAnsiTheme="minorHAnsi" w:cstheme="minorHAnsi"/>
          <w:lang w:eastAsia="en-GB"/>
        </w:rPr>
        <w:t xml:space="preserve">. </w:t>
      </w:r>
      <w:r w:rsidR="0094186D">
        <w:rPr>
          <w:rFonts w:asciiTheme="minorHAnsi" w:hAnsiTheme="minorHAnsi" w:cstheme="minorHAnsi"/>
          <w:lang w:eastAsia="en-GB"/>
        </w:rPr>
        <w:t xml:space="preserve"> </w:t>
      </w:r>
      <w:r w:rsidR="00915FD4">
        <w:rPr>
          <w:rFonts w:asciiTheme="minorHAnsi" w:hAnsiTheme="minorHAnsi" w:cstheme="minorHAnsi"/>
          <w:lang w:eastAsia="en-GB"/>
        </w:rPr>
        <w:t xml:space="preserve">Perhaps a </w:t>
      </w:r>
      <w:r w:rsidR="007023A1">
        <w:rPr>
          <w:rFonts w:asciiTheme="minorHAnsi" w:hAnsiTheme="minorHAnsi" w:cstheme="minorHAnsi"/>
          <w:lang w:eastAsia="en-GB"/>
        </w:rPr>
        <w:t>R</w:t>
      </w:r>
      <w:r w:rsidR="00915FD4">
        <w:rPr>
          <w:rFonts w:asciiTheme="minorHAnsi" w:hAnsiTheme="minorHAnsi" w:cstheme="minorHAnsi"/>
          <w:lang w:eastAsia="en-GB"/>
        </w:rPr>
        <w:t xml:space="preserve">enaissance mathematician who was used to reading mathematical arguments in prose might manage it—but it’s worth noting that even this relatively simple expression is more complex than anything in </w:t>
      </w:r>
      <w:r w:rsidR="007023A1">
        <w:rPr>
          <w:rFonts w:asciiTheme="minorHAnsi" w:hAnsiTheme="minorHAnsi" w:cstheme="minorHAnsi"/>
          <w:lang w:eastAsia="en-GB"/>
        </w:rPr>
        <w:t>R</w:t>
      </w:r>
      <w:r w:rsidR="00915FD4">
        <w:rPr>
          <w:rFonts w:asciiTheme="minorHAnsi" w:hAnsiTheme="minorHAnsi" w:cstheme="minorHAnsi"/>
          <w:lang w:eastAsia="en-GB"/>
        </w:rPr>
        <w:t xml:space="preserve">enaissance mathematics.  </w:t>
      </w:r>
    </w:p>
    <w:p w14:paraId="0CED2CFD" w14:textId="25F86C25" w:rsidR="001A63F0" w:rsidRDefault="001A63F0" w:rsidP="001A63F0">
      <w:pPr>
        <w:autoSpaceDE w:val="0"/>
        <w:autoSpaceDN w:val="0"/>
        <w:adjustRightInd w:val="0"/>
        <w:spacing w:after="120"/>
        <w:rPr>
          <w:rFonts w:asciiTheme="minorHAnsi" w:hAnsiTheme="minorHAnsi" w:cstheme="minorHAnsi"/>
          <w:lang w:eastAsia="en-GB"/>
        </w:rPr>
      </w:pPr>
      <w:r>
        <w:rPr>
          <w:rFonts w:asciiTheme="minorHAnsi" w:hAnsiTheme="minorHAnsi" w:cstheme="minorHAnsi"/>
          <w:lang w:eastAsia="en-GB"/>
        </w:rPr>
        <w:t xml:space="preserve">In his paper, Menary makes it sound as though the necessity for mathematical notations arises simply because proofs are too long and detailed for human working memory: </w:t>
      </w:r>
    </w:p>
    <w:p w14:paraId="01E396B1" w14:textId="77777777" w:rsidR="001A63F0" w:rsidRDefault="001A63F0" w:rsidP="001A63F0">
      <w:pPr>
        <w:autoSpaceDE w:val="0"/>
        <w:autoSpaceDN w:val="0"/>
        <w:adjustRightInd w:val="0"/>
        <w:spacing w:after="120"/>
        <w:ind w:left="720"/>
        <w:rPr>
          <w:rFonts w:asciiTheme="minorHAnsi" w:eastAsia="LMRoman10-Regular" w:hAnsiTheme="minorHAnsi" w:cstheme="minorHAnsi"/>
          <w:lang w:eastAsia="en-GB"/>
        </w:rPr>
      </w:pPr>
      <w:r w:rsidRPr="00204FBF">
        <w:rPr>
          <w:rFonts w:asciiTheme="minorHAnsi" w:eastAsia="LMRoman10-Regular" w:hAnsiTheme="minorHAnsi" w:cstheme="minorHAnsi"/>
          <w:lang w:eastAsia="en-GB"/>
        </w:rPr>
        <w:lastRenderedPageBreak/>
        <w:t xml:space="preserve">Our cognitive capacities cannot cope with long sequences of complex symbols and operations on them. This is why we must learn strategies and methods for writing out proofs. </w:t>
      </w:r>
      <w:r>
        <w:rPr>
          <w:rFonts w:asciiTheme="minorHAnsi" w:eastAsia="LMRoman10-Regular" w:hAnsiTheme="minorHAnsi" w:cstheme="minorHAnsi"/>
          <w:lang w:eastAsia="en-GB"/>
        </w:rPr>
        <w:t>(2015, p. 16)</w:t>
      </w:r>
    </w:p>
    <w:p w14:paraId="1A5562FA" w14:textId="2AB871F0" w:rsidR="001C51E8" w:rsidRDefault="001A63F0" w:rsidP="001A63F0">
      <w:pPr>
        <w:autoSpaceDE w:val="0"/>
        <w:autoSpaceDN w:val="0"/>
        <w:adjustRightInd w:val="0"/>
        <w:spacing w:after="120"/>
        <w:rPr>
          <w:rFonts w:asciiTheme="minorHAnsi" w:hAnsiTheme="minorHAnsi" w:cstheme="minorHAnsi"/>
          <w:lang w:eastAsia="en-GB"/>
        </w:rPr>
      </w:pPr>
      <w:r>
        <w:rPr>
          <w:rFonts w:asciiTheme="minorHAnsi" w:eastAsia="LMRoman10-Regular" w:hAnsiTheme="minorHAnsi" w:cstheme="minorHAnsi"/>
          <w:lang w:eastAsia="en-GB"/>
        </w:rPr>
        <w:t xml:space="preserve">If the length and complexity of the operations were the whole story, then writing them down in ordinary prose would solve the problem.  After all, legal arguments can be long and complex.  </w:t>
      </w:r>
      <w:r w:rsidR="00623344">
        <w:rPr>
          <w:rFonts w:asciiTheme="minorHAnsi" w:eastAsia="LMRoman10-Regular" w:hAnsiTheme="minorHAnsi" w:cstheme="minorHAnsi"/>
          <w:lang w:eastAsia="en-GB"/>
        </w:rPr>
        <w:t xml:space="preserve">As already noted, an important difference with mathematical notations and diagrams is that </w:t>
      </w:r>
      <w:r w:rsidR="00156C30">
        <w:rPr>
          <w:rFonts w:asciiTheme="minorHAnsi" w:eastAsia="LMRoman10-Regular" w:hAnsiTheme="minorHAnsi" w:cstheme="minorHAnsi"/>
          <w:lang w:eastAsia="en-GB"/>
        </w:rPr>
        <w:t xml:space="preserve">they have rigour built in to their use.  Sticking to the rules for manipulating the </w:t>
      </w:r>
      <w:r w:rsidR="006E3F4E">
        <w:rPr>
          <w:rFonts w:asciiTheme="minorHAnsi" w:eastAsia="LMRoman10-Regular" w:hAnsiTheme="minorHAnsi" w:cstheme="minorHAnsi"/>
          <w:lang w:eastAsia="en-GB"/>
        </w:rPr>
        <w:t>symbols or the diagram</w:t>
      </w:r>
      <w:r w:rsidR="00C51D65">
        <w:rPr>
          <w:rFonts w:asciiTheme="minorHAnsi" w:eastAsia="LMRoman10-Regular" w:hAnsiTheme="minorHAnsi" w:cstheme="minorHAnsi"/>
          <w:lang w:eastAsia="en-GB"/>
        </w:rPr>
        <w:t xml:space="preserve"> goes a long way towards guaranteeing the correctness of the result (and in systems that are known to be sound, it goes all the way</w:t>
      </w:r>
      <w:r w:rsidR="002F52B9">
        <w:rPr>
          <w:rFonts w:asciiTheme="minorHAnsi" w:eastAsia="LMRoman10-Regular" w:hAnsiTheme="minorHAnsi" w:cstheme="minorHAnsi"/>
          <w:lang w:eastAsia="en-GB"/>
        </w:rPr>
        <w:t xml:space="preserve"> to guaranteeing correctness</w:t>
      </w:r>
      <w:r w:rsidR="00C51D65">
        <w:rPr>
          <w:rFonts w:asciiTheme="minorHAnsi" w:eastAsia="LMRoman10-Regular" w:hAnsiTheme="minorHAnsi" w:cstheme="minorHAnsi"/>
          <w:lang w:eastAsia="en-GB"/>
        </w:rPr>
        <w:t xml:space="preserve">).  </w:t>
      </w:r>
      <w:r w:rsidR="002F52B9">
        <w:rPr>
          <w:rFonts w:asciiTheme="minorHAnsi" w:eastAsia="LMRoman10-Regular" w:hAnsiTheme="minorHAnsi" w:cstheme="minorHAnsi"/>
          <w:lang w:eastAsia="en-GB"/>
        </w:rPr>
        <w:t xml:space="preserve">This allows us to offload </w:t>
      </w:r>
      <w:r w:rsidR="002468AD">
        <w:rPr>
          <w:rFonts w:asciiTheme="minorHAnsi" w:eastAsia="LMRoman10-Regular" w:hAnsiTheme="minorHAnsi" w:cstheme="minorHAnsi"/>
          <w:lang w:eastAsia="en-GB"/>
        </w:rPr>
        <w:t>much</w:t>
      </w:r>
      <w:r w:rsidR="00582330">
        <w:rPr>
          <w:rFonts w:asciiTheme="minorHAnsi" w:eastAsia="LMRoman10-Regular" w:hAnsiTheme="minorHAnsi" w:cstheme="minorHAnsi"/>
          <w:lang w:eastAsia="en-GB"/>
        </w:rPr>
        <w:t xml:space="preserve"> of the cognitive </w:t>
      </w:r>
      <w:r w:rsidR="00A354C6">
        <w:rPr>
          <w:rFonts w:asciiTheme="minorHAnsi" w:eastAsia="LMRoman10-Regular" w:hAnsiTheme="minorHAnsi" w:cstheme="minorHAnsi"/>
          <w:lang w:eastAsia="en-GB"/>
        </w:rPr>
        <w:t>effort</w:t>
      </w:r>
      <w:r w:rsidR="00582330">
        <w:rPr>
          <w:rFonts w:asciiTheme="minorHAnsi" w:eastAsia="LMRoman10-Regular" w:hAnsiTheme="minorHAnsi" w:cstheme="minorHAnsi"/>
          <w:lang w:eastAsia="en-GB"/>
        </w:rPr>
        <w:t xml:space="preserve"> and reduces the </w:t>
      </w:r>
      <w:r w:rsidR="002A552F">
        <w:rPr>
          <w:rFonts w:asciiTheme="minorHAnsi" w:eastAsia="LMRoman10-Regular" w:hAnsiTheme="minorHAnsi" w:cstheme="minorHAnsi"/>
          <w:lang w:eastAsia="en-GB"/>
        </w:rPr>
        <w:t>work th</w:t>
      </w:r>
      <w:r w:rsidR="002468AD">
        <w:rPr>
          <w:rFonts w:asciiTheme="minorHAnsi" w:eastAsia="LMRoman10-Regular" w:hAnsiTheme="minorHAnsi" w:cstheme="minorHAnsi"/>
          <w:lang w:eastAsia="en-GB"/>
        </w:rPr>
        <w:t xml:space="preserve">at the human performs </w:t>
      </w:r>
      <w:r w:rsidR="002A552F">
        <w:rPr>
          <w:rFonts w:asciiTheme="minorHAnsi" w:eastAsia="LMRoman10-Regular" w:hAnsiTheme="minorHAnsi" w:cstheme="minorHAnsi"/>
          <w:lang w:eastAsia="en-GB"/>
        </w:rPr>
        <w:t xml:space="preserve">to much smaller </w:t>
      </w:r>
      <w:r w:rsidR="002468AD">
        <w:rPr>
          <w:rFonts w:asciiTheme="minorHAnsi" w:eastAsia="LMRoman10-Regular" w:hAnsiTheme="minorHAnsi" w:cstheme="minorHAnsi"/>
          <w:lang w:eastAsia="en-GB"/>
        </w:rPr>
        <w:t xml:space="preserve">units.  Instead of grasping an entire argument, </w:t>
      </w:r>
      <w:r w:rsidR="008103E3">
        <w:rPr>
          <w:rFonts w:asciiTheme="minorHAnsi" w:eastAsia="LMRoman10-Regular" w:hAnsiTheme="minorHAnsi" w:cstheme="minorHAnsi"/>
          <w:lang w:eastAsia="en-GB"/>
        </w:rPr>
        <w:t xml:space="preserve">it is enough to check that each step in a proof or a calculation </w:t>
      </w:r>
      <w:r w:rsidR="00154FCF">
        <w:rPr>
          <w:rFonts w:asciiTheme="minorHAnsi" w:eastAsia="LMRoman10-Regular" w:hAnsiTheme="minorHAnsi" w:cstheme="minorHAnsi"/>
          <w:lang w:eastAsia="en-GB"/>
        </w:rPr>
        <w:t xml:space="preserve">follows the rules of the practice.  </w:t>
      </w:r>
      <w:r w:rsidR="00816976">
        <w:rPr>
          <w:rFonts w:asciiTheme="minorHAnsi" w:eastAsia="LMRoman10-Regular" w:hAnsiTheme="minorHAnsi" w:cstheme="minorHAnsi"/>
          <w:lang w:eastAsia="en-GB"/>
        </w:rPr>
        <w:t>Mathematical symbol-systems and diagrammatic practices do not mere</w:t>
      </w:r>
      <w:r w:rsidR="005341A8">
        <w:rPr>
          <w:rFonts w:asciiTheme="minorHAnsi" w:eastAsia="LMRoman10-Regular" w:hAnsiTheme="minorHAnsi" w:cstheme="minorHAnsi"/>
          <w:lang w:eastAsia="en-GB"/>
        </w:rPr>
        <w:t>ly</w:t>
      </w:r>
      <w:r w:rsidR="00816976">
        <w:rPr>
          <w:rFonts w:asciiTheme="minorHAnsi" w:eastAsia="LMRoman10-Regular" w:hAnsiTheme="minorHAnsi" w:cstheme="minorHAnsi"/>
          <w:lang w:eastAsia="en-GB"/>
        </w:rPr>
        <w:t xml:space="preserve"> summarise and represent information efficiently.</w:t>
      </w:r>
      <w:r w:rsidR="008C133F">
        <w:rPr>
          <w:rStyle w:val="FootnoteReference"/>
          <w:rFonts w:asciiTheme="minorHAnsi" w:eastAsia="LMRoman10-Regular" w:hAnsiTheme="minorHAnsi" w:cstheme="minorHAnsi"/>
          <w:lang w:eastAsia="en-GB"/>
        </w:rPr>
        <w:footnoteReference w:id="18"/>
      </w:r>
      <w:r w:rsidR="00816976">
        <w:rPr>
          <w:rFonts w:asciiTheme="minorHAnsi" w:eastAsia="LMRoman10-Regular" w:hAnsiTheme="minorHAnsi" w:cstheme="minorHAnsi"/>
          <w:lang w:eastAsia="en-GB"/>
        </w:rPr>
        <w:t xml:space="preserve">  They embody mathematical thinking.  </w:t>
      </w:r>
      <w:r w:rsidR="0042232C">
        <w:rPr>
          <w:rFonts w:asciiTheme="minorHAnsi" w:eastAsia="LMRoman10-Regular" w:hAnsiTheme="minorHAnsi" w:cstheme="minorHAnsi"/>
          <w:lang w:eastAsia="en-GB"/>
        </w:rPr>
        <w:t xml:space="preserve">Pólya offers the example cited above as a </w:t>
      </w:r>
      <w:r w:rsidR="00C40232">
        <w:rPr>
          <w:rFonts w:asciiTheme="minorHAnsi" w:eastAsia="LMRoman10-Regular" w:hAnsiTheme="minorHAnsi" w:cstheme="minorHAnsi"/>
          <w:lang w:eastAsia="en-GB"/>
        </w:rPr>
        <w:t xml:space="preserve">case in which it is easy to check each step of the proof (they are all trivial) without understanding why the result is true or </w:t>
      </w:r>
      <w:r w:rsidR="0062590A">
        <w:rPr>
          <w:rFonts w:asciiTheme="minorHAnsi" w:eastAsia="LMRoman10-Regular" w:hAnsiTheme="minorHAnsi" w:cstheme="minorHAnsi"/>
          <w:lang w:eastAsia="en-GB"/>
        </w:rPr>
        <w:t xml:space="preserve">how it might have been discovered.  </w:t>
      </w:r>
      <w:r w:rsidR="004D13BE">
        <w:rPr>
          <w:rFonts w:asciiTheme="minorHAnsi" w:eastAsia="LMRoman10-Regular" w:hAnsiTheme="minorHAnsi" w:cstheme="minorHAnsi"/>
          <w:lang w:eastAsia="en-GB"/>
        </w:rPr>
        <w:t>Of course, we want understanding as well as correctness</w:t>
      </w:r>
      <w:r w:rsidR="00DE6BD7">
        <w:rPr>
          <w:rFonts w:asciiTheme="minorHAnsi" w:eastAsia="LMRoman10-Regular" w:hAnsiTheme="minorHAnsi" w:cstheme="minorHAnsi"/>
          <w:lang w:eastAsia="en-GB"/>
        </w:rPr>
        <w:t xml:space="preserve">.  That is the ultimate point </w:t>
      </w:r>
      <w:r w:rsidR="002B7BA4">
        <w:rPr>
          <w:rFonts w:asciiTheme="minorHAnsi" w:eastAsia="LMRoman10-Regular" w:hAnsiTheme="minorHAnsi" w:cstheme="minorHAnsi"/>
          <w:lang w:eastAsia="en-GB"/>
        </w:rPr>
        <w:t xml:space="preserve">of </w:t>
      </w:r>
      <w:r w:rsidR="00DE6BD7">
        <w:rPr>
          <w:rFonts w:asciiTheme="minorHAnsi" w:eastAsia="LMRoman10-Regular" w:hAnsiTheme="minorHAnsi" w:cstheme="minorHAnsi"/>
          <w:lang w:eastAsia="en-GB"/>
        </w:rPr>
        <w:t xml:space="preserve">Pólya’s example.  </w:t>
      </w:r>
      <w:r w:rsidR="0055595A">
        <w:rPr>
          <w:rFonts w:asciiTheme="minorHAnsi" w:eastAsia="LMRoman10-Regular" w:hAnsiTheme="minorHAnsi" w:cstheme="minorHAnsi"/>
          <w:lang w:eastAsia="en-GB"/>
        </w:rPr>
        <w:t xml:space="preserve">Nevertheless, </w:t>
      </w:r>
      <w:r w:rsidR="00EF304C">
        <w:rPr>
          <w:rFonts w:asciiTheme="minorHAnsi" w:eastAsia="LMRoman10-Regular" w:hAnsiTheme="minorHAnsi" w:cstheme="minorHAnsi"/>
          <w:lang w:eastAsia="en-GB"/>
        </w:rPr>
        <w:t xml:space="preserve">checking the correctness of this proof largely consists in checking that the successive </w:t>
      </w:r>
      <w:r w:rsidR="009F2C3B">
        <w:rPr>
          <w:rFonts w:asciiTheme="minorHAnsi" w:eastAsia="LMRoman10-Regular" w:hAnsiTheme="minorHAnsi" w:cstheme="minorHAnsi"/>
          <w:lang w:eastAsia="en-GB"/>
        </w:rPr>
        <w:t xml:space="preserve">versions of the equation are achieved by following the rules for transforming one algebraic expression into another.  </w:t>
      </w:r>
      <w:r w:rsidR="009F2C3B" w:rsidRPr="009F2C3B">
        <w:rPr>
          <w:rFonts w:asciiTheme="minorHAnsi" w:eastAsia="LMRoman10-Regular" w:hAnsiTheme="minorHAnsi" w:cstheme="minorHAnsi"/>
          <w:lang w:eastAsia="en-GB"/>
        </w:rPr>
        <w:t xml:space="preserve">Broadly speaking, </w:t>
      </w:r>
      <w:r w:rsidR="009F2C3B" w:rsidRPr="009F2C3B">
        <w:rPr>
          <w:rFonts w:asciiTheme="minorHAnsi" w:hAnsiTheme="minorHAnsi" w:cstheme="minorHAnsi"/>
          <w:color w:val="000000"/>
          <w:lang w:eastAsia="en-GB"/>
        </w:rPr>
        <w:t>syntactically</w:t>
      </w:r>
      <w:r w:rsidR="009F2C3B" w:rsidRPr="009F2C3B">
        <w:rPr>
          <w:rStyle w:val="FootnoteReference"/>
          <w:rFonts w:asciiTheme="minorHAnsi" w:eastAsia="LMRoman10-Regular" w:hAnsiTheme="minorHAnsi" w:cstheme="minorHAnsi"/>
          <w:lang w:eastAsia="en-GB"/>
        </w:rPr>
        <w:footnoteReference w:id="19"/>
      </w:r>
      <w:r w:rsidR="009F2C3B" w:rsidRPr="009F2C3B">
        <w:rPr>
          <w:rFonts w:asciiTheme="minorHAnsi" w:hAnsiTheme="minorHAnsi" w:cstheme="minorHAnsi"/>
          <w:color w:val="000000"/>
          <w:lang w:eastAsia="en-GB"/>
        </w:rPr>
        <w:t xml:space="preserve"> encoded reasoning goes much farther and is much more central in mathematics than in other disciplines</w:t>
      </w:r>
      <w:r w:rsidR="003F5974" w:rsidRPr="009F2C3B">
        <w:rPr>
          <w:rFonts w:asciiTheme="minorHAnsi" w:eastAsia="LMRoman10-Regular" w:hAnsiTheme="minorHAnsi" w:cstheme="minorHAnsi"/>
          <w:lang w:eastAsia="en-GB"/>
        </w:rPr>
        <w:t>.</w:t>
      </w:r>
      <w:r w:rsidR="002745E2">
        <w:rPr>
          <w:rFonts w:asciiTheme="minorHAnsi" w:eastAsia="LMRoman10-Regular" w:hAnsiTheme="minorHAnsi" w:cstheme="minorHAnsi"/>
          <w:lang w:eastAsia="en-GB"/>
        </w:rPr>
        <w:t xml:space="preserve">  </w:t>
      </w:r>
    </w:p>
    <w:p w14:paraId="3750A2A4" w14:textId="44DFC92C" w:rsidR="009534D7" w:rsidRDefault="009534D7" w:rsidP="00C74497">
      <w:pPr>
        <w:autoSpaceDE w:val="0"/>
        <w:autoSpaceDN w:val="0"/>
        <w:adjustRightInd w:val="0"/>
        <w:spacing w:after="120"/>
        <w:rPr>
          <w:rFonts w:asciiTheme="minorHAnsi" w:hAnsiTheme="minorHAnsi" w:cstheme="minorHAnsi"/>
          <w:lang w:eastAsia="en-GB"/>
        </w:rPr>
      </w:pPr>
      <w:r>
        <w:rPr>
          <w:rFonts w:asciiTheme="minorHAnsi" w:hAnsiTheme="minorHAnsi" w:cstheme="minorHAnsi"/>
        </w:rPr>
        <w:t>Th</w:t>
      </w:r>
      <w:r w:rsidR="0025255C">
        <w:rPr>
          <w:rFonts w:asciiTheme="minorHAnsi" w:hAnsiTheme="minorHAnsi" w:cstheme="minorHAnsi"/>
        </w:rPr>
        <w:t xml:space="preserve">e essential role of symbol-manipulation in mathematical thinking </w:t>
      </w:r>
      <w:r>
        <w:rPr>
          <w:rFonts w:asciiTheme="minorHAnsi" w:hAnsiTheme="minorHAnsi" w:cstheme="minorHAnsi"/>
        </w:rPr>
        <w:t xml:space="preserve">is </w:t>
      </w:r>
      <w:r w:rsidR="006432F1">
        <w:rPr>
          <w:rFonts w:asciiTheme="minorHAnsi" w:hAnsiTheme="minorHAnsi" w:cstheme="minorHAnsi"/>
        </w:rPr>
        <w:t xml:space="preserve">the reason </w:t>
      </w:r>
      <w:r>
        <w:rPr>
          <w:rFonts w:asciiTheme="minorHAnsi" w:hAnsiTheme="minorHAnsi" w:cstheme="minorHAnsi"/>
        </w:rPr>
        <w:t>why blackboards (and now, whiteboards) are central to mathematic</w:t>
      </w:r>
      <w:r w:rsidR="0025255C">
        <w:rPr>
          <w:rFonts w:asciiTheme="minorHAnsi" w:hAnsiTheme="minorHAnsi" w:cstheme="minorHAnsi"/>
        </w:rPr>
        <w:t>al material culture</w:t>
      </w:r>
      <w:r>
        <w:rPr>
          <w:rFonts w:asciiTheme="minorHAnsi" w:hAnsiTheme="minorHAnsi" w:cstheme="minorHAnsi"/>
        </w:rPr>
        <w:t>.</w:t>
      </w:r>
      <w:r w:rsidR="003D222C">
        <w:rPr>
          <w:rStyle w:val="FootnoteReference"/>
          <w:rFonts w:asciiTheme="minorHAnsi" w:hAnsiTheme="minorHAnsi" w:cstheme="minorHAnsi"/>
        </w:rPr>
        <w:footnoteReference w:id="20"/>
      </w:r>
      <w:r>
        <w:rPr>
          <w:rFonts w:asciiTheme="minorHAnsi" w:hAnsiTheme="minorHAnsi" w:cstheme="minorHAnsi"/>
        </w:rPr>
        <w:t xml:space="preserve">  </w:t>
      </w:r>
      <w:r w:rsidR="009508E9">
        <w:rPr>
          <w:rFonts w:asciiTheme="minorHAnsi" w:hAnsiTheme="minorHAnsi" w:cstheme="minorHAnsi"/>
        </w:rPr>
        <w:t>One way to see</w:t>
      </w:r>
      <w:r w:rsidR="008A22B7">
        <w:rPr>
          <w:rFonts w:asciiTheme="minorHAnsi" w:hAnsiTheme="minorHAnsi" w:cstheme="minorHAnsi"/>
        </w:rPr>
        <w:t xml:space="preserve"> how mathematicians think is to watch them teach the next generation.  </w:t>
      </w:r>
      <w:r w:rsidR="009D6FD7">
        <w:rPr>
          <w:rFonts w:asciiTheme="minorHAnsi" w:hAnsiTheme="minorHAnsi" w:cstheme="minorHAnsi"/>
        </w:rPr>
        <w:t xml:space="preserve">In teaching, the </w:t>
      </w:r>
      <w:r w:rsidR="00E314F0">
        <w:rPr>
          <w:rFonts w:asciiTheme="minorHAnsi" w:hAnsiTheme="minorHAnsi" w:cstheme="minorHAnsi"/>
        </w:rPr>
        <w:t>r</w:t>
      </w:r>
      <w:r w:rsidR="002F166C">
        <w:rPr>
          <w:rFonts w:asciiTheme="minorHAnsi" w:hAnsiTheme="minorHAnsi" w:cstheme="minorHAnsi"/>
        </w:rPr>
        <w:t xml:space="preserve">ules of the practices are made explicit and the characteristic techniques </w:t>
      </w:r>
      <w:r w:rsidR="003434C8">
        <w:rPr>
          <w:rFonts w:asciiTheme="minorHAnsi" w:hAnsiTheme="minorHAnsi" w:cstheme="minorHAnsi"/>
        </w:rPr>
        <w:t xml:space="preserve">and tools exhibited.  </w:t>
      </w:r>
      <w:r>
        <w:rPr>
          <w:rFonts w:asciiTheme="minorHAnsi" w:hAnsiTheme="minorHAnsi" w:cstheme="minorHAnsi"/>
        </w:rPr>
        <w:t xml:space="preserve">Every discipline has its signature pedagogy, its teaching occasion when </w:t>
      </w:r>
      <w:r w:rsidR="00B17E71">
        <w:rPr>
          <w:rFonts w:asciiTheme="minorHAnsi" w:hAnsiTheme="minorHAnsi" w:cstheme="minorHAnsi"/>
        </w:rPr>
        <w:t>novices</w:t>
      </w:r>
      <w:r>
        <w:rPr>
          <w:rFonts w:asciiTheme="minorHAnsi" w:hAnsiTheme="minorHAnsi" w:cstheme="minorHAnsi"/>
        </w:rPr>
        <w:t xml:space="preserve"> learn to think, perform and act </w:t>
      </w:r>
      <w:r w:rsidR="00BD477A">
        <w:rPr>
          <w:rFonts w:asciiTheme="minorHAnsi" w:hAnsiTheme="minorHAnsi" w:cstheme="minorHAnsi"/>
        </w:rPr>
        <w:t>as members of their profession.  Shulman</w:t>
      </w:r>
      <w:r w:rsidR="00133A9F">
        <w:rPr>
          <w:rFonts w:asciiTheme="minorHAnsi" w:hAnsiTheme="minorHAnsi" w:cstheme="minorHAnsi"/>
        </w:rPr>
        <w:t xml:space="preserve"> (who originated the expression ‘signature pedagogy’) </w:t>
      </w:r>
      <w:r w:rsidR="00BD477A">
        <w:rPr>
          <w:rFonts w:asciiTheme="minorHAnsi" w:hAnsiTheme="minorHAnsi" w:cstheme="minorHAnsi"/>
        </w:rPr>
        <w:t xml:space="preserve">offers as examples the quasi-Socratic exchanges in law school and the </w:t>
      </w:r>
      <w:r w:rsidR="00012C6A">
        <w:rPr>
          <w:rFonts w:asciiTheme="minorHAnsi" w:hAnsiTheme="minorHAnsi" w:cstheme="minorHAnsi"/>
        </w:rPr>
        <w:t xml:space="preserve">teaching rounds when </w:t>
      </w:r>
      <w:r w:rsidR="00BD477A">
        <w:rPr>
          <w:rFonts w:asciiTheme="minorHAnsi" w:hAnsiTheme="minorHAnsi" w:cstheme="minorHAnsi"/>
        </w:rPr>
        <w:t xml:space="preserve">medical students </w:t>
      </w:r>
      <w:r w:rsidR="00012C6A">
        <w:rPr>
          <w:rFonts w:asciiTheme="minorHAnsi" w:hAnsiTheme="minorHAnsi" w:cstheme="minorHAnsi"/>
        </w:rPr>
        <w:t>accompany</w:t>
      </w:r>
      <w:r w:rsidR="00BD477A">
        <w:rPr>
          <w:rFonts w:asciiTheme="minorHAnsi" w:hAnsiTheme="minorHAnsi" w:cstheme="minorHAnsi"/>
        </w:rPr>
        <w:t xml:space="preserve"> a senior physician </w:t>
      </w:r>
      <w:r w:rsidR="00012C6A">
        <w:rPr>
          <w:rFonts w:asciiTheme="minorHAnsi" w:hAnsiTheme="minorHAnsi" w:cstheme="minorHAnsi"/>
        </w:rPr>
        <w:t xml:space="preserve">visiting patients in </w:t>
      </w:r>
      <w:r w:rsidR="00BD477A">
        <w:rPr>
          <w:rFonts w:asciiTheme="minorHAnsi" w:hAnsiTheme="minorHAnsi" w:cstheme="minorHAnsi"/>
        </w:rPr>
        <w:t>a hospital (</w:t>
      </w:r>
      <w:r w:rsidR="00052AB5">
        <w:rPr>
          <w:rFonts w:asciiTheme="minorHAnsi" w:hAnsiTheme="minorHAnsi" w:cstheme="minorHAnsi"/>
        </w:rPr>
        <w:t xml:space="preserve">Shulman 2005, </w:t>
      </w:r>
      <w:r w:rsidR="00BD477A">
        <w:rPr>
          <w:rFonts w:asciiTheme="minorHAnsi" w:hAnsiTheme="minorHAnsi" w:cstheme="minorHAnsi"/>
        </w:rPr>
        <w:t>p. 52).  In mathematics, the signature pedagogy</w:t>
      </w:r>
      <w:r w:rsidR="0067110F">
        <w:rPr>
          <w:rFonts w:asciiTheme="minorHAnsi" w:hAnsiTheme="minorHAnsi" w:cstheme="minorHAnsi"/>
        </w:rPr>
        <w:t xml:space="preserve"> </w:t>
      </w:r>
      <w:r w:rsidR="00BD477A">
        <w:rPr>
          <w:rFonts w:asciiTheme="minorHAnsi" w:hAnsiTheme="minorHAnsi" w:cstheme="minorHAnsi"/>
        </w:rPr>
        <w:t xml:space="preserve">is the proof performed </w:t>
      </w:r>
      <w:r w:rsidR="006E007B">
        <w:rPr>
          <w:rFonts w:asciiTheme="minorHAnsi" w:hAnsiTheme="minorHAnsi" w:cstheme="minorHAnsi"/>
        </w:rPr>
        <w:t xml:space="preserve">and discussed </w:t>
      </w:r>
      <w:r w:rsidR="00BD477A">
        <w:rPr>
          <w:rFonts w:asciiTheme="minorHAnsi" w:hAnsiTheme="minorHAnsi" w:cstheme="minorHAnsi"/>
        </w:rPr>
        <w:t>on the blackboard.  The instructor does not simply print out the proof as a literature professor might write out a poem ready for analysis—for if that were the case, the</w:t>
      </w:r>
      <w:r w:rsidR="005C52C3">
        <w:rPr>
          <w:rFonts w:asciiTheme="minorHAnsi" w:hAnsiTheme="minorHAnsi" w:cstheme="minorHAnsi"/>
        </w:rPr>
        <w:t xml:space="preserve"> mathematics instructor ha</w:t>
      </w:r>
      <w:r w:rsidR="00BD477A">
        <w:rPr>
          <w:rFonts w:asciiTheme="minorHAnsi" w:hAnsiTheme="minorHAnsi" w:cstheme="minorHAnsi"/>
        </w:rPr>
        <w:t>s no reason not to follow the literature professor in switching from the blackboard to pre-prepared slides.</w:t>
      </w:r>
      <w:r w:rsidR="00BA058A">
        <w:rPr>
          <w:rStyle w:val="FootnoteReference"/>
          <w:rFonts w:asciiTheme="minorHAnsi" w:hAnsiTheme="minorHAnsi" w:cstheme="minorHAnsi"/>
        </w:rPr>
        <w:footnoteReference w:id="21"/>
      </w:r>
      <w:r w:rsidR="00BD477A">
        <w:rPr>
          <w:rFonts w:asciiTheme="minorHAnsi" w:hAnsiTheme="minorHAnsi" w:cstheme="minorHAnsi"/>
        </w:rPr>
        <w:t xml:space="preserve">  </w:t>
      </w:r>
      <w:r w:rsidR="00F82CB9">
        <w:rPr>
          <w:rFonts w:asciiTheme="minorHAnsi" w:hAnsiTheme="minorHAnsi" w:cstheme="minorHAnsi"/>
        </w:rPr>
        <w:t xml:space="preserve">The </w:t>
      </w:r>
      <w:r w:rsidR="00D45291">
        <w:rPr>
          <w:rFonts w:asciiTheme="minorHAnsi" w:hAnsiTheme="minorHAnsi" w:cstheme="minorHAnsi"/>
        </w:rPr>
        <w:t xml:space="preserve">mathematics </w:t>
      </w:r>
      <w:r w:rsidR="00F82CB9">
        <w:rPr>
          <w:rFonts w:asciiTheme="minorHAnsi" w:hAnsiTheme="minorHAnsi" w:cstheme="minorHAnsi"/>
        </w:rPr>
        <w:t xml:space="preserve">instructor has to teach the strategic use of inscription-space, the separation of the blackboard into a working area and an area for recording the developing proof.  The students must learn to pay </w:t>
      </w:r>
      <w:r w:rsidR="00F82CB9">
        <w:rPr>
          <w:rFonts w:asciiTheme="minorHAnsi" w:hAnsiTheme="minorHAnsi" w:cstheme="minorHAnsi"/>
        </w:rPr>
        <w:lastRenderedPageBreak/>
        <w:t>attention selectively to the symbols before them</w:t>
      </w:r>
      <w:r w:rsidR="00247F31">
        <w:rPr>
          <w:rFonts w:asciiTheme="minorHAnsi" w:hAnsiTheme="minorHAnsi" w:cstheme="minorHAnsi"/>
        </w:rPr>
        <w:t xml:space="preserve">, to see possible manipulations and </w:t>
      </w:r>
      <w:r w:rsidR="00CF5EA0">
        <w:rPr>
          <w:rFonts w:asciiTheme="minorHAnsi" w:hAnsiTheme="minorHAnsi" w:cstheme="minorHAnsi"/>
        </w:rPr>
        <w:t xml:space="preserve">to </w:t>
      </w:r>
      <w:r w:rsidR="0069554C">
        <w:rPr>
          <w:rFonts w:asciiTheme="minorHAnsi" w:hAnsiTheme="minorHAnsi" w:cstheme="minorHAnsi"/>
        </w:rPr>
        <w:t>find a</w:t>
      </w:r>
      <w:r w:rsidR="00BB3444">
        <w:rPr>
          <w:rFonts w:asciiTheme="minorHAnsi" w:hAnsiTheme="minorHAnsi" w:cstheme="minorHAnsi"/>
        </w:rPr>
        <w:t xml:space="preserve"> series of permitted inscriptions that leads to a solution</w:t>
      </w:r>
      <w:r w:rsidR="00F82CB9">
        <w:rPr>
          <w:rFonts w:asciiTheme="minorHAnsi" w:hAnsiTheme="minorHAnsi" w:cstheme="minorHAnsi"/>
        </w:rPr>
        <w:t xml:space="preserve">.  To return to our equation from Pólya, the first thing </w:t>
      </w:r>
      <w:r w:rsidR="00D45291">
        <w:rPr>
          <w:rFonts w:asciiTheme="minorHAnsi" w:hAnsiTheme="minorHAnsi" w:cstheme="minorHAnsi"/>
        </w:rPr>
        <w:t>an experienced reader of mathematics</w:t>
      </w:r>
      <w:r w:rsidR="00CA4BAB">
        <w:rPr>
          <w:rStyle w:val="FootnoteReference"/>
          <w:rFonts w:asciiTheme="minorHAnsi" w:hAnsiTheme="minorHAnsi" w:cstheme="minorHAnsi"/>
        </w:rPr>
        <w:footnoteReference w:id="22"/>
      </w:r>
      <w:r w:rsidR="00D45291">
        <w:rPr>
          <w:rFonts w:asciiTheme="minorHAnsi" w:hAnsiTheme="minorHAnsi" w:cstheme="minorHAnsi"/>
        </w:rPr>
        <w:t xml:space="preserve"> </w:t>
      </w:r>
      <w:r w:rsidR="00F82CB9">
        <w:rPr>
          <w:rFonts w:asciiTheme="minorHAnsi" w:hAnsiTheme="minorHAnsi" w:cstheme="minorHAnsi"/>
        </w:rPr>
        <w:t>does</w:t>
      </w:r>
      <w:r w:rsidR="00915FD4">
        <w:rPr>
          <w:rFonts w:asciiTheme="minorHAnsi" w:hAnsiTheme="minorHAnsi" w:cstheme="minorHAnsi"/>
        </w:rPr>
        <w:t xml:space="preserve"> with it</w:t>
      </w:r>
      <w:r w:rsidR="00F82CB9">
        <w:rPr>
          <w:rFonts w:asciiTheme="minorHAnsi" w:hAnsiTheme="minorHAnsi" w:cstheme="minorHAnsi"/>
        </w:rPr>
        <w:t xml:space="preserve"> is to check that there is no difference in the summations.  </w:t>
      </w:r>
      <w:r w:rsidR="00D45291">
        <w:rPr>
          <w:rFonts w:asciiTheme="minorHAnsi" w:hAnsiTheme="minorHAnsi" w:cstheme="minorHAnsi"/>
        </w:rPr>
        <w:t xml:space="preserve">They both go from one to infinity, so the eye can blank them out and focus only on the expressions being summed.  The next thing is to check the indices of the </w:t>
      </w:r>
      <m:oMath>
        <m:sSub>
          <m:sSubPr>
            <m:ctrlPr>
              <w:rPr>
                <w:rFonts w:ascii="Cambria Math" w:hAnsi="Cambria Math" w:cstheme="minorHAnsi"/>
                <w:i/>
                <w:lang w:eastAsia="en-GB"/>
              </w:rPr>
            </m:ctrlPr>
          </m:sSubPr>
          <m:e>
            <m:r>
              <w:rPr>
                <w:rFonts w:ascii="Cambria Math" w:hAnsi="Cambria Math" w:cstheme="minorHAnsi"/>
                <w:lang w:eastAsia="en-GB"/>
              </w:rPr>
              <m:t>a</m:t>
            </m:r>
          </m:e>
          <m:sub>
            <m:r>
              <w:rPr>
                <w:rFonts w:ascii="Cambria Math" w:hAnsi="Cambria Math" w:cstheme="minorHAnsi"/>
                <w:lang w:eastAsia="en-GB"/>
              </w:rPr>
              <m:t>i</m:t>
            </m:r>
          </m:sub>
        </m:sSub>
      </m:oMath>
      <w:r w:rsidR="00D45291">
        <w:rPr>
          <w:rFonts w:asciiTheme="minorHAnsi" w:hAnsiTheme="minorHAnsi" w:cstheme="minorHAnsi"/>
          <w:lang w:eastAsia="en-GB"/>
        </w:rPr>
        <w:t xml:space="preserve"> and the </w:t>
      </w:r>
      <m:oMath>
        <m:sSub>
          <m:sSubPr>
            <m:ctrlPr>
              <w:rPr>
                <w:rFonts w:ascii="Cambria Math" w:hAnsi="Cambria Math" w:cstheme="minorHAnsi"/>
                <w:i/>
                <w:lang w:eastAsia="en-GB"/>
              </w:rPr>
            </m:ctrlPr>
          </m:sSubPr>
          <m:e>
            <m:r>
              <w:rPr>
                <w:rFonts w:ascii="Cambria Math" w:hAnsi="Cambria Math" w:cstheme="minorHAnsi"/>
                <w:lang w:eastAsia="en-GB"/>
              </w:rPr>
              <m:t>c</m:t>
            </m:r>
          </m:e>
          <m:sub>
            <m:r>
              <w:rPr>
                <w:rFonts w:ascii="Cambria Math" w:hAnsi="Cambria Math" w:cstheme="minorHAnsi"/>
                <w:lang w:eastAsia="en-GB"/>
              </w:rPr>
              <m:t>i</m:t>
            </m:r>
          </m:sub>
        </m:sSub>
      </m:oMath>
      <w:r w:rsidR="00D45291" w:rsidRPr="00E74C55">
        <w:rPr>
          <w:rFonts w:asciiTheme="minorHAnsi" w:hAnsiTheme="minorHAnsi" w:cstheme="minorHAnsi"/>
          <w:lang w:eastAsia="en-GB"/>
        </w:rPr>
        <w:t xml:space="preserve">. </w:t>
      </w:r>
      <w:r w:rsidR="00D45291">
        <w:rPr>
          <w:rFonts w:asciiTheme="minorHAnsi" w:hAnsiTheme="minorHAnsi" w:cstheme="minorHAnsi"/>
          <w:lang w:eastAsia="en-GB"/>
        </w:rPr>
        <w:t xml:space="preserve"> </w:t>
      </w:r>
      <w:r w:rsidR="007E0853">
        <w:rPr>
          <w:rFonts w:asciiTheme="minorHAnsi" w:hAnsiTheme="minorHAnsi" w:cstheme="minorHAnsi"/>
          <w:lang w:eastAsia="en-GB"/>
        </w:rPr>
        <w:t>They</w:t>
      </w:r>
      <w:r w:rsidR="002708E1">
        <w:rPr>
          <w:rFonts w:asciiTheme="minorHAnsi" w:hAnsiTheme="minorHAnsi" w:cstheme="minorHAnsi"/>
          <w:lang w:eastAsia="en-GB"/>
        </w:rPr>
        <w:t xml:space="preserve"> just run from 1 to </w:t>
      </w:r>
      <w:r w:rsidR="002708E1">
        <w:rPr>
          <w:rFonts w:asciiTheme="minorHAnsi" w:hAnsiTheme="minorHAnsi" w:cstheme="minorHAnsi"/>
          <w:i/>
          <w:lang w:eastAsia="en-GB"/>
        </w:rPr>
        <w:t>n</w:t>
      </w:r>
      <w:r w:rsidR="002708E1">
        <w:rPr>
          <w:rFonts w:asciiTheme="minorHAnsi" w:hAnsiTheme="minorHAnsi" w:cstheme="minorHAnsi"/>
          <w:lang w:eastAsia="en-GB"/>
        </w:rPr>
        <w:t xml:space="preserve">, so we need pay no more attention to those fiddly little subscripted numbers.  What about the exponents?  These are </w:t>
      </w:r>
      <m:oMath>
        <m:f>
          <m:fPr>
            <m:type m:val="skw"/>
            <m:ctrlPr>
              <w:rPr>
                <w:rFonts w:ascii="Cambria Math" w:hAnsi="Cambria Math" w:cstheme="minorHAnsi"/>
                <w:i/>
                <w:lang w:eastAsia="en-GB"/>
              </w:rPr>
            </m:ctrlPr>
          </m:fPr>
          <m:num>
            <m:r>
              <w:rPr>
                <w:rFonts w:ascii="Cambria Math" w:hAnsi="Cambria Math" w:cstheme="minorHAnsi"/>
                <w:lang w:eastAsia="en-GB"/>
              </w:rPr>
              <m:t>1</m:t>
            </m:r>
          </m:num>
          <m:den>
            <m:r>
              <w:rPr>
                <w:rFonts w:ascii="Cambria Math" w:hAnsi="Cambria Math" w:cstheme="minorHAnsi"/>
                <w:lang w:eastAsia="en-GB"/>
              </w:rPr>
              <m:t>n</m:t>
            </m:r>
          </m:den>
        </m:f>
      </m:oMath>
      <w:r w:rsidR="002708E1">
        <w:rPr>
          <w:rFonts w:asciiTheme="minorHAnsi" w:hAnsiTheme="minorHAnsi" w:cstheme="minorHAnsi"/>
          <w:lang w:eastAsia="en-GB"/>
        </w:rPr>
        <w:t xml:space="preserve"> on both sides, so again one can withdraw a little of one’s attention.  At this point, one is ready to spot the structural similarities between these expressions and the recursive definition of the </w:t>
      </w:r>
      <m:oMath>
        <m:sSub>
          <m:sSubPr>
            <m:ctrlPr>
              <w:rPr>
                <w:rFonts w:ascii="Cambria Math" w:hAnsi="Cambria Math" w:cstheme="minorHAnsi"/>
                <w:i/>
                <w:lang w:eastAsia="en-GB"/>
              </w:rPr>
            </m:ctrlPr>
          </m:sSubPr>
          <m:e>
            <m:r>
              <w:rPr>
                <w:rFonts w:ascii="Cambria Math" w:hAnsi="Cambria Math" w:cstheme="minorHAnsi"/>
                <w:lang w:eastAsia="en-GB"/>
              </w:rPr>
              <m:t>c</m:t>
            </m:r>
          </m:e>
          <m:sub>
            <m:r>
              <w:rPr>
                <w:rFonts w:ascii="Cambria Math" w:hAnsi="Cambria Math" w:cstheme="minorHAnsi"/>
                <w:lang w:eastAsia="en-GB"/>
              </w:rPr>
              <m:t>i</m:t>
            </m:r>
          </m:sub>
        </m:sSub>
      </m:oMath>
      <w:r w:rsidR="002708E1">
        <w:rPr>
          <w:rFonts w:asciiTheme="minorHAnsi" w:hAnsiTheme="minorHAnsi" w:cstheme="minorHAnsi"/>
          <w:lang w:eastAsia="en-GB"/>
        </w:rPr>
        <w:t>, and then the equation becomes trivial.  Controlled selective attention to inscriptions is essential to mathematics</w:t>
      </w:r>
      <w:r w:rsidR="00E97F4A">
        <w:rPr>
          <w:rFonts w:asciiTheme="minorHAnsi" w:hAnsiTheme="minorHAnsi" w:cstheme="minorHAnsi"/>
          <w:lang w:eastAsia="en-GB"/>
        </w:rPr>
        <w:t>.</w:t>
      </w:r>
      <w:r w:rsidR="009E2BD6">
        <w:rPr>
          <w:rFonts w:asciiTheme="minorHAnsi" w:hAnsiTheme="minorHAnsi" w:cstheme="minorHAnsi"/>
          <w:lang w:eastAsia="en-GB"/>
        </w:rPr>
        <w:t xml:space="preserve">  </w:t>
      </w:r>
      <w:r w:rsidR="00E97F4A">
        <w:rPr>
          <w:rFonts w:asciiTheme="minorHAnsi" w:hAnsiTheme="minorHAnsi" w:cstheme="minorHAnsi"/>
          <w:lang w:eastAsia="en-GB"/>
        </w:rPr>
        <w:t xml:space="preserve">It works together with rule-governed symbol manipulation to constitute the practice of algebraic argument.  This </w:t>
      </w:r>
      <w:r w:rsidR="002708E1">
        <w:rPr>
          <w:rFonts w:asciiTheme="minorHAnsi" w:hAnsiTheme="minorHAnsi" w:cstheme="minorHAnsi"/>
          <w:lang w:eastAsia="en-GB"/>
        </w:rPr>
        <w:t>expla</w:t>
      </w:r>
      <w:r w:rsidR="00E97F4A">
        <w:rPr>
          <w:rFonts w:asciiTheme="minorHAnsi" w:hAnsiTheme="minorHAnsi" w:cstheme="minorHAnsi"/>
          <w:lang w:eastAsia="en-GB"/>
        </w:rPr>
        <w:t>i</w:t>
      </w:r>
      <w:r w:rsidR="002708E1">
        <w:rPr>
          <w:rFonts w:asciiTheme="minorHAnsi" w:hAnsiTheme="minorHAnsi" w:cstheme="minorHAnsi"/>
          <w:lang w:eastAsia="en-GB"/>
        </w:rPr>
        <w:t>n</w:t>
      </w:r>
      <w:r w:rsidR="00E97F4A">
        <w:rPr>
          <w:rFonts w:asciiTheme="minorHAnsi" w:hAnsiTheme="minorHAnsi" w:cstheme="minorHAnsi"/>
          <w:lang w:eastAsia="en-GB"/>
        </w:rPr>
        <w:t>s</w:t>
      </w:r>
      <w:r w:rsidR="002708E1">
        <w:rPr>
          <w:rFonts w:asciiTheme="minorHAnsi" w:hAnsiTheme="minorHAnsi" w:cstheme="minorHAnsi"/>
          <w:lang w:eastAsia="en-GB"/>
        </w:rPr>
        <w:t xml:space="preserve"> </w:t>
      </w:r>
      <w:r w:rsidR="00E97F4A">
        <w:rPr>
          <w:rFonts w:asciiTheme="minorHAnsi" w:hAnsiTheme="minorHAnsi" w:cstheme="minorHAnsi"/>
          <w:lang w:eastAsia="en-GB"/>
        </w:rPr>
        <w:t xml:space="preserve">the </w:t>
      </w:r>
      <w:r w:rsidR="002708E1">
        <w:rPr>
          <w:rFonts w:asciiTheme="minorHAnsi" w:hAnsiTheme="minorHAnsi" w:cstheme="minorHAnsi"/>
          <w:lang w:eastAsia="en-GB"/>
        </w:rPr>
        <w:t>centrality of blackboards and whiteboards</w:t>
      </w:r>
      <w:r w:rsidR="00E97F4A">
        <w:rPr>
          <w:rFonts w:asciiTheme="minorHAnsi" w:hAnsiTheme="minorHAnsi" w:cstheme="minorHAnsi"/>
          <w:lang w:eastAsia="en-GB"/>
        </w:rPr>
        <w:t xml:space="preserve"> in mathematical life</w:t>
      </w:r>
      <w:r w:rsidR="002708E1">
        <w:rPr>
          <w:rFonts w:asciiTheme="minorHAnsi" w:hAnsiTheme="minorHAnsi" w:cstheme="minorHAnsi"/>
          <w:lang w:eastAsia="en-GB"/>
        </w:rPr>
        <w:t xml:space="preserve">.  </w:t>
      </w:r>
      <w:r w:rsidR="00E97F4A">
        <w:rPr>
          <w:rFonts w:asciiTheme="minorHAnsi" w:hAnsiTheme="minorHAnsi" w:cstheme="minorHAnsi"/>
          <w:lang w:eastAsia="en-GB"/>
        </w:rPr>
        <w:t>You cannot manipulate</w:t>
      </w:r>
      <w:r w:rsidR="00D17F94">
        <w:rPr>
          <w:rFonts w:asciiTheme="minorHAnsi" w:hAnsiTheme="minorHAnsi" w:cstheme="minorHAnsi"/>
          <w:lang w:eastAsia="en-GB"/>
        </w:rPr>
        <w:t xml:space="preserve"> expressions written on pre-prepared slides.  You cannot perform the characteristic epistemic actions of mathematics</w:t>
      </w:r>
      <w:r w:rsidR="00052AB5">
        <w:rPr>
          <w:rFonts w:asciiTheme="minorHAnsi" w:hAnsiTheme="minorHAnsi" w:cstheme="minorHAnsi"/>
          <w:lang w:eastAsia="en-GB"/>
        </w:rPr>
        <w:t xml:space="preserve"> on a fixed image</w:t>
      </w:r>
      <w:r w:rsidR="001A2013">
        <w:rPr>
          <w:rFonts w:asciiTheme="minorHAnsi" w:hAnsiTheme="minorHAnsi" w:cstheme="minorHAnsi"/>
          <w:lang w:eastAsia="en-GB"/>
        </w:rPr>
        <w:t>.</w:t>
      </w:r>
    </w:p>
    <w:p w14:paraId="20A12110" w14:textId="310648C9" w:rsidR="00CE0459" w:rsidRPr="002708E1" w:rsidRDefault="00CE0459" w:rsidP="00C74497">
      <w:pPr>
        <w:autoSpaceDE w:val="0"/>
        <w:autoSpaceDN w:val="0"/>
        <w:adjustRightInd w:val="0"/>
        <w:spacing w:after="120"/>
        <w:rPr>
          <w:rFonts w:asciiTheme="minorHAnsi" w:hAnsiTheme="minorHAnsi" w:cstheme="minorHAnsi"/>
        </w:rPr>
      </w:pPr>
      <w:r>
        <w:rPr>
          <w:rFonts w:asciiTheme="minorHAnsi" w:hAnsiTheme="minorHAnsi" w:cstheme="minorHAnsi"/>
        </w:rPr>
        <w:t>Menary gestur</w:t>
      </w:r>
      <w:r w:rsidR="00997B9D">
        <w:rPr>
          <w:rFonts w:asciiTheme="minorHAnsi" w:hAnsiTheme="minorHAnsi" w:cstheme="minorHAnsi"/>
        </w:rPr>
        <w:t xml:space="preserve">es towards a third feature of mathematical representations with </w:t>
      </w:r>
      <w:r>
        <w:rPr>
          <w:rFonts w:asciiTheme="minorHAnsi" w:hAnsiTheme="minorHAnsi" w:cstheme="minorHAnsi"/>
        </w:rPr>
        <w:t>his observation that, “</w:t>
      </w:r>
      <w:r w:rsidRPr="00204FBF">
        <w:rPr>
          <w:rFonts w:asciiTheme="minorHAnsi" w:eastAsia="LMRoman10-Regular" w:hAnsiTheme="minorHAnsi" w:cstheme="minorHAnsi"/>
          <w:lang w:eastAsia="en-GB"/>
        </w:rPr>
        <w:t>A further issue is how novelty comes about from the ability to abstractly combine</w:t>
      </w:r>
      <w:r>
        <w:rPr>
          <w:rFonts w:asciiTheme="minorHAnsi" w:eastAsia="LMRoman10-Regular" w:hAnsiTheme="minorHAnsi" w:cstheme="minorHAnsi"/>
          <w:lang w:eastAsia="en-GB"/>
        </w:rPr>
        <w:t xml:space="preserve"> </w:t>
      </w:r>
      <w:r w:rsidRPr="00204FBF">
        <w:rPr>
          <w:rFonts w:asciiTheme="minorHAnsi" w:eastAsia="LMRoman10-Regular" w:hAnsiTheme="minorHAnsi" w:cstheme="minorHAnsi"/>
          <w:lang w:eastAsia="en-GB"/>
        </w:rPr>
        <w:t>symbols and functions that apply to the symbols.</w:t>
      </w:r>
      <w:r>
        <w:rPr>
          <w:rFonts w:asciiTheme="minorHAnsi" w:eastAsia="LMRoman10-Regular" w:hAnsiTheme="minorHAnsi" w:cstheme="minorHAnsi"/>
          <w:lang w:eastAsia="en-GB"/>
        </w:rPr>
        <w:t>”</w:t>
      </w:r>
      <w:r w:rsidRPr="00204FBF">
        <w:rPr>
          <w:rFonts w:asciiTheme="minorHAnsi" w:eastAsia="LMRoman10-Regular" w:hAnsiTheme="minorHAnsi" w:cstheme="minorHAnsi"/>
          <w:lang w:eastAsia="en-GB"/>
        </w:rPr>
        <w:t xml:space="preserve">  (</w:t>
      </w:r>
      <w:r>
        <w:rPr>
          <w:rFonts w:asciiTheme="minorHAnsi" w:eastAsia="LMRoman10-Regular" w:hAnsiTheme="minorHAnsi" w:cstheme="minorHAnsi"/>
          <w:i/>
          <w:lang w:eastAsia="en-GB"/>
        </w:rPr>
        <w:t xml:space="preserve">Op. cit. </w:t>
      </w:r>
      <w:r w:rsidRPr="00204FBF">
        <w:rPr>
          <w:rFonts w:asciiTheme="minorHAnsi" w:eastAsia="LMRoman10-Regular" w:hAnsiTheme="minorHAnsi" w:cstheme="minorHAnsi"/>
          <w:lang w:eastAsia="en-GB"/>
        </w:rPr>
        <w:t>p. 15).</w:t>
      </w:r>
      <w:r>
        <w:rPr>
          <w:rFonts w:asciiTheme="minorHAnsi" w:eastAsia="LMRoman10-Regular" w:hAnsiTheme="minorHAnsi" w:cstheme="minorHAnsi"/>
          <w:lang w:eastAsia="en-GB"/>
        </w:rPr>
        <w:t xml:space="preserve">  This has many dimensions.  Sometimes, the symbolic expressions are suggestive (as in, for example, the structural similarity between a binomial expansion and </w:t>
      </w:r>
      <w:r w:rsidR="00455C07">
        <w:rPr>
          <w:rFonts w:asciiTheme="minorHAnsi" w:eastAsia="LMRoman10-Regular" w:hAnsiTheme="minorHAnsi" w:cstheme="minorHAnsi"/>
          <w:lang w:eastAsia="en-GB"/>
        </w:rPr>
        <w:t>Leibniz’s</w:t>
      </w:r>
      <w:r>
        <w:rPr>
          <w:rFonts w:asciiTheme="minorHAnsi" w:eastAsia="LMRoman10-Regular" w:hAnsiTheme="minorHAnsi" w:cstheme="minorHAnsi"/>
          <w:lang w:eastAsia="en-GB"/>
        </w:rPr>
        <w:t xml:space="preserve"> general rule for </w:t>
      </w:r>
      <w:r w:rsidR="00455C07">
        <w:rPr>
          <w:rFonts w:asciiTheme="minorHAnsi" w:eastAsia="LMRoman10-Regular" w:hAnsiTheme="minorHAnsi" w:cstheme="minorHAnsi"/>
          <w:lang w:eastAsia="en-GB"/>
        </w:rPr>
        <w:t xml:space="preserve">repeated </w:t>
      </w:r>
      <w:r>
        <w:rPr>
          <w:rFonts w:asciiTheme="minorHAnsi" w:eastAsia="LMRoman10-Regular" w:hAnsiTheme="minorHAnsi" w:cstheme="minorHAnsi"/>
          <w:lang w:eastAsia="en-GB"/>
        </w:rPr>
        <w:t>differentiation</w:t>
      </w:r>
      <w:r w:rsidR="0033445C">
        <w:rPr>
          <w:rFonts w:asciiTheme="minorHAnsi" w:eastAsia="LMRoman10-Regular" w:hAnsiTheme="minorHAnsi" w:cstheme="minorHAnsi"/>
          <w:lang w:eastAsia="en-GB"/>
        </w:rPr>
        <w:t xml:space="preserve"> of a product</w:t>
      </w:r>
      <w:r>
        <w:rPr>
          <w:rFonts w:asciiTheme="minorHAnsi" w:eastAsia="LMRoman10-Regular" w:hAnsiTheme="minorHAnsi" w:cstheme="minorHAnsi"/>
          <w:lang w:eastAsia="en-GB"/>
        </w:rPr>
        <w:t>)</w:t>
      </w:r>
      <w:r w:rsidR="00997B9D">
        <w:rPr>
          <w:rFonts w:asciiTheme="minorHAnsi" w:eastAsia="LMRoman10-Regular" w:hAnsiTheme="minorHAnsi" w:cstheme="minorHAnsi"/>
          <w:lang w:eastAsia="en-GB"/>
        </w:rPr>
        <w:t>.</w:t>
      </w:r>
      <w:r w:rsidR="00521A68">
        <w:rPr>
          <w:rStyle w:val="FootnoteReference"/>
          <w:rFonts w:asciiTheme="minorHAnsi" w:eastAsia="LMRoman10-Regular" w:hAnsiTheme="minorHAnsi" w:cstheme="minorHAnsi"/>
          <w:lang w:eastAsia="en-GB"/>
        </w:rPr>
        <w:footnoteReference w:id="23"/>
      </w:r>
      <w:r>
        <w:rPr>
          <w:rFonts w:asciiTheme="minorHAnsi" w:eastAsia="LMRoman10-Regular" w:hAnsiTheme="minorHAnsi" w:cstheme="minorHAnsi"/>
          <w:lang w:eastAsia="en-GB"/>
        </w:rPr>
        <w:t xml:space="preserve"> </w:t>
      </w:r>
      <w:r w:rsidR="00997B9D">
        <w:rPr>
          <w:rFonts w:asciiTheme="minorHAnsi" w:eastAsia="LMRoman10-Regular" w:hAnsiTheme="minorHAnsi" w:cstheme="minorHAnsi"/>
          <w:lang w:eastAsia="en-GB"/>
        </w:rPr>
        <w:t xml:space="preserve"> S</w:t>
      </w:r>
      <w:r>
        <w:rPr>
          <w:rFonts w:asciiTheme="minorHAnsi" w:eastAsia="LMRoman10-Regular" w:hAnsiTheme="minorHAnsi" w:cstheme="minorHAnsi"/>
          <w:lang w:eastAsia="en-GB"/>
        </w:rPr>
        <w:t>ometimes they become objects of mathematical enquiry in their own right</w:t>
      </w:r>
      <w:r w:rsidR="00266865">
        <w:rPr>
          <w:rFonts w:asciiTheme="minorHAnsi" w:eastAsia="LMRoman10-Regular" w:hAnsiTheme="minorHAnsi" w:cstheme="minorHAnsi"/>
          <w:lang w:eastAsia="en-GB"/>
        </w:rPr>
        <w:t>.</w:t>
      </w:r>
    </w:p>
    <w:p w14:paraId="6995F62D" w14:textId="4CA6DA38" w:rsidR="002E48A6" w:rsidRDefault="009E2BD6" w:rsidP="00C74497">
      <w:pPr>
        <w:autoSpaceDE w:val="0"/>
        <w:autoSpaceDN w:val="0"/>
        <w:adjustRightInd w:val="0"/>
        <w:spacing w:after="120"/>
      </w:pPr>
      <w:r>
        <w:rPr>
          <w:rFonts w:asciiTheme="minorHAnsi" w:hAnsiTheme="minorHAnsi" w:cstheme="minorHAnsi"/>
        </w:rPr>
        <w:t xml:space="preserve">To see something of the </w:t>
      </w:r>
      <w:r w:rsidR="003C73FA">
        <w:rPr>
          <w:rFonts w:asciiTheme="minorHAnsi" w:hAnsiTheme="minorHAnsi" w:cstheme="minorHAnsi"/>
        </w:rPr>
        <w:t>deeper</w:t>
      </w:r>
      <w:r w:rsidR="001674AC">
        <w:rPr>
          <w:rFonts w:asciiTheme="minorHAnsi" w:hAnsiTheme="minorHAnsi" w:cstheme="minorHAnsi"/>
        </w:rPr>
        <w:t xml:space="preserve"> creative </w:t>
      </w:r>
      <w:r>
        <w:rPr>
          <w:rFonts w:asciiTheme="minorHAnsi" w:hAnsiTheme="minorHAnsi" w:cstheme="minorHAnsi"/>
        </w:rPr>
        <w:t xml:space="preserve">role of symbols in mathematics, note that equations written in algebraic notation became an object of study almost immediately.  Descartes noticed that there is a relationship between the number of </w:t>
      </w:r>
      <w:r w:rsidR="003C73FA">
        <w:rPr>
          <w:rFonts w:asciiTheme="minorHAnsi" w:hAnsiTheme="minorHAnsi" w:cstheme="minorHAnsi"/>
        </w:rPr>
        <w:t xml:space="preserve">positive roots of a polynomial equation with one variable and the number of times the sign of the coefficients changes (assuming the equation is written in the usual way, with all the terms on one side, and the powers of the variable in descending order).  The rule states that </w:t>
      </w:r>
      <w:r w:rsidR="003C73FA">
        <w:t xml:space="preserve">the number of positive </w:t>
      </w:r>
      <w:r w:rsidR="003C73FA" w:rsidRPr="003C73FA">
        <w:t>roots</w:t>
      </w:r>
      <w:r w:rsidR="003C73FA">
        <w:t xml:space="preserve"> of the equation is either equal to the number of sign changes between consecutive non-zero coefficients or is less than it by an even number.  For example,</w:t>
      </w:r>
      <w:r w:rsidR="003C73FA">
        <w:br/>
      </w:r>
      <m:oMathPara>
        <m:oMathParaPr>
          <m:jc m:val="center"/>
        </m:oMathParaPr>
        <m:oMath>
          <m:r>
            <w:rPr>
              <w:rFonts w:ascii="Cambria Math" w:hAnsi="Cambria Math"/>
            </w:rPr>
            <m:t>0=</m:t>
          </m:r>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+3</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-x-7</m:t>
          </m:r>
          <m:r>
            <m:rPr>
              <m:sty m:val="p"/>
            </m:rPr>
            <w:br/>
          </m:r>
        </m:oMath>
      </m:oMathPara>
      <w:r w:rsidR="003C73FA">
        <w:t xml:space="preserve">has just one change of sign (between the </w:t>
      </w:r>
      <m:oMath>
        <m:sSup>
          <m:sSupPr>
            <m:ctrlPr>
              <w:rPr>
                <w:rFonts w:ascii="Cambria Math" w:hAnsi="Cambria Math"/>
                <w:i/>
              </w:rPr>
            </m:ctrlPr>
          </m:sSupPr>
          <m:e>
            <m:r>
              <w:rPr>
                <w:rFonts w:ascii="Cambria Math" w:hAnsi="Cambria Math"/>
              </w:rPr>
              <m:t>x</m:t>
            </m:r>
          </m:e>
          <m:sup>
            <m:r>
              <w:rPr>
                <w:rFonts w:ascii="Cambria Math" w:hAnsi="Cambria Math"/>
              </w:rPr>
              <m:t>2</m:t>
            </m:r>
          </m:sup>
        </m:sSup>
      </m:oMath>
      <w:r w:rsidR="003C73FA">
        <w:t xml:space="preserve"> and the </w:t>
      </w:r>
      <m:oMath>
        <m:r>
          <w:rPr>
            <w:rFonts w:ascii="Cambria Math" w:hAnsi="Cambria Math"/>
          </w:rPr>
          <m:t>x</m:t>
        </m:r>
      </m:oMath>
      <w:r w:rsidR="003C73FA">
        <w:t xml:space="preserve">), so it has precisely one positive root.  There is a corresponding rule to work out how many negative roots the equation has.  It is unlikely that this would have been discovered before the </w:t>
      </w:r>
      <w:r w:rsidR="00615991">
        <w:t>invention of the new notation.</w:t>
      </w:r>
      <w:r w:rsidR="00373407">
        <w:rPr>
          <w:rStyle w:val="FootnoteReference"/>
        </w:rPr>
        <w:footnoteReference w:id="24"/>
      </w:r>
      <w:r w:rsidR="00615991">
        <w:t xml:space="preserve">  It is typical of mathematics that tools, notations and processes become objects of mathematical study.  </w:t>
      </w:r>
    </w:p>
    <w:p w14:paraId="7C7EBDDB" w14:textId="5A7A4DD1" w:rsidR="00526EF3" w:rsidRDefault="00615991" w:rsidP="004517D4">
      <w:pPr>
        <w:autoSpaceDE w:val="0"/>
        <w:autoSpaceDN w:val="0"/>
        <w:adjustRightInd w:val="0"/>
        <w:spacing w:after="120"/>
        <w:rPr>
          <w:rFonts w:asciiTheme="minorHAnsi" w:eastAsia="LMRoman10-Regular" w:hAnsiTheme="minorHAnsi" w:cstheme="minorHAnsi"/>
          <w:lang w:eastAsia="en-GB"/>
        </w:rPr>
      </w:pPr>
      <w:r>
        <w:rPr>
          <w:rFonts w:asciiTheme="minorHAnsi" w:hAnsiTheme="minorHAnsi" w:cstheme="minorHAnsi"/>
        </w:rPr>
        <w:t xml:space="preserve">Descartes’s rule calculates the number of real roots, but some equations have complex roots.  If we </w:t>
      </w:r>
      <w:r w:rsidR="009852AA">
        <w:rPr>
          <w:rFonts w:asciiTheme="minorHAnsi" w:hAnsiTheme="minorHAnsi" w:cstheme="minorHAnsi"/>
        </w:rPr>
        <w:t xml:space="preserve">consider all the solutions to a polynomial </w:t>
      </w:r>
      <w:r>
        <w:rPr>
          <w:rFonts w:asciiTheme="minorHAnsi" w:hAnsiTheme="minorHAnsi" w:cstheme="minorHAnsi"/>
        </w:rPr>
        <w:t>equation</w:t>
      </w:r>
      <w:r w:rsidR="00534CC4">
        <w:rPr>
          <w:rFonts w:asciiTheme="minorHAnsi" w:hAnsiTheme="minorHAnsi" w:cstheme="minorHAnsi"/>
        </w:rPr>
        <w:t xml:space="preserve"> in one variable</w:t>
      </w:r>
      <w:r>
        <w:rPr>
          <w:rFonts w:asciiTheme="minorHAnsi" w:hAnsiTheme="minorHAnsi" w:cstheme="minorHAnsi"/>
        </w:rPr>
        <w:t xml:space="preserve">, real and complex, it is possible to write </w:t>
      </w:r>
      <w:r w:rsidR="00CA5E63">
        <w:rPr>
          <w:rFonts w:asciiTheme="minorHAnsi" w:hAnsiTheme="minorHAnsi" w:cstheme="minorHAnsi"/>
        </w:rPr>
        <w:t>any</w:t>
      </w:r>
      <w:r>
        <w:rPr>
          <w:rFonts w:asciiTheme="minorHAnsi" w:hAnsiTheme="minorHAnsi" w:cstheme="minorHAnsi"/>
        </w:rPr>
        <w:t xml:space="preserve"> </w:t>
      </w:r>
      <w:r w:rsidR="00534CC4">
        <w:rPr>
          <w:rFonts w:asciiTheme="minorHAnsi" w:hAnsiTheme="minorHAnsi" w:cstheme="minorHAnsi"/>
        </w:rPr>
        <w:t xml:space="preserve">such </w:t>
      </w:r>
      <w:r w:rsidR="00CA5E63">
        <w:rPr>
          <w:rFonts w:asciiTheme="minorHAnsi" w:hAnsiTheme="minorHAnsi" w:cstheme="minorHAnsi"/>
        </w:rPr>
        <w:t xml:space="preserve">polynomial </w:t>
      </w:r>
      <w:r>
        <w:rPr>
          <w:rFonts w:asciiTheme="minorHAnsi" w:hAnsiTheme="minorHAnsi" w:cstheme="minorHAnsi"/>
        </w:rPr>
        <w:t xml:space="preserve">equation like this: </w:t>
      </w:r>
      <m:oMath>
        <m:r>
          <w:rPr>
            <w:rFonts w:ascii="Cambria Math" w:hAnsi="Cambria Math" w:cstheme="minorHAnsi"/>
          </w:rPr>
          <m:t>f</m:t>
        </m:r>
        <m:d>
          <m:dPr>
            <m:ctrlPr>
              <w:rPr>
                <w:rFonts w:ascii="Cambria Math" w:hAnsi="Cambria Math" w:cstheme="minorHAnsi"/>
                <w:i/>
              </w:rPr>
            </m:ctrlPr>
          </m:dPr>
          <m:e>
            <m:r>
              <w:rPr>
                <w:rFonts w:ascii="Cambria Math" w:hAnsi="Cambria Math" w:cstheme="minorHAnsi"/>
              </w:rPr>
              <m:t>x</m:t>
            </m:r>
          </m:e>
        </m:d>
        <m:r>
          <w:rPr>
            <w:rFonts w:ascii="Cambria Math" w:hAnsi="Cambria Math" w:cstheme="minorHAnsi"/>
          </w:rPr>
          <m:t>=</m:t>
        </m:r>
        <m:d>
          <m:dPr>
            <m:ctrlPr>
              <w:rPr>
                <w:rFonts w:ascii="Cambria Math" w:hAnsi="Cambria Math" w:cstheme="minorHAnsi"/>
                <w:i/>
              </w:rPr>
            </m:ctrlPr>
          </m:dPr>
          <m:e>
            <m:r>
              <w:rPr>
                <w:rFonts w:ascii="Cambria Math" w:hAnsi="Cambria Math" w:cstheme="minorHAnsi"/>
              </w:rPr>
              <m:t>x-α</m:t>
            </m:r>
          </m:e>
        </m:d>
        <m:d>
          <m:dPr>
            <m:ctrlPr>
              <w:rPr>
                <w:rFonts w:ascii="Cambria Math" w:hAnsi="Cambria Math" w:cstheme="minorHAnsi"/>
                <w:i/>
              </w:rPr>
            </m:ctrlPr>
          </m:dPr>
          <m:e>
            <m:r>
              <w:rPr>
                <w:rFonts w:ascii="Cambria Math" w:hAnsi="Cambria Math" w:cstheme="minorHAnsi"/>
              </w:rPr>
              <m:t>x-β</m:t>
            </m:r>
          </m:e>
        </m:d>
        <m:r>
          <w:rPr>
            <w:rFonts w:ascii="Cambria Math" w:hAnsi="Cambria Math" w:cstheme="minorHAnsi"/>
          </w:rPr>
          <m:t>(x-γ)…(x-σ)</m:t>
        </m:r>
      </m:oMath>
      <w:r>
        <w:rPr>
          <w:rFonts w:asciiTheme="minorHAnsi" w:hAnsiTheme="minorHAnsi" w:cstheme="minorHAnsi"/>
        </w:rPr>
        <w:t xml:space="preserve"> where the </w:t>
      </w:r>
      <w:r>
        <w:rPr>
          <w:rFonts w:asciiTheme="minorHAnsi" w:hAnsiTheme="minorHAnsi" w:cstheme="minorHAnsi"/>
        </w:rPr>
        <w:lastRenderedPageBreak/>
        <w:t xml:space="preserve">Greek letters are the roots.  The symmetry </w:t>
      </w:r>
      <w:r w:rsidR="004517D4">
        <w:rPr>
          <w:rFonts w:asciiTheme="minorHAnsi" w:hAnsiTheme="minorHAnsi" w:cstheme="minorHAnsi"/>
        </w:rPr>
        <w:t xml:space="preserve">of this expression </w:t>
      </w:r>
      <w:r>
        <w:rPr>
          <w:rFonts w:asciiTheme="minorHAnsi" w:hAnsiTheme="minorHAnsi" w:cstheme="minorHAnsi"/>
        </w:rPr>
        <w:t>is obvious and because multiplication of complex numbers is commutative, we could re-order the factors without altering the equation.  The tool for studying symmetr</w:t>
      </w:r>
      <w:r w:rsidR="0019359E">
        <w:rPr>
          <w:rFonts w:asciiTheme="minorHAnsi" w:hAnsiTheme="minorHAnsi" w:cstheme="minorHAnsi"/>
        </w:rPr>
        <w:t>ies and permutations</w:t>
      </w:r>
      <w:r>
        <w:rPr>
          <w:rFonts w:asciiTheme="minorHAnsi" w:hAnsiTheme="minorHAnsi" w:cstheme="minorHAnsi"/>
        </w:rPr>
        <w:t xml:space="preserve"> is group theory, because the set of permutations of some collection of objects </w:t>
      </w:r>
      <w:r w:rsidR="00CA5E63">
        <w:rPr>
          <w:rFonts w:asciiTheme="minorHAnsi" w:hAnsiTheme="minorHAnsi" w:cstheme="minorHAnsi"/>
        </w:rPr>
        <w:t>is an algebraic group.  For example, if we have three objects, there are six ways of shuffling them (including the null-shuffle that leaves them all exactly where they are).  These six possible shuffles of three objects form an algebraic group</w:t>
      </w:r>
      <w:r w:rsidR="004517D4">
        <w:rPr>
          <w:rFonts w:asciiTheme="minorHAnsi" w:hAnsiTheme="minorHAnsi" w:cstheme="minorHAnsi"/>
        </w:rPr>
        <w:t xml:space="preserve">, because two shuffles can be </w:t>
      </w:r>
      <w:r w:rsidR="009852AA">
        <w:rPr>
          <w:rFonts w:asciiTheme="minorHAnsi" w:hAnsiTheme="minorHAnsi" w:cstheme="minorHAnsi"/>
        </w:rPr>
        <w:t xml:space="preserve">combined (that is, </w:t>
      </w:r>
      <w:r w:rsidR="004517D4">
        <w:rPr>
          <w:rFonts w:asciiTheme="minorHAnsi" w:hAnsiTheme="minorHAnsi" w:cstheme="minorHAnsi"/>
        </w:rPr>
        <w:t>carried out in sequence</w:t>
      </w:r>
      <w:r w:rsidR="009852AA">
        <w:rPr>
          <w:rFonts w:asciiTheme="minorHAnsi" w:hAnsiTheme="minorHAnsi" w:cstheme="minorHAnsi"/>
        </w:rPr>
        <w:t>)</w:t>
      </w:r>
      <w:r w:rsidR="004517D4">
        <w:rPr>
          <w:rFonts w:asciiTheme="minorHAnsi" w:hAnsiTheme="minorHAnsi" w:cstheme="minorHAnsi"/>
        </w:rPr>
        <w:t xml:space="preserve"> to create a third shuffle</w:t>
      </w:r>
      <w:r w:rsidR="00CA5E63">
        <w:rPr>
          <w:rFonts w:asciiTheme="minorHAnsi" w:hAnsiTheme="minorHAnsi" w:cstheme="minorHAnsi"/>
        </w:rPr>
        <w:t xml:space="preserve">.  In the </w:t>
      </w:r>
      <w:r w:rsidR="00E314F0">
        <w:rPr>
          <w:rFonts w:asciiTheme="minorHAnsi" w:hAnsiTheme="minorHAnsi" w:cstheme="minorHAnsi"/>
        </w:rPr>
        <w:t>19</w:t>
      </w:r>
      <w:r w:rsidR="00E314F0" w:rsidRPr="00E314F0">
        <w:rPr>
          <w:rFonts w:asciiTheme="minorHAnsi" w:hAnsiTheme="minorHAnsi" w:cstheme="minorHAnsi"/>
          <w:vertAlign w:val="superscript"/>
        </w:rPr>
        <w:t>th</w:t>
      </w:r>
      <w:r w:rsidR="00CA5E63">
        <w:rPr>
          <w:rFonts w:asciiTheme="minorHAnsi" w:hAnsiTheme="minorHAnsi" w:cstheme="minorHAnsi"/>
        </w:rPr>
        <w:t xml:space="preserve"> century, Évariste Galois </w:t>
      </w:r>
      <w:r w:rsidR="004517D4">
        <w:rPr>
          <w:rFonts w:asciiTheme="minorHAnsi" w:hAnsiTheme="minorHAnsi" w:cstheme="minorHAnsi"/>
        </w:rPr>
        <w:t xml:space="preserve">(1811-1832) </w:t>
      </w:r>
      <w:r w:rsidR="00CA5E63">
        <w:rPr>
          <w:rFonts w:asciiTheme="minorHAnsi" w:hAnsiTheme="minorHAnsi" w:cstheme="minorHAnsi"/>
        </w:rPr>
        <w:t>developed an approach to the study of equations based on group-theoretic study</w:t>
      </w:r>
      <w:r w:rsidR="00E54524">
        <w:rPr>
          <w:rStyle w:val="FootnoteReference"/>
          <w:rFonts w:asciiTheme="minorHAnsi" w:hAnsiTheme="minorHAnsi" w:cstheme="minorHAnsi"/>
        </w:rPr>
        <w:footnoteReference w:id="25"/>
      </w:r>
      <w:r w:rsidR="00CA5E63">
        <w:rPr>
          <w:rFonts w:asciiTheme="minorHAnsi" w:hAnsiTheme="minorHAnsi" w:cstheme="minorHAnsi"/>
        </w:rPr>
        <w:t xml:space="preserve"> of the permutations of </w:t>
      </w:r>
      <w:r w:rsidR="009852AA">
        <w:rPr>
          <w:rFonts w:asciiTheme="minorHAnsi" w:hAnsiTheme="minorHAnsi" w:cstheme="minorHAnsi"/>
        </w:rPr>
        <w:t xml:space="preserve">the </w:t>
      </w:r>
      <w:r w:rsidR="00CA5E63">
        <w:rPr>
          <w:rFonts w:asciiTheme="minorHAnsi" w:hAnsiTheme="minorHAnsi" w:cstheme="minorHAnsi"/>
        </w:rPr>
        <w:t xml:space="preserve">roots </w:t>
      </w:r>
      <w:r w:rsidR="009852AA">
        <w:rPr>
          <w:rFonts w:asciiTheme="minorHAnsi" w:hAnsiTheme="minorHAnsi" w:cstheme="minorHAnsi"/>
        </w:rPr>
        <w:t xml:space="preserve">of polynomials </w:t>
      </w:r>
      <w:r w:rsidR="00CA5E63">
        <w:rPr>
          <w:rFonts w:asciiTheme="minorHAnsi" w:hAnsiTheme="minorHAnsi" w:cstheme="minorHAnsi"/>
        </w:rPr>
        <w:t xml:space="preserve">that led to (among other things) the solution to a long-standing question.  Mathematicians had found </w:t>
      </w:r>
      <w:r w:rsidR="004517D4">
        <w:rPr>
          <w:rFonts w:asciiTheme="minorHAnsi" w:hAnsiTheme="minorHAnsi" w:cstheme="minorHAnsi"/>
        </w:rPr>
        <w:t xml:space="preserve">general solutions in radicals for polynomials of degree two, three, and four—but then the progress stopped.  Galois’s work on the group structure of permutations of roots of polynomials resulted in a proof that there can be no solutions in radicals for polynomials of degree higher than four.  Here again, </w:t>
      </w:r>
      <w:r w:rsidR="00F34F04">
        <w:rPr>
          <w:rFonts w:asciiTheme="minorHAnsi" w:hAnsiTheme="minorHAnsi" w:cstheme="minorHAnsi"/>
        </w:rPr>
        <w:t>a tool has become an object of study, and the notation plays an essential role in that process</w:t>
      </w:r>
      <w:r w:rsidR="008B4B6D">
        <w:rPr>
          <w:rFonts w:asciiTheme="minorHAnsi" w:eastAsia="LMRoman10-Regular" w:hAnsiTheme="minorHAnsi" w:cstheme="minorHAnsi"/>
          <w:lang w:eastAsia="en-GB"/>
        </w:rPr>
        <w:t xml:space="preserve">.  </w:t>
      </w:r>
    </w:p>
    <w:p w14:paraId="1C47D7EF" w14:textId="616CEED5" w:rsidR="00526EF3" w:rsidRDefault="00526EF3" w:rsidP="004517D4">
      <w:pPr>
        <w:autoSpaceDE w:val="0"/>
        <w:autoSpaceDN w:val="0"/>
        <w:adjustRightInd w:val="0"/>
        <w:spacing w:after="120"/>
        <w:rPr>
          <w:rFonts w:asciiTheme="minorHAnsi" w:eastAsia="LMRoman10-Regular" w:hAnsiTheme="minorHAnsi" w:cstheme="minorHAnsi"/>
          <w:lang w:eastAsia="en-GB"/>
        </w:rPr>
      </w:pPr>
      <w:r>
        <w:rPr>
          <w:rFonts w:asciiTheme="minorHAnsi" w:eastAsia="LMRoman10-Regular" w:hAnsiTheme="minorHAnsi" w:cstheme="minorHAnsi"/>
          <w:lang w:eastAsia="en-GB"/>
        </w:rPr>
        <w:t xml:space="preserve">For another example, also from </w:t>
      </w:r>
      <w:r w:rsidR="00E314F0">
        <w:rPr>
          <w:rFonts w:asciiTheme="minorHAnsi" w:eastAsia="LMRoman10-Regular" w:hAnsiTheme="minorHAnsi" w:cstheme="minorHAnsi"/>
          <w:lang w:eastAsia="en-GB"/>
        </w:rPr>
        <w:t>19</w:t>
      </w:r>
      <w:r w:rsidR="00E314F0" w:rsidRPr="00E314F0">
        <w:rPr>
          <w:rFonts w:asciiTheme="minorHAnsi" w:eastAsia="LMRoman10-Regular" w:hAnsiTheme="minorHAnsi" w:cstheme="minorHAnsi"/>
          <w:vertAlign w:val="superscript"/>
          <w:lang w:eastAsia="en-GB"/>
        </w:rPr>
        <w:t>th</w:t>
      </w:r>
      <w:r w:rsidR="00E314F0">
        <w:rPr>
          <w:rFonts w:asciiTheme="minorHAnsi" w:eastAsia="LMRoman10-Regular" w:hAnsiTheme="minorHAnsi" w:cstheme="minorHAnsi"/>
          <w:lang w:eastAsia="en-GB"/>
        </w:rPr>
        <w:t xml:space="preserve"> </w:t>
      </w:r>
      <w:r>
        <w:rPr>
          <w:rFonts w:asciiTheme="minorHAnsi" w:eastAsia="LMRoman10-Regular" w:hAnsiTheme="minorHAnsi" w:cstheme="minorHAnsi"/>
          <w:lang w:eastAsia="en-GB"/>
        </w:rPr>
        <w:t xml:space="preserve">century algebra, consider Cayley graphs of finitely generated groups.  </w:t>
      </w:r>
      <w:r w:rsidR="006448D0">
        <w:rPr>
          <w:rFonts w:asciiTheme="minorHAnsi" w:eastAsia="LMRoman10-Regular" w:hAnsiTheme="minorHAnsi" w:cstheme="minorHAnsi"/>
          <w:lang w:eastAsia="en-GB"/>
        </w:rPr>
        <w:t xml:space="preserve">This is a way of picturing </w:t>
      </w:r>
      <w:r w:rsidR="00C83EBD">
        <w:rPr>
          <w:rFonts w:asciiTheme="minorHAnsi" w:eastAsia="LMRoman10-Regular" w:hAnsiTheme="minorHAnsi" w:cstheme="minorHAnsi"/>
          <w:lang w:eastAsia="en-GB"/>
        </w:rPr>
        <w:t xml:space="preserve">groups </w:t>
      </w:r>
      <w:r w:rsidR="0008778E">
        <w:rPr>
          <w:rFonts w:asciiTheme="minorHAnsi" w:eastAsia="LMRoman10-Regular" w:hAnsiTheme="minorHAnsi" w:cstheme="minorHAnsi"/>
          <w:lang w:eastAsia="en-GB"/>
        </w:rPr>
        <w:t xml:space="preserve">in diagrams that are themselves mathematical objects.  </w:t>
      </w:r>
      <w:r w:rsidR="00266663">
        <w:rPr>
          <w:rFonts w:asciiTheme="minorHAnsi" w:eastAsia="LMRoman10-Regular" w:hAnsiTheme="minorHAnsi" w:cstheme="minorHAnsi"/>
          <w:lang w:eastAsia="en-GB"/>
        </w:rPr>
        <w:t xml:space="preserve">Each element of the </w:t>
      </w:r>
      <w:r w:rsidR="00411844">
        <w:rPr>
          <w:rFonts w:asciiTheme="minorHAnsi" w:eastAsia="LMRoman10-Regular" w:hAnsiTheme="minorHAnsi" w:cstheme="minorHAnsi"/>
          <w:lang w:eastAsia="en-GB"/>
        </w:rPr>
        <w:t xml:space="preserve">group appears as a node in the graph, and the edges of the graph are the </w:t>
      </w:r>
      <w:r w:rsidR="00FA6A25">
        <w:rPr>
          <w:rFonts w:asciiTheme="minorHAnsi" w:eastAsia="LMRoman10-Regular" w:hAnsiTheme="minorHAnsi" w:cstheme="minorHAnsi"/>
          <w:lang w:eastAsia="en-GB"/>
        </w:rPr>
        <w:t xml:space="preserve">generating elements that </w:t>
      </w:r>
      <w:r w:rsidR="00027690">
        <w:rPr>
          <w:rFonts w:asciiTheme="minorHAnsi" w:eastAsia="LMRoman10-Regular" w:hAnsiTheme="minorHAnsi" w:cstheme="minorHAnsi"/>
          <w:lang w:eastAsia="en-GB"/>
        </w:rPr>
        <w:t xml:space="preserve">get you from one node to the next (distinguished by colours and arrows).  For example, </w:t>
      </w:r>
      <w:r w:rsidR="00CF57C5">
        <w:rPr>
          <w:rFonts w:asciiTheme="minorHAnsi" w:eastAsia="LMRoman10-Regular" w:hAnsiTheme="minorHAnsi" w:cstheme="minorHAnsi"/>
          <w:lang w:eastAsia="en-GB"/>
        </w:rPr>
        <w:t xml:space="preserve">the </w:t>
      </w:r>
      <w:r w:rsidR="00027690">
        <w:rPr>
          <w:rFonts w:asciiTheme="minorHAnsi" w:eastAsia="LMRoman10-Regular" w:hAnsiTheme="minorHAnsi" w:cstheme="minorHAnsi"/>
          <w:lang w:eastAsia="en-GB"/>
        </w:rPr>
        <w:t xml:space="preserve">rotations of </w:t>
      </w:r>
      <w:r w:rsidR="00CF57C5">
        <w:rPr>
          <w:rFonts w:asciiTheme="minorHAnsi" w:eastAsia="LMRoman10-Regular" w:hAnsiTheme="minorHAnsi" w:cstheme="minorHAnsi"/>
          <w:lang w:eastAsia="en-GB"/>
        </w:rPr>
        <w:t>an equilateral triangle</w:t>
      </w:r>
      <w:r w:rsidR="005201CB">
        <w:rPr>
          <w:rFonts w:asciiTheme="minorHAnsi" w:eastAsia="LMRoman10-Regular" w:hAnsiTheme="minorHAnsi" w:cstheme="minorHAnsi"/>
          <w:lang w:eastAsia="en-GB"/>
        </w:rPr>
        <w:t xml:space="preserve"> form a group called C</w:t>
      </w:r>
      <w:r w:rsidR="00FF41B3" w:rsidRPr="00FF41B3">
        <w:rPr>
          <w:rFonts w:asciiTheme="minorHAnsi" w:eastAsia="LMRoman10-Regular" w:hAnsiTheme="minorHAnsi" w:cstheme="minorHAnsi"/>
          <w:vertAlign w:val="subscript"/>
          <w:lang w:eastAsia="en-GB"/>
        </w:rPr>
        <w:t>3</w:t>
      </w:r>
      <w:r w:rsidR="004F76DA">
        <w:rPr>
          <w:rFonts w:asciiTheme="minorHAnsi" w:eastAsia="LMRoman10-Regular" w:hAnsiTheme="minorHAnsi" w:cstheme="minorHAnsi"/>
          <w:lang w:eastAsia="en-GB"/>
        </w:rPr>
        <w:t xml:space="preserve">.  </w:t>
      </w:r>
      <w:r w:rsidR="00FF41B3">
        <w:rPr>
          <w:rFonts w:asciiTheme="minorHAnsi" w:eastAsia="LMRoman10-Regular" w:hAnsiTheme="minorHAnsi" w:cstheme="minorHAnsi"/>
          <w:lang w:eastAsia="en-GB"/>
        </w:rPr>
        <w:t xml:space="preserve">This group </w:t>
      </w:r>
      <w:r w:rsidR="00CF57C5">
        <w:rPr>
          <w:rFonts w:asciiTheme="minorHAnsi" w:eastAsia="LMRoman10-Regular" w:hAnsiTheme="minorHAnsi" w:cstheme="minorHAnsi"/>
          <w:lang w:eastAsia="en-GB"/>
        </w:rPr>
        <w:t>ha</w:t>
      </w:r>
      <w:r w:rsidR="00FF41B3">
        <w:rPr>
          <w:rFonts w:asciiTheme="minorHAnsi" w:eastAsia="LMRoman10-Regular" w:hAnsiTheme="minorHAnsi" w:cstheme="minorHAnsi"/>
          <w:lang w:eastAsia="en-GB"/>
        </w:rPr>
        <w:t>s</w:t>
      </w:r>
      <w:r w:rsidR="00CF57C5">
        <w:rPr>
          <w:rFonts w:asciiTheme="minorHAnsi" w:eastAsia="LMRoman10-Regular" w:hAnsiTheme="minorHAnsi" w:cstheme="minorHAnsi"/>
          <w:lang w:eastAsia="en-GB"/>
        </w:rPr>
        <w:t xml:space="preserve"> a Cayley graph (which is itself a triangle, but this </w:t>
      </w:r>
      <w:r w:rsidR="00151296">
        <w:rPr>
          <w:rFonts w:asciiTheme="minorHAnsi" w:eastAsia="LMRoman10-Regular" w:hAnsiTheme="minorHAnsi" w:cstheme="minorHAnsi"/>
          <w:lang w:eastAsia="en-GB"/>
        </w:rPr>
        <w:t>coincidence does not hold generally)</w:t>
      </w:r>
      <w:r w:rsidR="00013EDA">
        <w:rPr>
          <w:rFonts w:asciiTheme="minorHAnsi" w:eastAsia="LMRoman10-Regular" w:hAnsiTheme="minorHAnsi" w:cstheme="minorHAnsi"/>
          <w:lang w:eastAsia="en-GB"/>
        </w:rPr>
        <w:t xml:space="preserve">.  The group </w:t>
      </w:r>
      <w:r w:rsidR="009F27AD">
        <w:rPr>
          <w:rFonts w:asciiTheme="minorHAnsi" w:eastAsia="LMRoman10-Regular" w:hAnsiTheme="minorHAnsi" w:cstheme="minorHAnsi"/>
          <w:lang w:eastAsia="en-GB"/>
        </w:rPr>
        <w:t xml:space="preserve">can be </w:t>
      </w:r>
      <w:r w:rsidR="00013EDA">
        <w:rPr>
          <w:rFonts w:asciiTheme="minorHAnsi" w:eastAsia="LMRoman10-Regular" w:hAnsiTheme="minorHAnsi" w:cstheme="minorHAnsi"/>
          <w:lang w:eastAsia="en-GB"/>
        </w:rPr>
        <w:t xml:space="preserve">generated by a single twist of the triangle through </w:t>
      </w:r>
      <w:r w:rsidR="009F27AD">
        <w:rPr>
          <w:rFonts w:asciiTheme="minorHAnsi" w:eastAsia="LMRoman10-Regular" w:hAnsiTheme="minorHAnsi" w:cstheme="minorHAnsi"/>
          <w:lang w:eastAsia="en-GB"/>
        </w:rPr>
        <w:t xml:space="preserve">120 degrees, and we can represent that generating element by the </w:t>
      </w:r>
      <w:r w:rsidR="00BA7030">
        <w:rPr>
          <w:rFonts w:asciiTheme="minorHAnsi" w:eastAsia="LMRoman10-Regular" w:hAnsiTheme="minorHAnsi" w:cstheme="minorHAnsi"/>
          <w:lang w:eastAsia="en-GB"/>
        </w:rPr>
        <w:t xml:space="preserve">arrowed line.  </w:t>
      </w:r>
    </w:p>
    <w:p w14:paraId="3F1CC2B5" w14:textId="77777777" w:rsidR="00901198" w:rsidRDefault="00EB3B90" w:rsidP="00901198">
      <w:pPr>
        <w:keepNext/>
        <w:autoSpaceDE w:val="0"/>
        <w:autoSpaceDN w:val="0"/>
        <w:adjustRightInd w:val="0"/>
        <w:spacing w:after="120"/>
      </w:pPr>
      <w:r>
        <w:rPr>
          <w:rFonts w:asciiTheme="minorHAnsi" w:eastAsia="LMRoman10-Regular" w:hAnsiTheme="minorHAnsi" w:cstheme="minorHAnsi"/>
          <w:noProof/>
          <w:lang w:eastAsia="en-GB"/>
        </w:rPr>
        <w:drawing>
          <wp:inline distT="0" distB="0" distL="0" distR="0" wp14:anchorId="0B4AD8CC" wp14:editId="4C2698D2">
            <wp:extent cx="1692275" cy="150812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2275" cy="1508125"/>
                    </a:xfrm>
                    <a:prstGeom prst="rect">
                      <a:avLst/>
                    </a:prstGeom>
                    <a:noFill/>
                    <a:ln>
                      <a:noFill/>
                    </a:ln>
                  </pic:spPr>
                </pic:pic>
              </a:graphicData>
            </a:graphic>
          </wp:inline>
        </w:drawing>
      </w:r>
    </w:p>
    <w:p w14:paraId="4B5EE2F3" w14:textId="05E240FF" w:rsidR="00151296" w:rsidRPr="00901198" w:rsidRDefault="00901198" w:rsidP="00901198">
      <w:pPr>
        <w:pStyle w:val="Caption"/>
        <w:rPr>
          <w:rFonts w:asciiTheme="minorHAnsi" w:eastAsia="LMRoman10-Regular" w:hAnsiTheme="minorHAnsi" w:cstheme="minorHAnsi"/>
          <w:vertAlign w:val="subscript"/>
          <w:lang w:eastAsia="en-GB"/>
        </w:rPr>
      </w:pPr>
      <w:r>
        <w:t xml:space="preserve">Figure </w:t>
      </w:r>
      <w:r w:rsidR="007C3CDA">
        <w:rPr>
          <w:noProof/>
        </w:rPr>
        <w:fldChar w:fldCharType="begin"/>
      </w:r>
      <w:r w:rsidR="007C3CDA">
        <w:rPr>
          <w:noProof/>
        </w:rPr>
        <w:instrText xml:space="preserve"> SEQ Figure \* ARABIC </w:instrText>
      </w:r>
      <w:r w:rsidR="007C3CDA">
        <w:rPr>
          <w:noProof/>
        </w:rPr>
        <w:fldChar w:fldCharType="separate"/>
      </w:r>
      <w:r>
        <w:rPr>
          <w:noProof/>
        </w:rPr>
        <w:t>1</w:t>
      </w:r>
      <w:r w:rsidR="007C3CDA">
        <w:rPr>
          <w:noProof/>
        </w:rPr>
        <w:fldChar w:fldCharType="end"/>
      </w:r>
      <w:r>
        <w:t>: Cayley Graph of the group C</w:t>
      </w:r>
      <w:r>
        <w:rPr>
          <w:vertAlign w:val="subscript"/>
        </w:rPr>
        <w:t>3</w:t>
      </w:r>
    </w:p>
    <w:p w14:paraId="68E5C5F2" w14:textId="4B10F9DC" w:rsidR="00BA7030" w:rsidRDefault="0046786C" w:rsidP="004517D4">
      <w:pPr>
        <w:autoSpaceDE w:val="0"/>
        <w:autoSpaceDN w:val="0"/>
        <w:adjustRightInd w:val="0"/>
        <w:spacing w:after="120"/>
        <w:rPr>
          <w:rFonts w:asciiTheme="minorHAnsi" w:eastAsia="LMRoman10-Regular" w:hAnsiTheme="minorHAnsi" w:cstheme="minorHAnsi"/>
          <w:lang w:eastAsia="en-GB"/>
        </w:rPr>
      </w:pPr>
      <w:r>
        <w:rPr>
          <w:rFonts w:asciiTheme="minorHAnsi" w:eastAsia="LMRoman10-Regular" w:hAnsiTheme="minorHAnsi" w:cstheme="minorHAnsi"/>
          <w:lang w:eastAsia="en-GB"/>
        </w:rPr>
        <w:t>Now think of another operation: flipping the triangle along a vertical axis.  This gives us an even simpler group, C</w:t>
      </w:r>
      <w:r w:rsidR="004F76DA" w:rsidRPr="004F76DA">
        <w:rPr>
          <w:rFonts w:asciiTheme="minorHAnsi" w:eastAsia="LMRoman10-Regular" w:hAnsiTheme="minorHAnsi" w:cstheme="minorHAnsi"/>
          <w:vertAlign w:val="subscript"/>
          <w:lang w:eastAsia="en-GB"/>
        </w:rPr>
        <w:t>2</w:t>
      </w:r>
      <w:r w:rsidR="00BE3C14">
        <w:rPr>
          <w:rFonts w:asciiTheme="minorHAnsi" w:eastAsia="LMRoman10-Regular" w:hAnsiTheme="minorHAnsi" w:cstheme="minorHAnsi"/>
          <w:lang w:eastAsia="en-GB"/>
        </w:rPr>
        <w:t>.  If we combine these two groups, we have six ways of rearranging our triangle, and these are displayed in this Cayley graph</w:t>
      </w:r>
      <w:r w:rsidR="0087325E">
        <w:rPr>
          <w:rFonts w:asciiTheme="minorHAnsi" w:eastAsia="LMRoman10-Regular" w:hAnsiTheme="minorHAnsi" w:cstheme="minorHAnsi"/>
          <w:lang w:eastAsia="en-GB"/>
        </w:rPr>
        <w:t xml:space="preserve">, where the </w:t>
      </w:r>
      <w:r w:rsidR="006C41F5">
        <w:rPr>
          <w:rFonts w:asciiTheme="minorHAnsi" w:eastAsia="LMRoman10-Regular" w:hAnsiTheme="minorHAnsi" w:cstheme="minorHAnsi"/>
          <w:lang w:eastAsia="en-GB"/>
        </w:rPr>
        <w:t>dotted line represents the vertical flip</w:t>
      </w:r>
      <w:r w:rsidR="00BE3C14">
        <w:rPr>
          <w:rFonts w:asciiTheme="minorHAnsi" w:eastAsia="LMRoman10-Regular" w:hAnsiTheme="minorHAnsi" w:cstheme="minorHAnsi"/>
          <w:lang w:eastAsia="en-GB"/>
        </w:rPr>
        <w:t xml:space="preserve">: </w:t>
      </w:r>
    </w:p>
    <w:p w14:paraId="2D29F24D" w14:textId="7E367E1A" w:rsidR="00901198" w:rsidRDefault="00901198" w:rsidP="00901198">
      <w:pPr>
        <w:keepNext/>
        <w:autoSpaceDE w:val="0"/>
        <w:autoSpaceDN w:val="0"/>
        <w:adjustRightInd w:val="0"/>
        <w:spacing w:after="120"/>
      </w:pPr>
      <w:r>
        <w:rPr>
          <w:rFonts w:asciiTheme="minorHAnsi" w:eastAsia="LMRoman10-Regular" w:hAnsiTheme="minorHAnsi" w:cstheme="minorHAnsi"/>
          <w:noProof/>
          <w:lang w:eastAsia="en-GB"/>
        </w:rPr>
        <w:lastRenderedPageBreak/>
        <w:drawing>
          <wp:inline distT="0" distB="0" distL="0" distR="0" wp14:anchorId="17CAC4F2" wp14:editId="0B90A32F">
            <wp:extent cx="1821815" cy="185610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1815" cy="1856105"/>
                    </a:xfrm>
                    <a:prstGeom prst="rect">
                      <a:avLst/>
                    </a:prstGeom>
                    <a:noFill/>
                    <a:ln>
                      <a:noFill/>
                    </a:ln>
                  </pic:spPr>
                </pic:pic>
              </a:graphicData>
            </a:graphic>
          </wp:inline>
        </w:drawing>
      </w:r>
    </w:p>
    <w:p w14:paraId="160198D5" w14:textId="38C52558" w:rsidR="00BE3C14" w:rsidRPr="00901198" w:rsidRDefault="00901198" w:rsidP="00901198">
      <w:pPr>
        <w:pStyle w:val="Caption"/>
        <w:rPr>
          <w:rFonts w:asciiTheme="minorHAnsi" w:eastAsia="LMRoman10-Regular" w:hAnsiTheme="minorHAnsi" w:cstheme="minorHAnsi"/>
          <w:vertAlign w:val="subscript"/>
          <w:lang w:eastAsia="en-GB"/>
        </w:rPr>
      </w:pPr>
      <w:r>
        <w:t xml:space="preserve">Figure </w:t>
      </w:r>
      <w:r w:rsidR="007C3CDA">
        <w:rPr>
          <w:noProof/>
        </w:rPr>
        <w:fldChar w:fldCharType="begin"/>
      </w:r>
      <w:r w:rsidR="007C3CDA">
        <w:rPr>
          <w:noProof/>
        </w:rPr>
        <w:instrText xml:space="preserve"> SEQ Figure \* ARABIC </w:instrText>
      </w:r>
      <w:r w:rsidR="007C3CDA">
        <w:rPr>
          <w:noProof/>
        </w:rPr>
        <w:fldChar w:fldCharType="separate"/>
      </w:r>
      <w:r>
        <w:rPr>
          <w:noProof/>
        </w:rPr>
        <w:t>2</w:t>
      </w:r>
      <w:r w:rsidR="007C3CDA">
        <w:rPr>
          <w:noProof/>
        </w:rPr>
        <w:fldChar w:fldCharType="end"/>
      </w:r>
      <w:r>
        <w:t>: A Cayley graph for the abelian group C</w:t>
      </w:r>
      <w:r>
        <w:rPr>
          <w:vertAlign w:val="subscript"/>
        </w:rPr>
        <w:t>3</w:t>
      </w:r>
      <w:r>
        <w:t xml:space="preserve"> x C</w:t>
      </w:r>
      <w:r>
        <w:rPr>
          <w:vertAlign w:val="subscript"/>
        </w:rPr>
        <w:t>2</w:t>
      </w:r>
    </w:p>
    <w:p w14:paraId="79463F16" w14:textId="44554E84" w:rsidR="00BE3C14" w:rsidRPr="004F76DA" w:rsidRDefault="00342552" w:rsidP="004517D4">
      <w:pPr>
        <w:autoSpaceDE w:val="0"/>
        <w:autoSpaceDN w:val="0"/>
        <w:adjustRightInd w:val="0"/>
        <w:spacing w:after="120"/>
        <w:rPr>
          <w:rFonts w:asciiTheme="minorHAnsi" w:eastAsia="LMRoman10-Regular" w:hAnsiTheme="minorHAnsi" w:cstheme="minorHAnsi"/>
          <w:lang w:eastAsia="en-GB"/>
        </w:rPr>
      </w:pPr>
      <w:r>
        <w:rPr>
          <w:rFonts w:asciiTheme="minorHAnsi" w:eastAsia="LMRoman10-Regular" w:hAnsiTheme="minorHAnsi" w:cstheme="minorHAnsi"/>
          <w:lang w:eastAsia="en-GB"/>
        </w:rPr>
        <w:t xml:space="preserve">So far, we have simply found a new way of depicting </w:t>
      </w:r>
      <w:r w:rsidR="00523857">
        <w:rPr>
          <w:rFonts w:asciiTheme="minorHAnsi" w:eastAsia="LMRoman10-Regular" w:hAnsiTheme="minorHAnsi" w:cstheme="minorHAnsi"/>
          <w:lang w:eastAsia="en-GB"/>
        </w:rPr>
        <w:t xml:space="preserve">finitely generated groups.  But these Cayley </w:t>
      </w:r>
      <w:r w:rsidR="00F34F04">
        <w:rPr>
          <w:rFonts w:asciiTheme="minorHAnsi" w:eastAsia="LMRoman10-Regular" w:hAnsiTheme="minorHAnsi" w:cstheme="minorHAnsi"/>
          <w:lang w:eastAsia="en-GB"/>
        </w:rPr>
        <w:t>diagrams</w:t>
      </w:r>
      <w:r w:rsidR="00523857">
        <w:rPr>
          <w:rFonts w:asciiTheme="minorHAnsi" w:eastAsia="LMRoman10-Regular" w:hAnsiTheme="minorHAnsi" w:cstheme="minorHAnsi"/>
          <w:lang w:eastAsia="en-GB"/>
        </w:rPr>
        <w:t xml:space="preserve"> are directed graphs and as such are the objects of study of another </w:t>
      </w:r>
      <w:r w:rsidR="005F65E2">
        <w:rPr>
          <w:rFonts w:asciiTheme="minorHAnsi" w:eastAsia="LMRoman10-Regular" w:hAnsiTheme="minorHAnsi" w:cstheme="minorHAnsi"/>
          <w:lang w:eastAsia="en-GB"/>
        </w:rPr>
        <w:t>body of mathematics, namely</w:t>
      </w:r>
      <w:r w:rsidR="00C32730">
        <w:rPr>
          <w:rFonts w:asciiTheme="minorHAnsi" w:eastAsia="LMRoman10-Regular" w:hAnsiTheme="minorHAnsi" w:cstheme="minorHAnsi"/>
          <w:lang w:eastAsia="en-GB"/>
        </w:rPr>
        <w:t>,</w:t>
      </w:r>
      <w:r w:rsidR="005F65E2">
        <w:rPr>
          <w:rFonts w:asciiTheme="minorHAnsi" w:eastAsia="LMRoman10-Regular" w:hAnsiTheme="minorHAnsi" w:cstheme="minorHAnsi"/>
          <w:lang w:eastAsia="en-GB"/>
        </w:rPr>
        <w:t xml:space="preserve"> graph theory.  </w:t>
      </w:r>
      <w:r w:rsidR="007C4498">
        <w:rPr>
          <w:rFonts w:asciiTheme="minorHAnsi" w:eastAsia="LMRoman10-Regular" w:hAnsiTheme="minorHAnsi" w:cstheme="minorHAnsi"/>
          <w:lang w:eastAsia="en-GB"/>
        </w:rPr>
        <w:t xml:space="preserve">By </w:t>
      </w:r>
      <w:r w:rsidR="009D2B35">
        <w:rPr>
          <w:rFonts w:asciiTheme="minorHAnsi" w:eastAsia="LMRoman10-Regular" w:hAnsiTheme="minorHAnsi" w:cstheme="minorHAnsi"/>
          <w:lang w:eastAsia="en-GB"/>
        </w:rPr>
        <w:t xml:space="preserve">using theorems from graph theory, mathematicians can prove results about Cayley graphs and </w:t>
      </w:r>
      <w:r w:rsidR="0093645E">
        <w:rPr>
          <w:rFonts w:asciiTheme="minorHAnsi" w:eastAsia="LMRoman10-Regular" w:hAnsiTheme="minorHAnsi" w:cstheme="minorHAnsi"/>
          <w:lang w:eastAsia="en-GB"/>
        </w:rPr>
        <w:t>from these derive information about the groups that the Cayley graphs represent.</w:t>
      </w:r>
      <w:r w:rsidR="00FE2D0C">
        <w:rPr>
          <w:rStyle w:val="FootnoteReference"/>
          <w:rFonts w:asciiTheme="minorHAnsi" w:eastAsia="LMRoman10-Regular" w:hAnsiTheme="minorHAnsi" w:cstheme="minorHAnsi"/>
          <w:lang w:eastAsia="en-GB"/>
        </w:rPr>
        <w:footnoteReference w:id="26"/>
      </w:r>
      <w:r w:rsidR="0093645E">
        <w:rPr>
          <w:rFonts w:asciiTheme="minorHAnsi" w:eastAsia="LMRoman10-Regular" w:hAnsiTheme="minorHAnsi" w:cstheme="minorHAnsi"/>
          <w:lang w:eastAsia="en-GB"/>
        </w:rPr>
        <w:t xml:space="preserve">  </w:t>
      </w:r>
      <w:r w:rsidR="00754BD8">
        <w:rPr>
          <w:rFonts w:asciiTheme="minorHAnsi" w:eastAsia="LMRoman10-Regular" w:hAnsiTheme="minorHAnsi" w:cstheme="minorHAnsi"/>
          <w:lang w:eastAsia="en-GB"/>
        </w:rPr>
        <w:t xml:space="preserve">The Cayley graphs themselves become objects of </w:t>
      </w:r>
      <w:r w:rsidR="00337199">
        <w:rPr>
          <w:rFonts w:asciiTheme="minorHAnsi" w:eastAsia="LMRoman10-Regular" w:hAnsiTheme="minorHAnsi" w:cstheme="minorHAnsi"/>
          <w:lang w:eastAsia="en-GB"/>
        </w:rPr>
        <w:t>epistemic actions</w:t>
      </w:r>
      <w:r w:rsidR="00127520">
        <w:rPr>
          <w:rFonts w:ascii="Times New Roman" w:eastAsia="LMRoman10-Regular" w:hAnsi="Times New Roman"/>
          <w:lang w:eastAsia="en-GB"/>
        </w:rPr>
        <w:t>—</w:t>
      </w:r>
      <w:r w:rsidR="007D65C9">
        <w:rPr>
          <w:rFonts w:asciiTheme="minorHAnsi" w:eastAsia="LMRoman10-Regular" w:hAnsiTheme="minorHAnsi" w:cstheme="minorHAnsi"/>
          <w:lang w:eastAsia="en-GB"/>
        </w:rPr>
        <w:t>o</w:t>
      </w:r>
      <w:r w:rsidR="00337199">
        <w:rPr>
          <w:rFonts w:asciiTheme="minorHAnsi" w:eastAsia="LMRoman10-Regular" w:hAnsiTheme="minorHAnsi" w:cstheme="minorHAnsi"/>
          <w:lang w:eastAsia="en-GB"/>
        </w:rPr>
        <w:t>ne of the central mathematical papers in</w:t>
      </w:r>
      <w:r w:rsidR="007D65C9">
        <w:rPr>
          <w:rFonts w:asciiTheme="minorHAnsi" w:eastAsia="LMRoman10-Regular" w:hAnsiTheme="minorHAnsi" w:cstheme="minorHAnsi"/>
          <w:lang w:eastAsia="en-GB"/>
        </w:rPr>
        <w:t xml:space="preserve"> this area is </w:t>
      </w:r>
      <w:r w:rsidR="00337199">
        <w:rPr>
          <w:rFonts w:asciiTheme="minorHAnsi" w:eastAsia="LMRoman10-Regular" w:hAnsiTheme="minorHAnsi" w:cstheme="minorHAnsi"/>
          <w:lang w:eastAsia="en-GB"/>
        </w:rPr>
        <w:t>entitled “Cutting up Graphs”</w:t>
      </w:r>
      <w:r w:rsidR="007D65C9">
        <w:rPr>
          <w:rFonts w:asciiTheme="minorHAnsi" w:eastAsia="LMRoman10-Regular" w:hAnsiTheme="minorHAnsi" w:cstheme="minorHAnsi"/>
          <w:lang w:eastAsia="en-GB"/>
        </w:rPr>
        <w:t xml:space="preserve"> (see Starikova 2010</w:t>
      </w:r>
      <w:r w:rsidR="00337199">
        <w:rPr>
          <w:rFonts w:asciiTheme="minorHAnsi" w:eastAsia="LMRoman10-Regular" w:hAnsiTheme="minorHAnsi" w:cstheme="minorHAnsi"/>
          <w:lang w:eastAsia="en-GB"/>
        </w:rPr>
        <w:t>).</w:t>
      </w:r>
    </w:p>
    <w:p w14:paraId="67D95BEB" w14:textId="57522F50" w:rsidR="004517D4" w:rsidRDefault="008B4B6D" w:rsidP="004517D4">
      <w:pPr>
        <w:autoSpaceDE w:val="0"/>
        <w:autoSpaceDN w:val="0"/>
        <w:adjustRightInd w:val="0"/>
        <w:spacing w:after="120"/>
        <w:rPr>
          <w:rFonts w:asciiTheme="minorHAnsi" w:eastAsia="LMRoman10-Regular" w:hAnsiTheme="minorHAnsi" w:cstheme="minorHAnsi"/>
          <w:lang w:eastAsia="en-GB"/>
        </w:rPr>
      </w:pPr>
      <w:r>
        <w:rPr>
          <w:rFonts w:asciiTheme="minorHAnsi" w:eastAsia="LMRoman10-Regular" w:hAnsiTheme="minorHAnsi" w:cstheme="minorHAnsi"/>
          <w:lang w:eastAsia="en-GB"/>
        </w:rPr>
        <w:t xml:space="preserve">Thus, the novelty arising </w:t>
      </w:r>
      <w:r w:rsidR="000E2236">
        <w:rPr>
          <w:rFonts w:asciiTheme="minorHAnsi" w:eastAsia="LMRoman10-Regular" w:hAnsiTheme="minorHAnsi" w:cstheme="minorHAnsi"/>
          <w:lang w:eastAsia="en-GB"/>
        </w:rPr>
        <w:t xml:space="preserve">in this way </w:t>
      </w:r>
      <w:r>
        <w:rPr>
          <w:rFonts w:asciiTheme="minorHAnsi" w:eastAsia="LMRoman10-Regular" w:hAnsiTheme="minorHAnsi" w:cstheme="minorHAnsi"/>
          <w:lang w:eastAsia="en-GB"/>
        </w:rPr>
        <w:t xml:space="preserve">from mathematical notations is </w:t>
      </w:r>
      <w:r w:rsidR="000E2236">
        <w:rPr>
          <w:rFonts w:asciiTheme="minorHAnsi" w:eastAsia="LMRoman10-Regular" w:hAnsiTheme="minorHAnsi" w:cstheme="minorHAnsi"/>
          <w:lang w:eastAsia="en-GB"/>
        </w:rPr>
        <w:t xml:space="preserve">a special advantage of mathematical representations.  It is </w:t>
      </w:r>
      <w:r>
        <w:rPr>
          <w:rFonts w:asciiTheme="minorHAnsi" w:eastAsia="LMRoman10-Regular" w:hAnsiTheme="minorHAnsi" w:cstheme="minorHAnsi"/>
          <w:lang w:eastAsia="en-GB"/>
        </w:rPr>
        <w:t xml:space="preserve">not simply a special case of the fact that in any language there are indefinitely many sentences that have never been uttered or written.  </w:t>
      </w:r>
      <w:r w:rsidR="0042497C">
        <w:rPr>
          <w:rFonts w:asciiTheme="minorHAnsi" w:eastAsia="LMRoman10-Regular" w:hAnsiTheme="minorHAnsi" w:cstheme="minorHAnsi"/>
          <w:lang w:eastAsia="en-GB"/>
        </w:rPr>
        <w:t xml:space="preserve">Nor is it simply </w:t>
      </w:r>
      <w:r w:rsidR="00452F85">
        <w:rPr>
          <w:rFonts w:asciiTheme="minorHAnsi" w:eastAsia="LMRoman10-Regular" w:hAnsiTheme="minorHAnsi" w:cstheme="minorHAnsi"/>
          <w:lang w:eastAsia="en-GB"/>
        </w:rPr>
        <w:t xml:space="preserve">the fact that writing something down in an efficient form </w:t>
      </w:r>
      <w:r w:rsidR="00E314F0">
        <w:rPr>
          <w:rFonts w:asciiTheme="minorHAnsi" w:eastAsia="LMRoman10-Regular" w:hAnsiTheme="minorHAnsi" w:cstheme="minorHAnsi"/>
          <w:lang w:eastAsia="en-GB"/>
        </w:rPr>
        <w:t>permits</w:t>
      </w:r>
      <w:r w:rsidR="00452F85">
        <w:rPr>
          <w:rFonts w:asciiTheme="minorHAnsi" w:eastAsia="LMRoman10-Regular" w:hAnsiTheme="minorHAnsi" w:cstheme="minorHAnsi"/>
          <w:lang w:eastAsia="en-GB"/>
        </w:rPr>
        <w:t xml:space="preserve"> a synoptic overview that sparks new insights</w:t>
      </w:r>
      <w:r w:rsidR="00911C71">
        <w:rPr>
          <w:rFonts w:asciiTheme="minorHAnsi" w:eastAsia="LMRoman10-Regular" w:hAnsiTheme="minorHAnsi" w:cstheme="minorHAnsi"/>
          <w:lang w:eastAsia="en-GB"/>
        </w:rPr>
        <w:t xml:space="preserve"> (this is after all true of a wiring diagram or an architect’s blue-print)</w:t>
      </w:r>
      <w:r w:rsidR="00452F85">
        <w:rPr>
          <w:rFonts w:asciiTheme="minorHAnsi" w:eastAsia="LMRoman10-Regular" w:hAnsiTheme="minorHAnsi" w:cstheme="minorHAnsi"/>
          <w:lang w:eastAsia="en-GB"/>
        </w:rPr>
        <w:t xml:space="preserve">.  </w:t>
      </w:r>
      <w:r w:rsidR="00015D9F">
        <w:rPr>
          <w:rFonts w:asciiTheme="minorHAnsi" w:eastAsia="LMRoman10-Regular" w:hAnsiTheme="minorHAnsi" w:cstheme="minorHAnsi"/>
          <w:lang w:eastAsia="en-GB"/>
        </w:rPr>
        <w:t xml:space="preserve">Mathematical </w:t>
      </w:r>
      <w:r w:rsidR="000758B3">
        <w:rPr>
          <w:rFonts w:asciiTheme="minorHAnsi" w:eastAsia="LMRoman10-Regular" w:hAnsiTheme="minorHAnsi" w:cstheme="minorHAnsi"/>
          <w:lang w:eastAsia="en-GB"/>
        </w:rPr>
        <w:t>symbol systems</w:t>
      </w:r>
      <w:r w:rsidR="00015D9F">
        <w:rPr>
          <w:rFonts w:asciiTheme="minorHAnsi" w:eastAsia="LMRoman10-Regular" w:hAnsiTheme="minorHAnsi" w:cstheme="minorHAnsi"/>
          <w:lang w:eastAsia="en-GB"/>
        </w:rPr>
        <w:t xml:space="preserve"> and diagrams can become </w:t>
      </w:r>
      <w:r w:rsidR="00E6425A">
        <w:rPr>
          <w:rFonts w:asciiTheme="minorHAnsi" w:eastAsia="LMRoman10-Regular" w:hAnsiTheme="minorHAnsi" w:cstheme="minorHAnsi"/>
          <w:lang w:eastAsia="en-GB"/>
        </w:rPr>
        <w:t xml:space="preserve">objects of mathematical enquiry in their own rights, which can generate whole new areas of mathematics and the </w:t>
      </w:r>
      <w:r w:rsidR="00A40918">
        <w:rPr>
          <w:rFonts w:asciiTheme="minorHAnsi" w:eastAsia="LMRoman10-Regular" w:hAnsiTheme="minorHAnsi" w:cstheme="minorHAnsi"/>
          <w:lang w:eastAsia="en-GB"/>
        </w:rPr>
        <w:t xml:space="preserve">development of powerful techniques for resolving the original </w:t>
      </w:r>
      <w:r w:rsidR="009470FB">
        <w:rPr>
          <w:rFonts w:asciiTheme="minorHAnsi" w:eastAsia="LMRoman10-Regular" w:hAnsiTheme="minorHAnsi" w:cstheme="minorHAnsi"/>
          <w:lang w:eastAsia="en-GB"/>
        </w:rPr>
        <w:t xml:space="preserve">questions and problems that prompted the enquiry.  </w:t>
      </w:r>
    </w:p>
    <w:p w14:paraId="28A2DE5D" w14:textId="1CFAA58A" w:rsidR="009852AA" w:rsidRDefault="009852AA" w:rsidP="001E57B7">
      <w:pPr>
        <w:pStyle w:val="Heading1"/>
        <w:rPr>
          <w:rFonts w:eastAsia="LMRoman10-Regular"/>
          <w:lang w:eastAsia="en-GB"/>
        </w:rPr>
      </w:pPr>
      <w:r>
        <w:rPr>
          <w:rFonts w:eastAsia="LMRoman10-Regular"/>
          <w:lang w:eastAsia="en-GB"/>
        </w:rPr>
        <w:t xml:space="preserve">Conclusion </w:t>
      </w:r>
    </w:p>
    <w:p w14:paraId="56AD4F03" w14:textId="0BAD8B52" w:rsidR="009852AA" w:rsidRDefault="006D2A73" w:rsidP="004517D4">
      <w:pPr>
        <w:autoSpaceDE w:val="0"/>
        <w:autoSpaceDN w:val="0"/>
        <w:adjustRightInd w:val="0"/>
        <w:spacing w:after="120"/>
        <w:rPr>
          <w:color w:val="000000"/>
        </w:rPr>
      </w:pPr>
      <w:r>
        <w:rPr>
          <w:rFonts w:asciiTheme="minorHAnsi" w:eastAsia="LMRoman10-Regular" w:hAnsiTheme="minorHAnsi" w:cstheme="minorHAnsi"/>
          <w:lang w:eastAsia="en-GB"/>
        </w:rPr>
        <w:t xml:space="preserve">Consideration of some examples from elementary algebra permitted us to amplify and elaborate Menary’s remarks about the uniqueness of the cognitive help that we get from mathematical notations and other </w:t>
      </w:r>
      <w:r w:rsidR="00DD439F">
        <w:rPr>
          <w:rFonts w:asciiTheme="minorHAnsi" w:eastAsia="LMRoman10-Regular" w:hAnsiTheme="minorHAnsi" w:cstheme="minorHAnsi"/>
          <w:lang w:eastAsia="en-GB"/>
        </w:rPr>
        <w:t xml:space="preserve">mathematical </w:t>
      </w:r>
      <w:r>
        <w:rPr>
          <w:rFonts w:asciiTheme="minorHAnsi" w:eastAsia="LMRoman10-Regular" w:hAnsiTheme="minorHAnsi" w:cstheme="minorHAnsi"/>
          <w:lang w:eastAsia="en-GB"/>
        </w:rPr>
        <w:t>representations, and about their role in the generation of n</w:t>
      </w:r>
      <w:r w:rsidR="00DD439F">
        <w:rPr>
          <w:rFonts w:asciiTheme="minorHAnsi" w:eastAsia="LMRoman10-Regular" w:hAnsiTheme="minorHAnsi" w:cstheme="minorHAnsi"/>
          <w:lang w:eastAsia="en-GB"/>
        </w:rPr>
        <w:t>ew mathematics</w:t>
      </w:r>
      <w:r>
        <w:rPr>
          <w:rFonts w:asciiTheme="minorHAnsi" w:eastAsia="LMRoman10-Regular" w:hAnsiTheme="minorHAnsi" w:cstheme="minorHAnsi"/>
          <w:lang w:eastAsia="en-GB"/>
        </w:rPr>
        <w:t xml:space="preserve">.  Early in this paper, we quoted Chemero’s explication of scaffolding in Clark’s sense, </w:t>
      </w:r>
      <w:r w:rsidR="00EB08BA">
        <w:rPr>
          <w:rFonts w:asciiTheme="minorHAnsi" w:eastAsia="LMRoman10-Regular" w:hAnsiTheme="minorHAnsi" w:cstheme="minorHAnsi"/>
          <w:lang w:eastAsia="en-GB"/>
        </w:rPr>
        <w:t>“</w:t>
      </w:r>
      <w:r w:rsidRPr="00200B88">
        <w:rPr>
          <w:color w:val="000000"/>
        </w:rPr>
        <w:t xml:space="preserve">In all these cases, we act so as to </w:t>
      </w:r>
      <w:r w:rsidRPr="00A824E9">
        <w:rPr>
          <w:color w:val="000000"/>
        </w:rPr>
        <w:t>simplify</w:t>
      </w:r>
      <w:r w:rsidRPr="00200B88">
        <w:rPr>
          <w:color w:val="000000"/>
        </w:rPr>
        <w:t xml:space="preserve"> cognitive tasks by “leaning on” the structures in our environment.</w:t>
      </w:r>
      <w:r w:rsidR="00EB08BA">
        <w:rPr>
          <w:color w:val="000000"/>
        </w:rPr>
        <w:t xml:space="preserve">”  Consideration of mathematical cases show that this is false.  Mathematical representations do not merely simplify cognitive tasks that we might otherwise have faced unsuccessfully.  Mathematics is full of cognitive tasks that would not exist without the notations and representations that create the environment in which those tasks present themselves.  Calculating the Galois group of a polynomial is one such example.  </w:t>
      </w:r>
      <w:r w:rsidR="00411634">
        <w:rPr>
          <w:color w:val="000000"/>
        </w:rPr>
        <w:t xml:space="preserve">Investigating </w:t>
      </w:r>
      <w:r w:rsidR="00C517D3">
        <w:rPr>
          <w:color w:val="000000"/>
        </w:rPr>
        <w:t>finitely generated groups through their Cayley graphs is another</w:t>
      </w:r>
      <w:r w:rsidR="00EB08BA">
        <w:rPr>
          <w:color w:val="000000"/>
        </w:rPr>
        <w:t xml:space="preserve">.  </w:t>
      </w:r>
      <w:r w:rsidR="00C517D3">
        <w:rPr>
          <w:color w:val="000000"/>
        </w:rPr>
        <w:t>Examples could be multiplied endlessly</w:t>
      </w:r>
      <w:r w:rsidR="00F67244">
        <w:rPr>
          <w:color w:val="000000"/>
        </w:rPr>
        <w:t xml:space="preserve">.  </w:t>
      </w:r>
      <w:r w:rsidR="009C449B">
        <w:rPr>
          <w:color w:val="000000"/>
        </w:rPr>
        <w:t>We do not simply ‘lean on’ mathematical notations; we manipulate them</w:t>
      </w:r>
      <w:r w:rsidR="00301652">
        <w:rPr>
          <w:color w:val="000000"/>
        </w:rPr>
        <w:t xml:space="preserve"> according to </w:t>
      </w:r>
      <w:r w:rsidR="0021287A">
        <w:rPr>
          <w:color w:val="000000"/>
        </w:rPr>
        <w:t>truth-preserving syntactic rules</w:t>
      </w:r>
      <w:r w:rsidR="00FC5466">
        <w:rPr>
          <w:color w:val="000000"/>
        </w:rPr>
        <w:t>, we offload thinking to them</w:t>
      </w:r>
      <w:r w:rsidR="009C449B">
        <w:rPr>
          <w:color w:val="000000"/>
        </w:rPr>
        <w:t xml:space="preserve"> and we think about them mathematically</w:t>
      </w:r>
      <w:r w:rsidR="00FC5466">
        <w:rPr>
          <w:color w:val="000000"/>
        </w:rPr>
        <w:t xml:space="preserve"> using other </w:t>
      </w:r>
      <w:r w:rsidR="005C7CF2">
        <w:rPr>
          <w:color w:val="000000"/>
        </w:rPr>
        <w:t xml:space="preserve">diagrams and </w:t>
      </w:r>
      <w:r w:rsidR="005C7CF2">
        <w:rPr>
          <w:color w:val="000000"/>
        </w:rPr>
        <w:lastRenderedPageBreak/>
        <w:t>notations that allow us to offload some of that thinking</w:t>
      </w:r>
      <w:r w:rsidR="009C449B">
        <w:rPr>
          <w:color w:val="000000"/>
        </w:rPr>
        <w:t xml:space="preserve">.  Some of the most effective applications of mathematics are to mathematics itself.  </w:t>
      </w:r>
    </w:p>
    <w:p w14:paraId="6A1DFF4D" w14:textId="089DB3CC" w:rsidR="00B36587" w:rsidRPr="005C672A" w:rsidRDefault="00B50678" w:rsidP="004517D4">
      <w:pPr>
        <w:autoSpaceDE w:val="0"/>
        <w:autoSpaceDN w:val="0"/>
        <w:adjustRightInd w:val="0"/>
        <w:spacing w:after="120"/>
        <w:rPr>
          <w:rFonts w:asciiTheme="minorHAnsi" w:eastAsia="LMRoman10-Regular" w:hAnsiTheme="minorHAnsi" w:cstheme="minorHAnsi"/>
          <w:color w:val="000000" w:themeColor="text1"/>
          <w:lang w:eastAsia="en-GB"/>
        </w:rPr>
      </w:pPr>
      <w:r>
        <w:rPr>
          <w:rFonts w:asciiTheme="minorHAnsi" w:eastAsia="LMRoman10-Regular" w:hAnsiTheme="minorHAnsi" w:cstheme="minorHAnsi"/>
          <w:lang w:eastAsia="en-GB"/>
        </w:rPr>
        <w:t xml:space="preserve">It is of course open to Menary’s opponents to insist that, however useful the external resources of mathematics might be, the thinking is still all in the head.  </w:t>
      </w:r>
      <w:r w:rsidR="00CE0EA1">
        <w:rPr>
          <w:rFonts w:asciiTheme="minorHAnsi" w:eastAsia="LMRoman10-Regular" w:hAnsiTheme="minorHAnsi" w:cstheme="minorHAnsi"/>
          <w:lang w:eastAsia="en-GB"/>
        </w:rPr>
        <w:t xml:space="preserve">This raises a point that returns us to the short-comings of the scaffolding-metaphor.  </w:t>
      </w:r>
      <w:r w:rsidR="002F754C">
        <w:rPr>
          <w:rFonts w:asciiTheme="minorHAnsi" w:eastAsia="LMRoman10-Regular" w:hAnsiTheme="minorHAnsi" w:cstheme="minorHAnsi"/>
          <w:lang w:eastAsia="en-GB"/>
        </w:rPr>
        <w:t xml:space="preserve">The notations and diagrams of mathematics are mostly external to the human organism (though it is possible to do some limited mathematics with </w:t>
      </w:r>
      <w:r w:rsidR="00F42934">
        <w:rPr>
          <w:rFonts w:asciiTheme="minorHAnsi" w:eastAsia="LMRoman10-Regular" w:hAnsiTheme="minorHAnsi" w:cstheme="minorHAnsi"/>
          <w:lang w:eastAsia="en-GB"/>
        </w:rPr>
        <w:t xml:space="preserve">symbols and diagrams imagined inwardly).  But these marks and pictures only become mathematical representations when they are </w:t>
      </w:r>
      <w:r w:rsidR="00F84886">
        <w:rPr>
          <w:rFonts w:asciiTheme="minorHAnsi" w:eastAsia="LMRoman10-Regular" w:hAnsiTheme="minorHAnsi" w:cstheme="minorHAnsi"/>
          <w:lang w:eastAsia="en-GB"/>
        </w:rPr>
        <w:t xml:space="preserve">part of a practice.  The practice is partly constituted by the rules for using the </w:t>
      </w:r>
      <w:r w:rsidR="00FD6E5B">
        <w:rPr>
          <w:rFonts w:asciiTheme="minorHAnsi" w:eastAsia="LMRoman10-Regular" w:hAnsiTheme="minorHAnsi" w:cstheme="minorHAnsi"/>
          <w:lang w:eastAsia="en-GB"/>
        </w:rPr>
        <w:t xml:space="preserve">symbols and diagrams, and it is the fact that these rules </w:t>
      </w:r>
      <w:r w:rsidR="002C06BF">
        <w:rPr>
          <w:rFonts w:asciiTheme="minorHAnsi" w:eastAsia="LMRoman10-Regular" w:hAnsiTheme="minorHAnsi" w:cstheme="minorHAnsi"/>
          <w:lang w:eastAsia="en-GB"/>
        </w:rPr>
        <w:t xml:space="preserve">embody mathematical rigour that gives mathematical representations their special utility.  So where are the practices?  </w:t>
      </w:r>
      <w:r w:rsidR="005E3FF6">
        <w:rPr>
          <w:rFonts w:asciiTheme="minorHAnsi" w:eastAsia="LMRoman10-Regular" w:hAnsiTheme="minorHAnsi" w:cstheme="minorHAnsi"/>
          <w:lang w:eastAsia="en-GB"/>
        </w:rPr>
        <w:t xml:space="preserve">Are they inside </w:t>
      </w:r>
      <w:r w:rsidR="00E6481A">
        <w:rPr>
          <w:rFonts w:asciiTheme="minorHAnsi" w:eastAsia="LMRoman10-Regular" w:hAnsiTheme="minorHAnsi" w:cstheme="minorHAnsi"/>
          <w:lang w:eastAsia="en-GB"/>
        </w:rPr>
        <w:t>or outside the human organism?  In one sense, they are outside.  They are socially agreed ways of doing things with symbols and diagrams.  Someone learning mathematics meets these practices as part of the environment</w:t>
      </w:r>
      <w:r w:rsidR="005E1C56">
        <w:rPr>
          <w:rFonts w:asciiTheme="minorHAnsi" w:eastAsia="LMRoman10-Regular" w:hAnsiTheme="minorHAnsi" w:cstheme="minorHAnsi"/>
          <w:lang w:eastAsia="en-GB"/>
        </w:rPr>
        <w:t xml:space="preserve"> and </w:t>
      </w:r>
      <w:r w:rsidR="00E24D42">
        <w:rPr>
          <w:rFonts w:asciiTheme="minorHAnsi" w:eastAsia="LMRoman10-Regular" w:hAnsiTheme="minorHAnsi" w:cstheme="minorHAnsi"/>
          <w:lang w:eastAsia="en-GB"/>
        </w:rPr>
        <w:t xml:space="preserve">learns them by doing them in public—on a chalkboard or </w:t>
      </w:r>
      <w:r w:rsidR="0021667E">
        <w:rPr>
          <w:rFonts w:asciiTheme="minorHAnsi" w:eastAsia="LMRoman10-Regular" w:hAnsiTheme="minorHAnsi" w:cstheme="minorHAnsi"/>
          <w:lang w:eastAsia="en-GB"/>
        </w:rPr>
        <w:t>in an exercise book</w:t>
      </w:r>
      <w:r w:rsidR="00E6481A">
        <w:rPr>
          <w:rFonts w:asciiTheme="minorHAnsi" w:eastAsia="LMRoman10-Regular" w:hAnsiTheme="minorHAnsi" w:cstheme="minorHAnsi"/>
          <w:lang w:eastAsia="en-GB"/>
        </w:rPr>
        <w:t xml:space="preserve">.  </w:t>
      </w:r>
      <w:r w:rsidR="00E6481A" w:rsidRPr="005C672A">
        <w:rPr>
          <w:rFonts w:asciiTheme="minorHAnsi" w:eastAsia="LMRoman10-Regular" w:hAnsiTheme="minorHAnsi" w:cstheme="minorHAnsi"/>
          <w:color w:val="000000" w:themeColor="text1"/>
          <w:lang w:eastAsia="en-GB"/>
        </w:rPr>
        <w:t>On the other hand, they have to be internalised</w:t>
      </w:r>
      <w:r w:rsidR="007D3181" w:rsidRPr="005C672A">
        <w:rPr>
          <w:rFonts w:asciiTheme="minorHAnsi" w:eastAsia="LMRoman10-Regular" w:hAnsiTheme="minorHAnsi" w:cstheme="minorHAnsi"/>
          <w:color w:val="000000" w:themeColor="text1"/>
          <w:lang w:eastAsia="en-GB"/>
        </w:rPr>
        <w:t xml:space="preserve">, and </w:t>
      </w:r>
      <w:r w:rsidR="00093582" w:rsidRPr="005C672A">
        <w:rPr>
          <w:rFonts w:asciiTheme="minorHAnsi" w:eastAsia="LMRoman10-Regular" w:hAnsiTheme="minorHAnsi" w:cstheme="minorHAnsi"/>
          <w:color w:val="000000" w:themeColor="text1"/>
          <w:lang w:eastAsia="en-GB"/>
        </w:rPr>
        <w:t>because mathematics is essentially inscribed, internalising its practices includes developing new muscular habits</w:t>
      </w:r>
      <w:r w:rsidR="0021667E" w:rsidRPr="005C672A">
        <w:rPr>
          <w:rFonts w:asciiTheme="minorHAnsi" w:eastAsia="LMRoman10-Regular" w:hAnsiTheme="minorHAnsi" w:cstheme="minorHAnsi"/>
          <w:color w:val="000000" w:themeColor="text1"/>
          <w:lang w:eastAsia="en-GB"/>
        </w:rPr>
        <w:t xml:space="preserve"> and </w:t>
      </w:r>
      <w:r w:rsidR="00502A53" w:rsidRPr="005C672A">
        <w:rPr>
          <w:rFonts w:asciiTheme="minorHAnsi" w:eastAsia="LMRoman10-Regular" w:hAnsiTheme="minorHAnsi" w:cstheme="minorHAnsi"/>
          <w:color w:val="000000" w:themeColor="text1"/>
          <w:lang w:eastAsia="en-GB"/>
        </w:rPr>
        <w:t>new ways of reading.</w:t>
      </w:r>
    </w:p>
    <w:p w14:paraId="779ECDBE" w14:textId="2E6651AA" w:rsidR="00EB08BA" w:rsidRDefault="00093582" w:rsidP="004517D4">
      <w:pPr>
        <w:autoSpaceDE w:val="0"/>
        <w:autoSpaceDN w:val="0"/>
        <w:adjustRightInd w:val="0"/>
        <w:spacing w:after="120"/>
        <w:rPr>
          <w:rFonts w:asciiTheme="minorHAnsi" w:eastAsia="LMRoman10-Regular" w:hAnsiTheme="minorHAnsi" w:cstheme="minorHAnsi"/>
          <w:lang w:eastAsia="en-GB"/>
        </w:rPr>
      </w:pPr>
      <w:r>
        <w:rPr>
          <w:rFonts w:asciiTheme="minorHAnsi" w:eastAsia="LMRoman10-Regular" w:hAnsiTheme="minorHAnsi" w:cstheme="minorHAnsi"/>
          <w:lang w:eastAsia="en-GB"/>
        </w:rPr>
        <w:t>R</w:t>
      </w:r>
      <w:r w:rsidR="00B50678">
        <w:rPr>
          <w:rFonts w:asciiTheme="minorHAnsi" w:eastAsia="LMRoman10-Regular" w:hAnsiTheme="minorHAnsi" w:cstheme="minorHAnsi"/>
          <w:lang w:eastAsia="en-GB"/>
        </w:rPr>
        <w:t xml:space="preserve">ecent studies emphasise the intimate </w:t>
      </w:r>
      <w:r w:rsidR="004770CA">
        <w:rPr>
          <w:rFonts w:asciiTheme="minorHAnsi" w:eastAsia="LMRoman10-Regular" w:hAnsiTheme="minorHAnsi" w:cstheme="minorHAnsi"/>
          <w:lang w:eastAsia="en-GB"/>
        </w:rPr>
        <w:t xml:space="preserve">relationship between the mathematically trained hand, eye and brain.  In a series of papers, De Toffoli and Giardino have elaborated a concept of ‘manipulative imagination’ to </w:t>
      </w:r>
      <w:r w:rsidR="0019493C">
        <w:rPr>
          <w:rFonts w:asciiTheme="minorHAnsi" w:eastAsia="LMRoman10-Regular" w:hAnsiTheme="minorHAnsi" w:cstheme="minorHAnsi"/>
          <w:lang w:eastAsia="en-GB"/>
        </w:rPr>
        <w:t>articulate the skill of using diagrams in knot theory and low-dimensional topology.</w:t>
      </w:r>
      <w:r w:rsidR="00631E95">
        <w:rPr>
          <w:rStyle w:val="FootnoteReference"/>
          <w:rFonts w:asciiTheme="minorHAnsi" w:eastAsia="LMRoman10-Regular" w:hAnsiTheme="minorHAnsi" w:cstheme="minorHAnsi"/>
          <w:lang w:eastAsia="en-GB"/>
        </w:rPr>
        <w:footnoteReference w:id="27"/>
      </w:r>
      <w:r w:rsidR="00520970">
        <w:rPr>
          <w:rFonts w:asciiTheme="minorHAnsi" w:eastAsia="LMRoman10-Regular" w:hAnsiTheme="minorHAnsi" w:cstheme="minorHAnsi"/>
          <w:lang w:eastAsia="en-GB"/>
        </w:rPr>
        <w:t xml:space="preserve">  To learn knot theory, it is not enough to read knot diagrams.  One </w:t>
      </w:r>
      <w:r w:rsidR="00987F0F">
        <w:rPr>
          <w:rFonts w:asciiTheme="minorHAnsi" w:eastAsia="LMRoman10-Regular" w:hAnsiTheme="minorHAnsi" w:cstheme="minorHAnsi"/>
          <w:lang w:eastAsia="en-GB"/>
        </w:rPr>
        <w:t>must</w:t>
      </w:r>
      <w:r w:rsidR="00520970">
        <w:rPr>
          <w:rFonts w:asciiTheme="minorHAnsi" w:eastAsia="LMRoman10-Regular" w:hAnsiTheme="minorHAnsi" w:cstheme="minorHAnsi"/>
          <w:lang w:eastAsia="en-GB"/>
        </w:rPr>
        <w:t xml:space="preserve"> learn to imagine loops in the knot being slid around or flipped across other loops.  Roi Wagner </w:t>
      </w:r>
      <w:r w:rsidR="005216E6">
        <w:rPr>
          <w:rFonts w:asciiTheme="minorHAnsi" w:eastAsia="LMRoman10-Regular" w:hAnsiTheme="minorHAnsi" w:cstheme="minorHAnsi"/>
          <w:lang w:eastAsia="en-GB"/>
        </w:rPr>
        <w:t xml:space="preserve">(2017) borrows the term ‘haptic vision’ from Deleuze, and characterises it thus: </w:t>
      </w:r>
    </w:p>
    <w:p w14:paraId="271C2CBA" w14:textId="7AB6605B" w:rsidR="005216E6" w:rsidRDefault="005216E6" w:rsidP="000D7A51">
      <w:pPr>
        <w:autoSpaceDE w:val="0"/>
        <w:autoSpaceDN w:val="0"/>
        <w:adjustRightInd w:val="0"/>
        <w:spacing w:after="120"/>
        <w:ind w:left="720"/>
        <w:rPr>
          <w:rFonts w:asciiTheme="minorHAnsi" w:eastAsia="LMRoman10-Regular" w:hAnsiTheme="minorHAnsi" w:cstheme="minorHAnsi"/>
          <w:lang w:eastAsia="en-GB"/>
        </w:rPr>
      </w:pPr>
      <w:r>
        <w:rPr>
          <w:rFonts w:asciiTheme="minorHAnsi" w:eastAsia="LMRoman10-Regular" w:hAnsiTheme="minorHAnsi" w:cstheme="minorHAnsi"/>
          <w:lang w:eastAsia="en-GB"/>
        </w:rPr>
        <w:t xml:space="preserve">Initially, the hand only drew, and the eye only observed the result.  But the emergent Figure involves a </w:t>
      </w:r>
      <w:r w:rsidRPr="000D7A51">
        <w:rPr>
          <w:rFonts w:asciiTheme="minorHAnsi" w:eastAsia="LMRoman10-Regular" w:hAnsiTheme="minorHAnsi" w:cstheme="minorHAnsi"/>
          <w:i/>
          <w:lang w:eastAsia="en-GB"/>
        </w:rPr>
        <w:t>man</w:t>
      </w:r>
      <w:r>
        <w:rPr>
          <w:rFonts w:asciiTheme="minorHAnsi" w:eastAsia="LMRoman10-Regular" w:hAnsiTheme="minorHAnsi" w:cstheme="minorHAnsi"/>
          <w:lang w:eastAsia="en-GB"/>
        </w:rPr>
        <w:t xml:space="preserve">ipulation or </w:t>
      </w:r>
      <w:r w:rsidRPr="000D7A51">
        <w:rPr>
          <w:rFonts w:asciiTheme="minorHAnsi" w:eastAsia="LMRoman10-Regular" w:hAnsiTheme="minorHAnsi" w:cstheme="minorHAnsi"/>
          <w:i/>
          <w:lang w:eastAsia="en-GB"/>
        </w:rPr>
        <w:t>hand</w:t>
      </w:r>
      <w:r>
        <w:rPr>
          <w:rFonts w:asciiTheme="minorHAnsi" w:eastAsia="LMRoman10-Regular" w:hAnsiTheme="minorHAnsi" w:cstheme="minorHAnsi"/>
          <w:lang w:eastAsia="en-GB"/>
        </w:rPr>
        <w:t xml:space="preserve">ling without resorting back to the hand, using only the associated enriched mode of vision.  Indeed we see in the diagram a sequence of past drawings, </w:t>
      </w:r>
      <w:r w:rsidR="00A86855">
        <w:rPr>
          <w:rFonts w:asciiTheme="minorHAnsi" w:eastAsia="LMRoman10-Regular" w:hAnsiTheme="minorHAnsi" w:cstheme="minorHAnsi"/>
          <w:lang w:eastAsia="en-GB"/>
        </w:rPr>
        <w:t>intended drawing</w:t>
      </w:r>
      <w:r>
        <w:rPr>
          <w:rFonts w:asciiTheme="minorHAnsi" w:eastAsia="LMRoman10-Regular" w:hAnsiTheme="minorHAnsi" w:cstheme="minorHAnsi"/>
          <w:lang w:eastAsia="en-GB"/>
        </w:rPr>
        <w:t>s and possible integration of noise into a new drawing</w:t>
      </w:r>
      <w:r w:rsidR="00A86855">
        <w:rPr>
          <w:rFonts w:asciiTheme="minorHAnsi" w:eastAsia="LMRoman10-Regular" w:hAnsiTheme="minorHAnsi" w:cstheme="minorHAnsi"/>
          <w:lang w:eastAsia="en-GB"/>
        </w:rPr>
        <w:t>—all without any actual manual re-drawing.  (Wagner 2017, p. 170)</w:t>
      </w:r>
    </w:p>
    <w:p w14:paraId="5B17BA9B" w14:textId="50545E74" w:rsidR="009852AA" w:rsidRDefault="00B70B08" w:rsidP="004517D4">
      <w:pPr>
        <w:autoSpaceDE w:val="0"/>
        <w:autoSpaceDN w:val="0"/>
        <w:adjustRightInd w:val="0"/>
        <w:spacing w:after="120"/>
        <w:rPr>
          <w:rFonts w:asciiTheme="minorHAnsi" w:eastAsia="LMRoman10-Regular" w:hAnsiTheme="minorHAnsi" w:cstheme="minorHAnsi"/>
          <w:lang w:eastAsia="en-GB"/>
        </w:rPr>
      </w:pPr>
      <w:r>
        <w:rPr>
          <w:rFonts w:asciiTheme="minorHAnsi" w:eastAsia="LMRoman10-Regular" w:hAnsiTheme="minorHAnsi" w:cstheme="minorHAnsi"/>
          <w:lang w:eastAsia="en-GB"/>
        </w:rPr>
        <w:t xml:space="preserve">‘Haptic vision’ is the result of coupling between hand, eye and brain so intimate that the eye is able to do the handling on its own, and ultimately, in some cases, need not have recourse to a physical diagram or written expression.  </w:t>
      </w:r>
      <w:r w:rsidR="00225084">
        <w:rPr>
          <w:rFonts w:asciiTheme="minorHAnsi" w:eastAsia="LMRoman10-Regular" w:hAnsiTheme="minorHAnsi" w:cstheme="minorHAnsi"/>
          <w:lang w:eastAsia="en-GB"/>
        </w:rPr>
        <w:t xml:space="preserve">Menary writes: </w:t>
      </w:r>
    </w:p>
    <w:p w14:paraId="6EC4B52A" w14:textId="60AED3BC" w:rsidR="00225084" w:rsidRPr="00204FBF" w:rsidRDefault="00225084" w:rsidP="00EC4ADC">
      <w:pPr>
        <w:autoSpaceDE w:val="0"/>
        <w:autoSpaceDN w:val="0"/>
        <w:adjustRightInd w:val="0"/>
        <w:spacing w:after="120"/>
        <w:ind w:left="720"/>
        <w:rPr>
          <w:rFonts w:asciiTheme="minorHAnsi" w:eastAsia="LMRoman10-Regular" w:hAnsiTheme="minorHAnsi" w:cstheme="minorHAnsi"/>
          <w:color w:val="000000"/>
          <w:lang w:eastAsia="en-GB"/>
        </w:rPr>
      </w:pPr>
      <w:r w:rsidRPr="00204FBF">
        <w:rPr>
          <w:rFonts w:asciiTheme="minorHAnsi" w:eastAsia="LMRoman10-Regular" w:hAnsiTheme="minorHAnsi" w:cstheme="minorHAnsi"/>
          <w:color w:val="000000"/>
          <w:lang w:eastAsia="en-GB"/>
        </w:rPr>
        <w:t>Mastery of</w:t>
      </w:r>
      <w:r>
        <w:rPr>
          <w:rFonts w:asciiTheme="minorHAnsi" w:eastAsia="LMRoman10-Regular" w:hAnsiTheme="minorHAnsi" w:cstheme="minorHAnsi"/>
          <w:color w:val="000000"/>
          <w:lang w:eastAsia="en-GB"/>
        </w:rPr>
        <w:t xml:space="preserve"> </w:t>
      </w:r>
      <w:r w:rsidR="006068B2">
        <w:rPr>
          <w:rFonts w:asciiTheme="minorHAnsi" w:eastAsia="LMRoman10-Regular" w:hAnsiTheme="minorHAnsi" w:cstheme="minorHAnsi"/>
          <w:color w:val="000000"/>
          <w:lang w:eastAsia="en-GB"/>
        </w:rPr>
        <w:t>[mathe</w:t>
      </w:r>
      <w:r>
        <w:rPr>
          <w:rFonts w:asciiTheme="minorHAnsi" w:eastAsia="LMRoman10-Regular" w:hAnsiTheme="minorHAnsi" w:cstheme="minorHAnsi"/>
          <w:color w:val="000000"/>
          <w:lang w:eastAsia="en-GB"/>
        </w:rPr>
        <w:t>matical</w:t>
      </w:r>
      <w:r w:rsidR="006068B2">
        <w:rPr>
          <w:rFonts w:asciiTheme="minorHAnsi" w:eastAsia="LMRoman10-Regular" w:hAnsiTheme="minorHAnsi" w:cstheme="minorHAnsi"/>
          <w:color w:val="000000"/>
          <w:lang w:eastAsia="en-GB"/>
        </w:rPr>
        <w:t>]</w:t>
      </w:r>
      <w:r>
        <w:rPr>
          <w:rFonts w:asciiTheme="minorHAnsi" w:eastAsia="LMRoman10-Regular" w:hAnsiTheme="minorHAnsi" w:cstheme="minorHAnsi"/>
          <w:color w:val="000000"/>
          <w:lang w:eastAsia="en-GB"/>
        </w:rPr>
        <w:t xml:space="preserve"> </w:t>
      </w:r>
      <w:r w:rsidRPr="00204FBF">
        <w:rPr>
          <w:rFonts w:asciiTheme="minorHAnsi" w:eastAsia="LMRoman10-Regular" w:hAnsiTheme="minorHAnsi" w:cstheme="minorHAnsi"/>
          <w:color w:val="000000"/>
          <w:lang w:eastAsia="en-GB"/>
        </w:rPr>
        <w:t xml:space="preserve">symbol systems results in changes to cortical circuitry, altering function and sensitivity to a new, public, representational system. However, it also results in new sensori-motor capacities for manipulating symbols in public space. </w:t>
      </w:r>
    </w:p>
    <w:p w14:paraId="4FB85C96" w14:textId="6306B38B" w:rsidR="00225084" w:rsidRDefault="006C2FAB" w:rsidP="004517D4">
      <w:pPr>
        <w:autoSpaceDE w:val="0"/>
        <w:autoSpaceDN w:val="0"/>
        <w:adjustRightInd w:val="0"/>
        <w:spacing w:after="120"/>
        <w:rPr>
          <w:rFonts w:asciiTheme="minorHAnsi" w:eastAsia="LMRoman10-Regular" w:hAnsiTheme="minorHAnsi" w:cstheme="minorHAnsi"/>
          <w:lang w:eastAsia="en-GB"/>
        </w:rPr>
      </w:pPr>
      <w:r>
        <w:rPr>
          <w:rFonts w:asciiTheme="minorHAnsi" w:eastAsia="LMRoman10-Regular" w:hAnsiTheme="minorHAnsi" w:cstheme="minorHAnsi"/>
          <w:lang w:eastAsia="en-GB"/>
        </w:rPr>
        <w:t xml:space="preserve">The philosophy of mathematical practice can have nothing to say about </w:t>
      </w:r>
      <w:r w:rsidR="00E90CDF">
        <w:rPr>
          <w:rFonts w:asciiTheme="minorHAnsi" w:eastAsia="LMRoman10-Regular" w:hAnsiTheme="minorHAnsi" w:cstheme="minorHAnsi"/>
          <w:lang w:eastAsia="en-GB"/>
        </w:rPr>
        <w:t>exactly what</w:t>
      </w:r>
      <w:r>
        <w:rPr>
          <w:rFonts w:asciiTheme="minorHAnsi" w:eastAsia="LMRoman10-Regular" w:hAnsiTheme="minorHAnsi" w:cstheme="minorHAnsi"/>
          <w:lang w:eastAsia="en-GB"/>
        </w:rPr>
        <w:t xml:space="preserve"> the</w:t>
      </w:r>
      <w:r w:rsidR="005A3E67">
        <w:rPr>
          <w:rFonts w:asciiTheme="minorHAnsi" w:eastAsia="LMRoman10-Regular" w:hAnsiTheme="minorHAnsi" w:cstheme="minorHAnsi"/>
          <w:lang w:eastAsia="en-GB"/>
        </w:rPr>
        <w:t>se</w:t>
      </w:r>
      <w:r>
        <w:rPr>
          <w:rFonts w:asciiTheme="minorHAnsi" w:eastAsia="LMRoman10-Regular" w:hAnsiTheme="minorHAnsi" w:cstheme="minorHAnsi"/>
          <w:lang w:eastAsia="en-GB"/>
        </w:rPr>
        <w:t xml:space="preserve"> changes to cortical circuitry </w:t>
      </w:r>
      <w:r w:rsidR="005A3E67">
        <w:rPr>
          <w:rFonts w:asciiTheme="minorHAnsi" w:eastAsia="LMRoman10-Regular" w:hAnsiTheme="minorHAnsi" w:cstheme="minorHAnsi"/>
          <w:lang w:eastAsia="en-GB"/>
        </w:rPr>
        <w:t>are</w:t>
      </w:r>
      <w:r w:rsidR="007D65C9">
        <w:rPr>
          <w:rFonts w:asciiTheme="minorHAnsi" w:eastAsia="LMRoman10-Regular" w:hAnsiTheme="minorHAnsi" w:cstheme="minorHAnsi"/>
          <w:lang w:eastAsia="en-GB"/>
        </w:rPr>
        <w:t>.  Nevertheless</w:t>
      </w:r>
      <w:r w:rsidR="005A3E67">
        <w:rPr>
          <w:rFonts w:asciiTheme="minorHAnsi" w:eastAsia="LMRoman10-Regular" w:hAnsiTheme="minorHAnsi" w:cstheme="minorHAnsi"/>
          <w:lang w:eastAsia="en-GB"/>
        </w:rPr>
        <w:t xml:space="preserve">, mastering mathematical practices does require </w:t>
      </w:r>
      <w:r w:rsidR="00C444DC">
        <w:rPr>
          <w:rFonts w:asciiTheme="minorHAnsi" w:eastAsia="LMRoman10-Regular" w:hAnsiTheme="minorHAnsi" w:cstheme="minorHAnsi"/>
          <w:lang w:eastAsia="en-GB"/>
        </w:rPr>
        <w:t xml:space="preserve">the development of ‘haptic vision’, and that must be somehow registered in the brain.  </w:t>
      </w:r>
      <w:r w:rsidR="009E3509">
        <w:rPr>
          <w:rFonts w:asciiTheme="minorHAnsi" w:eastAsia="LMRoman10-Regular" w:hAnsiTheme="minorHAnsi" w:cstheme="minorHAnsi"/>
          <w:lang w:eastAsia="en-GB"/>
        </w:rPr>
        <w:t xml:space="preserve">It’s worth noting that Clark mentions </w:t>
      </w:r>
      <w:r w:rsidR="00E35E49">
        <w:rPr>
          <w:rFonts w:asciiTheme="minorHAnsi" w:eastAsia="LMRoman10-Regular" w:hAnsiTheme="minorHAnsi" w:cstheme="minorHAnsi"/>
          <w:lang w:eastAsia="en-GB"/>
        </w:rPr>
        <w:t xml:space="preserve">just </w:t>
      </w:r>
      <w:r w:rsidR="009E3509">
        <w:rPr>
          <w:rFonts w:asciiTheme="minorHAnsi" w:eastAsia="LMRoman10-Regular" w:hAnsiTheme="minorHAnsi" w:cstheme="minorHAnsi"/>
          <w:lang w:eastAsia="en-GB"/>
        </w:rPr>
        <w:t>one mathematical example in his 1998 paper</w:t>
      </w:r>
      <w:r w:rsidR="0064573F">
        <w:rPr>
          <w:rFonts w:asciiTheme="minorHAnsi" w:eastAsia="LMRoman10-Regular" w:hAnsiTheme="minorHAnsi" w:cstheme="minorHAnsi"/>
          <w:lang w:eastAsia="en-GB"/>
        </w:rPr>
        <w:t xml:space="preserve">.  As always, his aim is to argue that </w:t>
      </w:r>
      <w:r w:rsidR="00B35CE1">
        <w:rPr>
          <w:rFonts w:asciiTheme="minorHAnsi" w:eastAsia="LMRoman10-Regular" w:hAnsiTheme="minorHAnsi" w:cstheme="minorHAnsi"/>
          <w:lang w:eastAsia="en-GB"/>
        </w:rPr>
        <w:t xml:space="preserve">a massively parallel pattern-matching machine can do everything that we can do, because that </w:t>
      </w:r>
      <w:r w:rsidR="00E90CDF">
        <w:rPr>
          <w:rFonts w:asciiTheme="minorHAnsi" w:eastAsia="LMRoman10-Regular" w:hAnsiTheme="minorHAnsi" w:cstheme="minorHAnsi"/>
          <w:lang w:eastAsia="en-GB"/>
        </w:rPr>
        <w:t xml:space="preserve">(in his opinion) </w:t>
      </w:r>
      <w:r w:rsidR="00B35CE1">
        <w:rPr>
          <w:rFonts w:asciiTheme="minorHAnsi" w:eastAsia="LMRoman10-Regular" w:hAnsiTheme="minorHAnsi" w:cstheme="minorHAnsi"/>
          <w:lang w:eastAsia="en-GB"/>
        </w:rPr>
        <w:t>is what we are</w:t>
      </w:r>
      <w:r w:rsidR="009E3509">
        <w:rPr>
          <w:rFonts w:asciiTheme="minorHAnsi" w:eastAsia="LMRoman10-Regular" w:hAnsiTheme="minorHAnsi" w:cstheme="minorHAnsi"/>
          <w:lang w:eastAsia="en-GB"/>
        </w:rPr>
        <w:t xml:space="preserve">: </w:t>
      </w:r>
    </w:p>
    <w:p w14:paraId="09CCA159" w14:textId="167E2FDE" w:rsidR="009E3509" w:rsidRDefault="0051054A" w:rsidP="00640588">
      <w:pPr>
        <w:autoSpaceDE w:val="0"/>
        <w:autoSpaceDN w:val="0"/>
        <w:adjustRightInd w:val="0"/>
        <w:spacing w:after="120"/>
        <w:ind w:left="720"/>
        <w:rPr>
          <w:rFonts w:asciiTheme="minorHAnsi" w:eastAsia="LMRoman10-Regular" w:hAnsiTheme="minorHAnsi" w:cstheme="minorHAnsi"/>
          <w:lang w:eastAsia="en-GB"/>
        </w:rPr>
      </w:pPr>
      <w:r>
        <w:rPr>
          <w:rFonts w:asciiTheme="minorHAnsi" w:eastAsia="LMRoman10-Regular" w:hAnsiTheme="minorHAnsi" w:cstheme="minorHAnsi"/>
          <w:lang w:eastAsia="en-GB"/>
        </w:rPr>
        <w:lastRenderedPageBreak/>
        <w:t>…</w:t>
      </w:r>
      <w:r w:rsidR="009E3509" w:rsidRPr="009E3509">
        <w:rPr>
          <w:rFonts w:asciiTheme="minorHAnsi" w:eastAsia="LMRoman10-Regular" w:hAnsiTheme="minorHAnsi" w:cstheme="minorHAnsi"/>
          <w:lang w:eastAsia="en-GB"/>
        </w:rPr>
        <w:t>experience with drawing and using Venn diagrams allows us to train a neural network which subsequently allows us to manipulate imagined Venn diagrams in our heads.</w:t>
      </w:r>
      <w:r>
        <w:rPr>
          <w:rFonts w:asciiTheme="minorHAnsi" w:eastAsia="LMRoman10-Regular" w:hAnsiTheme="minorHAnsi" w:cstheme="minorHAnsi"/>
          <w:lang w:eastAsia="en-GB"/>
        </w:rPr>
        <w:t xml:space="preserve">  </w:t>
      </w:r>
      <w:r w:rsidR="00B35CE1">
        <w:rPr>
          <w:rFonts w:asciiTheme="minorHAnsi" w:eastAsia="LMRoman10-Regular" w:hAnsiTheme="minorHAnsi" w:cstheme="minorHAnsi"/>
          <w:lang w:eastAsia="en-GB"/>
        </w:rPr>
        <w:t xml:space="preserve">Such </w:t>
      </w:r>
      <w:r w:rsidR="00640588" w:rsidRPr="00640588">
        <w:rPr>
          <w:rFonts w:asciiTheme="minorHAnsi" w:eastAsia="LMRoman10-Regular" w:hAnsiTheme="minorHAnsi" w:cstheme="minorHAnsi"/>
          <w:lang w:eastAsia="en-GB"/>
        </w:rPr>
        <w:t>imaginative manipulations require a specially trained neural resource to be sure.  But there is no reason to suppose that such training results in the installation of a different  kind  of computational device.</w:t>
      </w:r>
      <w:r w:rsidR="00640588">
        <w:rPr>
          <w:rFonts w:asciiTheme="minorHAnsi" w:eastAsia="LMRoman10-Regular" w:hAnsiTheme="minorHAnsi" w:cstheme="minorHAnsi"/>
          <w:lang w:eastAsia="en-GB"/>
        </w:rPr>
        <w:t xml:space="preserve">  (1998 p. 166-7)</w:t>
      </w:r>
    </w:p>
    <w:p w14:paraId="31E1E513" w14:textId="62ACE3A5" w:rsidR="004A5568" w:rsidRPr="000C66E3" w:rsidRDefault="0083652A" w:rsidP="000C66E3">
      <w:pPr>
        <w:autoSpaceDE w:val="0"/>
        <w:autoSpaceDN w:val="0"/>
        <w:adjustRightInd w:val="0"/>
        <w:spacing w:after="120"/>
        <w:rPr>
          <w:rFonts w:asciiTheme="minorHAnsi" w:eastAsia="LMRoman10-Regular" w:hAnsiTheme="minorHAnsi" w:cstheme="minorHAnsi"/>
          <w:lang w:eastAsia="en-GB"/>
        </w:rPr>
      </w:pPr>
      <w:r>
        <w:rPr>
          <w:rFonts w:asciiTheme="minorHAnsi" w:eastAsia="LMRoman10-Regular" w:hAnsiTheme="minorHAnsi" w:cstheme="minorHAnsi"/>
          <w:lang w:eastAsia="en-GB"/>
        </w:rPr>
        <w:t xml:space="preserve">The structure and logical order of the brain is a matter for </w:t>
      </w:r>
      <w:r w:rsidR="0040140A">
        <w:rPr>
          <w:rFonts w:asciiTheme="minorHAnsi" w:eastAsia="LMRoman10-Regular" w:hAnsiTheme="minorHAnsi" w:cstheme="minorHAnsi"/>
          <w:lang w:eastAsia="en-GB"/>
        </w:rPr>
        <w:t xml:space="preserve">other disciplines.  </w:t>
      </w:r>
      <w:r w:rsidR="00381218">
        <w:rPr>
          <w:rFonts w:asciiTheme="minorHAnsi" w:eastAsia="LMRoman10-Regular" w:hAnsiTheme="minorHAnsi" w:cstheme="minorHAnsi"/>
          <w:lang w:eastAsia="en-GB"/>
        </w:rPr>
        <w:t>Nevertheless, it</w:t>
      </w:r>
      <w:r w:rsidR="00D77987">
        <w:rPr>
          <w:rFonts w:asciiTheme="minorHAnsi" w:eastAsia="LMRoman10-Regular" w:hAnsiTheme="minorHAnsi" w:cstheme="minorHAnsi"/>
          <w:lang w:eastAsia="en-GB"/>
        </w:rPr>
        <w:t xml:space="preserve"> should be evident in view of the examples and arguments presented</w:t>
      </w:r>
      <w:r w:rsidR="004013DC">
        <w:rPr>
          <w:rFonts w:asciiTheme="minorHAnsi" w:eastAsia="LMRoman10-Regular" w:hAnsiTheme="minorHAnsi" w:cstheme="minorHAnsi"/>
          <w:lang w:eastAsia="en-GB"/>
        </w:rPr>
        <w:t xml:space="preserve"> here that the scaffolding metaphor radically misdescribes the help that we get from mathematical inscriptions and other elements of mathematical material culture (such as cardboard models, computer-generated images and shapes drawn in the air).  </w:t>
      </w:r>
      <w:r w:rsidR="00DC43EF">
        <w:rPr>
          <w:rFonts w:asciiTheme="minorHAnsi" w:eastAsia="LMRoman10-Regular" w:hAnsiTheme="minorHAnsi" w:cstheme="minorHAnsi"/>
          <w:lang w:eastAsia="en-GB"/>
        </w:rPr>
        <w:t xml:space="preserve">It does not readily express the to-and-fro between inward cogitation and the manipulation of symbols and diagrams, nor </w:t>
      </w:r>
      <w:r w:rsidR="00243407">
        <w:rPr>
          <w:rFonts w:asciiTheme="minorHAnsi" w:eastAsia="LMRoman10-Regular" w:hAnsiTheme="minorHAnsi" w:cstheme="minorHAnsi"/>
          <w:lang w:eastAsia="en-GB"/>
        </w:rPr>
        <w:t>the process of internalising shared</w:t>
      </w:r>
      <w:r w:rsidR="000B51BF">
        <w:rPr>
          <w:rFonts w:asciiTheme="minorHAnsi" w:eastAsia="LMRoman10-Regular" w:hAnsiTheme="minorHAnsi" w:cstheme="minorHAnsi"/>
          <w:lang w:eastAsia="en-GB"/>
        </w:rPr>
        <w:t xml:space="preserve">, materially mediated </w:t>
      </w:r>
      <w:r w:rsidR="00BD3DCB">
        <w:rPr>
          <w:rFonts w:asciiTheme="minorHAnsi" w:eastAsia="LMRoman10-Regular" w:hAnsiTheme="minorHAnsi" w:cstheme="minorHAnsi"/>
          <w:lang w:eastAsia="en-GB"/>
        </w:rPr>
        <w:t xml:space="preserve">mathematical </w:t>
      </w:r>
      <w:r w:rsidR="000B51BF">
        <w:rPr>
          <w:rFonts w:asciiTheme="minorHAnsi" w:eastAsia="LMRoman10-Regular" w:hAnsiTheme="minorHAnsi" w:cstheme="minorHAnsi"/>
          <w:lang w:eastAsia="en-GB"/>
        </w:rPr>
        <w:t>practices.</w:t>
      </w:r>
      <w:r w:rsidR="00DC43EF">
        <w:rPr>
          <w:rFonts w:asciiTheme="minorHAnsi" w:eastAsia="LMRoman10-Regular" w:hAnsiTheme="minorHAnsi" w:cstheme="minorHAnsi"/>
          <w:lang w:eastAsia="en-GB"/>
        </w:rPr>
        <w:t xml:space="preserve">  </w:t>
      </w:r>
      <w:r w:rsidR="000B51BF">
        <w:rPr>
          <w:rFonts w:asciiTheme="minorHAnsi" w:eastAsia="LMRoman10-Regular" w:hAnsiTheme="minorHAnsi" w:cstheme="minorHAnsi"/>
          <w:lang w:eastAsia="en-GB"/>
        </w:rPr>
        <w:t>Therefore, it</w:t>
      </w:r>
      <w:r w:rsidR="004013DC">
        <w:rPr>
          <w:rFonts w:asciiTheme="minorHAnsi" w:eastAsia="LMRoman10-Regular" w:hAnsiTheme="minorHAnsi" w:cstheme="minorHAnsi"/>
          <w:lang w:eastAsia="en-GB"/>
        </w:rPr>
        <w:t xml:space="preserve"> begs the question in favour of those who would confine thinking to the inside of the skull.  </w:t>
      </w:r>
      <w:r w:rsidR="000C66E3">
        <w:rPr>
          <w:rFonts w:asciiTheme="minorHAnsi" w:eastAsia="LMRoman10-Regular" w:hAnsiTheme="minorHAnsi" w:cstheme="minorHAnsi"/>
          <w:lang w:eastAsia="en-GB"/>
        </w:rPr>
        <w:t xml:space="preserve">Given Clark’s and Menary’s philosophical aims, this is </w:t>
      </w:r>
      <w:r w:rsidR="000E2236">
        <w:rPr>
          <w:rFonts w:asciiTheme="minorHAnsi" w:eastAsia="LMRoman10-Regular" w:hAnsiTheme="minorHAnsi" w:cstheme="minorHAnsi"/>
          <w:lang w:eastAsia="en-GB"/>
        </w:rPr>
        <w:t xml:space="preserve">an </w:t>
      </w:r>
      <w:r w:rsidR="000C66E3">
        <w:rPr>
          <w:rFonts w:asciiTheme="minorHAnsi" w:eastAsia="LMRoman10-Regular" w:hAnsiTheme="minorHAnsi" w:cstheme="minorHAnsi"/>
          <w:lang w:eastAsia="en-GB"/>
        </w:rPr>
        <w:t>unfortunate</w:t>
      </w:r>
      <w:r w:rsidR="000E2236">
        <w:rPr>
          <w:rFonts w:asciiTheme="minorHAnsi" w:eastAsia="LMRoman10-Regular" w:hAnsiTheme="minorHAnsi" w:cstheme="minorHAnsi"/>
          <w:lang w:eastAsia="en-GB"/>
        </w:rPr>
        <w:t xml:space="preserve"> effect of this metaphor’s unbudgeable presence in the literature</w:t>
      </w:r>
      <w:r w:rsidR="000C66E3">
        <w:rPr>
          <w:rFonts w:asciiTheme="minorHAnsi" w:eastAsia="LMRoman10-Regular" w:hAnsiTheme="minorHAnsi" w:cstheme="minorHAnsi"/>
          <w:lang w:eastAsia="en-GB"/>
        </w:rPr>
        <w:t xml:space="preserve">.  </w:t>
      </w:r>
    </w:p>
    <w:p w14:paraId="3801DDD5" w14:textId="2471451E" w:rsidR="001B61B3" w:rsidRDefault="00276C02" w:rsidP="00276C02">
      <w:pPr>
        <w:pStyle w:val="Heading1"/>
      </w:pPr>
      <w:r>
        <w:t>References</w:t>
      </w:r>
    </w:p>
    <w:p w14:paraId="483FD9D5" w14:textId="77777777" w:rsidR="000C47CA" w:rsidRPr="000C47CA" w:rsidRDefault="000C47CA" w:rsidP="000C47CA">
      <w:pPr>
        <w:spacing w:after="120" w:line="240" w:lineRule="auto"/>
        <w:ind w:left="482" w:hanging="482"/>
        <w:rPr>
          <w:rFonts w:asciiTheme="minorHAnsi" w:eastAsia="Times New Roman" w:hAnsiTheme="minorHAnsi" w:cstheme="minorHAnsi"/>
          <w:lang w:eastAsia="en-GB"/>
        </w:rPr>
      </w:pPr>
      <w:proofErr w:type="spellStart"/>
      <w:r w:rsidRPr="000C47CA">
        <w:rPr>
          <w:rFonts w:asciiTheme="minorHAnsi" w:eastAsia="Times New Roman" w:hAnsiTheme="minorHAnsi" w:cstheme="minorHAnsi"/>
          <w:lang w:eastAsia="en-GB"/>
        </w:rPr>
        <w:t>Artemeva</w:t>
      </w:r>
      <w:proofErr w:type="spellEnd"/>
      <w:r w:rsidRPr="000C47CA">
        <w:rPr>
          <w:rFonts w:asciiTheme="minorHAnsi" w:eastAsia="Times New Roman" w:hAnsiTheme="minorHAnsi" w:cstheme="minorHAnsi"/>
          <w:lang w:eastAsia="en-GB"/>
        </w:rPr>
        <w:t xml:space="preserve">, N., &amp; Fox, J. (2011). The Writing’s on the Board: The Global and the Local in Teaching Undergraduate Mathematics Through Chalk Talk. </w:t>
      </w:r>
      <w:r w:rsidRPr="000C47CA">
        <w:rPr>
          <w:rFonts w:asciiTheme="minorHAnsi" w:eastAsia="Times New Roman" w:hAnsiTheme="minorHAnsi" w:cstheme="minorHAnsi"/>
          <w:i/>
          <w:iCs/>
          <w:lang w:eastAsia="en-GB"/>
        </w:rPr>
        <w:t>Written Communication</w:t>
      </w:r>
      <w:r w:rsidRPr="000C47CA">
        <w:rPr>
          <w:rFonts w:asciiTheme="minorHAnsi" w:eastAsia="Times New Roman" w:hAnsiTheme="minorHAnsi" w:cstheme="minorHAnsi"/>
          <w:lang w:eastAsia="en-GB"/>
        </w:rPr>
        <w:t xml:space="preserve">, </w:t>
      </w:r>
      <w:r w:rsidRPr="000C47CA">
        <w:rPr>
          <w:rFonts w:asciiTheme="minorHAnsi" w:eastAsia="Times New Roman" w:hAnsiTheme="minorHAnsi" w:cstheme="minorHAnsi"/>
          <w:i/>
          <w:iCs/>
          <w:lang w:eastAsia="en-GB"/>
        </w:rPr>
        <w:t>28</w:t>
      </w:r>
      <w:r w:rsidRPr="000C47CA">
        <w:rPr>
          <w:rFonts w:asciiTheme="minorHAnsi" w:eastAsia="Times New Roman" w:hAnsiTheme="minorHAnsi" w:cstheme="minorHAnsi"/>
          <w:lang w:eastAsia="en-GB"/>
        </w:rPr>
        <w:t>(4), 345–379. https://doi.org/10.1177/0741088311419630</w:t>
      </w:r>
    </w:p>
    <w:p w14:paraId="09466EC4" w14:textId="4F71B288" w:rsidR="000A60AB" w:rsidRPr="00F13AA7" w:rsidRDefault="000A60AB" w:rsidP="00276C02">
      <w:pPr>
        <w:pStyle w:val="Default"/>
        <w:spacing w:after="120"/>
        <w:ind w:left="720" w:hanging="720"/>
        <w:rPr>
          <w:rFonts w:asciiTheme="minorHAnsi" w:hAnsiTheme="minorHAnsi" w:cstheme="minorHAnsi"/>
          <w:sz w:val="22"/>
          <w:szCs w:val="22"/>
        </w:rPr>
      </w:pPr>
      <w:r w:rsidRPr="00F13AA7">
        <w:rPr>
          <w:rFonts w:asciiTheme="minorHAnsi" w:hAnsiTheme="minorHAnsi" w:cstheme="minorHAnsi"/>
          <w:sz w:val="22"/>
          <w:szCs w:val="22"/>
        </w:rPr>
        <w:t>Barany, M., &amp; MacKenzie, D.</w:t>
      </w:r>
      <w:r w:rsidR="00F13AA7" w:rsidRPr="00F13AA7">
        <w:rPr>
          <w:rFonts w:asciiTheme="minorHAnsi" w:hAnsiTheme="minorHAnsi" w:cstheme="minorHAnsi"/>
          <w:sz w:val="22"/>
          <w:szCs w:val="22"/>
        </w:rPr>
        <w:t xml:space="preserve"> </w:t>
      </w:r>
      <w:r w:rsidRPr="00F13AA7">
        <w:rPr>
          <w:rFonts w:asciiTheme="minorHAnsi" w:hAnsiTheme="minorHAnsi" w:cstheme="minorHAnsi"/>
          <w:sz w:val="22"/>
          <w:szCs w:val="22"/>
        </w:rPr>
        <w:t xml:space="preserve">(2014-01-24). Chalk: Materials and Concepts in Mathematics Research. In </w:t>
      </w:r>
      <w:r w:rsidRPr="00F13AA7">
        <w:rPr>
          <w:rFonts w:asciiTheme="minorHAnsi" w:hAnsiTheme="minorHAnsi" w:cstheme="minorHAnsi"/>
          <w:i/>
          <w:sz w:val="22"/>
          <w:szCs w:val="22"/>
        </w:rPr>
        <w:t>Representation in Scientific Practice Revisited</w:t>
      </w:r>
      <w:r w:rsidRPr="00F13AA7">
        <w:rPr>
          <w:rFonts w:asciiTheme="minorHAnsi" w:hAnsiTheme="minorHAnsi" w:cstheme="minorHAnsi"/>
          <w:sz w:val="22"/>
          <w:szCs w:val="22"/>
        </w:rPr>
        <w:t>. The MIT Press.</w:t>
      </w:r>
    </w:p>
    <w:p w14:paraId="3AA80D3F" w14:textId="48308AB7" w:rsidR="007722CF" w:rsidRPr="00DB72CC" w:rsidRDefault="001B61B3" w:rsidP="00276C02">
      <w:pPr>
        <w:pStyle w:val="Default"/>
        <w:spacing w:after="120"/>
        <w:ind w:left="720" w:hanging="720"/>
        <w:rPr>
          <w:rFonts w:asciiTheme="minorHAnsi" w:hAnsiTheme="minorHAnsi" w:cstheme="minorHAnsi"/>
          <w:sz w:val="22"/>
          <w:szCs w:val="22"/>
        </w:rPr>
      </w:pPr>
      <w:r w:rsidRPr="00DB72CC">
        <w:rPr>
          <w:rFonts w:asciiTheme="minorHAnsi" w:hAnsiTheme="minorHAnsi" w:cstheme="minorHAnsi"/>
          <w:sz w:val="22"/>
          <w:szCs w:val="22"/>
        </w:rPr>
        <w:t>Bruner, J. S. (1966).</w:t>
      </w:r>
      <w:r w:rsidRPr="00DB72CC">
        <w:rPr>
          <w:rStyle w:val="Emphasis"/>
          <w:rFonts w:asciiTheme="minorHAnsi" w:hAnsiTheme="minorHAnsi" w:cstheme="minorHAnsi"/>
          <w:sz w:val="22"/>
          <w:szCs w:val="22"/>
        </w:rPr>
        <w:t xml:space="preserve"> Toward a theory of instruction</w:t>
      </w:r>
      <w:r w:rsidRPr="00DB72CC">
        <w:rPr>
          <w:rFonts w:asciiTheme="minorHAnsi" w:hAnsiTheme="minorHAnsi" w:cstheme="minorHAnsi"/>
          <w:sz w:val="22"/>
          <w:szCs w:val="22"/>
        </w:rPr>
        <w:t xml:space="preserve">, Cambridge, Mass.: </w:t>
      </w:r>
      <w:proofErr w:type="spellStart"/>
      <w:r w:rsidRPr="00DB72CC">
        <w:rPr>
          <w:rFonts w:asciiTheme="minorHAnsi" w:hAnsiTheme="minorHAnsi" w:cstheme="minorHAnsi"/>
          <w:sz w:val="22"/>
          <w:szCs w:val="22"/>
        </w:rPr>
        <w:t>Belkapp</w:t>
      </w:r>
      <w:proofErr w:type="spellEnd"/>
      <w:r w:rsidRPr="00DB72CC">
        <w:rPr>
          <w:rFonts w:asciiTheme="minorHAnsi" w:hAnsiTheme="minorHAnsi" w:cstheme="minorHAnsi"/>
          <w:sz w:val="22"/>
          <w:szCs w:val="22"/>
        </w:rPr>
        <w:t xml:space="preserve"> Press.</w:t>
      </w:r>
    </w:p>
    <w:p w14:paraId="5C10EDB2" w14:textId="3B0D47B6" w:rsidR="001B61B3" w:rsidRPr="00DB72CC" w:rsidRDefault="007722CF" w:rsidP="00276C02">
      <w:pPr>
        <w:pStyle w:val="Default"/>
        <w:spacing w:after="120"/>
        <w:ind w:left="720" w:hanging="720"/>
        <w:rPr>
          <w:rFonts w:asciiTheme="minorHAnsi" w:hAnsiTheme="minorHAnsi" w:cstheme="minorHAnsi"/>
          <w:sz w:val="22"/>
          <w:szCs w:val="22"/>
        </w:rPr>
      </w:pPr>
      <w:proofErr w:type="spellStart"/>
      <w:r w:rsidRPr="00DB72CC">
        <w:rPr>
          <w:rFonts w:asciiTheme="minorHAnsi" w:hAnsiTheme="minorHAnsi" w:cstheme="minorHAnsi"/>
          <w:bCs/>
          <w:sz w:val="22"/>
          <w:szCs w:val="22"/>
        </w:rPr>
        <w:t>Chemero</w:t>
      </w:r>
      <w:proofErr w:type="spellEnd"/>
      <w:r w:rsidRPr="00DB72CC">
        <w:rPr>
          <w:rFonts w:asciiTheme="minorHAnsi" w:hAnsiTheme="minorHAnsi" w:cstheme="minorHAnsi"/>
          <w:bCs/>
          <w:sz w:val="22"/>
          <w:szCs w:val="22"/>
        </w:rPr>
        <w:t xml:space="preserve">, Anthony </w:t>
      </w:r>
      <w:r w:rsidR="00A75A9D">
        <w:rPr>
          <w:rFonts w:asciiTheme="minorHAnsi" w:hAnsiTheme="minorHAnsi" w:cstheme="minorHAnsi"/>
          <w:bCs/>
          <w:sz w:val="22"/>
          <w:szCs w:val="22"/>
        </w:rPr>
        <w:t xml:space="preserve">(1998) </w:t>
      </w:r>
      <w:r w:rsidRPr="00DB72CC">
        <w:rPr>
          <w:rFonts w:asciiTheme="minorHAnsi" w:hAnsiTheme="minorHAnsi" w:cstheme="minorHAnsi"/>
          <w:sz w:val="22"/>
          <w:szCs w:val="22"/>
        </w:rPr>
        <w:t>‘</w:t>
      </w:r>
      <w:r w:rsidRPr="00DB72CC">
        <w:rPr>
          <w:rFonts w:asciiTheme="minorHAnsi" w:hAnsiTheme="minorHAnsi" w:cstheme="minorHAnsi"/>
          <w:bCs/>
          <w:sz w:val="22"/>
          <w:szCs w:val="22"/>
        </w:rPr>
        <w:t xml:space="preserve">A Stroll Through the Worlds of </w:t>
      </w:r>
      <w:proofErr w:type="spellStart"/>
      <w:r w:rsidRPr="00DB72CC">
        <w:rPr>
          <w:rFonts w:asciiTheme="minorHAnsi" w:hAnsiTheme="minorHAnsi" w:cstheme="minorHAnsi"/>
          <w:bCs/>
          <w:sz w:val="22"/>
          <w:szCs w:val="22"/>
        </w:rPr>
        <w:t>Animats</w:t>
      </w:r>
      <w:proofErr w:type="spellEnd"/>
      <w:r w:rsidRPr="00DB72CC">
        <w:rPr>
          <w:rFonts w:asciiTheme="minorHAnsi" w:hAnsiTheme="minorHAnsi" w:cstheme="minorHAnsi"/>
          <w:bCs/>
          <w:sz w:val="22"/>
          <w:szCs w:val="22"/>
        </w:rPr>
        <w:t xml:space="preserve"> and Humans: Review of </w:t>
      </w:r>
      <w:r w:rsidRPr="00DB72CC">
        <w:rPr>
          <w:rFonts w:asciiTheme="minorHAnsi" w:hAnsiTheme="minorHAnsi" w:cstheme="minorHAnsi"/>
          <w:bCs/>
          <w:i/>
          <w:iCs/>
          <w:sz w:val="22"/>
          <w:szCs w:val="22"/>
        </w:rPr>
        <w:t xml:space="preserve">Being There: Putting Brain, Body and World Together Again’ </w:t>
      </w:r>
      <w:r w:rsidRPr="00DB72CC">
        <w:rPr>
          <w:rFonts w:asciiTheme="minorHAnsi" w:hAnsiTheme="minorHAnsi" w:cstheme="minorHAnsi"/>
          <w:bCs/>
          <w:sz w:val="22"/>
          <w:szCs w:val="22"/>
        </w:rPr>
        <w:t>by Andy Clark</w:t>
      </w:r>
      <w:r w:rsidR="00A75A9D">
        <w:rPr>
          <w:rFonts w:asciiTheme="minorHAnsi" w:hAnsiTheme="minorHAnsi" w:cstheme="minorHAnsi"/>
          <w:bCs/>
          <w:sz w:val="22"/>
          <w:szCs w:val="22"/>
        </w:rPr>
        <w:t>.</w:t>
      </w:r>
      <w:r w:rsidRPr="00DB72CC">
        <w:rPr>
          <w:rFonts w:asciiTheme="minorHAnsi" w:hAnsiTheme="minorHAnsi" w:cstheme="minorHAnsi"/>
          <w:bCs/>
          <w:sz w:val="22"/>
          <w:szCs w:val="22"/>
        </w:rPr>
        <w:t xml:space="preserve"> </w:t>
      </w:r>
      <w:r w:rsidR="001B61B3" w:rsidRPr="00DB72CC">
        <w:rPr>
          <w:rFonts w:asciiTheme="minorHAnsi" w:hAnsiTheme="minorHAnsi" w:cstheme="minorHAnsi"/>
          <w:sz w:val="22"/>
          <w:szCs w:val="22"/>
        </w:rPr>
        <w:t xml:space="preserve"> </w:t>
      </w:r>
      <w:r w:rsidR="001B61B3" w:rsidRPr="00A75A9D">
        <w:rPr>
          <w:rFonts w:asciiTheme="minorHAnsi" w:hAnsiTheme="minorHAnsi" w:cstheme="minorHAnsi"/>
          <w:i/>
          <w:sz w:val="22"/>
          <w:szCs w:val="22"/>
        </w:rPr>
        <w:t>PSYCHE</w:t>
      </w:r>
      <w:r w:rsidR="001B61B3" w:rsidRPr="00DB72CC">
        <w:rPr>
          <w:rFonts w:asciiTheme="minorHAnsi" w:hAnsiTheme="minorHAnsi" w:cstheme="minorHAnsi"/>
          <w:sz w:val="22"/>
          <w:szCs w:val="22"/>
        </w:rPr>
        <w:t xml:space="preserve">, 4(14), </w:t>
      </w:r>
      <w:proofErr w:type="gramStart"/>
      <w:r w:rsidR="001B61B3" w:rsidRPr="00DB72CC">
        <w:rPr>
          <w:rFonts w:asciiTheme="minorHAnsi" w:hAnsiTheme="minorHAnsi" w:cstheme="minorHAnsi"/>
          <w:sz w:val="22"/>
          <w:szCs w:val="22"/>
        </w:rPr>
        <w:t>October,</w:t>
      </w:r>
      <w:proofErr w:type="gramEnd"/>
      <w:r w:rsidR="001B61B3" w:rsidRPr="00DB72CC">
        <w:rPr>
          <w:rFonts w:asciiTheme="minorHAnsi" w:hAnsiTheme="minorHAnsi" w:cstheme="minorHAnsi"/>
          <w:sz w:val="22"/>
          <w:szCs w:val="22"/>
        </w:rPr>
        <w:t xml:space="preserve"> 1998</w:t>
      </w:r>
    </w:p>
    <w:p w14:paraId="107BAE44" w14:textId="33161158" w:rsidR="007722CF" w:rsidRDefault="007722CF" w:rsidP="00276C02">
      <w:pPr>
        <w:pStyle w:val="Default"/>
        <w:spacing w:after="120"/>
        <w:ind w:left="720" w:hanging="720"/>
        <w:rPr>
          <w:rFonts w:asciiTheme="minorHAnsi" w:hAnsiTheme="minorHAnsi" w:cstheme="minorHAnsi"/>
          <w:sz w:val="22"/>
          <w:szCs w:val="22"/>
        </w:rPr>
      </w:pPr>
      <w:r w:rsidRPr="00DB72CC">
        <w:rPr>
          <w:rFonts w:asciiTheme="minorHAnsi" w:hAnsiTheme="minorHAnsi" w:cstheme="minorHAnsi"/>
          <w:sz w:val="22"/>
          <w:szCs w:val="22"/>
        </w:rPr>
        <w:t xml:space="preserve">Clark, Andy </w:t>
      </w:r>
      <w:r w:rsidR="00A75A9D">
        <w:rPr>
          <w:rFonts w:asciiTheme="minorHAnsi" w:hAnsiTheme="minorHAnsi" w:cstheme="minorHAnsi"/>
          <w:sz w:val="22"/>
          <w:szCs w:val="22"/>
        </w:rPr>
        <w:t>(</w:t>
      </w:r>
      <w:r w:rsidR="00A75A9D" w:rsidRPr="00DB72CC">
        <w:rPr>
          <w:rFonts w:asciiTheme="minorHAnsi" w:hAnsiTheme="minorHAnsi" w:cstheme="minorHAnsi"/>
          <w:sz w:val="22"/>
          <w:szCs w:val="22"/>
        </w:rPr>
        <w:t xml:space="preserve">1998) </w:t>
      </w:r>
      <w:r w:rsidRPr="00DB72CC">
        <w:rPr>
          <w:rFonts w:asciiTheme="minorHAnsi" w:hAnsiTheme="minorHAnsi" w:cstheme="minorHAnsi"/>
          <w:sz w:val="22"/>
          <w:szCs w:val="22"/>
        </w:rPr>
        <w:t xml:space="preserve">"Magic Words: How Language Augments Human Computation" in P. Carruthers and J. Boucher (Eds) </w:t>
      </w:r>
      <w:r w:rsidR="00F33762" w:rsidRPr="00DB72CC">
        <w:rPr>
          <w:rFonts w:asciiTheme="minorHAnsi" w:hAnsiTheme="minorHAnsi" w:cstheme="minorHAnsi"/>
          <w:i/>
          <w:sz w:val="22"/>
          <w:szCs w:val="22"/>
        </w:rPr>
        <w:t>Language and Thought: Interdisciplinary Themes</w:t>
      </w:r>
      <w:r w:rsidRPr="00DB72CC">
        <w:rPr>
          <w:rFonts w:asciiTheme="minorHAnsi" w:hAnsiTheme="minorHAnsi" w:cstheme="minorHAnsi"/>
          <w:sz w:val="22"/>
          <w:szCs w:val="22"/>
        </w:rPr>
        <w:t xml:space="preserve"> (Cambridge University Press: Cambridge, </w:t>
      </w:r>
      <w:r w:rsidR="00A75A9D">
        <w:rPr>
          <w:rFonts w:asciiTheme="minorHAnsi" w:hAnsiTheme="minorHAnsi" w:cstheme="minorHAnsi"/>
          <w:sz w:val="22"/>
          <w:szCs w:val="22"/>
        </w:rPr>
        <w:t>pp</w:t>
      </w:r>
      <w:r w:rsidRPr="00DB72CC">
        <w:rPr>
          <w:rFonts w:asciiTheme="minorHAnsi" w:hAnsiTheme="minorHAnsi" w:cstheme="minorHAnsi"/>
          <w:sz w:val="22"/>
          <w:szCs w:val="22"/>
        </w:rPr>
        <w:t>.162-183</w:t>
      </w:r>
      <w:r w:rsidR="00A75A9D">
        <w:rPr>
          <w:rFonts w:asciiTheme="minorHAnsi" w:hAnsiTheme="minorHAnsi" w:cstheme="minorHAnsi"/>
          <w:sz w:val="22"/>
          <w:szCs w:val="22"/>
        </w:rPr>
        <w:t>.</w:t>
      </w:r>
    </w:p>
    <w:p w14:paraId="648D0F40" w14:textId="77777777" w:rsidR="0038048D" w:rsidRDefault="0038048D" w:rsidP="00EC4ADC">
      <w:pPr>
        <w:pStyle w:val="Default"/>
        <w:spacing w:after="120"/>
        <w:ind w:left="720" w:hanging="720"/>
        <w:rPr>
          <w:rFonts w:asciiTheme="minorHAnsi" w:hAnsiTheme="minorHAnsi" w:cstheme="minorHAnsi"/>
          <w:sz w:val="22"/>
          <w:szCs w:val="22"/>
        </w:rPr>
      </w:pPr>
      <w:r w:rsidRPr="0031447E">
        <w:rPr>
          <w:rFonts w:asciiTheme="minorHAnsi" w:hAnsiTheme="minorHAnsi" w:cstheme="minorHAnsi"/>
          <w:sz w:val="22"/>
          <w:szCs w:val="22"/>
        </w:rPr>
        <w:t xml:space="preserve">De Toffoli, S. &amp; Giardino, V. (2013), ‘Forms and Roles of Knot Diagrams’. </w:t>
      </w:r>
      <w:r w:rsidRPr="00C50998">
        <w:rPr>
          <w:rFonts w:asciiTheme="minorHAnsi" w:hAnsiTheme="minorHAnsi" w:cstheme="minorHAnsi"/>
          <w:i/>
          <w:sz w:val="22"/>
          <w:szCs w:val="22"/>
        </w:rPr>
        <w:t>Erkenntnis</w:t>
      </w:r>
      <w:r w:rsidRPr="0031447E">
        <w:rPr>
          <w:rFonts w:asciiTheme="minorHAnsi" w:hAnsiTheme="minorHAnsi" w:cstheme="minorHAnsi"/>
          <w:sz w:val="22"/>
          <w:szCs w:val="22"/>
        </w:rPr>
        <w:t>, 79(4), 829 –</w:t>
      </w:r>
      <w:r w:rsidRPr="0031447E">
        <w:rPr>
          <w:rFonts w:asciiTheme="minorHAnsi" w:hAnsiTheme="minorHAnsi" w:cstheme="minorHAnsi"/>
          <w:sz w:val="22"/>
          <w:szCs w:val="22"/>
        </w:rPr>
        <w:cr/>
        <w:t>842.</w:t>
      </w:r>
    </w:p>
    <w:p w14:paraId="39C0BB91" w14:textId="128F06DC" w:rsidR="0031447E" w:rsidRPr="0031447E" w:rsidRDefault="0031447E" w:rsidP="00312144">
      <w:pPr>
        <w:pStyle w:val="Default"/>
        <w:spacing w:after="120"/>
        <w:ind w:left="720" w:hanging="720"/>
        <w:rPr>
          <w:rFonts w:asciiTheme="minorHAnsi" w:hAnsiTheme="minorHAnsi" w:cstheme="minorHAnsi"/>
          <w:sz w:val="22"/>
          <w:szCs w:val="22"/>
        </w:rPr>
      </w:pPr>
      <w:r w:rsidRPr="0031447E">
        <w:rPr>
          <w:rFonts w:asciiTheme="minorHAnsi" w:hAnsiTheme="minorHAnsi" w:cstheme="minorHAnsi"/>
          <w:sz w:val="22"/>
          <w:szCs w:val="22"/>
        </w:rPr>
        <w:t xml:space="preserve">De Toffoli, S. &amp; Giardino, V. (2014), ‘An Inquiry into the Practice of Proving in </w:t>
      </w:r>
      <w:r w:rsidR="00C50998">
        <w:rPr>
          <w:rFonts w:asciiTheme="minorHAnsi" w:hAnsiTheme="minorHAnsi" w:cstheme="minorHAnsi"/>
          <w:sz w:val="22"/>
          <w:szCs w:val="22"/>
        </w:rPr>
        <w:t xml:space="preserve">Low-Dimensional </w:t>
      </w:r>
      <w:r w:rsidRPr="0031447E">
        <w:rPr>
          <w:rFonts w:asciiTheme="minorHAnsi" w:hAnsiTheme="minorHAnsi" w:cstheme="minorHAnsi"/>
          <w:sz w:val="22"/>
          <w:szCs w:val="22"/>
        </w:rPr>
        <w:t xml:space="preserve">Topology’. </w:t>
      </w:r>
      <w:r w:rsidRPr="00C50998">
        <w:rPr>
          <w:rFonts w:asciiTheme="minorHAnsi" w:hAnsiTheme="minorHAnsi" w:cstheme="minorHAnsi"/>
          <w:i/>
          <w:sz w:val="22"/>
          <w:szCs w:val="22"/>
        </w:rPr>
        <w:t>Boston Studies in the History and the Philosophy of Science</w:t>
      </w:r>
      <w:r w:rsidRPr="0031447E">
        <w:rPr>
          <w:rFonts w:asciiTheme="minorHAnsi" w:hAnsiTheme="minorHAnsi" w:cstheme="minorHAnsi"/>
          <w:sz w:val="22"/>
          <w:szCs w:val="22"/>
        </w:rPr>
        <w:t>, 308, 315 – 336.</w:t>
      </w:r>
    </w:p>
    <w:p w14:paraId="07B6DF5D" w14:textId="7EA9464E" w:rsidR="00607EB4" w:rsidRPr="00DB72CC" w:rsidRDefault="00607EB4" w:rsidP="0038048D">
      <w:pPr>
        <w:pStyle w:val="Default"/>
        <w:spacing w:after="120"/>
        <w:ind w:left="720" w:hanging="720"/>
        <w:rPr>
          <w:rFonts w:asciiTheme="minorHAnsi" w:hAnsiTheme="minorHAnsi" w:cstheme="minorHAnsi"/>
          <w:sz w:val="22"/>
          <w:szCs w:val="22"/>
        </w:rPr>
      </w:pPr>
      <w:r w:rsidRPr="00031955">
        <w:rPr>
          <w:rFonts w:asciiTheme="minorHAnsi" w:hAnsiTheme="minorHAnsi" w:cstheme="minorHAnsi"/>
          <w:sz w:val="22"/>
          <w:szCs w:val="22"/>
          <w:lang w:val="fr-FR"/>
        </w:rPr>
        <w:t>De Toffoli, S. &amp; Giardino, V. (2016), ‘</w:t>
      </w:r>
      <w:proofErr w:type="spellStart"/>
      <w:r w:rsidRPr="00031955">
        <w:rPr>
          <w:rFonts w:asciiTheme="minorHAnsi" w:hAnsiTheme="minorHAnsi" w:cstheme="minorHAnsi"/>
          <w:sz w:val="22"/>
          <w:szCs w:val="22"/>
          <w:lang w:val="fr-FR"/>
        </w:rPr>
        <w:t>Envisioning</w:t>
      </w:r>
      <w:proofErr w:type="spellEnd"/>
      <w:r w:rsidRPr="00031955">
        <w:rPr>
          <w:rFonts w:asciiTheme="minorHAnsi" w:hAnsiTheme="minorHAnsi" w:cstheme="minorHAnsi"/>
          <w:sz w:val="22"/>
          <w:szCs w:val="22"/>
          <w:lang w:val="fr-FR"/>
        </w:rPr>
        <w:t xml:space="preserve"> Transformations. </w:t>
      </w:r>
      <w:r w:rsidRPr="0031447E">
        <w:rPr>
          <w:rFonts w:asciiTheme="minorHAnsi" w:hAnsiTheme="minorHAnsi" w:cstheme="minorHAnsi"/>
          <w:sz w:val="22"/>
          <w:szCs w:val="22"/>
        </w:rPr>
        <w:t xml:space="preserve">The Practice of Topology’. In: </w:t>
      </w:r>
      <w:r w:rsidRPr="0031447E">
        <w:rPr>
          <w:rFonts w:asciiTheme="minorHAnsi" w:hAnsiTheme="minorHAnsi" w:cstheme="minorHAnsi"/>
          <w:sz w:val="22"/>
          <w:szCs w:val="22"/>
        </w:rPr>
        <w:cr/>
      </w:r>
      <w:r w:rsidRPr="00607EB4">
        <w:rPr>
          <w:rFonts w:asciiTheme="minorHAnsi" w:hAnsiTheme="minorHAnsi" w:cstheme="minorHAnsi"/>
          <w:i/>
          <w:sz w:val="22"/>
          <w:szCs w:val="22"/>
        </w:rPr>
        <w:t>Mathematical Cultures</w:t>
      </w:r>
      <w:r w:rsidRPr="0031447E">
        <w:rPr>
          <w:rFonts w:asciiTheme="minorHAnsi" w:hAnsiTheme="minorHAnsi" w:cstheme="minorHAnsi"/>
          <w:sz w:val="22"/>
          <w:szCs w:val="22"/>
        </w:rPr>
        <w:t>, edited by B. Larvor</w:t>
      </w:r>
      <w:r w:rsidR="0038048D">
        <w:rPr>
          <w:rFonts w:asciiTheme="minorHAnsi" w:hAnsiTheme="minorHAnsi" w:cstheme="minorHAnsi"/>
          <w:sz w:val="22"/>
          <w:szCs w:val="22"/>
        </w:rPr>
        <w:t>, Birkhäuser Science, Springer.</w:t>
      </w:r>
    </w:p>
    <w:p w14:paraId="70BC2F0F" w14:textId="76F38F34" w:rsidR="00DB72CC" w:rsidRDefault="00DB72CC" w:rsidP="00276C02">
      <w:pPr>
        <w:spacing w:after="120" w:line="240" w:lineRule="auto"/>
        <w:ind w:left="720" w:hanging="720"/>
        <w:rPr>
          <w:rFonts w:asciiTheme="minorHAnsi" w:hAnsiTheme="minorHAnsi" w:cstheme="minorHAnsi"/>
        </w:rPr>
      </w:pPr>
      <w:r w:rsidRPr="00DB72CC">
        <w:rPr>
          <w:rFonts w:asciiTheme="minorHAnsi" w:hAnsiTheme="minorHAnsi" w:cstheme="minorHAnsi"/>
        </w:rPr>
        <w:t xml:space="preserve">Ferreirós, José (2016) </w:t>
      </w:r>
      <w:r w:rsidRPr="00DB72CC">
        <w:rPr>
          <w:rFonts w:asciiTheme="minorHAnsi" w:hAnsiTheme="minorHAnsi" w:cstheme="minorHAnsi"/>
          <w:i/>
        </w:rPr>
        <w:t>Mathematical Knowledge and the Interplay of Practices</w:t>
      </w:r>
      <w:r w:rsidRPr="00DB72CC">
        <w:rPr>
          <w:rFonts w:asciiTheme="minorHAnsi" w:hAnsiTheme="minorHAnsi" w:cstheme="minorHAnsi"/>
        </w:rPr>
        <w:t xml:space="preserve"> Princeton University Press. </w:t>
      </w:r>
    </w:p>
    <w:p w14:paraId="78C9BC84" w14:textId="61742D5E" w:rsidR="008B1666" w:rsidRDefault="008B1666" w:rsidP="00276C02">
      <w:pPr>
        <w:spacing w:after="120" w:line="240" w:lineRule="auto"/>
        <w:ind w:left="720" w:hanging="720"/>
        <w:rPr>
          <w:rFonts w:asciiTheme="minorHAnsi" w:hAnsiTheme="minorHAnsi" w:cstheme="minorHAnsi"/>
          <w:lang w:val="fr-FR"/>
        </w:rPr>
      </w:pPr>
      <w:r w:rsidRPr="00031955">
        <w:rPr>
          <w:rFonts w:asciiTheme="minorHAnsi" w:hAnsiTheme="minorHAnsi" w:cstheme="minorHAnsi"/>
          <w:lang w:val="fr-FR"/>
        </w:rPr>
        <w:t>Giardino, Valeria (2017)</w:t>
      </w:r>
      <w:proofErr w:type="gramStart"/>
      <w:r w:rsidRPr="00031955">
        <w:rPr>
          <w:rFonts w:asciiTheme="minorHAnsi" w:hAnsiTheme="minorHAnsi" w:cstheme="minorHAnsi"/>
          <w:lang w:val="fr-FR"/>
        </w:rPr>
        <w:t xml:space="preserve"> «L’imagination</w:t>
      </w:r>
      <w:proofErr w:type="gramEnd"/>
      <w:r w:rsidRPr="00031955">
        <w:rPr>
          <w:rFonts w:asciiTheme="minorHAnsi" w:hAnsiTheme="minorHAnsi" w:cstheme="minorHAnsi"/>
          <w:lang w:val="fr-FR"/>
        </w:rPr>
        <w:t xml:space="preserve"> manipulatoire en mathématique», </w:t>
      </w:r>
      <w:r w:rsidRPr="00031955">
        <w:rPr>
          <w:rFonts w:asciiTheme="minorHAnsi" w:hAnsiTheme="minorHAnsi" w:cstheme="minorHAnsi"/>
          <w:i/>
          <w:lang w:val="fr-FR"/>
        </w:rPr>
        <w:t xml:space="preserve">Bulletin d'Analyse </w:t>
      </w:r>
      <w:r w:rsidRPr="00031955">
        <w:rPr>
          <w:rFonts w:asciiTheme="minorHAnsi" w:hAnsiTheme="minorHAnsi" w:cstheme="minorHAnsi"/>
          <w:i/>
          <w:lang w:val="fr-FR"/>
        </w:rPr>
        <w:cr/>
        <w:t>Phénoménologique</w:t>
      </w:r>
      <w:r w:rsidRPr="00031955">
        <w:rPr>
          <w:rFonts w:asciiTheme="minorHAnsi" w:hAnsiTheme="minorHAnsi" w:cstheme="minorHAnsi"/>
          <w:lang w:val="fr-FR"/>
        </w:rPr>
        <w:t xml:space="preserve"> [En ligne], Volume 13, Numéro </w:t>
      </w:r>
      <w:proofErr w:type="gramStart"/>
      <w:r w:rsidRPr="00031955">
        <w:rPr>
          <w:rFonts w:asciiTheme="minorHAnsi" w:hAnsiTheme="minorHAnsi" w:cstheme="minorHAnsi"/>
          <w:lang w:val="fr-FR"/>
        </w:rPr>
        <w:t>2:</w:t>
      </w:r>
      <w:proofErr w:type="gramEnd"/>
      <w:r w:rsidRPr="00031955">
        <w:rPr>
          <w:rFonts w:asciiTheme="minorHAnsi" w:hAnsiTheme="minorHAnsi" w:cstheme="minorHAnsi"/>
          <w:lang w:val="fr-FR"/>
        </w:rPr>
        <w:t xml:space="preserve"> L'acte d'imagination: Approches </w:t>
      </w:r>
      <w:r w:rsidRPr="00031955">
        <w:rPr>
          <w:rFonts w:asciiTheme="minorHAnsi" w:hAnsiTheme="minorHAnsi" w:cstheme="minorHAnsi"/>
          <w:lang w:val="fr-FR"/>
        </w:rPr>
        <w:cr/>
      </w:r>
      <w:proofErr w:type="gramStart"/>
      <w:r w:rsidRPr="00031955">
        <w:rPr>
          <w:rFonts w:asciiTheme="minorHAnsi" w:hAnsiTheme="minorHAnsi" w:cstheme="minorHAnsi"/>
          <w:lang w:val="fr-FR"/>
        </w:rPr>
        <w:t>phénoménologiques</w:t>
      </w:r>
      <w:proofErr w:type="gramEnd"/>
      <w:r w:rsidRPr="00031955">
        <w:rPr>
          <w:rFonts w:asciiTheme="minorHAnsi" w:hAnsiTheme="minorHAnsi" w:cstheme="minorHAnsi"/>
          <w:lang w:val="fr-FR"/>
        </w:rPr>
        <w:t xml:space="preserve"> (Actes n°10)</w:t>
      </w:r>
    </w:p>
    <w:p w14:paraId="40FD659C" w14:textId="0560AD34" w:rsidR="00987F0F" w:rsidRPr="00987F0F" w:rsidRDefault="00987F0F" w:rsidP="00276C02">
      <w:pPr>
        <w:spacing w:after="120" w:line="240" w:lineRule="auto"/>
        <w:ind w:left="720" w:hanging="720"/>
        <w:rPr>
          <w:rFonts w:asciiTheme="minorHAnsi" w:hAnsiTheme="minorHAnsi" w:cstheme="minorHAnsi"/>
        </w:rPr>
      </w:pPr>
      <w:r w:rsidRPr="00987F0F">
        <w:rPr>
          <w:rFonts w:asciiTheme="minorHAnsi" w:hAnsiTheme="minorHAnsi" w:cstheme="minorHAnsi"/>
        </w:rPr>
        <w:t xml:space="preserve">Harriot, Thomas </w:t>
      </w:r>
      <w:r>
        <w:rPr>
          <w:rFonts w:asciiTheme="minorHAnsi" w:hAnsiTheme="minorHAnsi" w:cstheme="minorHAnsi"/>
        </w:rPr>
        <w:t>(</w:t>
      </w:r>
      <w:r>
        <w:t xml:space="preserve">2007) </w:t>
      </w:r>
      <w:proofErr w:type="spellStart"/>
      <w:r w:rsidRPr="00987F0F">
        <w:rPr>
          <w:i/>
          <w:iCs/>
        </w:rPr>
        <w:t>Artis</w:t>
      </w:r>
      <w:proofErr w:type="spellEnd"/>
      <w:r w:rsidRPr="00987F0F">
        <w:rPr>
          <w:i/>
          <w:iCs/>
        </w:rPr>
        <w:t xml:space="preserve"> </w:t>
      </w:r>
      <w:proofErr w:type="spellStart"/>
      <w:r w:rsidRPr="00987F0F">
        <w:rPr>
          <w:i/>
          <w:iCs/>
        </w:rPr>
        <w:t>analyticae</w:t>
      </w:r>
      <w:proofErr w:type="spellEnd"/>
      <w:r w:rsidRPr="00987F0F">
        <w:rPr>
          <w:i/>
          <w:iCs/>
        </w:rPr>
        <w:t xml:space="preserve"> praxis</w:t>
      </w:r>
      <w:r>
        <w:t xml:space="preserve">: an English translation with commentary / Muriel </w:t>
      </w:r>
      <w:proofErr w:type="spellStart"/>
      <w:r>
        <w:t>Seltman</w:t>
      </w:r>
      <w:proofErr w:type="spellEnd"/>
      <w:r>
        <w:t>, Robert Goulding, editors and translators, New York: Springer.</w:t>
      </w:r>
    </w:p>
    <w:p w14:paraId="37B9154C" w14:textId="623B2B3C" w:rsidR="00A448F7" w:rsidRPr="00D312D5" w:rsidRDefault="00A448F7" w:rsidP="00276C02">
      <w:pPr>
        <w:spacing w:after="120" w:line="240" w:lineRule="auto"/>
        <w:ind w:left="720" w:hanging="720"/>
        <w:rPr>
          <w:rFonts w:asciiTheme="minorHAnsi" w:hAnsiTheme="minorHAnsi" w:cstheme="minorHAnsi"/>
        </w:rPr>
      </w:pPr>
      <w:r>
        <w:t xml:space="preserve">Heeffer, A. (2013). </w:t>
      </w:r>
      <w:r w:rsidR="00D312D5">
        <w:t>‘</w:t>
      </w:r>
      <w:r>
        <w:t xml:space="preserve">Why the quadratic equation has only one root (according to </w:t>
      </w:r>
      <w:proofErr w:type="spellStart"/>
      <w:r>
        <w:t>abbaco</w:t>
      </w:r>
      <w:proofErr w:type="spellEnd"/>
      <w:r>
        <w:t xml:space="preserve"> masters)</w:t>
      </w:r>
      <w:r w:rsidR="00D312D5">
        <w:t>’</w:t>
      </w:r>
      <w:r>
        <w:t xml:space="preserve">. </w:t>
      </w:r>
      <w:r w:rsidR="00D312D5">
        <w:rPr>
          <w:i/>
          <w:iCs/>
        </w:rPr>
        <w:t>Mathematics Today</w:t>
      </w:r>
      <w:r>
        <w:t>, (2), 140–141.</w:t>
      </w:r>
    </w:p>
    <w:p w14:paraId="40AEABBE" w14:textId="3DD627B7" w:rsidR="00DB72CC" w:rsidRDefault="00DB72CC" w:rsidP="00276C02">
      <w:pPr>
        <w:pStyle w:val="Default"/>
        <w:spacing w:after="120"/>
        <w:ind w:left="720" w:hanging="720"/>
        <w:rPr>
          <w:rFonts w:asciiTheme="minorHAnsi" w:hAnsiTheme="minorHAnsi" w:cstheme="minorHAnsi"/>
          <w:sz w:val="22"/>
          <w:szCs w:val="22"/>
        </w:rPr>
      </w:pPr>
      <w:r w:rsidRPr="00DB72CC">
        <w:rPr>
          <w:rFonts w:asciiTheme="minorHAnsi" w:hAnsiTheme="minorHAnsi" w:cstheme="minorHAnsi"/>
          <w:sz w:val="22"/>
          <w:szCs w:val="22"/>
        </w:rPr>
        <w:lastRenderedPageBreak/>
        <w:t xml:space="preserve">Ifrah, Georges (1998) </w:t>
      </w:r>
      <w:r w:rsidRPr="00DB72CC">
        <w:rPr>
          <w:rFonts w:asciiTheme="minorHAnsi" w:hAnsiTheme="minorHAnsi" w:cstheme="minorHAnsi"/>
          <w:i/>
          <w:sz w:val="22"/>
          <w:szCs w:val="22"/>
        </w:rPr>
        <w:t>The Universal History of Numbers from prehistory to the invention of the computer</w:t>
      </w:r>
      <w:r w:rsidRPr="00DB72CC">
        <w:rPr>
          <w:rFonts w:asciiTheme="minorHAnsi" w:hAnsiTheme="minorHAnsi" w:cstheme="minorHAnsi"/>
          <w:sz w:val="22"/>
          <w:szCs w:val="22"/>
        </w:rPr>
        <w:t xml:space="preserve">.  London: Harvill Press.  Tr. </w:t>
      </w:r>
      <w:proofErr w:type="spellStart"/>
      <w:r w:rsidRPr="00DB72CC">
        <w:rPr>
          <w:rFonts w:asciiTheme="minorHAnsi" w:hAnsiTheme="minorHAnsi" w:cstheme="minorHAnsi"/>
          <w:sz w:val="22"/>
          <w:szCs w:val="22"/>
        </w:rPr>
        <w:t>Bellos</w:t>
      </w:r>
      <w:proofErr w:type="spellEnd"/>
      <w:r w:rsidRPr="00DB72CC">
        <w:rPr>
          <w:rFonts w:asciiTheme="minorHAnsi" w:hAnsiTheme="minorHAnsi" w:cstheme="minorHAnsi"/>
          <w:sz w:val="22"/>
          <w:szCs w:val="22"/>
        </w:rPr>
        <w:t xml:space="preserve">, Harding, Wood &amp; Monk.  </w:t>
      </w:r>
    </w:p>
    <w:p w14:paraId="5BBE6DB9" w14:textId="31368B94" w:rsidR="00915FD4" w:rsidRPr="00CA4BAB" w:rsidRDefault="00915FD4" w:rsidP="0084319D">
      <w:pPr>
        <w:pStyle w:val="Default"/>
        <w:spacing w:after="120"/>
        <w:ind w:left="720" w:hanging="720"/>
        <w:rPr>
          <w:rFonts w:asciiTheme="minorHAnsi" w:hAnsiTheme="minorHAnsi" w:cstheme="minorHAnsi"/>
          <w:sz w:val="22"/>
          <w:szCs w:val="22"/>
        </w:rPr>
      </w:pPr>
      <w:r w:rsidRPr="00CA4BAB">
        <w:rPr>
          <w:rFonts w:asciiTheme="minorHAnsi" w:hAnsiTheme="minorHAnsi" w:cstheme="minorHAnsi"/>
          <w:sz w:val="22"/>
          <w:szCs w:val="22"/>
        </w:rPr>
        <w:t xml:space="preserve">Inglis, M. &amp; Alcock, L. (2012). Expert and novice approaches to reading mathematical proofs. </w:t>
      </w:r>
      <w:r w:rsidRPr="00CA4BAB">
        <w:rPr>
          <w:rFonts w:asciiTheme="minorHAnsi" w:hAnsiTheme="minorHAnsi" w:cstheme="minorHAnsi"/>
          <w:i/>
          <w:iCs/>
          <w:sz w:val="22"/>
          <w:szCs w:val="22"/>
        </w:rPr>
        <w:t>Journal for Research in Mathematics Education, 43</w:t>
      </w:r>
      <w:r w:rsidRPr="00CA4BAB">
        <w:rPr>
          <w:rFonts w:asciiTheme="minorHAnsi" w:hAnsiTheme="minorHAnsi" w:cstheme="minorHAnsi"/>
          <w:sz w:val="22"/>
          <w:szCs w:val="22"/>
        </w:rPr>
        <w:t>, 358-390</w:t>
      </w:r>
      <w:r w:rsidR="00CA4BAB" w:rsidRPr="00CA4BAB">
        <w:rPr>
          <w:rFonts w:asciiTheme="minorHAnsi" w:hAnsiTheme="minorHAnsi" w:cstheme="minorHAnsi"/>
          <w:sz w:val="22"/>
          <w:szCs w:val="22"/>
        </w:rPr>
        <w:t>.</w:t>
      </w:r>
    </w:p>
    <w:p w14:paraId="73D9300E" w14:textId="473C0EE9" w:rsidR="00771CCD" w:rsidRDefault="00F33762" w:rsidP="0084319D">
      <w:pPr>
        <w:autoSpaceDE w:val="0"/>
        <w:autoSpaceDN w:val="0"/>
        <w:adjustRightInd w:val="0"/>
        <w:spacing w:after="120" w:line="240" w:lineRule="auto"/>
        <w:ind w:left="720" w:hanging="720"/>
        <w:rPr>
          <w:rFonts w:asciiTheme="minorHAnsi" w:hAnsiTheme="minorHAnsi" w:cstheme="minorHAnsi"/>
          <w:bCs/>
          <w:lang w:eastAsia="en-GB"/>
        </w:rPr>
      </w:pPr>
      <w:proofErr w:type="spellStart"/>
      <w:r w:rsidRPr="00DB72CC">
        <w:rPr>
          <w:rFonts w:asciiTheme="minorHAnsi" w:hAnsiTheme="minorHAnsi" w:cstheme="minorHAnsi"/>
          <w:bCs/>
          <w:lang w:eastAsia="en-GB"/>
        </w:rPr>
        <w:t>Kirsh</w:t>
      </w:r>
      <w:proofErr w:type="spellEnd"/>
      <w:r w:rsidRPr="00DB72CC">
        <w:rPr>
          <w:rFonts w:asciiTheme="minorHAnsi" w:hAnsiTheme="minorHAnsi" w:cstheme="minorHAnsi"/>
          <w:bCs/>
          <w:lang w:eastAsia="en-GB"/>
        </w:rPr>
        <w:t xml:space="preserve">, David &amp; Maglio, Paul </w:t>
      </w:r>
      <w:r w:rsidR="00771CCD" w:rsidRPr="00DB72CC">
        <w:rPr>
          <w:rFonts w:asciiTheme="minorHAnsi" w:hAnsiTheme="minorHAnsi" w:cstheme="minorHAnsi"/>
          <w:bCs/>
          <w:lang w:eastAsia="en-GB"/>
        </w:rPr>
        <w:t>(1994)</w:t>
      </w:r>
      <w:r w:rsidR="00771CCD" w:rsidRPr="00DB72CC">
        <w:rPr>
          <w:rFonts w:asciiTheme="minorHAnsi" w:hAnsiTheme="minorHAnsi" w:cstheme="minorHAnsi"/>
          <w:lang w:eastAsia="en-GB"/>
        </w:rPr>
        <w:t xml:space="preserve"> </w:t>
      </w:r>
      <w:r w:rsidR="00771CCD" w:rsidRPr="00DB72CC">
        <w:rPr>
          <w:rFonts w:asciiTheme="minorHAnsi" w:hAnsiTheme="minorHAnsi" w:cstheme="minorHAnsi"/>
          <w:bCs/>
          <w:lang w:eastAsia="en-GB"/>
        </w:rPr>
        <w:t>‘</w:t>
      </w:r>
      <w:r w:rsidR="00771CCD" w:rsidRPr="00DB72CC">
        <w:rPr>
          <w:rFonts w:asciiTheme="minorHAnsi" w:hAnsiTheme="minorHAnsi" w:cstheme="minorHAnsi"/>
          <w:lang w:eastAsia="en-GB"/>
        </w:rPr>
        <w:t xml:space="preserve">On Distinguishing Epistemic from Pragmatic Action’ </w:t>
      </w:r>
      <w:r w:rsidR="00BF12F0" w:rsidRPr="00DB72CC">
        <w:rPr>
          <w:rFonts w:asciiTheme="minorHAnsi" w:hAnsiTheme="minorHAnsi" w:cstheme="minorHAnsi"/>
          <w:i/>
          <w:lang w:eastAsia="en-GB"/>
        </w:rPr>
        <w:t xml:space="preserve">Cognitive Science </w:t>
      </w:r>
      <w:r w:rsidR="00771CCD" w:rsidRPr="00DB72CC">
        <w:rPr>
          <w:rFonts w:asciiTheme="minorHAnsi" w:hAnsiTheme="minorHAnsi" w:cstheme="minorHAnsi"/>
          <w:bCs/>
          <w:lang w:eastAsia="en-GB"/>
        </w:rPr>
        <w:t xml:space="preserve">18, 513-549 </w:t>
      </w:r>
    </w:p>
    <w:p w14:paraId="6614DB15" w14:textId="39C945A1" w:rsidR="00B76BAE" w:rsidRDefault="00B76BAE" w:rsidP="0084319D">
      <w:pPr>
        <w:autoSpaceDE w:val="0"/>
        <w:autoSpaceDN w:val="0"/>
        <w:adjustRightInd w:val="0"/>
        <w:spacing w:after="120" w:line="240" w:lineRule="auto"/>
        <w:ind w:left="720" w:hanging="720"/>
      </w:pPr>
      <w:r>
        <w:rPr>
          <w:rFonts w:asciiTheme="minorHAnsi" w:hAnsiTheme="minorHAnsi" w:cstheme="minorHAnsi"/>
          <w:bCs/>
          <w:lang w:eastAsia="en-GB"/>
        </w:rPr>
        <w:t xml:space="preserve">Larvor, Brendan (2010) </w:t>
      </w:r>
      <w:r w:rsidRPr="00B76BAE">
        <w:t>“Syntactic Analogies and Impossible Extensions”</w:t>
      </w:r>
      <w:r>
        <w:t xml:space="preserve"> in </w:t>
      </w:r>
      <w:proofErr w:type="spellStart"/>
      <w:r>
        <w:t>Löwe</w:t>
      </w:r>
      <w:proofErr w:type="spellEnd"/>
      <w:r>
        <w:t xml:space="preserve">, B., &amp; Müller, T. [2010] </w:t>
      </w:r>
      <w:proofErr w:type="spellStart"/>
      <w:r w:rsidRPr="00B76BAE">
        <w:rPr>
          <w:i/>
          <w:iCs/>
        </w:rPr>
        <w:t>PhiMSAMP</w:t>
      </w:r>
      <w:proofErr w:type="spellEnd"/>
      <w:r>
        <w:rPr>
          <w:i/>
          <w:iCs/>
        </w:rPr>
        <w:t>. Philosophy of Mathematics: Sociological Aspects and Mathematical Practice</w:t>
      </w:r>
      <w:r>
        <w:t xml:space="preserve"> (Texts in Philosophy volume 11). College Publications.</w:t>
      </w:r>
    </w:p>
    <w:p w14:paraId="79811417" w14:textId="1F5ACECE" w:rsidR="004108E2" w:rsidRDefault="004108E2" w:rsidP="0084319D">
      <w:pPr>
        <w:autoSpaceDE w:val="0"/>
        <w:autoSpaceDN w:val="0"/>
        <w:adjustRightInd w:val="0"/>
        <w:spacing w:after="120" w:line="240" w:lineRule="auto"/>
        <w:ind w:left="720" w:hanging="720"/>
        <w:rPr>
          <w:rFonts w:asciiTheme="minorHAnsi" w:hAnsiTheme="minorHAnsi" w:cstheme="minorHAnsi"/>
          <w:bCs/>
          <w:lang w:eastAsia="en-GB"/>
        </w:rPr>
      </w:pPr>
      <w:proofErr w:type="spellStart"/>
      <w:r>
        <w:rPr>
          <w:rFonts w:asciiTheme="minorHAnsi" w:hAnsiTheme="minorHAnsi" w:cs="CMTI9"/>
        </w:rPr>
        <w:t>Mancosu</w:t>
      </w:r>
      <w:proofErr w:type="spellEnd"/>
      <w:r>
        <w:rPr>
          <w:rFonts w:asciiTheme="minorHAnsi" w:hAnsiTheme="minorHAnsi" w:cs="CMTI9"/>
        </w:rPr>
        <w:t xml:space="preserve">, P. (2008) editorial introduction, </w:t>
      </w:r>
      <w:r>
        <w:rPr>
          <w:rFonts w:asciiTheme="minorHAnsi" w:hAnsiTheme="minorHAnsi" w:cs="CMTI9"/>
          <w:i/>
        </w:rPr>
        <w:t>The Philosophy of Mathematical Practice</w:t>
      </w:r>
      <w:r>
        <w:rPr>
          <w:rFonts w:asciiTheme="minorHAnsi" w:hAnsiTheme="minorHAnsi" w:cs="CMTI9"/>
        </w:rPr>
        <w:t>, Oxford University Press</w:t>
      </w:r>
      <w:r>
        <w:rPr>
          <w:rFonts w:asciiTheme="minorHAnsi" w:hAnsiTheme="minorHAnsi" w:cs="CMR9"/>
        </w:rPr>
        <w:t>, pages 1–21.</w:t>
      </w:r>
    </w:p>
    <w:p w14:paraId="4ADBF38E" w14:textId="1D678378" w:rsidR="000E2C56" w:rsidRDefault="000E2C56" w:rsidP="0084319D">
      <w:pPr>
        <w:autoSpaceDE w:val="0"/>
        <w:autoSpaceDN w:val="0"/>
        <w:adjustRightInd w:val="0"/>
        <w:spacing w:after="120" w:line="240" w:lineRule="auto"/>
        <w:ind w:left="720" w:hanging="720"/>
        <w:rPr>
          <w:rFonts w:asciiTheme="minorHAnsi" w:hAnsiTheme="minorHAnsi" w:cs="CMR9"/>
          <w:lang w:eastAsia="zh-CN"/>
        </w:rPr>
      </w:pPr>
      <w:r>
        <w:rPr>
          <w:rFonts w:asciiTheme="minorHAnsi" w:hAnsiTheme="minorHAnsi" w:cs="CMR9"/>
        </w:rPr>
        <w:t xml:space="preserve">Manders, Ken (2008) The Euclidean diagram. </w:t>
      </w:r>
      <w:r w:rsidR="00B76BAE">
        <w:rPr>
          <w:rFonts w:asciiTheme="minorHAnsi" w:hAnsiTheme="minorHAnsi" w:cs="CMR9"/>
        </w:rPr>
        <w:t xml:space="preserve">In </w:t>
      </w:r>
      <w:proofErr w:type="spellStart"/>
      <w:r>
        <w:rPr>
          <w:rFonts w:asciiTheme="minorHAnsi" w:hAnsiTheme="minorHAnsi" w:cs="CMTI9"/>
        </w:rPr>
        <w:t>Mancosu</w:t>
      </w:r>
      <w:proofErr w:type="spellEnd"/>
      <w:r>
        <w:rPr>
          <w:rFonts w:asciiTheme="minorHAnsi" w:hAnsiTheme="minorHAnsi" w:cs="CMTI9"/>
        </w:rPr>
        <w:t xml:space="preserve">, P., </w:t>
      </w:r>
      <w:r>
        <w:rPr>
          <w:rFonts w:asciiTheme="minorHAnsi" w:hAnsiTheme="minorHAnsi" w:cs="CMTI9"/>
          <w:i/>
        </w:rPr>
        <w:t>The Philosophy of Mathematical Practice</w:t>
      </w:r>
      <w:r>
        <w:rPr>
          <w:rFonts w:asciiTheme="minorHAnsi" w:hAnsiTheme="minorHAnsi" w:cs="CMTI9"/>
        </w:rPr>
        <w:t>, Oxford University Press 2008</w:t>
      </w:r>
      <w:r>
        <w:rPr>
          <w:rFonts w:asciiTheme="minorHAnsi" w:hAnsiTheme="minorHAnsi" w:cs="CMR9"/>
        </w:rPr>
        <w:t>, pages 80–133.</w:t>
      </w:r>
    </w:p>
    <w:p w14:paraId="6E15829E" w14:textId="77777777" w:rsidR="001B61B3" w:rsidRPr="00DB72CC" w:rsidRDefault="001B61B3" w:rsidP="0084319D">
      <w:pPr>
        <w:pStyle w:val="Default"/>
        <w:spacing w:after="120"/>
        <w:ind w:left="720" w:hanging="720"/>
        <w:rPr>
          <w:rFonts w:asciiTheme="minorHAnsi" w:hAnsiTheme="minorHAnsi" w:cstheme="minorHAnsi"/>
          <w:sz w:val="22"/>
          <w:szCs w:val="22"/>
        </w:rPr>
      </w:pPr>
      <w:r w:rsidRPr="00DB72CC">
        <w:rPr>
          <w:rFonts w:asciiTheme="minorHAnsi" w:hAnsiTheme="minorHAnsi" w:cstheme="minorHAnsi"/>
          <w:sz w:val="22"/>
          <w:szCs w:val="22"/>
        </w:rPr>
        <w:t>McLeod, S. A. (2008). Bruner. Retrieved from www.simplypsychology.org/bruner.html</w:t>
      </w:r>
    </w:p>
    <w:p w14:paraId="2F904810" w14:textId="1ABDA541" w:rsidR="00296DA7" w:rsidRPr="00276C02" w:rsidRDefault="00296DA7" w:rsidP="00276C02">
      <w:pPr>
        <w:autoSpaceDE w:val="0"/>
        <w:autoSpaceDN w:val="0"/>
        <w:adjustRightInd w:val="0"/>
        <w:spacing w:after="120" w:line="240" w:lineRule="auto"/>
        <w:ind w:left="720" w:hanging="720"/>
        <w:rPr>
          <w:rFonts w:asciiTheme="minorHAnsi" w:hAnsiTheme="minorHAnsi" w:cstheme="minorHAnsi"/>
          <w:color w:val="000000"/>
          <w:lang w:eastAsia="en-GB"/>
        </w:rPr>
      </w:pPr>
      <w:r w:rsidRPr="00276C02">
        <w:rPr>
          <w:rFonts w:asciiTheme="minorHAnsi" w:hAnsiTheme="minorHAnsi" w:cstheme="minorHAnsi"/>
          <w:color w:val="000000"/>
          <w:lang w:eastAsia="en-GB"/>
        </w:rPr>
        <w:t xml:space="preserve">Menary, R. (2015). Mathematical Cognition - A Case of Enculturation.  In T. Metzinger &amp; J. M. Windt (Eds). </w:t>
      </w:r>
      <w:r w:rsidRPr="00276C02">
        <w:rPr>
          <w:rFonts w:asciiTheme="minorHAnsi" w:hAnsiTheme="minorHAnsi" w:cstheme="minorHAnsi"/>
          <w:i/>
          <w:iCs/>
          <w:color w:val="000000"/>
          <w:lang w:eastAsia="en-GB"/>
        </w:rPr>
        <w:t xml:space="preserve">Open MIND: </w:t>
      </w:r>
      <w:r w:rsidRPr="00276C02">
        <w:rPr>
          <w:rFonts w:asciiTheme="minorHAnsi" w:hAnsiTheme="minorHAnsi" w:cstheme="minorHAnsi"/>
          <w:color w:val="0000D7"/>
          <w:lang w:eastAsia="en-GB"/>
        </w:rPr>
        <w:t>25</w:t>
      </w:r>
      <w:r w:rsidRPr="00276C02">
        <w:rPr>
          <w:rFonts w:asciiTheme="minorHAnsi" w:hAnsiTheme="minorHAnsi" w:cstheme="minorHAnsi"/>
          <w:color w:val="000000"/>
          <w:lang w:eastAsia="en-GB"/>
        </w:rPr>
        <w:t>(T). Frankfurt am Main: MIND Group.</w:t>
      </w:r>
    </w:p>
    <w:p w14:paraId="4D72F0D0" w14:textId="77777777" w:rsidR="00276C02" w:rsidRDefault="00276C02" w:rsidP="00276C02">
      <w:pPr>
        <w:spacing w:after="120" w:line="240" w:lineRule="auto"/>
        <w:ind w:left="720" w:hanging="720"/>
        <w:rPr>
          <w:rStyle w:val="Strong"/>
          <w:rFonts w:asciiTheme="minorHAnsi" w:hAnsiTheme="minorHAnsi" w:cstheme="minorHAnsi"/>
          <w:b w:val="0"/>
        </w:rPr>
      </w:pPr>
      <w:r w:rsidRPr="00276C02">
        <w:rPr>
          <w:rFonts w:asciiTheme="minorHAnsi" w:hAnsiTheme="minorHAnsi" w:cstheme="minorHAnsi"/>
          <w:lang w:eastAsia="en-GB"/>
        </w:rPr>
        <w:t xml:space="preserve">Pólya, G. (1954). </w:t>
      </w:r>
      <w:r w:rsidRPr="00276C02">
        <w:rPr>
          <w:rFonts w:asciiTheme="minorHAnsi" w:hAnsiTheme="minorHAnsi" w:cstheme="minorHAnsi"/>
          <w:i/>
          <w:lang w:eastAsia="en-GB"/>
        </w:rPr>
        <w:t>Mathematics and Plausible Reasoning</w:t>
      </w:r>
      <w:r w:rsidRPr="00276C02">
        <w:rPr>
          <w:rFonts w:asciiTheme="minorHAnsi" w:hAnsiTheme="minorHAnsi" w:cstheme="minorHAnsi"/>
          <w:lang w:eastAsia="en-GB"/>
        </w:rPr>
        <w:t>. Two Volumes. Princeton University Press, Princeton, N.J.</w:t>
      </w:r>
      <w:r w:rsidRPr="00276C02">
        <w:rPr>
          <w:rStyle w:val="Strong"/>
          <w:rFonts w:asciiTheme="minorHAnsi" w:hAnsiTheme="minorHAnsi" w:cstheme="minorHAnsi"/>
          <w:b w:val="0"/>
        </w:rPr>
        <w:t xml:space="preserve"> </w:t>
      </w:r>
    </w:p>
    <w:p w14:paraId="436F8D8C" w14:textId="0DCEA731" w:rsidR="00276C02" w:rsidRDefault="00276C02" w:rsidP="00276C02">
      <w:pPr>
        <w:spacing w:after="120" w:line="240" w:lineRule="auto"/>
        <w:ind w:left="720" w:hanging="720"/>
        <w:rPr>
          <w:rStyle w:val="page"/>
          <w:rFonts w:asciiTheme="minorHAnsi" w:hAnsiTheme="minorHAnsi" w:cstheme="minorHAnsi"/>
        </w:rPr>
      </w:pPr>
      <w:r w:rsidRPr="00276C02">
        <w:rPr>
          <w:rStyle w:val="Strong"/>
          <w:rFonts w:asciiTheme="minorHAnsi" w:hAnsiTheme="minorHAnsi" w:cstheme="minorHAnsi"/>
          <w:b w:val="0"/>
        </w:rPr>
        <w:t>Shulman, Lee S. (</w:t>
      </w:r>
      <w:r w:rsidRPr="00276C02">
        <w:rPr>
          <w:rStyle w:val="year"/>
          <w:rFonts w:asciiTheme="minorHAnsi" w:hAnsiTheme="minorHAnsi" w:cstheme="minorHAnsi"/>
        </w:rPr>
        <w:t>2005)</w:t>
      </w:r>
      <w:r w:rsidRPr="00276C02">
        <w:rPr>
          <w:rFonts w:asciiTheme="minorHAnsi" w:hAnsiTheme="minorHAnsi" w:cstheme="minorHAnsi"/>
        </w:rPr>
        <w:t xml:space="preserve"> Signature pedagogies in the professions.  </w:t>
      </w:r>
      <w:r w:rsidRPr="00276C02">
        <w:rPr>
          <w:rStyle w:val="journalname"/>
          <w:rFonts w:asciiTheme="minorHAnsi" w:hAnsiTheme="minorHAnsi" w:cstheme="minorHAnsi"/>
          <w:i/>
        </w:rPr>
        <w:t>Daedalus</w:t>
      </w:r>
      <w:r w:rsidRPr="00276C02">
        <w:rPr>
          <w:rFonts w:asciiTheme="minorHAnsi" w:hAnsiTheme="minorHAnsi" w:cstheme="minorHAnsi"/>
        </w:rPr>
        <w:t xml:space="preserve"> </w:t>
      </w:r>
      <w:r w:rsidRPr="00276C02">
        <w:rPr>
          <w:rStyle w:val="volume"/>
          <w:rFonts w:asciiTheme="minorHAnsi" w:hAnsiTheme="minorHAnsi" w:cstheme="minorHAnsi"/>
        </w:rPr>
        <w:t>134</w:t>
      </w:r>
      <w:r w:rsidRPr="00276C02">
        <w:rPr>
          <w:rFonts w:asciiTheme="minorHAnsi" w:hAnsiTheme="minorHAnsi" w:cstheme="minorHAnsi"/>
        </w:rPr>
        <w:t>:</w:t>
      </w:r>
      <w:r w:rsidRPr="00276C02">
        <w:rPr>
          <w:rStyle w:val="issue"/>
          <w:rFonts w:asciiTheme="minorHAnsi" w:hAnsiTheme="minorHAnsi" w:cstheme="minorHAnsi"/>
        </w:rPr>
        <w:t>3</w:t>
      </w:r>
      <w:r w:rsidRPr="00276C02">
        <w:rPr>
          <w:rFonts w:asciiTheme="minorHAnsi" w:hAnsiTheme="minorHAnsi" w:cstheme="minorHAnsi"/>
        </w:rPr>
        <w:t xml:space="preserve">, </w:t>
      </w:r>
      <w:r w:rsidRPr="00276C02">
        <w:rPr>
          <w:rStyle w:val="page"/>
          <w:rFonts w:asciiTheme="minorHAnsi" w:hAnsiTheme="minorHAnsi" w:cstheme="minorHAnsi"/>
        </w:rPr>
        <w:t>52-59</w:t>
      </w:r>
    </w:p>
    <w:p w14:paraId="4E7282CB" w14:textId="22DA4784" w:rsidR="003252FD" w:rsidRDefault="003252FD" w:rsidP="003252FD">
      <w:pPr>
        <w:spacing w:after="120" w:line="240" w:lineRule="auto"/>
        <w:ind w:left="720" w:hanging="720"/>
        <w:rPr>
          <w:rFonts w:asciiTheme="minorHAnsi" w:hAnsiTheme="minorHAnsi" w:cstheme="minorHAnsi"/>
          <w:color w:val="000000"/>
        </w:rPr>
      </w:pPr>
      <w:r w:rsidRPr="003252FD">
        <w:rPr>
          <w:rFonts w:asciiTheme="minorHAnsi" w:hAnsiTheme="minorHAnsi" w:cstheme="minorHAnsi"/>
          <w:color w:val="000000"/>
        </w:rPr>
        <w:t xml:space="preserve">Starikova, Irina 2010 “Why do Mathematicians Need Different Ways of Presenting Mathematical Objects? The Case of Cayley Graphs” </w:t>
      </w:r>
      <w:proofErr w:type="spellStart"/>
      <w:r w:rsidRPr="003252FD">
        <w:rPr>
          <w:rFonts w:asciiTheme="minorHAnsi" w:hAnsiTheme="minorHAnsi" w:cstheme="minorHAnsi"/>
          <w:i/>
          <w:iCs/>
          <w:color w:val="000000"/>
        </w:rPr>
        <w:t>Topoi</w:t>
      </w:r>
      <w:proofErr w:type="spellEnd"/>
      <w:r w:rsidRPr="003252FD">
        <w:rPr>
          <w:rFonts w:asciiTheme="minorHAnsi" w:hAnsiTheme="minorHAnsi" w:cstheme="minorHAnsi"/>
          <w:color w:val="000000"/>
        </w:rPr>
        <w:t xml:space="preserve"> Volume 29, Issue 1 , pp 41-51</w:t>
      </w:r>
    </w:p>
    <w:p w14:paraId="2AF66513" w14:textId="3572266C" w:rsidR="00FA522B" w:rsidRPr="003252FD" w:rsidRDefault="00FA522B" w:rsidP="003252FD">
      <w:pPr>
        <w:spacing w:after="120" w:line="240" w:lineRule="auto"/>
        <w:ind w:left="720" w:hanging="720"/>
        <w:rPr>
          <w:rFonts w:asciiTheme="minorHAnsi" w:hAnsiTheme="minorHAnsi" w:cstheme="minorHAnsi"/>
          <w:color w:val="000000"/>
        </w:rPr>
      </w:pPr>
      <w:r w:rsidRPr="00FA522B">
        <w:rPr>
          <w:rFonts w:asciiTheme="minorHAnsi" w:hAnsiTheme="minorHAnsi" w:cstheme="minorHAnsi"/>
          <w:color w:val="000000"/>
        </w:rPr>
        <w:t xml:space="preserve">Stone, C. A. (1998). The metaphor of scaffolding: Its utility for the field of learning disabilities. </w:t>
      </w:r>
      <w:r w:rsidRPr="00267D56">
        <w:rPr>
          <w:rFonts w:asciiTheme="minorHAnsi" w:hAnsiTheme="minorHAnsi" w:cstheme="minorHAnsi"/>
          <w:i/>
          <w:color w:val="000000"/>
        </w:rPr>
        <w:t>Journal of Learning Disabilities</w:t>
      </w:r>
      <w:r w:rsidRPr="00FA522B">
        <w:rPr>
          <w:rFonts w:asciiTheme="minorHAnsi" w:hAnsiTheme="minorHAnsi" w:cstheme="minorHAnsi"/>
          <w:color w:val="000000"/>
        </w:rPr>
        <w:t>, 31(4), 344-364.</w:t>
      </w:r>
    </w:p>
    <w:p w14:paraId="4A40D937" w14:textId="77282282" w:rsidR="007722CF" w:rsidRDefault="007722CF" w:rsidP="00276C02">
      <w:pPr>
        <w:spacing w:after="120" w:line="240" w:lineRule="auto"/>
        <w:ind w:left="720" w:hanging="720"/>
        <w:rPr>
          <w:rFonts w:asciiTheme="minorHAnsi" w:hAnsiTheme="minorHAnsi" w:cstheme="minorHAnsi"/>
          <w:color w:val="000000"/>
        </w:rPr>
      </w:pPr>
      <w:r w:rsidRPr="00276C02">
        <w:rPr>
          <w:rFonts w:asciiTheme="minorHAnsi" w:hAnsiTheme="minorHAnsi" w:cstheme="minorHAnsi"/>
          <w:color w:val="000000"/>
        </w:rPr>
        <w:t>Vygotsky</w:t>
      </w:r>
      <w:r w:rsidRPr="00DB72CC">
        <w:rPr>
          <w:rFonts w:asciiTheme="minorHAnsi" w:hAnsiTheme="minorHAnsi" w:cstheme="minorHAnsi"/>
          <w:color w:val="000000"/>
        </w:rPr>
        <w:t>, L.S. (19</w:t>
      </w:r>
      <w:r w:rsidR="00BB7C7B">
        <w:rPr>
          <w:rFonts w:asciiTheme="minorHAnsi" w:hAnsiTheme="minorHAnsi" w:cstheme="minorHAnsi"/>
          <w:color w:val="000000"/>
        </w:rPr>
        <w:t>62</w:t>
      </w:r>
      <w:r w:rsidRPr="00DB72CC">
        <w:rPr>
          <w:rFonts w:asciiTheme="minorHAnsi" w:hAnsiTheme="minorHAnsi" w:cstheme="minorHAnsi"/>
          <w:color w:val="000000"/>
        </w:rPr>
        <w:t xml:space="preserve">). </w:t>
      </w:r>
      <w:r w:rsidRPr="00DB72CC">
        <w:rPr>
          <w:rFonts w:asciiTheme="minorHAnsi" w:hAnsiTheme="minorHAnsi" w:cstheme="minorHAnsi"/>
          <w:i/>
          <w:iCs/>
          <w:color w:val="000000"/>
        </w:rPr>
        <w:t>Thought and Language</w:t>
      </w:r>
      <w:r w:rsidRPr="00DB72CC">
        <w:rPr>
          <w:rFonts w:asciiTheme="minorHAnsi" w:hAnsiTheme="minorHAnsi" w:cstheme="minorHAnsi"/>
          <w:color w:val="000000"/>
        </w:rPr>
        <w:t>. Cambridge, MA: MIT Press.</w:t>
      </w:r>
    </w:p>
    <w:p w14:paraId="1BA4D0BB" w14:textId="1AEB74C9" w:rsidR="004F68E7" w:rsidRPr="004F68E7" w:rsidRDefault="004F68E7" w:rsidP="00276C02">
      <w:pPr>
        <w:spacing w:after="120" w:line="240" w:lineRule="auto"/>
        <w:ind w:left="720" w:hanging="720"/>
        <w:rPr>
          <w:rFonts w:asciiTheme="minorHAnsi" w:hAnsiTheme="minorHAnsi" w:cstheme="minorHAnsi"/>
        </w:rPr>
      </w:pPr>
      <w:r>
        <w:rPr>
          <w:rFonts w:asciiTheme="minorHAnsi" w:hAnsiTheme="minorHAnsi" w:cstheme="minorHAnsi"/>
        </w:rPr>
        <w:t xml:space="preserve">Wagner, Roi (2017) </w:t>
      </w:r>
      <w:r>
        <w:rPr>
          <w:rFonts w:asciiTheme="minorHAnsi" w:hAnsiTheme="minorHAnsi" w:cstheme="minorHAnsi"/>
          <w:i/>
        </w:rPr>
        <w:t>Making and Breaking Mathematical Sense: Histories and Philosophies of Mathematical Practice.</w:t>
      </w:r>
      <w:r>
        <w:rPr>
          <w:rFonts w:asciiTheme="minorHAnsi" w:hAnsiTheme="minorHAnsi" w:cstheme="minorHAnsi"/>
        </w:rPr>
        <w:t xml:space="preserve">  Princeton University Press. </w:t>
      </w:r>
    </w:p>
    <w:p w14:paraId="34D9E986" w14:textId="5983D3BD" w:rsidR="007722CF" w:rsidRDefault="00BF12F0" w:rsidP="00276C02">
      <w:pPr>
        <w:pStyle w:val="Default"/>
        <w:spacing w:after="120"/>
        <w:ind w:left="720" w:hanging="720"/>
        <w:rPr>
          <w:rFonts w:asciiTheme="minorHAnsi" w:hAnsiTheme="minorHAnsi" w:cstheme="minorHAnsi"/>
          <w:sz w:val="22"/>
          <w:szCs w:val="22"/>
        </w:rPr>
      </w:pPr>
      <w:r w:rsidRPr="00DB72CC">
        <w:rPr>
          <w:rFonts w:asciiTheme="minorHAnsi" w:hAnsiTheme="minorHAnsi" w:cstheme="minorHAnsi"/>
          <w:sz w:val="22"/>
          <w:szCs w:val="22"/>
        </w:rPr>
        <w:t>Wood, David, Bruner, Jerome S. &amp; Ross, Gail</w:t>
      </w:r>
      <w:r w:rsidR="005E0378" w:rsidRPr="00DB72CC">
        <w:rPr>
          <w:rFonts w:asciiTheme="minorHAnsi" w:hAnsiTheme="minorHAnsi" w:cstheme="minorHAnsi"/>
          <w:sz w:val="22"/>
          <w:szCs w:val="22"/>
        </w:rPr>
        <w:t xml:space="preserve"> </w:t>
      </w:r>
      <w:r w:rsidR="00A75A9D">
        <w:rPr>
          <w:rFonts w:asciiTheme="minorHAnsi" w:hAnsiTheme="minorHAnsi" w:cstheme="minorHAnsi"/>
          <w:sz w:val="22"/>
          <w:szCs w:val="22"/>
        </w:rPr>
        <w:t>(</w:t>
      </w:r>
      <w:r w:rsidR="00A75A9D" w:rsidRPr="00DB72CC">
        <w:rPr>
          <w:rFonts w:asciiTheme="minorHAnsi" w:hAnsiTheme="minorHAnsi" w:cstheme="minorHAnsi"/>
          <w:sz w:val="22"/>
          <w:szCs w:val="22"/>
        </w:rPr>
        <w:t>1976</w:t>
      </w:r>
      <w:r w:rsidR="00A75A9D">
        <w:rPr>
          <w:rFonts w:asciiTheme="minorHAnsi" w:hAnsiTheme="minorHAnsi" w:cstheme="minorHAnsi"/>
          <w:sz w:val="22"/>
          <w:szCs w:val="22"/>
        </w:rPr>
        <w:t xml:space="preserve">) </w:t>
      </w:r>
      <w:r w:rsidR="005E0378" w:rsidRPr="00DB72CC">
        <w:rPr>
          <w:rFonts w:asciiTheme="minorHAnsi" w:hAnsiTheme="minorHAnsi" w:cstheme="minorHAnsi"/>
          <w:sz w:val="22"/>
          <w:szCs w:val="22"/>
        </w:rPr>
        <w:t xml:space="preserve">‘The role of tutoring in problem solving’ </w:t>
      </w:r>
      <w:r w:rsidR="007722CF" w:rsidRPr="00DB72CC">
        <w:rPr>
          <w:rFonts w:asciiTheme="minorHAnsi" w:hAnsiTheme="minorHAnsi" w:cstheme="minorHAnsi"/>
          <w:sz w:val="22"/>
          <w:szCs w:val="22"/>
        </w:rPr>
        <w:t xml:space="preserve">J . </w:t>
      </w:r>
      <w:r w:rsidR="007722CF" w:rsidRPr="00DB72CC">
        <w:rPr>
          <w:rFonts w:asciiTheme="minorHAnsi" w:hAnsiTheme="minorHAnsi" w:cstheme="minorHAnsi"/>
          <w:i/>
          <w:iCs/>
          <w:sz w:val="22"/>
          <w:szCs w:val="22"/>
        </w:rPr>
        <w:t xml:space="preserve">Child Psychol. </w:t>
      </w:r>
      <w:proofErr w:type="spellStart"/>
      <w:r w:rsidR="007722CF" w:rsidRPr="00DB72CC">
        <w:rPr>
          <w:rFonts w:asciiTheme="minorHAnsi" w:hAnsiTheme="minorHAnsi" w:cstheme="minorHAnsi"/>
          <w:i/>
          <w:iCs/>
          <w:sz w:val="22"/>
          <w:szCs w:val="22"/>
        </w:rPr>
        <w:t>Psychiat</w:t>
      </w:r>
      <w:proofErr w:type="spellEnd"/>
      <w:r w:rsidR="007722CF" w:rsidRPr="00DB72CC">
        <w:rPr>
          <w:rFonts w:asciiTheme="minorHAnsi" w:hAnsiTheme="minorHAnsi" w:cstheme="minorHAnsi"/>
          <w:i/>
          <w:iCs/>
          <w:sz w:val="22"/>
          <w:szCs w:val="22"/>
        </w:rPr>
        <w:t xml:space="preserve">., </w:t>
      </w:r>
      <w:r w:rsidR="007722CF" w:rsidRPr="00DB72CC">
        <w:rPr>
          <w:rFonts w:asciiTheme="minorHAnsi" w:hAnsiTheme="minorHAnsi" w:cstheme="minorHAnsi"/>
          <w:sz w:val="22"/>
          <w:szCs w:val="22"/>
        </w:rPr>
        <w:t>Vol. 17, pp. 89 to 100. Pergamon Press. Printed in Great Britain.</w:t>
      </w:r>
    </w:p>
    <w:p w14:paraId="5C62033C" w14:textId="39268ECA" w:rsidR="00563419" w:rsidRPr="00563419" w:rsidRDefault="00563419" w:rsidP="00563419">
      <w:pPr>
        <w:spacing w:after="0" w:line="240" w:lineRule="auto"/>
        <w:ind w:left="720" w:hanging="720"/>
        <w:rPr>
          <w:rFonts w:asciiTheme="minorHAnsi" w:eastAsia="Times New Roman" w:hAnsiTheme="minorHAnsi" w:cstheme="minorHAnsi"/>
          <w:lang w:eastAsia="en-GB"/>
        </w:rPr>
      </w:pPr>
      <w:r w:rsidRPr="00563419">
        <w:rPr>
          <w:rFonts w:asciiTheme="minorHAnsi" w:eastAsia="Times New Roman" w:hAnsiTheme="minorHAnsi" w:cstheme="minorHAnsi"/>
          <w:lang w:eastAsia="en-GB"/>
        </w:rPr>
        <w:t xml:space="preserve">Wylie, C.D. (2012) Teaching manuals and the blackboard: accessing historical classroom practices. </w:t>
      </w:r>
      <w:r w:rsidRPr="00563419">
        <w:rPr>
          <w:rFonts w:asciiTheme="minorHAnsi" w:eastAsia="Times New Roman" w:hAnsiTheme="minorHAnsi" w:cstheme="minorHAnsi"/>
          <w:i/>
          <w:lang w:eastAsia="en-GB"/>
        </w:rPr>
        <w:t>History of Education</w:t>
      </w:r>
      <w:r w:rsidRPr="00563419">
        <w:rPr>
          <w:rFonts w:asciiTheme="minorHAnsi" w:eastAsia="Times New Roman" w:hAnsiTheme="minorHAnsi" w:cstheme="minorHAnsi"/>
          <w:lang w:eastAsia="en-GB"/>
        </w:rPr>
        <w:t xml:space="preserve"> 41(2), 257‐272.</w:t>
      </w:r>
    </w:p>
    <w:p w14:paraId="315ECF28" w14:textId="77777777" w:rsidR="00563419" w:rsidRPr="00DB72CC" w:rsidRDefault="00563419" w:rsidP="00276C02">
      <w:pPr>
        <w:pStyle w:val="Default"/>
        <w:spacing w:after="120"/>
        <w:ind w:left="720" w:hanging="720"/>
        <w:rPr>
          <w:rFonts w:asciiTheme="minorHAnsi" w:hAnsiTheme="minorHAnsi" w:cstheme="minorHAnsi"/>
          <w:sz w:val="22"/>
          <w:szCs w:val="22"/>
        </w:rPr>
      </w:pPr>
    </w:p>
    <w:p w14:paraId="26E08BA7" w14:textId="77777777" w:rsidR="007722CF" w:rsidRPr="007722CF" w:rsidRDefault="007722CF" w:rsidP="007722CF">
      <w:pPr>
        <w:autoSpaceDE w:val="0"/>
        <w:autoSpaceDN w:val="0"/>
        <w:adjustRightInd w:val="0"/>
        <w:spacing w:after="0" w:line="240" w:lineRule="auto"/>
        <w:rPr>
          <w:lang w:eastAsia="en-GB"/>
        </w:rPr>
      </w:pPr>
    </w:p>
    <w:p w14:paraId="0F5A5492" w14:textId="77777777" w:rsidR="007722CF" w:rsidRPr="007722CF" w:rsidRDefault="007722CF">
      <w:pPr>
        <w:spacing w:after="100" w:afterAutospacing="1" w:line="240" w:lineRule="auto"/>
        <w:ind w:left="720" w:hanging="720"/>
      </w:pPr>
    </w:p>
    <w:sectPr w:rsidR="007722CF" w:rsidRPr="007722CF" w:rsidSect="00A8268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B16C0" w14:textId="77777777" w:rsidR="007C3CDA" w:rsidRDefault="007C3CDA" w:rsidP="00E05DC9">
      <w:pPr>
        <w:spacing w:after="0" w:line="240" w:lineRule="auto"/>
      </w:pPr>
      <w:r>
        <w:separator/>
      </w:r>
    </w:p>
  </w:endnote>
  <w:endnote w:type="continuationSeparator" w:id="0">
    <w:p w14:paraId="1454924B" w14:textId="77777777" w:rsidR="007C3CDA" w:rsidRDefault="007C3CDA" w:rsidP="00E05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MRoman10-Regular">
    <w:altName w:val="Yu Gothic"/>
    <w:charset w:val="80"/>
    <w:family w:val="auto"/>
    <w:pitch w:val="default"/>
    <w:sig w:usb0="00000001" w:usb1="08070000" w:usb2="00000010" w:usb3="00000000" w:csb0="00020000" w:csb1="00000000"/>
  </w:font>
  <w:font w:name="NimbusRomNo9L-Regu">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MTI9">
    <w:panose1 w:val="00000000000000000000"/>
    <w:charset w:val="00"/>
    <w:family w:val="swiss"/>
    <w:notTrueType/>
    <w:pitch w:val="default"/>
    <w:sig w:usb0="00000003" w:usb1="00000000" w:usb2="00000000" w:usb3="00000000" w:csb0="00000001" w:csb1="00000000"/>
  </w:font>
  <w:font w:name="CMR9">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73F66A" w14:textId="77777777" w:rsidR="007C3CDA" w:rsidRDefault="007C3CDA" w:rsidP="00E05DC9">
      <w:pPr>
        <w:spacing w:after="0" w:line="240" w:lineRule="auto"/>
      </w:pPr>
      <w:r>
        <w:separator/>
      </w:r>
    </w:p>
  </w:footnote>
  <w:footnote w:type="continuationSeparator" w:id="0">
    <w:p w14:paraId="30F7102D" w14:textId="77777777" w:rsidR="007C3CDA" w:rsidRDefault="007C3CDA" w:rsidP="00E05DC9">
      <w:pPr>
        <w:spacing w:after="0" w:line="240" w:lineRule="auto"/>
      </w:pPr>
      <w:r>
        <w:continuationSeparator/>
      </w:r>
    </w:p>
  </w:footnote>
  <w:footnote w:id="1">
    <w:p w14:paraId="638F2209" w14:textId="1F6DDCC6" w:rsidR="00F951F0" w:rsidRDefault="00F951F0">
      <w:pPr>
        <w:pStyle w:val="FootnoteText"/>
      </w:pPr>
      <w:r>
        <w:rPr>
          <w:rStyle w:val="FootnoteReference"/>
        </w:rPr>
        <w:footnoteRef/>
      </w:r>
      <w:r>
        <w:t xml:space="preserve"> I should like to record my gratitude </w:t>
      </w:r>
      <w:r w:rsidR="00E314F0">
        <w:t xml:space="preserve">to the philosophy department at the Bristol University for hosting the meeting where these ideas were first presented, to </w:t>
      </w:r>
      <w:r w:rsidR="00E314F0" w:rsidRPr="00E314F0">
        <w:rPr>
          <w:rFonts w:asciiTheme="minorHAnsi" w:hAnsiTheme="minorHAnsi" w:cstheme="minorHAnsi"/>
          <w:color w:val="333333"/>
        </w:rPr>
        <w:t xml:space="preserve">Catarina </w:t>
      </w:r>
      <w:proofErr w:type="spellStart"/>
      <w:r w:rsidR="00E314F0" w:rsidRPr="00E314F0">
        <w:rPr>
          <w:rFonts w:asciiTheme="minorHAnsi" w:hAnsiTheme="minorHAnsi" w:cstheme="minorHAnsi"/>
          <w:color w:val="333333"/>
        </w:rPr>
        <w:t>Dutilh</w:t>
      </w:r>
      <w:proofErr w:type="spellEnd"/>
      <w:r w:rsidR="00E314F0" w:rsidRPr="00E314F0">
        <w:rPr>
          <w:rFonts w:asciiTheme="minorHAnsi" w:hAnsiTheme="minorHAnsi" w:cstheme="minorHAnsi"/>
          <w:color w:val="333333"/>
        </w:rPr>
        <w:t xml:space="preserve"> </w:t>
      </w:r>
      <w:proofErr w:type="spellStart"/>
      <w:r w:rsidR="00E314F0" w:rsidRPr="00E314F0">
        <w:rPr>
          <w:rFonts w:asciiTheme="minorHAnsi" w:hAnsiTheme="minorHAnsi" w:cstheme="minorHAnsi"/>
          <w:color w:val="333333"/>
        </w:rPr>
        <w:t>Novaes</w:t>
      </w:r>
      <w:proofErr w:type="spellEnd"/>
      <w:r w:rsidR="00E314F0">
        <w:rPr>
          <w:rFonts w:asciiTheme="minorHAnsi" w:hAnsiTheme="minorHAnsi" w:cstheme="minorHAnsi"/>
          <w:color w:val="333333"/>
        </w:rPr>
        <w:t xml:space="preserve"> encouraging me to write them up, and to </w:t>
      </w:r>
      <w:r>
        <w:t xml:space="preserve">two anonymous </w:t>
      </w:r>
      <w:r w:rsidR="00E314F0">
        <w:t xml:space="preserve">and diligent </w:t>
      </w:r>
      <w:r>
        <w:t xml:space="preserve">referees who saw this paper through </w:t>
      </w:r>
      <w:r w:rsidR="00BE4E9E">
        <w:t>three</w:t>
      </w:r>
      <w:r>
        <w:t xml:space="preserve"> round</w:t>
      </w:r>
      <w:r w:rsidR="00E314F0">
        <w:t>s of significant improvements.</w:t>
      </w:r>
    </w:p>
  </w:footnote>
  <w:footnote w:id="2">
    <w:p w14:paraId="447396B1" w14:textId="66C2F31D" w:rsidR="00855AA6" w:rsidRPr="00855AA6" w:rsidRDefault="00855AA6">
      <w:pPr>
        <w:pStyle w:val="FootnoteText"/>
        <w:rPr>
          <w:lang w:val="en-US"/>
        </w:rPr>
      </w:pPr>
      <w:r>
        <w:rPr>
          <w:rStyle w:val="FootnoteReference"/>
        </w:rPr>
        <w:footnoteRef/>
      </w:r>
      <w:r>
        <w:t xml:space="preserve"> </w:t>
      </w:r>
      <w:r>
        <w:rPr>
          <w:lang w:val="en-US"/>
        </w:rPr>
        <w:t>School of Humanities, The University of Hertfordshire, AL10 9AB, UK  b.p.larvor@herts.ac.uk</w:t>
      </w:r>
    </w:p>
  </w:footnote>
  <w:footnote w:id="3">
    <w:p w14:paraId="0FA11F6C" w14:textId="4A07D864" w:rsidR="008E3B64" w:rsidRDefault="008E3B64">
      <w:pPr>
        <w:pStyle w:val="FootnoteText"/>
      </w:pPr>
      <w:r>
        <w:rPr>
          <w:rStyle w:val="FootnoteReference"/>
        </w:rPr>
        <w:footnoteRef/>
      </w:r>
      <w:r>
        <w:t xml:space="preserve"> That is, the system expounded in Euclid books I-IV.  </w:t>
      </w:r>
    </w:p>
  </w:footnote>
  <w:footnote w:id="4">
    <w:p w14:paraId="25298CDB" w14:textId="204A4F52" w:rsidR="004572C2" w:rsidRDefault="004572C2">
      <w:pPr>
        <w:pStyle w:val="FootnoteText"/>
      </w:pPr>
      <w:r>
        <w:rPr>
          <w:rStyle w:val="FootnoteReference"/>
        </w:rPr>
        <w:footnoteRef/>
      </w:r>
      <w:r>
        <w:t xml:space="preserve"> See Manders (2008) for a comprehensive analysis.</w:t>
      </w:r>
    </w:p>
  </w:footnote>
  <w:footnote w:id="5">
    <w:p w14:paraId="40F9ED6F" w14:textId="30651E3E" w:rsidR="00602A17" w:rsidRDefault="00602A17">
      <w:pPr>
        <w:pStyle w:val="FootnoteText"/>
      </w:pPr>
      <w:r>
        <w:rPr>
          <w:rStyle w:val="FootnoteReference"/>
        </w:rPr>
        <w:footnoteRef/>
      </w:r>
      <w:r>
        <w:t xml:space="preserve"> Note that a language with precise number-words that are not limited in size is already a significant cognitive tool.  According to Ferreirós, “With counting, the imprecise innate grasp of cardinality is joined by a notion of order (ordinality), which refines the notion of cardinality into a precise concept, with the aid of specific words, so that they combine to obtain the number concept.” (2016, p. 186)</w:t>
      </w:r>
      <w:r w:rsidR="003C1B70">
        <w:t xml:space="preserve">.  By ‘mathematical representations’ in this paper is meant inscriptions, mental images, computer models, etc. in addition to the words for counting numbers that one has simply as a speaker of a language that expresses the counting-number concept.  </w:t>
      </w:r>
    </w:p>
  </w:footnote>
  <w:footnote w:id="6">
    <w:p w14:paraId="411369B6" w14:textId="29F71EA4" w:rsidR="00DC1206" w:rsidRDefault="00DC1206">
      <w:pPr>
        <w:pStyle w:val="FootnoteText"/>
      </w:pPr>
      <w:r>
        <w:rPr>
          <w:rStyle w:val="FootnoteReference"/>
        </w:rPr>
        <w:footnoteRef/>
      </w:r>
      <w:r>
        <w:t xml:space="preserve"> </w:t>
      </w:r>
      <w:r w:rsidR="00573593">
        <w:t xml:space="preserve">Though not all of it.  </w:t>
      </w:r>
      <w:r>
        <w:rPr>
          <w:rFonts w:asciiTheme="minorHAnsi" w:hAnsiTheme="minorHAnsi" w:cstheme="minorHAnsi"/>
          <w:lang w:eastAsia="en-GB"/>
        </w:rPr>
        <w:t xml:space="preserve">Following the </w:t>
      </w:r>
      <w:r w:rsidR="007A7EF5">
        <w:rPr>
          <w:rFonts w:asciiTheme="minorHAnsi" w:hAnsiTheme="minorHAnsi" w:cstheme="minorHAnsi"/>
          <w:lang w:eastAsia="en-GB"/>
        </w:rPr>
        <w:t xml:space="preserve">expression-transformation </w:t>
      </w:r>
      <w:r>
        <w:rPr>
          <w:rFonts w:asciiTheme="minorHAnsi" w:hAnsiTheme="minorHAnsi" w:cstheme="minorHAnsi"/>
          <w:lang w:eastAsia="en-GB"/>
        </w:rPr>
        <w:t>rules</w:t>
      </w:r>
      <w:r w:rsidR="00D56DFA">
        <w:rPr>
          <w:rFonts w:asciiTheme="minorHAnsi" w:hAnsiTheme="minorHAnsi" w:cstheme="minorHAnsi"/>
          <w:lang w:eastAsia="en-GB"/>
        </w:rPr>
        <w:t xml:space="preserve"> of the language of </w:t>
      </w:r>
      <w:r w:rsidR="00790920">
        <w:rPr>
          <w:rFonts w:asciiTheme="minorHAnsi" w:hAnsiTheme="minorHAnsi" w:cstheme="minorHAnsi"/>
          <w:lang w:eastAsia="en-GB"/>
        </w:rPr>
        <w:t xml:space="preserve">high </w:t>
      </w:r>
      <w:r w:rsidR="003F7AD3">
        <w:rPr>
          <w:rFonts w:asciiTheme="minorHAnsi" w:hAnsiTheme="minorHAnsi" w:cstheme="minorHAnsi"/>
          <w:lang w:eastAsia="en-GB"/>
        </w:rPr>
        <w:t>school algebra</w:t>
      </w:r>
      <w:r>
        <w:rPr>
          <w:rFonts w:asciiTheme="minorHAnsi" w:hAnsiTheme="minorHAnsi" w:cstheme="minorHAnsi"/>
          <w:lang w:eastAsia="en-GB"/>
        </w:rPr>
        <w:t xml:space="preserve"> is not quite a perfect guarantee of rigour, because they can’t always prevent you from accidentally dividing by zero</w:t>
      </w:r>
      <w:r w:rsidR="00573593">
        <w:rPr>
          <w:rFonts w:asciiTheme="minorHAnsi" w:hAnsiTheme="minorHAnsi" w:cstheme="minorHAnsi"/>
          <w:lang w:eastAsia="en-GB"/>
        </w:rPr>
        <w:t xml:space="preserve"> or from dividing an inequality by a negative number</w:t>
      </w:r>
      <w:r>
        <w:rPr>
          <w:rFonts w:asciiTheme="minorHAnsi" w:hAnsiTheme="minorHAnsi" w:cstheme="minorHAnsi"/>
          <w:lang w:eastAsia="en-GB"/>
        </w:rPr>
        <w:t>.</w:t>
      </w:r>
    </w:p>
  </w:footnote>
  <w:footnote w:id="7">
    <w:p w14:paraId="27B1A213" w14:textId="223FB0BC" w:rsidR="00F951F0" w:rsidRDefault="00F951F0">
      <w:pPr>
        <w:pStyle w:val="FootnoteText"/>
      </w:pPr>
      <w:r>
        <w:rPr>
          <w:rStyle w:val="FootnoteReference"/>
        </w:rPr>
        <w:footnoteRef/>
      </w:r>
      <w:r>
        <w:t xml:space="preserve"> Doing philosophy of mathematical practices means treating mathematics as a human activity rather than a body of established knowledge.  Whether or not this is a replacement for, a challenge to or a friend of longer established approaches to the philosophy of mathematics is matter of dispute.  </w:t>
      </w:r>
      <w:r w:rsidR="004108E2">
        <w:t xml:space="preserve">See </w:t>
      </w:r>
      <w:proofErr w:type="spellStart"/>
      <w:r w:rsidR="004108E2">
        <w:t>Mancosu</w:t>
      </w:r>
      <w:proofErr w:type="spellEnd"/>
      <w:r w:rsidR="004108E2">
        <w:t xml:space="preserve"> (2008) p. 18.</w:t>
      </w:r>
    </w:p>
  </w:footnote>
  <w:footnote w:id="8">
    <w:p w14:paraId="56D02F3E" w14:textId="541D9157" w:rsidR="004108E2" w:rsidRPr="004108E2" w:rsidRDefault="004108E2">
      <w:pPr>
        <w:pStyle w:val="FootnoteText"/>
        <w:rPr>
          <w:lang w:val="en-US"/>
        </w:rPr>
      </w:pPr>
      <w:r>
        <w:rPr>
          <w:rStyle w:val="FootnoteReference"/>
        </w:rPr>
        <w:footnoteRef/>
      </w:r>
      <w:r>
        <w:t xml:space="preserve"> </w:t>
      </w:r>
      <w:r>
        <w:rPr>
          <w:lang w:val="en-US"/>
        </w:rPr>
        <w:t xml:space="preserve">This does not entail that other discourses are not enculturated.  </w:t>
      </w:r>
    </w:p>
  </w:footnote>
  <w:footnote w:id="9">
    <w:p w14:paraId="2EB4A25A" w14:textId="421F05D5" w:rsidR="00DF67D3" w:rsidRDefault="00DF67D3">
      <w:pPr>
        <w:pStyle w:val="FootnoteText"/>
      </w:pPr>
      <w:r>
        <w:rPr>
          <w:rStyle w:val="FootnoteReference"/>
        </w:rPr>
        <w:footnoteRef/>
      </w:r>
      <w:r>
        <w:t xml:space="preserve"> See (Stone 1998) for </w:t>
      </w:r>
      <w:r w:rsidR="00A8494C">
        <w:t xml:space="preserve">the history of the </w:t>
      </w:r>
      <w:r w:rsidR="00A26102">
        <w:t>scaffolding metaphor from its origin to 1998</w:t>
      </w:r>
      <w:r>
        <w:t xml:space="preserve">.  See also following footnote.  </w:t>
      </w:r>
    </w:p>
  </w:footnote>
  <w:footnote w:id="10">
    <w:p w14:paraId="1F64BD71" w14:textId="36E8150A" w:rsidR="00F6135F" w:rsidRDefault="00F6135F">
      <w:pPr>
        <w:pStyle w:val="FootnoteText"/>
      </w:pPr>
      <w:r>
        <w:rPr>
          <w:rStyle w:val="FootnoteReference"/>
        </w:rPr>
        <w:footnoteRef/>
      </w:r>
      <w:r>
        <w:t xml:space="preserve"> </w:t>
      </w:r>
      <w:r w:rsidR="00FC5C50">
        <w:t>Menary and others routinely present Clark as the originator of this usage</w:t>
      </w:r>
      <w:r w:rsidR="004108E2">
        <w:t xml:space="preserve"> in cognitive science</w:t>
      </w:r>
      <w:r w:rsidR="00FC5C50">
        <w:t xml:space="preserve">.  This is corroborated by Google Scholar searches: </w:t>
      </w:r>
      <w:r w:rsidR="00BD6EFD">
        <w:t>prior to 1976</w:t>
      </w:r>
      <w:r w:rsidR="00676943">
        <w:t xml:space="preserve"> (the year of </w:t>
      </w:r>
      <w:r w:rsidR="00467715">
        <w:t>Wood</w:t>
      </w:r>
      <w:r w:rsidR="00676943">
        <w:t xml:space="preserve"> et al.)</w:t>
      </w:r>
      <w:r w:rsidR="00BD6EFD">
        <w:t>, scaffolding is not mentioned in educational theory or developmental psychology.  F</w:t>
      </w:r>
      <w:r w:rsidR="00FC5C50">
        <w:t xml:space="preserve">rom 1976 to 1998, there are many references to scaffolding in educational theory but none </w:t>
      </w:r>
      <w:r w:rsidR="00510396">
        <w:t xml:space="preserve">in cognitive science.  </w:t>
      </w:r>
      <w:r w:rsidR="005A7EBD">
        <w:t xml:space="preserve">After 1998, </w:t>
      </w:r>
      <w:r w:rsidR="00BD6EFD">
        <w:t xml:space="preserve">scaffolding appears in papers in cognitive science, mostly with direct citations of Clark’s use.  </w:t>
      </w:r>
      <w:r w:rsidR="00DD717B">
        <w:t xml:space="preserve">See (Stone, 1998) for a </w:t>
      </w:r>
      <w:r w:rsidR="00D2639A">
        <w:t xml:space="preserve">history of the term in educational theory from </w:t>
      </w:r>
      <w:r w:rsidR="004C5F60">
        <w:t>Wood</w:t>
      </w:r>
      <w:r w:rsidR="00D2639A">
        <w:t xml:space="preserve"> et al. onwards.  Writing in 1998, the year of Clark’s paper, Stone makes no mention of cognitive science.  </w:t>
      </w:r>
      <w:r w:rsidR="009A53A2">
        <w:t xml:space="preserve">Clark does not cite Wood et al., but there is a common ancestor in Vygotsky.  </w:t>
      </w:r>
      <w:r w:rsidR="0083567F">
        <w:t xml:space="preserve">Wood, </w:t>
      </w:r>
      <w:r w:rsidR="00B83B59">
        <w:t>Bruner</w:t>
      </w:r>
      <w:r w:rsidR="0083567F">
        <w:t xml:space="preserve"> and Ross </w:t>
      </w:r>
      <w:r w:rsidR="00B83B59">
        <w:t xml:space="preserve">do not mention Vygotsky in their article but (as Stone explains) Bruner wrote on Vygotsky and in educational psychology the scaffolding metaphor was taken up as a way to articulate Vygotsky’s model of teaching as management of the pupil’s zone of proximal development.  The quotation from Clark in the present paper is taken from a section in which he discusses Vygotsky with approval as a source of his own view.  </w:t>
      </w:r>
    </w:p>
  </w:footnote>
  <w:footnote w:id="11">
    <w:p w14:paraId="70434883" w14:textId="4B33CE8E" w:rsidR="0003286B" w:rsidRPr="000D5D53" w:rsidRDefault="0003286B" w:rsidP="000D5D53">
      <w:pPr>
        <w:autoSpaceDE w:val="0"/>
        <w:autoSpaceDN w:val="0"/>
        <w:adjustRightInd w:val="0"/>
        <w:spacing w:after="0" w:line="240" w:lineRule="auto"/>
      </w:pPr>
      <w:r>
        <w:rPr>
          <w:rStyle w:val="FootnoteReference"/>
        </w:rPr>
        <w:footnoteRef/>
      </w:r>
      <w:r>
        <w:t xml:space="preserve"> </w:t>
      </w:r>
      <w:r w:rsidRPr="00E74C55">
        <w:rPr>
          <w:sz w:val="20"/>
          <w:szCs w:val="20"/>
        </w:rPr>
        <w:t>Epistemic actions are “</w:t>
      </w:r>
      <w:r w:rsidR="000D5D53" w:rsidRPr="000D5D53">
        <w:rPr>
          <w:rFonts w:asciiTheme="minorHAnsi" w:hAnsiTheme="minorHAnsi" w:cstheme="minorHAnsi"/>
          <w:bCs/>
          <w:i/>
          <w:sz w:val="20"/>
          <w:szCs w:val="20"/>
          <w:lang w:eastAsia="en-GB"/>
        </w:rPr>
        <w:t>external</w:t>
      </w:r>
      <w:r w:rsidR="000D5D53" w:rsidRPr="000D5D53">
        <w:rPr>
          <w:rFonts w:asciiTheme="minorHAnsi" w:hAnsiTheme="minorHAnsi" w:cstheme="minorHAnsi"/>
          <w:bCs/>
          <w:sz w:val="20"/>
          <w:szCs w:val="20"/>
          <w:lang w:eastAsia="en-GB"/>
        </w:rPr>
        <w:t xml:space="preserve"> actions that an agent performs to change his</w:t>
      </w:r>
      <w:r w:rsidR="000D5D53">
        <w:rPr>
          <w:rFonts w:asciiTheme="minorHAnsi" w:hAnsiTheme="minorHAnsi" w:cstheme="minorHAnsi"/>
          <w:bCs/>
          <w:sz w:val="20"/>
          <w:szCs w:val="20"/>
          <w:lang w:eastAsia="en-GB"/>
        </w:rPr>
        <w:t xml:space="preserve"> or her own computational state</w:t>
      </w:r>
      <w:r w:rsidRPr="00E74C55">
        <w:rPr>
          <w:rFonts w:asciiTheme="minorHAnsi" w:hAnsiTheme="minorHAnsi" w:cstheme="minorHAnsi"/>
          <w:bCs/>
          <w:sz w:val="20"/>
          <w:szCs w:val="20"/>
          <w:lang w:eastAsia="en-GB"/>
        </w:rPr>
        <w:t>.”  (</w:t>
      </w:r>
      <w:proofErr w:type="spellStart"/>
      <w:r w:rsidRPr="00E74C55">
        <w:rPr>
          <w:rFonts w:asciiTheme="minorHAnsi" w:hAnsiTheme="minorHAnsi" w:cstheme="minorHAnsi"/>
          <w:bCs/>
          <w:sz w:val="20"/>
          <w:szCs w:val="20"/>
          <w:lang w:eastAsia="en-GB"/>
        </w:rPr>
        <w:t>Kirsh</w:t>
      </w:r>
      <w:proofErr w:type="spellEnd"/>
      <w:r w:rsidRPr="00E74C55">
        <w:rPr>
          <w:rFonts w:asciiTheme="minorHAnsi" w:hAnsiTheme="minorHAnsi" w:cstheme="minorHAnsi"/>
          <w:bCs/>
          <w:sz w:val="20"/>
          <w:szCs w:val="20"/>
          <w:lang w:eastAsia="en-GB"/>
        </w:rPr>
        <w:t xml:space="preserve"> &amp; Maglio, 1994</w:t>
      </w:r>
      <w:r w:rsidR="000D5D53">
        <w:rPr>
          <w:rFonts w:asciiTheme="minorHAnsi" w:hAnsiTheme="minorHAnsi" w:cstheme="minorHAnsi"/>
          <w:bCs/>
          <w:sz w:val="20"/>
          <w:szCs w:val="20"/>
          <w:lang w:eastAsia="en-GB"/>
        </w:rPr>
        <w:t>, p. 514</w:t>
      </w:r>
      <w:r w:rsidRPr="00E74C55">
        <w:rPr>
          <w:rFonts w:asciiTheme="minorHAnsi" w:hAnsiTheme="minorHAnsi" w:cstheme="minorHAnsi"/>
          <w:bCs/>
          <w:sz w:val="20"/>
          <w:szCs w:val="20"/>
          <w:lang w:eastAsia="en-GB"/>
        </w:rPr>
        <w:t>).</w:t>
      </w:r>
      <w:r w:rsidR="000D5D53">
        <w:rPr>
          <w:rFonts w:asciiTheme="minorHAnsi" w:hAnsiTheme="minorHAnsi" w:cstheme="minorHAnsi"/>
          <w:bCs/>
          <w:sz w:val="20"/>
          <w:szCs w:val="20"/>
          <w:lang w:eastAsia="en-GB"/>
        </w:rPr>
        <w:t xml:space="preserve">  They elaborate thus, “</w:t>
      </w:r>
      <w:r w:rsidR="000D5D53" w:rsidRPr="000D5D53">
        <w:rPr>
          <w:rFonts w:asciiTheme="minorHAnsi" w:hAnsiTheme="minorHAnsi" w:cstheme="minorHAnsi"/>
          <w:bCs/>
          <w:sz w:val="20"/>
          <w:szCs w:val="20"/>
          <w:lang w:eastAsia="en-GB"/>
        </w:rPr>
        <w:t xml:space="preserve">a physical action whose primary function is to improve cognition by: 1. reducing the memory involved in mental computation, that is, space complexity; </w:t>
      </w:r>
      <w:r w:rsidR="00CE72CA">
        <w:rPr>
          <w:rFonts w:asciiTheme="minorHAnsi" w:hAnsiTheme="minorHAnsi" w:cstheme="minorHAnsi"/>
          <w:bCs/>
          <w:sz w:val="20"/>
          <w:szCs w:val="20"/>
          <w:lang w:eastAsia="en-GB"/>
        </w:rPr>
        <w:t xml:space="preserve">[or] </w:t>
      </w:r>
      <w:r w:rsidR="000D5D53" w:rsidRPr="000D5D53">
        <w:rPr>
          <w:rFonts w:asciiTheme="minorHAnsi" w:hAnsiTheme="minorHAnsi" w:cstheme="minorHAnsi"/>
          <w:bCs/>
          <w:sz w:val="20"/>
          <w:szCs w:val="20"/>
          <w:lang w:eastAsia="en-GB"/>
        </w:rPr>
        <w:t xml:space="preserve">2. reducing the number of steps involved in mental computation, that is, time complexity; </w:t>
      </w:r>
      <w:r w:rsidR="00E314F0">
        <w:rPr>
          <w:rFonts w:asciiTheme="minorHAnsi" w:hAnsiTheme="minorHAnsi" w:cstheme="minorHAnsi"/>
          <w:bCs/>
          <w:sz w:val="20"/>
          <w:szCs w:val="20"/>
          <w:lang w:eastAsia="en-GB"/>
        </w:rPr>
        <w:t xml:space="preserve">[or] </w:t>
      </w:r>
      <w:r w:rsidR="000D5D53" w:rsidRPr="000D5D53">
        <w:rPr>
          <w:rFonts w:asciiTheme="minorHAnsi" w:hAnsiTheme="minorHAnsi" w:cstheme="minorHAnsi"/>
          <w:bCs/>
          <w:sz w:val="20"/>
          <w:szCs w:val="20"/>
          <w:lang w:eastAsia="en-GB"/>
        </w:rPr>
        <w:t xml:space="preserve">3. reducing the probability of error of mental computation, that is, unreliability. </w:t>
      </w:r>
      <w:r w:rsidR="000D5D53">
        <w:rPr>
          <w:rFonts w:asciiTheme="minorHAnsi" w:hAnsiTheme="minorHAnsi" w:cstheme="minorHAnsi"/>
          <w:bCs/>
          <w:sz w:val="20"/>
          <w:szCs w:val="20"/>
          <w:lang w:eastAsia="en-GB"/>
        </w:rPr>
        <w:t xml:space="preserve"> </w:t>
      </w:r>
      <w:r w:rsidR="000D5D53" w:rsidRPr="000D5D53">
        <w:rPr>
          <w:rFonts w:asciiTheme="minorHAnsi" w:hAnsiTheme="minorHAnsi" w:cstheme="minorHAnsi"/>
          <w:bCs/>
          <w:sz w:val="20"/>
          <w:szCs w:val="20"/>
          <w:lang w:eastAsia="en-GB"/>
        </w:rPr>
        <w:t>Typical epistemic actions found in everyday activities</w:t>
      </w:r>
      <w:r w:rsidR="000D5D53">
        <w:rPr>
          <w:rFonts w:asciiTheme="minorHAnsi" w:hAnsiTheme="minorHAnsi" w:cstheme="minorHAnsi"/>
          <w:bCs/>
          <w:sz w:val="20"/>
          <w:szCs w:val="20"/>
          <w:lang w:eastAsia="en-GB"/>
        </w:rPr>
        <w:t>…</w:t>
      </w:r>
      <w:r w:rsidR="000D5D53" w:rsidRPr="000D5D53">
        <w:rPr>
          <w:rFonts w:asciiTheme="minorHAnsi" w:hAnsiTheme="minorHAnsi" w:cstheme="minorHAnsi"/>
          <w:bCs/>
          <w:sz w:val="20"/>
          <w:szCs w:val="20"/>
          <w:lang w:eastAsia="en-GB"/>
        </w:rPr>
        <w:t xml:space="preserve"> include familiar memory-saving actions such as</w:t>
      </w:r>
      <w:r w:rsidR="00E314F0">
        <w:rPr>
          <w:rFonts w:asciiTheme="minorHAnsi" w:hAnsiTheme="minorHAnsi" w:cstheme="minorHAnsi"/>
          <w:bCs/>
          <w:sz w:val="20"/>
          <w:szCs w:val="20"/>
          <w:lang w:eastAsia="en-GB"/>
        </w:rPr>
        <w:t xml:space="preserve">… </w:t>
      </w:r>
      <w:r w:rsidR="000D5D53" w:rsidRPr="000D5D53">
        <w:rPr>
          <w:rFonts w:asciiTheme="minorHAnsi" w:hAnsiTheme="minorHAnsi" w:cstheme="minorHAnsi"/>
          <w:bCs/>
          <w:sz w:val="20"/>
          <w:szCs w:val="20"/>
          <w:lang w:eastAsia="en-GB"/>
        </w:rPr>
        <w:t>placing a key in a shoe, or tying a string around a finger; time-saving actions such as preparing the workplace, for example, partially sorting nuts and bolts before beginning an assembly task in order to reduce later search</w:t>
      </w:r>
      <w:r w:rsidR="000D5D53">
        <w:rPr>
          <w:rFonts w:asciiTheme="minorHAnsi" w:hAnsiTheme="minorHAnsi" w:cstheme="minorHAnsi"/>
          <w:bCs/>
          <w:sz w:val="20"/>
          <w:szCs w:val="20"/>
          <w:lang w:eastAsia="en-GB"/>
        </w:rPr>
        <w:t>…</w:t>
      </w:r>
      <w:r w:rsidR="000D5D53" w:rsidRPr="000D5D53">
        <w:rPr>
          <w:rFonts w:asciiTheme="minorHAnsi" w:hAnsiTheme="minorHAnsi" w:cstheme="minorHAnsi"/>
          <w:bCs/>
          <w:sz w:val="20"/>
          <w:szCs w:val="20"/>
          <w:lang w:eastAsia="en-GB"/>
        </w:rPr>
        <w:t>; and information gathering activities such as exploring, for example, scouting unfamiliar terrain to help decide where to camp for the night.</w:t>
      </w:r>
      <w:r w:rsidR="000D5D53">
        <w:rPr>
          <w:rFonts w:asciiTheme="minorHAnsi" w:hAnsiTheme="minorHAnsi" w:cstheme="minorHAnsi"/>
          <w:bCs/>
          <w:sz w:val="20"/>
          <w:szCs w:val="20"/>
          <w:lang w:eastAsia="en-GB"/>
        </w:rPr>
        <w:t>”  (</w:t>
      </w:r>
      <w:r w:rsidR="000D5D53">
        <w:rPr>
          <w:rFonts w:asciiTheme="minorHAnsi" w:hAnsiTheme="minorHAnsi" w:cstheme="minorHAnsi"/>
          <w:bCs/>
          <w:i/>
          <w:sz w:val="20"/>
          <w:szCs w:val="20"/>
          <w:lang w:eastAsia="en-GB"/>
        </w:rPr>
        <w:t xml:space="preserve">Op. Cit. </w:t>
      </w:r>
      <w:r w:rsidR="000D5D53">
        <w:rPr>
          <w:rFonts w:asciiTheme="minorHAnsi" w:hAnsiTheme="minorHAnsi" w:cstheme="minorHAnsi"/>
          <w:bCs/>
          <w:sz w:val="20"/>
          <w:szCs w:val="20"/>
          <w:lang w:eastAsia="en-GB"/>
        </w:rPr>
        <w:t>pp. 514-5).</w:t>
      </w:r>
    </w:p>
  </w:footnote>
  <w:footnote w:id="12">
    <w:p w14:paraId="1D6AEE00" w14:textId="1EEFB497" w:rsidR="008C5FF8" w:rsidRDefault="008C5FF8">
      <w:pPr>
        <w:pStyle w:val="FootnoteText"/>
      </w:pPr>
      <w:r>
        <w:rPr>
          <w:rStyle w:val="FootnoteReference"/>
        </w:rPr>
        <w:footnoteRef/>
      </w:r>
      <w:r>
        <w:t xml:space="preserve"> </w:t>
      </w:r>
      <w:proofErr w:type="spellStart"/>
      <w:r w:rsidRPr="00200B88">
        <w:rPr>
          <w:bCs/>
          <w:color w:val="000000"/>
        </w:rPr>
        <w:t>Chemero</w:t>
      </w:r>
      <w:proofErr w:type="spellEnd"/>
      <w:r>
        <w:rPr>
          <w:bCs/>
          <w:color w:val="000000"/>
        </w:rPr>
        <w:t xml:space="preserve">, </w:t>
      </w:r>
      <w:r w:rsidRPr="00200B88">
        <w:t>1998</w:t>
      </w:r>
      <w:r>
        <w:t xml:space="preserve">.  Of course, Clark is not responsible for what others have made of his metaphor.  Nevertheless, </w:t>
      </w:r>
      <w:proofErr w:type="spellStart"/>
      <w:r w:rsidR="00B87F26">
        <w:t>Chemero</w:t>
      </w:r>
      <w:proofErr w:type="spellEnd"/>
      <w:r w:rsidR="00B87F26">
        <w:t xml:space="preserve"> is pertinent because </w:t>
      </w:r>
      <w:r>
        <w:t xml:space="preserve">the reception and use of the metaphor by the cognitive science and philosophy of mind communities is our target, rather than Clark’s personal take on it.  </w:t>
      </w:r>
    </w:p>
  </w:footnote>
  <w:footnote w:id="13">
    <w:p w14:paraId="0CFEFE74" w14:textId="3DBC3DD0" w:rsidR="007023A1" w:rsidRDefault="007023A1">
      <w:pPr>
        <w:pStyle w:val="FootnoteText"/>
      </w:pPr>
      <w:r>
        <w:rPr>
          <w:rStyle w:val="FootnoteReference"/>
        </w:rPr>
        <w:footnoteRef/>
      </w:r>
      <w:r>
        <w:t xml:space="preserve"> For the most part, the environmental affordances for mathematics are artefacts, but nothing hangs on this.  One might use pebbles as counter</w:t>
      </w:r>
      <w:r w:rsidR="00570C51">
        <w:t>s</w:t>
      </w:r>
      <w:r>
        <w:t xml:space="preserve"> or draw diagrams in wet sand with a stick.  </w:t>
      </w:r>
    </w:p>
  </w:footnote>
  <w:footnote w:id="14">
    <w:p w14:paraId="2DCE7B71" w14:textId="4355698C" w:rsidR="0089369A" w:rsidRDefault="0089369A">
      <w:pPr>
        <w:pStyle w:val="FootnoteText"/>
      </w:pPr>
      <w:r>
        <w:rPr>
          <w:rStyle w:val="FootnoteReference"/>
        </w:rPr>
        <w:footnoteRef/>
      </w:r>
      <w:r>
        <w:t xml:space="preserve"> </w:t>
      </w:r>
      <w:r w:rsidRPr="003B431D">
        <w:t xml:space="preserve">Naked, because even the most rudimentary clothing is rich in affordances.  With a </w:t>
      </w:r>
      <w:r w:rsidR="003B431D" w:rsidRPr="003B431D">
        <w:t xml:space="preserve">loincloth, one might carry water, signal for help, trap a small animal, bind a wound, </w:t>
      </w:r>
      <w:proofErr w:type="gramStart"/>
      <w:r w:rsidR="003B431D" w:rsidRPr="003B431D">
        <w:t>etc..</w:t>
      </w:r>
      <w:proofErr w:type="gramEnd"/>
      <w:r w:rsidR="003B431D" w:rsidRPr="003B431D">
        <w:t xml:space="preserve">  </w:t>
      </w:r>
    </w:p>
  </w:footnote>
  <w:footnote w:id="15">
    <w:p w14:paraId="4DD816A1" w14:textId="39EADDCB" w:rsidR="000156B5" w:rsidRDefault="000156B5">
      <w:pPr>
        <w:pStyle w:val="FootnoteText"/>
      </w:pPr>
      <w:r>
        <w:rPr>
          <w:rStyle w:val="FootnoteReference"/>
        </w:rPr>
        <w:footnoteRef/>
      </w:r>
      <w:r>
        <w:t xml:space="preserve"> </w:t>
      </w:r>
      <w:r w:rsidR="005F5AC6">
        <w:t xml:space="preserve">In his 1998 paper, Clark rejects the suggestion that the effect of </w:t>
      </w:r>
      <w:r w:rsidR="00512895">
        <w:t>mathematical training is to</w:t>
      </w:r>
      <w:r w:rsidR="00747560">
        <w:t xml:space="preserve"> reprogram the brain </w:t>
      </w:r>
      <w:r w:rsidR="007B1F0C">
        <w:t xml:space="preserve">(which he believes to be a pattern-completing, massively parallel neural net) </w:t>
      </w:r>
      <w:r w:rsidR="00747560">
        <w:t xml:space="preserve">so that </w:t>
      </w:r>
      <w:r w:rsidR="00AD0694">
        <w:t>it starts to behave like a serial computer</w:t>
      </w:r>
      <w:r w:rsidR="00E315FC">
        <w:t xml:space="preserve">.  </w:t>
      </w:r>
      <w:r w:rsidR="00FB42C2">
        <w:t xml:space="preserve">‘Dynamic couplings’ is my gloss on Menary’s paper.  </w:t>
      </w:r>
    </w:p>
  </w:footnote>
  <w:footnote w:id="16">
    <w:p w14:paraId="39120B51" w14:textId="0616C51D" w:rsidR="002E48A6" w:rsidRPr="00E74C55" w:rsidRDefault="002E48A6" w:rsidP="002E48A6">
      <w:pPr>
        <w:autoSpaceDE w:val="0"/>
        <w:autoSpaceDN w:val="0"/>
        <w:adjustRightInd w:val="0"/>
        <w:spacing w:after="0" w:line="240" w:lineRule="auto"/>
        <w:rPr>
          <w:rFonts w:asciiTheme="minorHAnsi" w:hAnsiTheme="minorHAnsi" w:cstheme="minorHAnsi"/>
          <w:sz w:val="17"/>
          <w:szCs w:val="17"/>
          <w:lang w:eastAsia="en-GB"/>
        </w:rPr>
      </w:pPr>
      <w:r w:rsidRPr="00E74C55">
        <w:rPr>
          <w:rStyle w:val="FootnoteReference"/>
          <w:rFonts w:asciiTheme="minorHAnsi" w:hAnsiTheme="minorHAnsi" w:cstheme="minorHAnsi"/>
        </w:rPr>
        <w:footnoteRef/>
      </w:r>
      <w:r w:rsidRPr="00E74C55">
        <w:rPr>
          <w:rFonts w:asciiTheme="minorHAnsi" w:hAnsiTheme="minorHAnsi" w:cstheme="minorHAnsi"/>
        </w:rPr>
        <w:t xml:space="preserve"> </w:t>
      </w:r>
      <w:r w:rsidRPr="00E74C55">
        <w:rPr>
          <w:rFonts w:asciiTheme="minorHAnsi" w:hAnsiTheme="minorHAnsi" w:cstheme="minorHAnsi"/>
          <w:sz w:val="20"/>
          <w:szCs w:val="20"/>
          <w:lang w:eastAsia="en-GB"/>
        </w:rPr>
        <w:t>The earliest algebraic notations</w:t>
      </w:r>
      <w:r w:rsidR="00480070">
        <w:rPr>
          <w:rFonts w:asciiTheme="minorHAnsi" w:hAnsiTheme="minorHAnsi" w:cstheme="minorHAnsi"/>
          <w:sz w:val="20"/>
          <w:szCs w:val="20"/>
          <w:lang w:eastAsia="en-GB"/>
        </w:rPr>
        <w:t xml:space="preserve">, such as that of Thomas Harriot, </w:t>
      </w:r>
      <w:r w:rsidRPr="00E74C55">
        <w:rPr>
          <w:rFonts w:asciiTheme="minorHAnsi" w:hAnsiTheme="minorHAnsi" w:cstheme="minorHAnsi"/>
          <w:sz w:val="20"/>
          <w:szCs w:val="20"/>
          <w:lang w:eastAsia="en-GB"/>
        </w:rPr>
        <w:t>did not use brackets quite as we have them now.</w:t>
      </w:r>
      <w:r w:rsidR="00480070">
        <w:rPr>
          <w:rFonts w:asciiTheme="minorHAnsi" w:hAnsiTheme="minorHAnsi" w:cstheme="minorHAnsi"/>
          <w:sz w:val="20"/>
          <w:szCs w:val="20"/>
          <w:lang w:eastAsia="en-GB"/>
        </w:rPr>
        <w:t xml:space="preserve">  </w:t>
      </w:r>
      <w:r w:rsidR="00F628EE">
        <w:rPr>
          <w:rFonts w:asciiTheme="minorHAnsi" w:hAnsiTheme="minorHAnsi" w:cstheme="minorHAnsi"/>
          <w:sz w:val="20"/>
          <w:szCs w:val="20"/>
          <w:lang w:eastAsia="en-GB"/>
        </w:rPr>
        <w:t>The methods that we now recognise as algebraic emerged</w:t>
      </w:r>
      <w:r w:rsidR="00175CB1">
        <w:rPr>
          <w:rFonts w:asciiTheme="minorHAnsi" w:hAnsiTheme="minorHAnsi" w:cstheme="minorHAnsi"/>
          <w:sz w:val="20"/>
          <w:szCs w:val="20"/>
          <w:lang w:eastAsia="en-GB"/>
        </w:rPr>
        <w:t xml:space="preserve"> in Europe</w:t>
      </w:r>
      <w:r w:rsidR="00F628EE">
        <w:rPr>
          <w:rFonts w:asciiTheme="minorHAnsi" w:hAnsiTheme="minorHAnsi" w:cstheme="minorHAnsi"/>
          <w:sz w:val="20"/>
          <w:szCs w:val="20"/>
          <w:lang w:eastAsia="en-GB"/>
        </w:rPr>
        <w:t xml:space="preserve"> from arithmetic with Hindu-Arabic numerals, and the work of brackets was done by </w:t>
      </w:r>
      <w:r w:rsidR="00CB338B">
        <w:rPr>
          <w:rFonts w:asciiTheme="minorHAnsi" w:hAnsiTheme="minorHAnsi" w:cstheme="minorHAnsi"/>
          <w:sz w:val="20"/>
          <w:szCs w:val="20"/>
          <w:lang w:eastAsia="en-GB"/>
        </w:rPr>
        <w:t xml:space="preserve">devices such as </w:t>
      </w:r>
      <w:r w:rsidR="00F628EE">
        <w:rPr>
          <w:rFonts w:asciiTheme="minorHAnsi" w:hAnsiTheme="minorHAnsi" w:cstheme="minorHAnsi"/>
          <w:sz w:val="20"/>
          <w:szCs w:val="20"/>
          <w:lang w:eastAsia="en-GB"/>
        </w:rPr>
        <w:t xml:space="preserve">arranging expressions in vertical columns as in long multiplication.  </w:t>
      </w:r>
      <w:r w:rsidR="00480070">
        <w:rPr>
          <w:rFonts w:asciiTheme="minorHAnsi" w:hAnsiTheme="minorHAnsi" w:cstheme="minorHAnsi"/>
          <w:sz w:val="20"/>
          <w:szCs w:val="20"/>
          <w:lang w:eastAsia="en-GB"/>
        </w:rPr>
        <w:t>There is some obscurity over who developed symbolic algebra first</w:t>
      </w:r>
      <w:r w:rsidR="00175CB1">
        <w:rPr>
          <w:rFonts w:asciiTheme="minorHAnsi" w:hAnsiTheme="minorHAnsi" w:cstheme="minorHAnsi"/>
          <w:sz w:val="20"/>
          <w:szCs w:val="20"/>
          <w:lang w:eastAsia="en-GB"/>
        </w:rPr>
        <w:t xml:space="preserve">, because </w:t>
      </w:r>
      <w:r w:rsidR="007023A1">
        <w:rPr>
          <w:rFonts w:asciiTheme="minorHAnsi" w:hAnsiTheme="minorHAnsi" w:cstheme="minorHAnsi"/>
          <w:sz w:val="20"/>
          <w:szCs w:val="20"/>
          <w:lang w:eastAsia="en-GB"/>
        </w:rPr>
        <w:t>R</w:t>
      </w:r>
      <w:r w:rsidR="00175CB1">
        <w:rPr>
          <w:rFonts w:asciiTheme="minorHAnsi" w:hAnsiTheme="minorHAnsi" w:cstheme="minorHAnsi"/>
          <w:sz w:val="20"/>
          <w:szCs w:val="20"/>
          <w:lang w:eastAsia="en-GB"/>
        </w:rPr>
        <w:t xml:space="preserve">enaissance mathematicians did not </w:t>
      </w:r>
      <w:r w:rsidR="00CB338B">
        <w:rPr>
          <w:rFonts w:asciiTheme="minorHAnsi" w:hAnsiTheme="minorHAnsi" w:cstheme="minorHAnsi"/>
          <w:sz w:val="20"/>
          <w:szCs w:val="20"/>
          <w:lang w:eastAsia="en-GB"/>
        </w:rPr>
        <w:t xml:space="preserve">always </w:t>
      </w:r>
      <w:r w:rsidR="00175CB1">
        <w:rPr>
          <w:rFonts w:asciiTheme="minorHAnsi" w:hAnsiTheme="minorHAnsi" w:cstheme="minorHAnsi"/>
          <w:sz w:val="20"/>
          <w:szCs w:val="20"/>
          <w:lang w:eastAsia="en-GB"/>
        </w:rPr>
        <w:t>publish their methods when these contravened the official standards of rigour</w:t>
      </w:r>
      <w:r w:rsidR="007A11E5">
        <w:rPr>
          <w:rFonts w:asciiTheme="minorHAnsi" w:hAnsiTheme="minorHAnsi" w:cstheme="minorHAnsi"/>
          <w:sz w:val="20"/>
          <w:szCs w:val="20"/>
          <w:lang w:eastAsia="en-GB"/>
        </w:rPr>
        <w:t xml:space="preserve"> or if they saw a commercial advantage in keeping them secret</w:t>
      </w:r>
      <w:r w:rsidR="00175CB1">
        <w:rPr>
          <w:rFonts w:asciiTheme="minorHAnsi" w:hAnsiTheme="minorHAnsi" w:cstheme="minorHAnsi"/>
          <w:sz w:val="20"/>
          <w:szCs w:val="20"/>
          <w:lang w:eastAsia="en-GB"/>
        </w:rPr>
        <w:t xml:space="preserve">.  </w:t>
      </w:r>
      <w:r w:rsidR="00480070">
        <w:rPr>
          <w:rFonts w:asciiTheme="minorHAnsi" w:hAnsiTheme="minorHAnsi" w:cstheme="minorHAnsi"/>
          <w:sz w:val="20"/>
          <w:szCs w:val="20"/>
          <w:lang w:eastAsia="en-GB"/>
        </w:rPr>
        <w:t xml:space="preserve">John Wallis was convinced that Descartes must have seen and plagiarised </w:t>
      </w:r>
      <w:r w:rsidR="007A11E5">
        <w:rPr>
          <w:rFonts w:asciiTheme="minorHAnsi" w:hAnsiTheme="minorHAnsi" w:cstheme="minorHAnsi"/>
          <w:sz w:val="20"/>
          <w:szCs w:val="20"/>
          <w:lang w:eastAsia="en-GB"/>
        </w:rPr>
        <w:t xml:space="preserve">Thomas </w:t>
      </w:r>
      <w:r w:rsidR="00480070">
        <w:rPr>
          <w:rFonts w:asciiTheme="minorHAnsi" w:hAnsiTheme="minorHAnsi" w:cstheme="minorHAnsi"/>
          <w:sz w:val="20"/>
          <w:szCs w:val="20"/>
          <w:lang w:eastAsia="en-GB"/>
        </w:rPr>
        <w:t xml:space="preserve">Harriot’s book, because </w:t>
      </w:r>
      <w:r w:rsidR="0058700E">
        <w:rPr>
          <w:rFonts w:asciiTheme="minorHAnsi" w:hAnsiTheme="minorHAnsi" w:cstheme="minorHAnsi"/>
          <w:sz w:val="20"/>
          <w:szCs w:val="20"/>
          <w:lang w:eastAsia="en-GB"/>
        </w:rPr>
        <w:t xml:space="preserve">he heard that </w:t>
      </w:r>
      <w:r w:rsidR="00480070">
        <w:rPr>
          <w:rFonts w:asciiTheme="minorHAnsi" w:hAnsiTheme="minorHAnsi" w:cstheme="minorHAnsi"/>
          <w:sz w:val="20"/>
          <w:szCs w:val="20"/>
          <w:lang w:eastAsia="en-GB"/>
        </w:rPr>
        <w:t xml:space="preserve">a French nobleman was struck by the similarity between Harriot’s system and Descartes’s.  </w:t>
      </w:r>
      <w:r w:rsidR="00482776">
        <w:rPr>
          <w:rFonts w:asciiTheme="minorHAnsi" w:hAnsiTheme="minorHAnsi" w:cstheme="minorHAnsi"/>
          <w:sz w:val="20"/>
          <w:szCs w:val="20"/>
          <w:lang w:eastAsia="en-GB"/>
        </w:rPr>
        <w:t>Wallis’s</w:t>
      </w:r>
      <w:r w:rsidR="00480070">
        <w:rPr>
          <w:rFonts w:asciiTheme="minorHAnsi" w:hAnsiTheme="minorHAnsi" w:cstheme="minorHAnsi"/>
          <w:sz w:val="20"/>
          <w:szCs w:val="20"/>
          <w:lang w:eastAsia="en-GB"/>
        </w:rPr>
        <w:t xml:space="preserve"> argument has not persuaded many historians.  </w:t>
      </w:r>
      <w:r w:rsidR="00175CB1">
        <w:rPr>
          <w:rFonts w:asciiTheme="minorHAnsi" w:hAnsiTheme="minorHAnsi" w:cstheme="minorHAnsi"/>
          <w:sz w:val="20"/>
          <w:szCs w:val="20"/>
          <w:lang w:eastAsia="en-GB"/>
        </w:rPr>
        <w:t xml:space="preserve">What matters here, philosophically, is not the </w:t>
      </w:r>
      <w:r w:rsidR="00605383">
        <w:rPr>
          <w:rFonts w:asciiTheme="minorHAnsi" w:hAnsiTheme="minorHAnsi" w:cstheme="minorHAnsi"/>
          <w:sz w:val="20"/>
          <w:szCs w:val="20"/>
          <w:lang w:eastAsia="en-GB"/>
        </w:rPr>
        <w:t xml:space="preserve">origins or </w:t>
      </w:r>
      <w:r w:rsidR="00175CB1">
        <w:rPr>
          <w:rFonts w:asciiTheme="minorHAnsi" w:hAnsiTheme="minorHAnsi" w:cstheme="minorHAnsi"/>
          <w:sz w:val="20"/>
          <w:szCs w:val="20"/>
          <w:lang w:eastAsia="en-GB"/>
        </w:rPr>
        <w:t xml:space="preserve">details of this story but how it ends, that is, with symbolic algebra governed by syntactic rules for transforming equations.  </w:t>
      </w:r>
    </w:p>
  </w:footnote>
  <w:footnote w:id="17">
    <w:p w14:paraId="0448FCA5" w14:textId="55D74F79" w:rsidR="002E48A6" w:rsidRPr="00E74C55" w:rsidRDefault="002E48A6" w:rsidP="002E48A6">
      <w:pPr>
        <w:autoSpaceDE w:val="0"/>
        <w:autoSpaceDN w:val="0"/>
        <w:adjustRightInd w:val="0"/>
        <w:spacing w:after="0" w:line="240" w:lineRule="auto"/>
        <w:rPr>
          <w:rFonts w:ascii="NimbusRomNo9L-Regu" w:hAnsi="NimbusRomNo9L-Regu" w:cs="NimbusRomNo9L-Regu"/>
          <w:sz w:val="17"/>
          <w:szCs w:val="17"/>
          <w:lang w:eastAsia="en-GB"/>
        </w:rPr>
      </w:pPr>
      <w:r w:rsidRPr="00E74C55">
        <w:rPr>
          <w:rStyle w:val="FootnoteReference"/>
          <w:rFonts w:asciiTheme="minorHAnsi" w:hAnsiTheme="minorHAnsi" w:cstheme="minorHAnsi"/>
        </w:rPr>
        <w:footnoteRef/>
      </w:r>
      <w:r w:rsidRPr="00E74C55">
        <w:rPr>
          <w:rFonts w:asciiTheme="minorHAnsi" w:hAnsiTheme="minorHAnsi" w:cstheme="minorHAnsi"/>
        </w:rPr>
        <w:t xml:space="preserve"> </w:t>
      </w:r>
      <w:r w:rsidRPr="00E74C55">
        <w:rPr>
          <w:rFonts w:asciiTheme="minorHAnsi" w:hAnsiTheme="minorHAnsi" w:cstheme="minorHAnsi"/>
          <w:sz w:val="20"/>
          <w:szCs w:val="20"/>
          <w:lang w:eastAsia="en-GB"/>
        </w:rPr>
        <w:t xml:space="preserve">For a brief account of this development, see Larvor (2005). For exhaustive detail, see </w:t>
      </w:r>
      <w:proofErr w:type="spellStart"/>
      <w:r w:rsidRPr="00E74C55">
        <w:rPr>
          <w:rFonts w:asciiTheme="minorHAnsi" w:hAnsiTheme="minorHAnsi" w:cstheme="minorHAnsi"/>
          <w:sz w:val="20"/>
          <w:szCs w:val="20"/>
          <w:lang w:eastAsia="en-GB"/>
        </w:rPr>
        <w:t>Serfati</w:t>
      </w:r>
      <w:proofErr w:type="spellEnd"/>
      <w:r w:rsidRPr="00E74C55">
        <w:rPr>
          <w:rFonts w:asciiTheme="minorHAnsi" w:hAnsiTheme="minorHAnsi" w:cstheme="minorHAnsi"/>
          <w:sz w:val="20"/>
          <w:szCs w:val="20"/>
          <w:lang w:eastAsia="en-GB"/>
        </w:rPr>
        <w:t xml:space="preserve"> (2005).</w:t>
      </w:r>
      <w:r w:rsidR="00DB279A">
        <w:rPr>
          <w:rFonts w:asciiTheme="minorHAnsi" w:hAnsiTheme="minorHAnsi" w:cstheme="minorHAnsi"/>
          <w:sz w:val="20"/>
          <w:szCs w:val="20"/>
          <w:lang w:eastAsia="en-GB"/>
        </w:rPr>
        <w:t xml:space="preserve"> </w:t>
      </w:r>
    </w:p>
  </w:footnote>
  <w:footnote w:id="18">
    <w:p w14:paraId="30BCA9AC" w14:textId="33A353EE" w:rsidR="008C133F" w:rsidRDefault="008C133F">
      <w:pPr>
        <w:pStyle w:val="FootnoteText"/>
      </w:pPr>
      <w:r>
        <w:rPr>
          <w:rStyle w:val="FootnoteReference"/>
        </w:rPr>
        <w:footnoteRef/>
      </w:r>
      <w:r>
        <w:t xml:space="preserve"> In his </w:t>
      </w:r>
      <w:r w:rsidR="00534EE9">
        <w:t xml:space="preserve">1998 paper, Clark lists six kinds of help </w:t>
      </w:r>
      <w:r w:rsidR="00F77708">
        <w:t xml:space="preserve">that ‘scaffolding’ can </w:t>
      </w:r>
      <w:r w:rsidR="00893894">
        <w:t xml:space="preserve">offer to help humans </w:t>
      </w:r>
      <w:proofErr w:type="gramStart"/>
      <w:r w:rsidR="00893894">
        <w:t>think, but</w:t>
      </w:r>
      <w:proofErr w:type="gramEnd"/>
      <w:r w:rsidR="00893894">
        <w:t xml:space="preserve"> ensuring the correctness of results is not one of them.  </w:t>
      </w:r>
    </w:p>
  </w:footnote>
  <w:footnote w:id="19">
    <w:p w14:paraId="496D0A9B" w14:textId="77777777" w:rsidR="009F2C3B" w:rsidRDefault="009F2C3B" w:rsidP="009F2C3B">
      <w:pPr>
        <w:pStyle w:val="FootnoteText"/>
      </w:pPr>
      <w:r>
        <w:rPr>
          <w:rStyle w:val="FootnoteReference"/>
        </w:rPr>
        <w:footnoteRef/>
      </w:r>
      <w:r>
        <w:t xml:space="preserve"> Reading ‘syntax’ broadly so that, for example, the rules for adding elements to diagrams in Euclidean geometry are the syntax of that system.  </w:t>
      </w:r>
    </w:p>
  </w:footnote>
  <w:footnote w:id="20">
    <w:p w14:paraId="6158F3BE" w14:textId="3D73CDEF" w:rsidR="003D222C" w:rsidRDefault="003D222C">
      <w:pPr>
        <w:pStyle w:val="FootnoteText"/>
      </w:pPr>
      <w:r>
        <w:rPr>
          <w:rStyle w:val="FootnoteReference"/>
        </w:rPr>
        <w:footnoteRef/>
      </w:r>
      <w:r>
        <w:t xml:space="preserve"> The </w:t>
      </w:r>
      <w:r w:rsidR="00A60ACB">
        <w:t xml:space="preserve">use of a large, wall-hung blackboard seems to have originated at the start of the </w:t>
      </w:r>
      <w:r w:rsidR="00E314F0">
        <w:t>19</w:t>
      </w:r>
      <w:r w:rsidR="00E314F0" w:rsidRPr="00E314F0">
        <w:rPr>
          <w:vertAlign w:val="superscript"/>
        </w:rPr>
        <w:t>th</w:t>
      </w:r>
      <w:r w:rsidR="00E314F0">
        <w:t xml:space="preserve"> </w:t>
      </w:r>
      <w:r w:rsidR="00A60ACB">
        <w:t xml:space="preserve">century.  Before that, </w:t>
      </w:r>
      <w:r w:rsidR="00190B94">
        <w:t>mathematics was taught and learned on hand-held slates</w:t>
      </w:r>
      <w:r w:rsidR="008915E2">
        <w:t xml:space="preserve"> that had the same </w:t>
      </w:r>
      <w:r w:rsidR="00FA370D">
        <w:t xml:space="preserve">features (ease of inscription and erasure) that endear </w:t>
      </w:r>
      <w:r w:rsidR="00FF3F9D">
        <w:t>blackboards to mathematicians</w:t>
      </w:r>
      <w:r w:rsidR="00563419">
        <w:t xml:space="preserve"> (</w:t>
      </w:r>
      <w:r w:rsidR="00563419" w:rsidRPr="00563419">
        <w:rPr>
          <w:rFonts w:asciiTheme="minorHAnsi" w:eastAsia="Times New Roman" w:hAnsiTheme="minorHAnsi" w:cstheme="minorHAnsi"/>
          <w:lang w:eastAsia="en-GB"/>
        </w:rPr>
        <w:t>Wylie</w:t>
      </w:r>
      <w:r w:rsidR="00563419">
        <w:rPr>
          <w:rFonts w:asciiTheme="minorHAnsi" w:eastAsia="Times New Roman" w:hAnsiTheme="minorHAnsi" w:cstheme="minorHAnsi"/>
          <w:lang w:eastAsia="en-GB"/>
        </w:rPr>
        <w:t xml:space="preserve">, </w:t>
      </w:r>
      <w:r w:rsidR="00563419" w:rsidRPr="00563419">
        <w:rPr>
          <w:rFonts w:asciiTheme="minorHAnsi" w:eastAsia="Times New Roman" w:hAnsiTheme="minorHAnsi" w:cstheme="minorHAnsi"/>
          <w:lang w:eastAsia="en-GB"/>
        </w:rPr>
        <w:t>2012).</w:t>
      </w:r>
      <w:r w:rsidR="00563419">
        <w:rPr>
          <w:rFonts w:asciiTheme="minorHAnsi" w:eastAsia="Times New Roman" w:hAnsiTheme="minorHAnsi" w:cstheme="minorHAnsi"/>
          <w:sz w:val="22"/>
          <w:szCs w:val="22"/>
          <w:lang w:eastAsia="en-GB"/>
        </w:rPr>
        <w:t xml:space="preserve">  </w:t>
      </w:r>
      <w:r w:rsidR="00190B94">
        <w:t xml:space="preserve">The significant point here is not </w:t>
      </w:r>
      <w:r w:rsidR="005068A3">
        <w:t>how or when mathematicians started using blackboards, but rather their reluctance to give them up</w:t>
      </w:r>
      <w:r w:rsidR="00DC3E2B">
        <w:t xml:space="preserve"> now that other technologies are available</w:t>
      </w:r>
      <w:r w:rsidR="005068A3">
        <w:t xml:space="preserve">.  </w:t>
      </w:r>
      <w:r w:rsidR="008F12B1" w:rsidRPr="00E97F4A">
        <w:t xml:space="preserve">See </w:t>
      </w:r>
      <w:r w:rsidR="008F12B1" w:rsidRPr="00E97F4A">
        <w:rPr>
          <w:rFonts w:asciiTheme="minorHAnsi" w:hAnsiTheme="minorHAnsi" w:cstheme="minorHAnsi"/>
        </w:rPr>
        <w:t xml:space="preserve">Barany &amp; </w:t>
      </w:r>
      <w:proofErr w:type="spellStart"/>
      <w:r w:rsidR="008F12B1" w:rsidRPr="00E97F4A">
        <w:rPr>
          <w:rFonts w:asciiTheme="minorHAnsi" w:hAnsiTheme="minorHAnsi" w:cstheme="minorHAnsi"/>
        </w:rPr>
        <w:t>MacKenzie</w:t>
      </w:r>
      <w:proofErr w:type="spellEnd"/>
      <w:r w:rsidR="008F12B1" w:rsidRPr="00E97F4A">
        <w:rPr>
          <w:rFonts w:asciiTheme="minorHAnsi" w:hAnsiTheme="minorHAnsi" w:cstheme="minorHAnsi"/>
        </w:rPr>
        <w:t xml:space="preserve"> </w:t>
      </w:r>
      <w:r w:rsidR="000C47CA">
        <w:rPr>
          <w:rFonts w:asciiTheme="minorHAnsi" w:hAnsiTheme="minorHAnsi" w:cstheme="minorHAnsi"/>
        </w:rPr>
        <w:t>(</w:t>
      </w:r>
      <w:r w:rsidR="008F12B1" w:rsidRPr="00E97F4A">
        <w:rPr>
          <w:rFonts w:asciiTheme="minorHAnsi" w:hAnsiTheme="minorHAnsi" w:cstheme="minorHAnsi"/>
        </w:rPr>
        <w:t>2014) for a fuller exploration of the place of chalk, blackboards and spontaneous inscription in mathematical practice.</w:t>
      </w:r>
      <w:r w:rsidR="00563419">
        <w:rPr>
          <w:rFonts w:asciiTheme="minorHAnsi" w:hAnsiTheme="minorHAnsi" w:cstheme="minorHAnsi"/>
        </w:rPr>
        <w:t xml:space="preserve">  </w:t>
      </w:r>
    </w:p>
  </w:footnote>
  <w:footnote w:id="21">
    <w:p w14:paraId="405BD7FB" w14:textId="08B297E4" w:rsidR="00BA058A" w:rsidRDefault="00BA058A">
      <w:pPr>
        <w:pStyle w:val="FootnoteText"/>
      </w:pPr>
      <w:r>
        <w:rPr>
          <w:rStyle w:val="FootnoteReference"/>
        </w:rPr>
        <w:footnoteRef/>
      </w:r>
      <w:r>
        <w:t xml:space="preserve"> </w:t>
      </w:r>
      <w:r w:rsidR="000C47CA" w:rsidRPr="000C47CA">
        <w:t xml:space="preserve">See </w:t>
      </w:r>
      <w:bookmarkStart w:id="1" w:name="_Hlk527737705"/>
      <w:proofErr w:type="spellStart"/>
      <w:r w:rsidR="000C47CA" w:rsidRPr="000C47CA">
        <w:rPr>
          <w:rFonts w:asciiTheme="minorHAnsi" w:eastAsia="Times New Roman" w:hAnsiTheme="minorHAnsi" w:cstheme="minorHAnsi"/>
          <w:lang w:eastAsia="en-GB"/>
        </w:rPr>
        <w:t>Artemeva</w:t>
      </w:r>
      <w:proofErr w:type="spellEnd"/>
      <w:r w:rsidR="000C47CA" w:rsidRPr="000C47CA">
        <w:rPr>
          <w:rFonts w:asciiTheme="minorHAnsi" w:eastAsia="Times New Roman" w:hAnsiTheme="minorHAnsi" w:cstheme="minorHAnsi"/>
          <w:lang w:eastAsia="en-GB"/>
        </w:rPr>
        <w:t xml:space="preserve"> &amp; Fox </w:t>
      </w:r>
      <w:r w:rsidR="000C47CA">
        <w:rPr>
          <w:rFonts w:asciiTheme="minorHAnsi" w:eastAsia="Times New Roman" w:hAnsiTheme="minorHAnsi" w:cstheme="minorHAnsi"/>
          <w:lang w:eastAsia="en-GB"/>
        </w:rPr>
        <w:t>(</w:t>
      </w:r>
      <w:r w:rsidR="000C47CA" w:rsidRPr="000C47CA">
        <w:rPr>
          <w:rFonts w:asciiTheme="minorHAnsi" w:eastAsia="Times New Roman" w:hAnsiTheme="minorHAnsi" w:cstheme="minorHAnsi"/>
          <w:lang w:eastAsia="en-GB"/>
        </w:rPr>
        <w:t xml:space="preserve">2011) </w:t>
      </w:r>
      <w:bookmarkEnd w:id="1"/>
      <w:r w:rsidR="008E1303">
        <w:rPr>
          <w:rFonts w:asciiTheme="minorHAnsi" w:eastAsia="Times New Roman" w:hAnsiTheme="minorHAnsi" w:cstheme="minorHAnsi"/>
          <w:lang w:eastAsia="en-GB"/>
        </w:rPr>
        <w:t xml:space="preserve">on </w:t>
      </w:r>
      <w:r w:rsidR="000C47CA" w:rsidRPr="000C47CA">
        <w:rPr>
          <w:rFonts w:asciiTheme="minorHAnsi" w:eastAsia="Times New Roman" w:hAnsiTheme="minorHAnsi" w:cstheme="minorHAnsi"/>
          <w:lang w:eastAsia="en-GB"/>
        </w:rPr>
        <w:t>the persistence of ‘chalk talk’ as a pedagogical genre in university level mathematics teaching.</w:t>
      </w:r>
      <w:r w:rsidR="000C47CA">
        <w:rPr>
          <w:rFonts w:asciiTheme="minorHAnsi" w:eastAsia="Times New Roman" w:hAnsiTheme="minorHAnsi" w:cstheme="minorHAnsi"/>
          <w:sz w:val="22"/>
          <w:szCs w:val="22"/>
          <w:lang w:eastAsia="en-GB"/>
        </w:rPr>
        <w:t xml:space="preserve">  </w:t>
      </w:r>
    </w:p>
  </w:footnote>
  <w:footnote w:id="22">
    <w:p w14:paraId="165DB9BB" w14:textId="37CDFA4A" w:rsidR="00CA4BAB" w:rsidRDefault="00CA4BAB">
      <w:pPr>
        <w:pStyle w:val="FootnoteText"/>
      </w:pPr>
      <w:r>
        <w:rPr>
          <w:rStyle w:val="FootnoteReference"/>
        </w:rPr>
        <w:footnoteRef/>
      </w:r>
      <w:r>
        <w:t xml:space="preserve"> On the difference between expert and novice readers of mathematics, </w:t>
      </w:r>
      <w:r w:rsidRPr="0079726A">
        <w:t xml:space="preserve">see </w:t>
      </w:r>
      <w:r w:rsidRPr="0079726A">
        <w:rPr>
          <w:rFonts w:asciiTheme="minorHAnsi" w:hAnsiTheme="minorHAnsi" w:cstheme="minorHAnsi"/>
        </w:rPr>
        <w:t>Inglis &amp; Alcock (2012).</w:t>
      </w:r>
    </w:p>
  </w:footnote>
  <w:footnote w:id="23">
    <w:p w14:paraId="73BF9E01" w14:textId="048B7B01" w:rsidR="00521A68" w:rsidRDefault="00521A68">
      <w:pPr>
        <w:pStyle w:val="FootnoteText"/>
      </w:pPr>
      <w:r>
        <w:rPr>
          <w:rStyle w:val="FootnoteReference"/>
        </w:rPr>
        <w:footnoteRef/>
      </w:r>
      <w:r>
        <w:t xml:space="preserve"> See (Larvor 2010) pp. 198</w:t>
      </w:r>
      <w:r w:rsidR="0095741A">
        <w:t>-201 for Leibniz’s heuristic use of structural similarities between algebraic expressions.</w:t>
      </w:r>
    </w:p>
  </w:footnote>
  <w:footnote w:id="24">
    <w:p w14:paraId="79C4F67F" w14:textId="0B4CA2C6" w:rsidR="00373407" w:rsidRPr="00966977" w:rsidRDefault="00373407" w:rsidP="00253966">
      <w:pPr>
        <w:spacing w:after="0" w:line="240" w:lineRule="auto"/>
      </w:pPr>
      <w:r>
        <w:rPr>
          <w:rStyle w:val="FootnoteReference"/>
        </w:rPr>
        <w:footnoteRef/>
      </w:r>
      <w:r w:rsidRPr="00966977">
        <w:t xml:space="preserve"> </w:t>
      </w:r>
      <w:r w:rsidR="00BD2A5F" w:rsidRPr="008720E1">
        <w:rPr>
          <w:rFonts w:asciiTheme="minorHAnsi" w:hAnsiTheme="minorHAnsi" w:cstheme="minorHAnsi"/>
          <w:sz w:val="20"/>
          <w:szCs w:val="20"/>
        </w:rPr>
        <w:t>Until the end of the 16</w:t>
      </w:r>
      <w:r w:rsidR="00BD2A5F" w:rsidRPr="008720E1">
        <w:rPr>
          <w:rFonts w:asciiTheme="minorHAnsi" w:hAnsiTheme="minorHAnsi" w:cstheme="minorHAnsi"/>
          <w:sz w:val="20"/>
          <w:szCs w:val="20"/>
          <w:vertAlign w:val="superscript"/>
        </w:rPr>
        <w:t>th</w:t>
      </w:r>
      <w:r w:rsidR="00BD2A5F" w:rsidRPr="008720E1">
        <w:rPr>
          <w:rFonts w:asciiTheme="minorHAnsi" w:hAnsiTheme="minorHAnsi" w:cstheme="minorHAnsi"/>
          <w:sz w:val="20"/>
          <w:szCs w:val="20"/>
        </w:rPr>
        <w:t xml:space="preserve"> century, m</w:t>
      </w:r>
      <w:r w:rsidR="00D706B1" w:rsidRPr="008720E1">
        <w:rPr>
          <w:rFonts w:asciiTheme="minorHAnsi" w:hAnsiTheme="minorHAnsi" w:cstheme="minorHAnsi"/>
          <w:sz w:val="20"/>
          <w:szCs w:val="20"/>
        </w:rPr>
        <w:t xml:space="preserve">athematicians </w:t>
      </w:r>
      <w:r w:rsidR="000A5AF4">
        <w:rPr>
          <w:rFonts w:asciiTheme="minorHAnsi" w:hAnsiTheme="minorHAnsi" w:cstheme="minorHAnsi"/>
          <w:sz w:val="20"/>
          <w:szCs w:val="20"/>
        </w:rPr>
        <w:t xml:space="preserve">tended to re-arrange </w:t>
      </w:r>
      <w:r w:rsidR="008D6E03" w:rsidRPr="008720E1">
        <w:rPr>
          <w:rFonts w:asciiTheme="minorHAnsi" w:hAnsiTheme="minorHAnsi" w:cstheme="minorHAnsi"/>
          <w:sz w:val="20"/>
          <w:szCs w:val="20"/>
        </w:rPr>
        <w:t xml:space="preserve">equations of a given degree so that </w:t>
      </w:r>
      <w:r w:rsidR="00EF78CF" w:rsidRPr="008720E1">
        <w:rPr>
          <w:rFonts w:asciiTheme="minorHAnsi" w:hAnsiTheme="minorHAnsi" w:cstheme="minorHAnsi"/>
          <w:sz w:val="20"/>
          <w:szCs w:val="20"/>
        </w:rPr>
        <w:t xml:space="preserve">all the coefficients were positive.  </w:t>
      </w:r>
      <w:r w:rsidR="00DF07E1" w:rsidRPr="008720E1">
        <w:rPr>
          <w:rFonts w:asciiTheme="minorHAnsi" w:hAnsiTheme="minorHAnsi" w:cstheme="minorHAnsi"/>
          <w:sz w:val="20"/>
          <w:szCs w:val="20"/>
        </w:rPr>
        <w:t xml:space="preserve">Perhaps a </w:t>
      </w:r>
      <w:r w:rsidR="007023A1">
        <w:rPr>
          <w:rFonts w:asciiTheme="minorHAnsi" w:hAnsiTheme="minorHAnsi" w:cstheme="minorHAnsi"/>
          <w:sz w:val="20"/>
          <w:szCs w:val="20"/>
        </w:rPr>
        <w:t>R</w:t>
      </w:r>
      <w:r w:rsidR="00DF07E1" w:rsidRPr="008720E1">
        <w:rPr>
          <w:rFonts w:asciiTheme="minorHAnsi" w:hAnsiTheme="minorHAnsi" w:cstheme="minorHAnsi"/>
          <w:sz w:val="20"/>
          <w:szCs w:val="20"/>
        </w:rPr>
        <w:t xml:space="preserve">enaissance mathematician might </w:t>
      </w:r>
      <w:r w:rsidR="005E7B3C" w:rsidRPr="008720E1">
        <w:rPr>
          <w:rFonts w:asciiTheme="minorHAnsi" w:hAnsiTheme="minorHAnsi" w:cstheme="minorHAnsi"/>
          <w:sz w:val="20"/>
          <w:szCs w:val="20"/>
        </w:rPr>
        <w:t xml:space="preserve">have </w:t>
      </w:r>
      <w:r w:rsidR="00A607ED" w:rsidRPr="008720E1">
        <w:rPr>
          <w:rFonts w:asciiTheme="minorHAnsi" w:hAnsiTheme="minorHAnsi" w:cstheme="minorHAnsi"/>
          <w:sz w:val="20"/>
          <w:szCs w:val="20"/>
        </w:rPr>
        <w:t xml:space="preserve">seen a </w:t>
      </w:r>
      <w:r w:rsidR="001951B2" w:rsidRPr="008720E1">
        <w:rPr>
          <w:rFonts w:asciiTheme="minorHAnsi" w:hAnsiTheme="minorHAnsi" w:cstheme="minorHAnsi"/>
          <w:sz w:val="20"/>
          <w:szCs w:val="20"/>
        </w:rPr>
        <w:t xml:space="preserve">general </w:t>
      </w:r>
      <w:r w:rsidR="00A607ED" w:rsidRPr="008720E1">
        <w:rPr>
          <w:rFonts w:asciiTheme="minorHAnsi" w:hAnsiTheme="minorHAnsi" w:cstheme="minorHAnsi"/>
          <w:sz w:val="20"/>
          <w:szCs w:val="20"/>
        </w:rPr>
        <w:t xml:space="preserve">relation between the number of roots and the distribution of terms either </w:t>
      </w:r>
      <w:r w:rsidR="005E7B3C" w:rsidRPr="008720E1">
        <w:rPr>
          <w:rFonts w:asciiTheme="minorHAnsi" w:hAnsiTheme="minorHAnsi" w:cstheme="minorHAnsi"/>
          <w:sz w:val="20"/>
          <w:szCs w:val="20"/>
        </w:rPr>
        <w:t>side of the</w:t>
      </w:r>
      <w:r w:rsidR="00DF07E1" w:rsidRPr="008720E1">
        <w:rPr>
          <w:rFonts w:asciiTheme="minorHAnsi" w:hAnsiTheme="minorHAnsi" w:cstheme="minorHAnsi"/>
          <w:sz w:val="20"/>
          <w:szCs w:val="20"/>
        </w:rPr>
        <w:t xml:space="preserve"> equation. </w:t>
      </w:r>
      <w:r w:rsidR="005E7B3C" w:rsidRPr="008720E1">
        <w:rPr>
          <w:rFonts w:asciiTheme="minorHAnsi" w:hAnsiTheme="minorHAnsi" w:cstheme="minorHAnsi"/>
          <w:sz w:val="20"/>
          <w:szCs w:val="20"/>
        </w:rPr>
        <w:t xml:space="preserve"> </w:t>
      </w:r>
      <w:r w:rsidR="0014116D" w:rsidRPr="008720E1">
        <w:rPr>
          <w:rFonts w:asciiTheme="minorHAnsi" w:hAnsiTheme="minorHAnsi" w:cstheme="minorHAnsi"/>
          <w:sz w:val="20"/>
          <w:szCs w:val="20"/>
        </w:rPr>
        <w:t xml:space="preserve">After all, </w:t>
      </w:r>
      <w:r w:rsidR="0014116D" w:rsidRPr="008720E1">
        <w:rPr>
          <w:rFonts w:asciiTheme="minorHAnsi" w:eastAsia="Times New Roman" w:hAnsiTheme="minorHAnsi" w:cstheme="minorHAnsi"/>
          <w:sz w:val="20"/>
          <w:szCs w:val="20"/>
          <w:lang w:eastAsia="en-GB"/>
        </w:rPr>
        <w:t>al-Khw</w:t>
      </w:r>
      <w:r w:rsidR="002A67BE" w:rsidRPr="008720E1">
        <w:rPr>
          <w:rFonts w:asciiTheme="minorHAnsi" w:eastAsia="Times New Roman" w:hAnsiTheme="minorHAnsi" w:cstheme="minorHAnsi"/>
          <w:sz w:val="20"/>
          <w:szCs w:val="20"/>
          <w:lang w:eastAsia="en-GB"/>
        </w:rPr>
        <w:t>ā</w:t>
      </w:r>
      <w:r w:rsidR="0014116D" w:rsidRPr="0014116D">
        <w:rPr>
          <w:rFonts w:asciiTheme="minorHAnsi" w:eastAsia="Times New Roman" w:hAnsiTheme="minorHAnsi" w:cstheme="minorHAnsi"/>
          <w:sz w:val="20"/>
          <w:szCs w:val="20"/>
          <w:lang w:eastAsia="en-GB"/>
        </w:rPr>
        <w:t>rizm</w:t>
      </w:r>
      <w:r w:rsidR="002A67BE" w:rsidRPr="008720E1">
        <w:rPr>
          <w:rFonts w:asciiTheme="minorHAnsi" w:eastAsia="Times New Roman" w:hAnsiTheme="minorHAnsi" w:cstheme="minorHAnsi"/>
          <w:sz w:val="20"/>
          <w:szCs w:val="20"/>
          <w:lang w:eastAsia="en-GB"/>
        </w:rPr>
        <w:t xml:space="preserve">ī knew that </w:t>
      </w:r>
      <w:r w:rsidR="00253966" w:rsidRPr="008720E1">
        <w:rPr>
          <w:rFonts w:asciiTheme="minorHAnsi" w:eastAsia="Times New Roman" w:hAnsiTheme="minorHAnsi" w:cstheme="minorHAnsi"/>
          <w:sz w:val="20"/>
          <w:szCs w:val="20"/>
          <w:lang w:eastAsia="en-GB"/>
        </w:rPr>
        <w:t>quadratics in which squares plus numbers equal roots give two results</w:t>
      </w:r>
      <w:r w:rsidR="001951B2" w:rsidRPr="008720E1">
        <w:rPr>
          <w:rFonts w:asciiTheme="minorHAnsi" w:eastAsia="Times New Roman" w:hAnsiTheme="minorHAnsi" w:cstheme="minorHAnsi"/>
          <w:sz w:val="20"/>
          <w:szCs w:val="20"/>
          <w:lang w:eastAsia="en-GB"/>
        </w:rPr>
        <w:t xml:space="preserve"> (see Heeffer </w:t>
      </w:r>
      <w:r w:rsidR="0006285F" w:rsidRPr="008720E1">
        <w:rPr>
          <w:rFonts w:asciiTheme="minorHAnsi" w:eastAsia="Times New Roman" w:hAnsiTheme="minorHAnsi" w:cstheme="minorHAnsi"/>
          <w:sz w:val="20"/>
          <w:szCs w:val="20"/>
          <w:lang w:eastAsia="en-GB"/>
        </w:rPr>
        <w:t>2013)</w:t>
      </w:r>
      <w:r w:rsidR="00253966" w:rsidRPr="008720E1">
        <w:rPr>
          <w:rFonts w:asciiTheme="minorHAnsi" w:eastAsia="Times New Roman" w:hAnsiTheme="minorHAnsi" w:cstheme="minorHAnsi"/>
          <w:sz w:val="20"/>
          <w:szCs w:val="20"/>
          <w:lang w:eastAsia="en-GB"/>
        </w:rPr>
        <w:t xml:space="preserve">.  </w:t>
      </w:r>
      <w:r w:rsidR="00F2141B" w:rsidRPr="008720E1">
        <w:rPr>
          <w:rFonts w:asciiTheme="minorHAnsi" w:hAnsiTheme="minorHAnsi" w:cstheme="minorHAnsi"/>
          <w:sz w:val="20"/>
          <w:szCs w:val="20"/>
        </w:rPr>
        <w:t>It’s not categorically impossible to understand the rule of signs without the symbolism—but no-one did</w:t>
      </w:r>
      <w:r w:rsidR="008D114B">
        <w:rPr>
          <w:rFonts w:asciiTheme="minorHAnsi" w:hAnsiTheme="minorHAnsi" w:cstheme="minorHAnsi"/>
          <w:sz w:val="20"/>
          <w:szCs w:val="20"/>
        </w:rPr>
        <w:t xml:space="preserve">.  </w:t>
      </w:r>
      <w:r w:rsidR="008720E1">
        <w:t xml:space="preserve">  </w:t>
      </w:r>
    </w:p>
  </w:footnote>
  <w:footnote w:id="25">
    <w:p w14:paraId="2340C878" w14:textId="7E7BFCBE" w:rsidR="00E54524" w:rsidRPr="005539CF" w:rsidRDefault="00E54524">
      <w:pPr>
        <w:pStyle w:val="FootnoteText"/>
      </w:pPr>
      <w:r>
        <w:rPr>
          <w:rStyle w:val="FootnoteReference"/>
        </w:rPr>
        <w:footnoteRef/>
      </w:r>
      <w:r w:rsidRPr="005539CF">
        <w:t xml:space="preserve"> </w:t>
      </w:r>
      <w:r w:rsidR="005539CF" w:rsidRPr="005539CF">
        <w:t xml:space="preserve">As is </w:t>
      </w:r>
      <w:r w:rsidR="00987F0F">
        <w:t>common</w:t>
      </w:r>
      <w:r w:rsidR="005539CF" w:rsidRPr="005539CF">
        <w:t xml:space="preserve"> in m</w:t>
      </w:r>
      <w:r w:rsidR="005539CF">
        <w:t>athematics, Galois did not invent Galois theory as it is now taught to undergraduates</w:t>
      </w:r>
      <w:r w:rsidR="004F46D6">
        <w:t xml:space="preserve">.  The group-concept was not isolated and captured in axioms until after his death.  </w:t>
      </w:r>
      <w:r w:rsidR="00E91214">
        <w:t xml:space="preserve">The details of this story do not affect the philosophical point, which is that </w:t>
      </w:r>
      <w:r w:rsidR="00971CF6">
        <w:t xml:space="preserve">once expressed in modern notation, equations became objects of systematic mathematical enquiry.  </w:t>
      </w:r>
      <w:r w:rsidR="00731C86">
        <w:t>There is even a glimmer of this in Harriot, who had a classification of equations into canonical and non-canonical forms</w:t>
      </w:r>
      <w:r w:rsidR="00987F0F">
        <w:t xml:space="preserve"> (Harriot 2007)</w:t>
      </w:r>
      <w:r w:rsidR="00731C86">
        <w:t xml:space="preserve">.  </w:t>
      </w:r>
    </w:p>
  </w:footnote>
  <w:footnote w:id="26">
    <w:p w14:paraId="121566DA" w14:textId="33FADECF" w:rsidR="00FE2D0C" w:rsidRPr="00E078F0" w:rsidRDefault="00FE2D0C">
      <w:pPr>
        <w:pStyle w:val="FootnoteText"/>
      </w:pPr>
      <w:r>
        <w:rPr>
          <w:rStyle w:val="FootnoteReference"/>
        </w:rPr>
        <w:footnoteRef/>
      </w:r>
      <w:r w:rsidRPr="00E078F0">
        <w:t xml:space="preserve"> See </w:t>
      </w:r>
      <w:r w:rsidR="00E078F0" w:rsidRPr="00E078F0">
        <w:t>(</w:t>
      </w:r>
      <w:r w:rsidRPr="00E078F0">
        <w:t xml:space="preserve">Starikova </w:t>
      </w:r>
      <w:r w:rsidR="00E078F0" w:rsidRPr="00E078F0">
        <w:t xml:space="preserve">2010) for examples of </w:t>
      </w:r>
      <w:r w:rsidR="00E078F0">
        <w:t xml:space="preserve">the way that graph theory can </w:t>
      </w:r>
      <w:r w:rsidR="00472483">
        <w:t xml:space="preserve">supply methods to group theory via Cayley graphs.  This relies on the fact that although </w:t>
      </w:r>
      <w:r w:rsidR="00B72A70">
        <w:t xml:space="preserve">there are often several graphs for any given finitely generated group, </w:t>
      </w:r>
      <w:r w:rsidR="00834639">
        <w:t xml:space="preserve">all </w:t>
      </w:r>
      <w:r w:rsidR="00B72A70">
        <w:t>the</w:t>
      </w:r>
      <w:r w:rsidR="007D7A9D">
        <w:t xml:space="preserve"> graphs of a given group share </w:t>
      </w:r>
      <w:r w:rsidR="00834639">
        <w:t xml:space="preserve">certain </w:t>
      </w:r>
      <w:r w:rsidR="007D7A9D">
        <w:t xml:space="preserve">properties and these properties can therefore be regarded as properties of the generating group.  </w:t>
      </w:r>
    </w:p>
  </w:footnote>
  <w:footnote w:id="27">
    <w:p w14:paraId="18C26ED3" w14:textId="746FD3E8" w:rsidR="00631E95" w:rsidRPr="00E91214" w:rsidRDefault="00631E95">
      <w:pPr>
        <w:pStyle w:val="FootnoteText"/>
        <w:rPr>
          <w:lang w:val="fr-FR"/>
        </w:rPr>
      </w:pPr>
      <w:r>
        <w:rPr>
          <w:rStyle w:val="FootnoteReference"/>
        </w:rPr>
        <w:footnoteRef/>
      </w:r>
      <w:r w:rsidRPr="00E91214">
        <w:rPr>
          <w:lang w:val="fr-FR"/>
        </w:rPr>
        <w:t xml:space="preserve"> </w:t>
      </w:r>
      <w:r w:rsidRPr="00E91214">
        <w:rPr>
          <w:rFonts w:asciiTheme="minorHAnsi" w:hAnsiTheme="minorHAnsi" w:cstheme="minorHAnsi"/>
          <w:lang w:val="fr-FR"/>
        </w:rPr>
        <w:t>De Toffoli, S. &amp; Giardino, V. (2013, 2014, 2016</w:t>
      </w:r>
      <w:proofErr w:type="gramStart"/>
      <w:r w:rsidRPr="00E91214">
        <w:rPr>
          <w:rFonts w:asciiTheme="minorHAnsi" w:hAnsiTheme="minorHAnsi" w:cstheme="minorHAnsi"/>
          <w:lang w:val="fr-FR"/>
        </w:rPr>
        <w:t>);</w:t>
      </w:r>
      <w:proofErr w:type="gramEnd"/>
      <w:r w:rsidRPr="00E91214">
        <w:rPr>
          <w:rFonts w:asciiTheme="minorHAnsi" w:hAnsiTheme="minorHAnsi" w:cstheme="minorHAnsi"/>
          <w:lang w:val="fr-FR"/>
        </w:rPr>
        <w:t xml:space="preserve"> Giardino (2017)</w:t>
      </w:r>
      <w:r w:rsidR="00C77D0C">
        <w:rPr>
          <w:rFonts w:asciiTheme="minorHAnsi" w:hAnsiTheme="minorHAnsi" w:cstheme="minorHAnsi"/>
          <w:lang w:val="fr-FR"/>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F6459"/>
    <w:multiLevelType w:val="hybridMultilevel"/>
    <w:tmpl w:val="096CDF80"/>
    <w:lvl w:ilvl="0" w:tplc="08090001">
      <w:start w:val="1"/>
      <w:numFmt w:val="bullet"/>
      <w:lvlText w:val=""/>
      <w:lvlJc w:val="left"/>
      <w:pPr>
        <w:ind w:left="590" w:hanging="360"/>
      </w:pPr>
      <w:rPr>
        <w:rFonts w:ascii="Symbol" w:hAnsi="Symbol" w:hint="default"/>
      </w:rPr>
    </w:lvl>
    <w:lvl w:ilvl="1" w:tplc="08090003" w:tentative="1">
      <w:start w:val="1"/>
      <w:numFmt w:val="bullet"/>
      <w:lvlText w:val="o"/>
      <w:lvlJc w:val="left"/>
      <w:pPr>
        <w:ind w:left="1310" w:hanging="360"/>
      </w:pPr>
      <w:rPr>
        <w:rFonts w:ascii="Courier New" w:hAnsi="Courier New" w:cs="Courier New" w:hint="default"/>
      </w:rPr>
    </w:lvl>
    <w:lvl w:ilvl="2" w:tplc="08090005" w:tentative="1">
      <w:start w:val="1"/>
      <w:numFmt w:val="bullet"/>
      <w:lvlText w:val=""/>
      <w:lvlJc w:val="left"/>
      <w:pPr>
        <w:ind w:left="2030" w:hanging="360"/>
      </w:pPr>
      <w:rPr>
        <w:rFonts w:ascii="Wingdings" w:hAnsi="Wingdings" w:hint="default"/>
      </w:rPr>
    </w:lvl>
    <w:lvl w:ilvl="3" w:tplc="08090001" w:tentative="1">
      <w:start w:val="1"/>
      <w:numFmt w:val="bullet"/>
      <w:lvlText w:val=""/>
      <w:lvlJc w:val="left"/>
      <w:pPr>
        <w:ind w:left="2750" w:hanging="360"/>
      </w:pPr>
      <w:rPr>
        <w:rFonts w:ascii="Symbol" w:hAnsi="Symbol" w:hint="default"/>
      </w:rPr>
    </w:lvl>
    <w:lvl w:ilvl="4" w:tplc="08090003" w:tentative="1">
      <w:start w:val="1"/>
      <w:numFmt w:val="bullet"/>
      <w:lvlText w:val="o"/>
      <w:lvlJc w:val="left"/>
      <w:pPr>
        <w:ind w:left="3470" w:hanging="360"/>
      </w:pPr>
      <w:rPr>
        <w:rFonts w:ascii="Courier New" w:hAnsi="Courier New" w:cs="Courier New" w:hint="default"/>
      </w:rPr>
    </w:lvl>
    <w:lvl w:ilvl="5" w:tplc="08090005" w:tentative="1">
      <w:start w:val="1"/>
      <w:numFmt w:val="bullet"/>
      <w:lvlText w:val=""/>
      <w:lvlJc w:val="left"/>
      <w:pPr>
        <w:ind w:left="4190" w:hanging="360"/>
      </w:pPr>
      <w:rPr>
        <w:rFonts w:ascii="Wingdings" w:hAnsi="Wingdings" w:hint="default"/>
      </w:rPr>
    </w:lvl>
    <w:lvl w:ilvl="6" w:tplc="08090001" w:tentative="1">
      <w:start w:val="1"/>
      <w:numFmt w:val="bullet"/>
      <w:lvlText w:val=""/>
      <w:lvlJc w:val="left"/>
      <w:pPr>
        <w:ind w:left="4910" w:hanging="360"/>
      </w:pPr>
      <w:rPr>
        <w:rFonts w:ascii="Symbol" w:hAnsi="Symbol" w:hint="default"/>
      </w:rPr>
    </w:lvl>
    <w:lvl w:ilvl="7" w:tplc="08090003" w:tentative="1">
      <w:start w:val="1"/>
      <w:numFmt w:val="bullet"/>
      <w:lvlText w:val="o"/>
      <w:lvlJc w:val="left"/>
      <w:pPr>
        <w:ind w:left="5630" w:hanging="360"/>
      </w:pPr>
      <w:rPr>
        <w:rFonts w:ascii="Courier New" w:hAnsi="Courier New" w:cs="Courier New" w:hint="default"/>
      </w:rPr>
    </w:lvl>
    <w:lvl w:ilvl="8" w:tplc="08090005" w:tentative="1">
      <w:start w:val="1"/>
      <w:numFmt w:val="bullet"/>
      <w:lvlText w:val=""/>
      <w:lvlJc w:val="left"/>
      <w:pPr>
        <w:ind w:left="6350" w:hanging="360"/>
      </w:pPr>
      <w:rPr>
        <w:rFonts w:ascii="Wingdings" w:hAnsi="Wingdings" w:hint="default"/>
      </w:rPr>
    </w:lvl>
  </w:abstractNum>
  <w:abstractNum w:abstractNumId="1" w15:restartNumberingAfterBreak="0">
    <w:nsid w:val="4CB44B28"/>
    <w:multiLevelType w:val="multilevel"/>
    <w:tmpl w:val="BB02B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7B2"/>
    <w:rsid w:val="00000D45"/>
    <w:rsid w:val="00012C6A"/>
    <w:rsid w:val="00013EDA"/>
    <w:rsid w:val="00015371"/>
    <w:rsid w:val="000156B5"/>
    <w:rsid w:val="00015D9F"/>
    <w:rsid w:val="00026BA1"/>
    <w:rsid w:val="00027690"/>
    <w:rsid w:val="0003134C"/>
    <w:rsid w:val="00031955"/>
    <w:rsid w:val="0003286B"/>
    <w:rsid w:val="00032D22"/>
    <w:rsid w:val="00033C59"/>
    <w:rsid w:val="000410F5"/>
    <w:rsid w:val="0004148C"/>
    <w:rsid w:val="000427BE"/>
    <w:rsid w:val="00052AB5"/>
    <w:rsid w:val="000552EB"/>
    <w:rsid w:val="00056066"/>
    <w:rsid w:val="0006285F"/>
    <w:rsid w:val="000638A9"/>
    <w:rsid w:val="000758B3"/>
    <w:rsid w:val="0008778E"/>
    <w:rsid w:val="00093582"/>
    <w:rsid w:val="00094069"/>
    <w:rsid w:val="00097A59"/>
    <w:rsid w:val="000A5AF4"/>
    <w:rsid w:val="000A60AB"/>
    <w:rsid w:val="000A7773"/>
    <w:rsid w:val="000B1208"/>
    <w:rsid w:val="000B51BF"/>
    <w:rsid w:val="000B744E"/>
    <w:rsid w:val="000C47CA"/>
    <w:rsid w:val="000C66E3"/>
    <w:rsid w:val="000D0E93"/>
    <w:rsid w:val="000D25E8"/>
    <w:rsid w:val="000D5D53"/>
    <w:rsid w:val="000D7A51"/>
    <w:rsid w:val="000E0658"/>
    <w:rsid w:val="000E2236"/>
    <w:rsid w:val="000E2C56"/>
    <w:rsid w:val="000E323E"/>
    <w:rsid w:val="001032A9"/>
    <w:rsid w:val="00110CCD"/>
    <w:rsid w:val="00112841"/>
    <w:rsid w:val="001204C1"/>
    <w:rsid w:val="00127520"/>
    <w:rsid w:val="00131C95"/>
    <w:rsid w:val="00133A9F"/>
    <w:rsid w:val="0014116D"/>
    <w:rsid w:val="001425C5"/>
    <w:rsid w:val="00151296"/>
    <w:rsid w:val="00154FCF"/>
    <w:rsid w:val="00156C30"/>
    <w:rsid w:val="0016158C"/>
    <w:rsid w:val="00166E27"/>
    <w:rsid w:val="001674AC"/>
    <w:rsid w:val="00173D0C"/>
    <w:rsid w:val="00175CB1"/>
    <w:rsid w:val="00190B94"/>
    <w:rsid w:val="0019359E"/>
    <w:rsid w:val="0019493C"/>
    <w:rsid w:val="00194C18"/>
    <w:rsid w:val="001951B2"/>
    <w:rsid w:val="0019722E"/>
    <w:rsid w:val="001A2013"/>
    <w:rsid w:val="001A63F0"/>
    <w:rsid w:val="001B61B3"/>
    <w:rsid w:val="001C10BB"/>
    <w:rsid w:val="001C2ED6"/>
    <w:rsid w:val="001C30AF"/>
    <w:rsid w:val="001C51E8"/>
    <w:rsid w:val="001C5FAA"/>
    <w:rsid w:val="001C5FC0"/>
    <w:rsid w:val="001D0864"/>
    <w:rsid w:val="001D61B5"/>
    <w:rsid w:val="001D6AF7"/>
    <w:rsid w:val="001E57B7"/>
    <w:rsid w:val="001F0F6C"/>
    <w:rsid w:val="001F3934"/>
    <w:rsid w:val="001F4757"/>
    <w:rsid w:val="00200B88"/>
    <w:rsid w:val="00204FBF"/>
    <w:rsid w:val="0021287A"/>
    <w:rsid w:val="0021667E"/>
    <w:rsid w:val="0022414C"/>
    <w:rsid w:val="00225084"/>
    <w:rsid w:val="002341FA"/>
    <w:rsid w:val="00243407"/>
    <w:rsid w:val="002456E4"/>
    <w:rsid w:val="002468AD"/>
    <w:rsid w:val="00247F31"/>
    <w:rsid w:val="00251DB7"/>
    <w:rsid w:val="0025255C"/>
    <w:rsid w:val="0025325B"/>
    <w:rsid w:val="00253966"/>
    <w:rsid w:val="00266663"/>
    <w:rsid w:val="00266865"/>
    <w:rsid w:val="00267D56"/>
    <w:rsid w:val="002708E1"/>
    <w:rsid w:val="00270FE7"/>
    <w:rsid w:val="002745E2"/>
    <w:rsid w:val="00276C02"/>
    <w:rsid w:val="00280F50"/>
    <w:rsid w:val="00283709"/>
    <w:rsid w:val="00290C8E"/>
    <w:rsid w:val="00296DA7"/>
    <w:rsid w:val="002A1883"/>
    <w:rsid w:val="002A4202"/>
    <w:rsid w:val="002A552F"/>
    <w:rsid w:val="002A67BE"/>
    <w:rsid w:val="002A72FA"/>
    <w:rsid w:val="002B6539"/>
    <w:rsid w:val="002B7BA4"/>
    <w:rsid w:val="002C06BF"/>
    <w:rsid w:val="002D1168"/>
    <w:rsid w:val="002D2F32"/>
    <w:rsid w:val="002D6DB8"/>
    <w:rsid w:val="002E48A6"/>
    <w:rsid w:val="002E5008"/>
    <w:rsid w:val="002F166C"/>
    <w:rsid w:val="002F52B9"/>
    <w:rsid w:val="002F754C"/>
    <w:rsid w:val="002F76CB"/>
    <w:rsid w:val="00300A4E"/>
    <w:rsid w:val="00300D8F"/>
    <w:rsid w:val="00301652"/>
    <w:rsid w:val="00302CE4"/>
    <w:rsid w:val="0031033E"/>
    <w:rsid w:val="003118BE"/>
    <w:rsid w:val="00312144"/>
    <w:rsid w:val="00312204"/>
    <w:rsid w:val="00312722"/>
    <w:rsid w:val="0031447E"/>
    <w:rsid w:val="003248EC"/>
    <w:rsid w:val="003252FD"/>
    <w:rsid w:val="0032548E"/>
    <w:rsid w:val="0033445C"/>
    <w:rsid w:val="00337199"/>
    <w:rsid w:val="00342552"/>
    <w:rsid w:val="003434C8"/>
    <w:rsid w:val="00353455"/>
    <w:rsid w:val="00357075"/>
    <w:rsid w:val="00366004"/>
    <w:rsid w:val="003677B2"/>
    <w:rsid w:val="00367939"/>
    <w:rsid w:val="00373407"/>
    <w:rsid w:val="003736AD"/>
    <w:rsid w:val="0038048D"/>
    <w:rsid w:val="00380FF2"/>
    <w:rsid w:val="00381218"/>
    <w:rsid w:val="003911E2"/>
    <w:rsid w:val="0039373C"/>
    <w:rsid w:val="003979B6"/>
    <w:rsid w:val="003A2C8A"/>
    <w:rsid w:val="003B156B"/>
    <w:rsid w:val="003B431D"/>
    <w:rsid w:val="003B7699"/>
    <w:rsid w:val="003B7B32"/>
    <w:rsid w:val="003C1B70"/>
    <w:rsid w:val="003C73FA"/>
    <w:rsid w:val="003D1723"/>
    <w:rsid w:val="003D222C"/>
    <w:rsid w:val="003D5128"/>
    <w:rsid w:val="003D7275"/>
    <w:rsid w:val="003F1043"/>
    <w:rsid w:val="003F3AC0"/>
    <w:rsid w:val="003F5974"/>
    <w:rsid w:val="003F796A"/>
    <w:rsid w:val="003F7AD3"/>
    <w:rsid w:val="004013DC"/>
    <w:rsid w:val="0040140A"/>
    <w:rsid w:val="0040531E"/>
    <w:rsid w:val="00407D37"/>
    <w:rsid w:val="004108E2"/>
    <w:rsid w:val="00410C0C"/>
    <w:rsid w:val="00411634"/>
    <w:rsid w:val="00411844"/>
    <w:rsid w:val="004169C5"/>
    <w:rsid w:val="00417647"/>
    <w:rsid w:val="0042232C"/>
    <w:rsid w:val="0042497C"/>
    <w:rsid w:val="004314A8"/>
    <w:rsid w:val="004517D4"/>
    <w:rsid w:val="00452F85"/>
    <w:rsid w:val="00455C07"/>
    <w:rsid w:val="00456BAF"/>
    <w:rsid w:val="004572C2"/>
    <w:rsid w:val="0046158B"/>
    <w:rsid w:val="004666EE"/>
    <w:rsid w:val="00467715"/>
    <w:rsid w:val="0046786C"/>
    <w:rsid w:val="00470C65"/>
    <w:rsid w:val="00472483"/>
    <w:rsid w:val="004770CA"/>
    <w:rsid w:val="00480070"/>
    <w:rsid w:val="004802D3"/>
    <w:rsid w:val="00482776"/>
    <w:rsid w:val="004937A4"/>
    <w:rsid w:val="00494EB3"/>
    <w:rsid w:val="004A28BD"/>
    <w:rsid w:val="004A5568"/>
    <w:rsid w:val="004C1A45"/>
    <w:rsid w:val="004C4367"/>
    <w:rsid w:val="004C5F60"/>
    <w:rsid w:val="004D13BE"/>
    <w:rsid w:val="004D3C36"/>
    <w:rsid w:val="004E19BA"/>
    <w:rsid w:val="004F289D"/>
    <w:rsid w:val="004F46D6"/>
    <w:rsid w:val="004F68E7"/>
    <w:rsid w:val="004F76DA"/>
    <w:rsid w:val="005002B2"/>
    <w:rsid w:val="00501126"/>
    <w:rsid w:val="00502A53"/>
    <w:rsid w:val="005068A3"/>
    <w:rsid w:val="005100CD"/>
    <w:rsid w:val="00510396"/>
    <w:rsid w:val="0051054A"/>
    <w:rsid w:val="00512895"/>
    <w:rsid w:val="005141C0"/>
    <w:rsid w:val="005149DF"/>
    <w:rsid w:val="00514A65"/>
    <w:rsid w:val="005201CB"/>
    <w:rsid w:val="00520970"/>
    <w:rsid w:val="00520A86"/>
    <w:rsid w:val="005216E6"/>
    <w:rsid w:val="00521A68"/>
    <w:rsid w:val="00523857"/>
    <w:rsid w:val="00524116"/>
    <w:rsid w:val="00526EF3"/>
    <w:rsid w:val="005341A8"/>
    <w:rsid w:val="00534CC4"/>
    <w:rsid w:val="00534EE9"/>
    <w:rsid w:val="00535EE5"/>
    <w:rsid w:val="00543196"/>
    <w:rsid w:val="005539CF"/>
    <w:rsid w:val="0055595A"/>
    <w:rsid w:val="005559AC"/>
    <w:rsid w:val="00563419"/>
    <w:rsid w:val="0056600F"/>
    <w:rsid w:val="00570C51"/>
    <w:rsid w:val="00573593"/>
    <w:rsid w:val="00576B2F"/>
    <w:rsid w:val="00576C37"/>
    <w:rsid w:val="0058103D"/>
    <w:rsid w:val="00582330"/>
    <w:rsid w:val="00586541"/>
    <w:rsid w:val="0058700E"/>
    <w:rsid w:val="005A3E67"/>
    <w:rsid w:val="005A7EBD"/>
    <w:rsid w:val="005B1C92"/>
    <w:rsid w:val="005C52C3"/>
    <w:rsid w:val="005C672A"/>
    <w:rsid w:val="005C7CF2"/>
    <w:rsid w:val="005D5F0E"/>
    <w:rsid w:val="005D6BE3"/>
    <w:rsid w:val="005E0378"/>
    <w:rsid w:val="005E13FD"/>
    <w:rsid w:val="005E1C56"/>
    <w:rsid w:val="005E3449"/>
    <w:rsid w:val="005E3FF6"/>
    <w:rsid w:val="005E7B3C"/>
    <w:rsid w:val="005F1A7B"/>
    <w:rsid w:val="005F29D7"/>
    <w:rsid w:val="005F5AC6"/>
    <w:rsid w:val="005F65E2"/>
    <w:rsid w:val="00602A17"/>
    <w:rsid w:val="0060495D"/>
    <w:rsid w:val="00605383"/>
    <w:rsid w:val="006068B2"/>
    <w:rsid w:val="00607EB4"/>
    <w:rsid w:val="00612322"/>
    <w:rsid w:val="00615991"/>
    <w:rsid w:val="00620905"/>
    <w:rsid w:val="00620A94"/>
    <w:rsid w:val="00623344"/>
    <w:rsid w:val="0062590A"/>
    <w:rsid w:val="00631C59"/>
    <w:rsid w:val="00631E95"/>
    <w:rsid w:val="00636520"/>
    <w:rsid w:val="00640588"/>
    <w:rsid w:val="006432F1"/>
    <w:rsid w:val="006448D0"/>
    <w:rsid w:val="0064573F"/>
    <w:rsid w:val="006537CC"/>
    <w:rsid w:val="00667A5C"/>
    <w:rsid w:val="00667FE2"/>
    <w:rsid w:val="0067110F"/>
    <w:rsid w:val="00676943"/>
    <w:rsid w:val="0068078C"/>
    <w:rsid w:val="00692E79"/>
    <w:rsid w:val="0069554C"/>
    <w:rsid w:val="00696781"/>
    <w:rsid w:val="006A73F2"/>
    <w:rsid w:val="006B2B12"/>
    <w:rsid w:val="006B543F"/>
    <w:rsid w:val="006C2FAB"/>
    <w:rsid w:val="006C41F5"/>
    <w:rsid w:val="006C41FC"/>
    <w:rsid w:val="006C4285"/>
    <w:rsid w:val="006C6CCA"/>
    <w:rsid w:val="006D2A73"/>
    <w:rsid w:val="006D44D4"/>
    <w:rsid w:val="006E007B"/>
    <w:rsid w:val="006E30C3"/>
    <w:rsid w:val="006E3F4E"/>
    <w:rsid w:val="006F1183"/>
    <w:rsid w:val="006F69EA"/>
    <w:rsid w:val="006F729F"/>
    <w:rsid w:val="007012C2"/>
    <w:rsid w:val="007023A1"/>
    <w:rsid w:val="00711211"/>
    <w:rsid w:val="00720D9B"/>
    <w:rsid w:val="007304DE"/>
    <w:rsid w:val="00731C86"/>
    <w:rsid w:val="00733E7F"/>
    <w:rsid w:val="00747560"/>
    <w:rsid w:val="00754BD8"/>
    <w:rsid w:val="0075575E"/>
    <w:rsid w:val="00767407"/>
    <w:rsid w:val="0077059C"/>
    <w:rsid w:val="00771CCD"/>
    <w:rsid w:val="007722CF"/>
    <w:rsid w:val="00773D89"/>
    <w:rsid w:val="007761EE"/>
    <w:rsid w:val="00777428"/>
    <w:rsid w:val="007831E9"/>
    <w:rsid w:val="00784FC4"/>
    <w:rsid w:val="00790920"/>
    <w:rsid w:val="0079726A"/>
    <w:rsid w:val="007A11E5"/>
    <w:rsid w:val="007A7B9F"/>
    <w:rsid w:val="007A7EF5"/>
    <w:rsid w:val="007B182F"/>
    <w:rsid w:val="007B1F0C"/>
    <w:rsid w:val="007B3303"/>
    <w:rsid w:val="007C0E21"/>
    <w:rsid w:val="007C3CDA"/>
    <w:rsid w:val="007C4498"/>
    <w:rsid w:val="007D3181"/>
    <w:rsid w:val="007D65C9"/>
    <w:rsid w:val="007D7A9D"/>
    <w:rsid w:val="007E0853"/>
    <w:rsid w:val="007E34C0"/>
    <w:rsid w:val="008103E3"/>
    <w:rsid w:val="008130C7"/>
    <w:rsid w:val="00816976"/>
    <w:rsid w:val="00821FFD"/>
    <w:rsid w:val="00834639"/>
    <w:rsid w:val="0083567F"/>
    <w:rsid w:val="0083652A"/>
    <w:rsid w:val="008365B3"/>
    <w:rsid w:val="0084319D"/>
    <w:rsid w:val="00845A6A"/>
    <w:rsid w:val="00845FA3"/>
    <w:rsid w:val="00855AA6"/>
    <w:rsid w:val="00865B34"/>
    <w:rsid w:val="00865C75"/>
    <w:rsid w:val="008720E1"/>
    <w:rsid w:val="0087325E"/>
    <w:rsid w:val="008915E2"/>
    <w:rsid w:val="0089369A"/>
    <w:rsid w:val="00893894"/>
    <w:rsid w:val="00895833"/>
    <w:rsid w:val="00897467"/>
    <w:rsid w:val="00897D04"/>
    <w:rsid w:val="008A22B7"/>
    <w:rsid w:val="008A6567"/>
    <w:rsid w:val="008B1666"/>
    <w:rsid w:val="008B4B6D"/>
    <w:rsid w:val="008B77E9"/>
    <w:rsid w:val="008C133F"/>
    <w:rsid w:val="008C5FF8"/>
    <w:rsid w:val="008C6FAA"/>
    <w:rsid w:val="008D0847"/>
    <w:rsid w:val="008D114B"/>
    <w:rsid w:val="008D6E03"/>
    <w:rsid w:val="008E1303"/>
    <w:rsid w:val="008E20BF"/>
    <w:rsid w:val="008E3B64"/>
    <w:rsid w:val="008E40CA"/>
    <w:rsid w:val="008E528B"/>
    <w:rsid w:val="008F12B1"/>
    <w:rsid w:val="008F3002"/>
    <w:rsid w:val="00901198"/>
    <w:rsid w:val="00911C71"/>
    <w:rsid w:val="00914995"/>
    <w:rsid w:val="00915FD4"/>
    <w:rsid w:val="0091710D"/>
    <w:rsid w:val="00931211"/>
    <w:rsid w:val="009345E9"/>
    <w:rsid w:val="0093645E"/>
    <w:rsid w:val="00936DE9"/>
    <w:rsid w:val="0094186D"/>
    <w:rsid w:val="00944D31"/>
    <w:rsid w:val="009467D2"/>
    <w:rsid w:val="009470FB"/>
    <w:rsid w:val="009508E0"/>
    <w:rsid w:val="009508E9"/>
    <w:rsid w:val="009534D7"/>
    <w:rsid w:val="0095741A"/>
    <w:rsid w:val="00960566"/>
    <w:rsid w:val="00966977"/>
    <w:rsid w:val="00971CF6"/>
    <w:rsid w:val="00974007"/>
    <w:rsid w:val="00982077"/>
    <w:rsid w:val="00983282"/>
    <w:rsid w:val="009852AA"/>
    <w:rsid w:val="00985885"/>
    <w:rsid w:val="00987157"/>
    <w:rsid w:val="00987F0F"/>
    <w:rsid w:val="009957FE"/>
    <w:rsid w:val="00997B9D"/>
    <w:rsid w:val="009A3E33"/>
    <w:rsid w:val="009A53A2"/>
    <w:rsid w:val="009B1C1D"/>
    <w:rsid w:val="009B44F1"/>
    <w:rsid w:val="009C2A00"/>
    <w:rsid w:val="009C35FE"/>
    <w:rsid w:val="009C449B"/>
    <w:rsid w:val="009C450A"/>
    <w:rsid w:val="009C46E6"/>
    <w:rsid w:val="009D2B35"/>
    <w:rsid w:val="009D66E0"/>
    <w:rsid w:val="009D6FD7"/>
    <w:rsid w:val="009E2BD6"/>
    <w:rsid w:val="009E3509"/>
    <w:rsid w:val="009F04B5"/>
    <w:rsid w:val="009F0715"/>
    <w:rsid w:val="009F27AD"/>
    <w:rsid w:val="009F2C3B"/>
    <w:rsid w:val="009F3369"/>
    <w:rsid w:val="009F611F"/>
    <w:rsid w:val="00A01478"/>
    <w:rsid w:val="00A016EE"/>
    <w:rsid w:val="00A05BC0"/>
    <w:rsid w:val="00A06390"/>
    <w:rsid w:val="00A10FBE"/>
    <w:rsid w:val="00A16C22"/>
    <w:rsid w:val="00A26102"/>
    <w:rsid w:val="00A354C6"/>
    <w:rsid w:val="00A35BD7"/>
    <w:rsid w:val="00A377BE"/>
    <w:rsid w:val="00A4065B"/>
    <w:rsid w:val="00A40918"/>
    <w:rsid w:val="00A44712"/>
    <w:rsid w:val="00A448F7"/>
    <w:rsid w:val="00A56CEE"/>
    <w:rsid w:val="00A607ED"/>
    <w:rsid w:val="00A60ACB"/>
    <w:rsid w:val="00A66376"/>
    <w:rsid w:val="00A72246"/>
    <w:rsid w:val="00A75A9D"/>
    <w:rsid w:val="00A772D2"/>
    <w:rsid w:val="00A824E9"/>
    <w:rsid w:val="00A8268C"/>
    <w:rsid w:val="00A8494C"/>
    <w:rsid w:val="00A84D88"/>
    <w:rsid w:val="00A86855"/>
    <w:rsid w:val="00A90591"/>
    <w:rsid w:val="00AC2324"/>
    <w:rsid w:val="00AD0694"/>
    <w:rsid w:val="00AE40A7"/>
    <w:rsid w:val="00AE63F5"/>
    <w:rsid w:val="00AF27FB"/>
    <w:rsid w:val="00AF4312"/>
    <w:rsid w:val="00B04F62"/>
    <w:rsid w:val="00B075A8"/>
    <w:rsid w:val="00B07F09"/>
    <w:rsid w:val="00B11D81"/>
    <w:rsid w:val="00B15E6B"/>
    <w:rsid w:val="00B16C08"/>
    <w:rsid w:val="00B17E71"/>
    <w:rsid w:val="00B3025B"/>
    <w:rsid w:val="00B32C42"/>
    <w:rsid w:val="00B35CE1"/>
    <w:rsid w:val="00B36587"/>
    <w:rsid w:val="00B372ED"/>
    <w:rsid w:val="00B37C6E"/>
    <w:rsid w:val="00B41C69"/>
    <w:rsid w:val="00B4752A"/>
    <w:rsid w:val="00B50678"/>
    <w:rsid w:val="00B63B5C"/>
    <w:rsid w:val="00B70B08"/>
    <w:rsid w:val="00B717C4"/>
    <w:rsid w:val="00B72A70"/>
    <w:rsid w:val="00B75064"/>
    <w:rsid w:val="00B76BAE"/>
    <w:rsid w:val="00B81C92"/>
    <w:rsid w:val="00B83B59"/>
    <w:rsid w:val="00B86B7A"/>
    <w:rsid w:val="00B87F26"/>
    <w:rsid w:val="00BA058A"/>
    <w:rsid w:val="00BA7030"/>
    <w:rsid w:val="00BA769E"/>
    <w:rsid w:val="00BB3444"/>
    <w:rsid w:val="00BB7C7B"/>
    <w:rsid w:val="00BC17B9"/>
    <w:rsid w:val="00BC4292"/>
    <w:rsid w:val="00BD2A5F"/>
    <w:rsid w:val="00BD3DCB"/>
    <w:rsid w:val="00BD477A"/>
    <w:rsid w:val="00BD4CE5"/>
    <w:rsid w:val="00BD636B"/>
    <w:rsid w:val="00BD6EFD"/>
    <w:rsid w:val="00BE3C14"/>
    <w:rsid w:val="00BE4E9E"/>
    <w:rsid w:val="00BF12F0"/>
    <w:rsid w:val="00BF6956"/>
    <w:rsid w:val="00C032CF"/>
    <w:rsid w:val="00C10B37"/>
    <w:rsid w:val="00C10F53"/>
    <w:rsid w:val="00C15D92"/>
    <w:rsid w:val="00C277D8"/>
    <w:rsid w:val="00C32730"/>
    <w:rsid w:val="00C32CD4"/>
    <w:rsid w:val="00C33569"/>
    <w:rsid w:val="00C33E77"/>
    <w:rsid w:val="00C40232"/>
    <w:rsid w:val="00C425F1"/>
    <w:rsid w:val="00C43610"/>
    <w:rsid w:val="00C444DC"/>
    <w:rsid w:val="00C47BEE"/>
    <w:rsid w:val="00C50998"/>
    <w:rsid w:val="00C517D3"/>
    <w:rsid w:val="00C51D65"/>
    <w:rsid w:val="00C5769F"/>
    <w:rsid w:val="00C61DED"/>
    <w:rsid w:val="00C66701"/>
    <w:rsid w:val="00C66948"/>
    <w:rsid w:val="00C722F2"/>
    <w:rsid w:val="00C74497"/>
    <w:rsid w:val="00C76989"/>
    <w:rsid w:val="00C77D0C"/>
    <w:rsid w:val="00C80ECB"/>
    <w:rsid w:val="00C82AB8"/>
    <w:rsid w:val="00C83EBD"/>
    <w:rsid w:val="00CA4BAB"/>
    <w:rsid w:val="00CA5E63"/>
    <w:rsid w:val="00CB338B"/>
    <w:rsid w:val="00CB6378"/>
    <w:rsid w:val="00CD088D"/>
    <w:rsid w:val="00CD47E6"/>
    <w:rsid w:val="00CD7675"/>
    <w:rsid w:val="00CE0459"/>
    <w:rsid w:val="00CE0EA1"/>
    <w:rsid w:val="00CE72CA"/>
    <w:rsid w:val="00CF57C5"/>
    <w:rsid w:val="00CF5EA0"/>
    <w:rsid w:val="00CF794D"/>
    <w:rsid w:val="00D04F0F"/>
    <w:rsid w:val="00D17F94"/>
    <w:rsid w:val="00D204E3"/>
    <w:rsid w:val="00D2639A"/>
    <w:rsid w:val="00D312D5"/>
    <w:rsid w:val="00D40C8D"/>
    <w:rsid w:val="00D45291"/>
    <w:rsid w:val="00D5109C"/>
    <w:rsid w:val="00D534EE"/>
    <w:rsid w:val="00D53E3B"/>
    <w:rsid w:val="00D56B5D"/>
    <w:rsid w:val="00D56DFA"/>
    <w:rsid w:val="00D611F1"/>
    <w:rsid w:val="00D65D3D"/>
    <w:rsid w:val="00D706B1"/>
    <w:rsid w:val="00D7713E"/>
    <w:rsid w:val="00D77987"/>
    <w:rsid w:val="00DA6F68"/>
    <w:rsid w:val="00DB15D6"/>
    <w:rsid w:val="00DB2363"/>
    <w:rsid w:val="00DB279A"/>
    <w:rsid w:val="00DB43EA"/>
    <w:rsid w:val="00DB72CC"/>
    <w:rsid w:val="00DB7C80"/>
    <w:rsid w:val="00DC1206"/>
    <w:rsid w:val="00DC2F64"/>
    <w:rsid w:val="00DC3E2B"/>
    <w:rsid w:val="00DC43EF"/>
    <w:rsid w:val="00DC7B6A"/>
    <w:rsid w:val="00DD04BE"/>
    <w:rsid w:val="00DD0D10"/>
    <w:rsid w:val="00DD2A42"/>
    <w:rsid w:val="00DD4186"/>
    <w:rsid w:val="00DD439F"/>
    <w:rsid w:val="00DD710A"/>
    <w:rsid w:val="00DD717B"/>
    <w:rsid w:val="00DD773D"/>
    <w:rsid w:val="00DE58AF"/>
    <w:rsid w:val="00DE684F"/>
    <w:rsid w:val="00DE6BD7"/>
    <w:rsid w:val="00DF045D"/>
    <w:rsid w:val="00DF07E1"/>
    <w:rsid w:val="00DF6608"/>
    <w:rsid w:val="00DF67D3"/>
    <w:rsid w:val="00E05C4C"/>
    <w:rsid w:val="00E05DC9"/>
    <w:rsid w:val="00E078F0"/>
    <w:rsid w:val="00E170D9"/>
    <w:rsid w:val="00E24D42"/>
    <w:rsid w:val="00E252A7"/>
    <w:rsid w:val="00E314F0"/>
    <w:rsid w:val="00E315FC"/>
    <w:rsid w:val="00E32852"/>
    <w:rsid w:val="00E3540E"/>
    <w:rsid w:val="00E35E49"/>
    <w:rsid w:val="00E42906"/>
    <w:rsid w:val="00E46AA8"/>
    <w:rsid w:val="00E5338A"/>
    <w:rsid w:val="00E54524"/>
    <w:rsid w:val="00E61107"/>
    <w:rsid w:val="00E6425A"/>
    <w:rsid w:val="00E6481A"/>
    <w:rsid w:val="00E70ED1"/>
    <w:rsid w:val="00E74C55"/>
    <w:rsid w:val="00E90CDF"/>
    <w:rsid w:val="00E91214"/>
    <w:rsid w:val="00E97D47"/>
    <w:rsid w:val="00E97F4A"/>
    <w:rsid w:val="00EA5E61"/>
    <w:rsid w:val="00EA6E22"/>
    <w:rsid w:val="00EA7B41"/>
    <w:rsid w:val="00EB08BA"/>
    <w:rsid w:val="00EB3B90"/>
    <w:rsid w:val="00ED78F3"/>
    <w:rsid w:val="00EE48CF"/>
    <w:rsid w:val="00EE6ADB"/>
    <w:rsid w:val="00EF304C"/>
    <w:rsid w:val="00EF3526"/>
    <w:rsid w:val="00EF78CF"/>
    <w:rsid w:val="00F008D6"/>
    <w:rsid w:val="00F13AA7"/>
    <w:rsid w:val="00F200BF"/>
    <w:rsid w:val="00F205DF"/>
    <w:rsid w:val="00F2141B"/>
    <w:rsid w:val="00F24A91"/>
    <w:rsid w:val="00F33762"/>
    <w:rsid w:val="00F34F04"/>
    <w:rsid w:val="00F351B5"/>
    <w:rsid w:val="00F352A6"/>
    <w:rsid w:val="00F35AC4"/>
    <w:rsid w:val="00F42934"/>
    <w:rsid w:val="00F42A3C"/>
    <w:rsid w:val="00F436EB"/>
    <w:rsid w:val="00F560AE"/>
    <w:rsid w:val="00F60C21"/>
    <w:rsid w:val="00F6135F"/>
    <w:rsid w:val="00F628EE"/>
    <w:rsid w:val="00F67244"/>
    <w:rsid w:val="00F70665"/>
    <w:rsid w:val="00F720C5"/>
    <w:rsid w:val="00F75D0A"/>
    <w:rsid w:val="00F77708"/>
    <w:rsid w:val="00F82CB9"/>
    <w:rsid w:val="00F840C1"/>
    <w:rsid w:val="00F84886"/>
    <w:rsid w:val="00F940A0"/>
    <w:rsid w:val="00F951F0"/>
    <w:rsid w:val="00FA370D"/>
    <w:rsid w:val="00FA522B"/>
    <w:rsid w:val="00FA6A25"/>
    <w:rsid w:val="00FB42C2"/>
    <w:rsid w:val="00FB7705"/>
    <w:rsid w:val="00FC3336"/>
    <w:rsid w:val="00FC3DE4"/>
    <w:rsid w:val="00FC5466"/>
    <w:rsid w:val="00FC5C50"/>
    <w:rsid w:val="00FD6E5B"/>
    <w:rsid w:val="00FE2D0C"/>
    <w:rsid w:val="00FE4FDC"/>
    <w:rsid w:val="00FF3F9D"/>
    <w:rsid w:val="00FF4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21FE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68C"/>
    <w:pPr>
      <w:spacing w:after="200" w:line="276" w:lineRule="auto"/>
    </w:pPr>
    <w:rPr>
      <w:sz w:val="22"/>
      <w:szCs w:val="22"/>
      <w:lang w:eastAsia="en-US"/>
    </w:rPr>
  </w:style>
  <w:style w:type="paragraph" w:styleId="Heading1">
    <w:name w:val="heading 1"/>
    <w:basedOn w:val="Normal"/>
    <w:next w:val="Normal"/>
    <w:link w:val="Heading1Char"/>
    <w:uiPriority w:val="9"/>
    <w:qFormat/>
    <w:rsid w:val="000A77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B61B3"/>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link w:val="Heading3Char"/>
    <w:uiPriority w:val="9"/>
    <w:qFormat/>
    <w:rsid w:val="001B61B3"/>
    <w:pPr>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722CF"/>
    <w:pPr>
      <w:autoSpaceDE w:val="0"/>
      <w:autoSpaceDN w:val="0"/>
      <w:adjustRightInd w:val="0"/>
    </w:pPr>
    <w:rPr>
      <w:rFonts w:ascii="Times New Roman" w:hAnsi="Times New Roman"/>
      <w:color w:val="000000"/>
      <w:sz w:val="24"/>
      <w:szCs w:val="24"/>
    </w:rPr>
  </w:style>
  <w:style w:type="paragraph" w:styleId="NormalWeb">
    <w:name w:val="Normal (Web)"/>
    <w:basedOn w:val="Default"/>
    <w:next w:val="Default"/>
    <w:uiPriority w:val="99"/>
    <w:rsid w:val="007722CF"/>
    <w:rPr>
      <w:color w:val="auto"/>
    </w:rPr>
  </w:style>
  <w:style w:type="character" w:styleId="Emphasis">
    <w:name w:val="Emphasis"/>
    <w:basedOn w:val="DefaultParagraphFont"/>
    <w:uiPriority w:val="20"/>
    <w:qFormat/>
    <w:rsid w:val="001B61B3"/>
    <w:rPr>
      <w:i/>
      <w:iCs/>
    </w:rPr>
  </w:style>
  <w:style w:type="character" w:customStyle="1" w:styleId="Heading2Char">
    <w:name w:val="Heading 2 Char"/>
    <w:basedOn w:val="DefaultParagraphFont"/>
    <w:link w:val="Heading2"/>
    <w:uiPriority w:val="9"/>
    <w:rsid w:val="001B61B3"/>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1B61B3"/>
    <w:rPr>
      <w:rFonts w:ascii="Times New Roman" w:eastAsia="Times New Roman" w:hAnsi="Times New Roman"/>
      <w:b/>
      <w:bCs/>
      <w:sz w:val="27"/>
      <w:szCs w:val="27"/>
    </w:rPr>
  </w:style>
  <w:style w:type="character" w:styleId="Hyperlink">
    <w:name w:val="Hyperlink"/>
    <w:basedOn w:val="DefaultParagraphFont"/>
    <w:uiPriority w:val="99"/>
    <w:semiHidden/>
    <w:unhideWhenUsed/>
    <w:rsid w:val="001B61B3"/>
    <w:rPr>
      <w:color w:val="0000FF"/>
      <w:u w:val="single"/>
    </w:rPr>
  </w:style>
  <w:style w:type="character" w:styleId="Strong">
    <w:name w:val="Strong"/>
    <w:basedOn w:val="DefaultParagraphFont"/>
    <w:uiPriority w:val="22"/>
    <w:qFormat/>
    <w:rsid w:val="001B61B3"/>
    <w:rPr>
      <w:b/>
      <w:bCs/>
    </w:rPr>
  </w:style>
  <w:style w:type="paragraph" w:styleId="FootnoteText">
    <w:name w:val="footnote text"/>
    <w:basedOn w:val="Normal"/>
    <w:link w:val="FootnoteTextChar"/>
    <w:uiPriority w:val="99"/>
    <w:semiHidden/>
    <w:unhideWhenUsed/>
    <w:rsid w:val="00E05D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5DC9"/>
    <w:rPr>
      <w:lang w:eastAsia="en-US"/>
    </w:rPr>
  </w:style>
  <w:style w:type="character" w:styleId="FootnoteReference">
    <w:name w:val="footnote reference"/>
    <w:basedOn w:val="DefaultParagraphFont"/>
    <w:uiPriority w:val="99"/>
    <w:semiHidden/>
    <w:unhideWhenUsed/>
    <w:rsid w:val="00E05DC9"/>
    <w:rPr>
      <w:vertAlign w:val="superscript"/>
    </w:rPr>
  </w:style>
  <w:style w:type="paragraph" w:styleId="Title">
    <w:name w:val="Title"/>
    <w:basedOn w:val="Normal"/>
    <w:next w:val="Normal"/>
    <w:link w:val="TitleChar"/>
    <w:uiPriority w:val="10"/>
    <w:qFormat/>
    <w:rsid w:val="00C10B3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37"/>
    <w:rPr>
      <w:rFonts w:asciiTheme="majorHAnsi" w:eastAsiaTheme="majorEastAsia" w:hAnsiTheme="majorHAnsi" w:cstheme="majorBidi"/>
      <w:spacing w:val="-10"/>
      <w:kern w:val="28"/>
      <w:sz w:val="56"/>
      <w:szCs w:val="56"/>
      <w:lang w:eastAsia="en-US"/>
    </w:rPr>
  </w:style>
  <w:style w:type="character" w:customStyle="1" w:styleId="Heading1Char">
    <w:name w:val="Heading 1 Char"/>
    <w:basedOn w:val="DefaultParagraphFont"/>
    <w:link w:val="Heading1"/>
    <w:uiPriority w:val="9"/>
    <w:rsid w:val="000A7773"/>
    <w:rPr>
      <w:rFonts w:asciiTheme="majorHAnsi" w:eastAsiaTheme="majorEastAsia" w:hAnsiTheme="majorHAnsi" w:cstheme="majorBidi"/>
      <w:color w:val="2E74B5" w:themeColor="accent1" w:themeShade="BF"/>
      <w:sz w:val="32"/>
      <w:szCs w:val="32"/>
      <w:lang w:eastAsia="en-US"/>
    </w:rPr>
  </w:style>
  <w:style w:type="character" w:customStyle="1" w:styleId="journalname">
    <w:name w:val="journalname"/>
    <w:basedOn w:val="DefaultParagraphFont"/>
    <w:rsid w:val="004802D3"/>
  </w:style>
  <w:style w:type="character" w:customStyle="1" w:styleId="year">
    <w:name w:val="year"/>
    <w:basedOn w:val="DefaultParagraphFont"/>
    <w:rsid w:val="004802D3"/>
  </w:style>
  <w:style w:type="character" w:customStyle="1" w:styleId="volume">
    <w:name w:val="volume"/>
    <w:basedOn w:val="DefaultParagraphFont"/>
    <w:rsid w:val="004802D3"/>
  </w:style>
  <w:style w:type="character" w:customStyle="1" w:styleId="issue">
    <w:name w:val="issue"/>
    <w:basedOn w:val="DefaultParagraphFont"/>
    <w:rsid w:val="004802D3"/>
  </w:style>
  <w:style w:type="character" w:customStyle="1" w:styleId="page">
    <w:name w:val="page"/>
    <w:basedOn w:val="DefaultParagraphFont"/>
    <w:rsid w:val="004802D3"/>
  </w:style>
  <w:style w:type="character" w:styleId="PlaceholderText">
    <w:name w:val="Placeholder Text"/>
    <w:basedOn w:val="DefaultParagraphFont"/>
    <w:uiPriority w:val="67"/>
    <w:rsid w:val="00DD04BE"/>
    <w:rPr>
      <w:color w:val="808080"/>
    </w:rPr>
  </w:style>
  <w:style w:type="character" w:styleId="CommentReference">
    <w:name w:val="annotation reference"/>
    <w:basedOn w:val="DefaultParagraphFont"/>
    <w:uiPriority w:val="99"/>
    <w:semiHidden/>
    <w:unhideWhenUsed/>
    <w:rsid w:val="00DB2363"/>
    <w:rPr>
      <w:sz w:val="16"/>
      <w:szCs w:val="16"/>
    </w:rPr>
  </w:style>
  <w:style w:type="paragraph" w:styleId="CommentText">
    <w:name w:val="annotation text"/>
    <w:basedOn w:val="Normal"/>
    <w:link w:val="CommentTextChar"/>
    <w:uiPriority w:val="99"/>
    <w:semiHidden/>
    <w:unhideWhenUsed/>
    <w:rsid w:val="00DB2363"/>
    <w:pPr>
      <w:spacing w:line="240" w:lineRule="auto"/>
    </w:pPr>
    <w:rPr>
      <w:sz w:val="20"/>
      <w:szCs w:val="20"/>
    </w:rPr>
  </w:style>
  <w:style w:type="character" w:customStyle="1" w:styleId="CommentTextChar">
    <w:name w:val="Comment Text Char"/>
    <w:basedOn w:val="DefaultParagraphFont"/>
    <w:link w:val="CommentText"/>
    <w:uiPriority w:val="99"/>
    <w:semiHidden/>
    <w:rsid w:val="00DB2363"/>
    <w:rPr>
      <w:lang w:eastAsia="en-US"/>
    </w:rPr>
  </w:style>
  <w:style w:type="paragraph" w:styleId="CommentSubject">
    <w:name w:val="annotation subject"/>
    <w:basedOn w:val="CommentText"/>
    <w:next w:val="CommentText"/>
    <w:link w:val="CommentSubjectChar"/>
    <w:uiPriority w:val="99"/>
    <w:semiHidden/>
    <w:unhideWhenUsed/>
    <w:rsid w:val="00DB2363"/>
    <w:rPr>
      <w:b/>
      <w:bCs/>
    </w:rPr>
  </w:style>
  <w:style w:type="character" w:customStyle="1" w:styleId="CommentSubjectChar">
    <w:name w:val="Comment Subject Char"/>
    <w:basedOn w:val="CommentTextChar"/>
    <w:link w:val="CommentSubject"/>
    <w:uiPriority w:val="99"/>
    <w:semiHidden/>
    <w:rsid w:val="00DB2363"/>
    <w:rPr>
      <w:b/>
      <w:bCs/>
      <w:lang w:eastAsia="en-US"/>
    </w:rPr>
  </w:style>
  <w:style w:type="paragraph" w:styleId="BalloonText">
    <w:name w:val="Balloon Text"/>
    <w:basedOn w:val="Normal"/>
    <w:link w:val="BalloonTextChar"/>
    <w:uiPriority w:val="99"/>
    <w:semiHidden/>
    <w:unhideWhenUsed/>
    <w:rsid w:val="00DB23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363"/>
    <w:rPr>
      <w:rFonts w:ascii="Segoe UI" w:hAnsi="Segoe UI" w:cs="Segoe UI"/>
      <w:sz w:val="18"/>
      <w:szCs w:val="18"/>
      <w:lang w:eastAsia="en-US"/>
    </w:rPr>
  </w:style>
  <w:style w:type="paragraph" w:styleId="Caption">
    <w:name w:val="caption"/>
    <w:basedOn w:val="Normal"/>
    <w:next w:val="Normal"/>
    <w:uiPriority w:val="35"/>
    <w:unhideWhenUsed/>
    <w:qFormat/>
    <w:rsid w:val="00901198"/>
    <w:pPr>
      <w:spacing w:line="240" w:lineRule="auto"/>
    </w:pPr>
    <w:rPr>
      <w:i/>
      <w:iCs/>
      <w:color w:val="44546A" w:themeColor="text2"/>
      <w:sz w:val="18"/>
      <w:szCs w:val="18"/>
    </w:rPr>
  </w:style>
  <w:style w:type="paragraph" w:styleId="Subtitle">
    <w:name w:val="Subtitle"/>
    <w:basedOn w:val="Normal"/>
    <w:next w:val="Normal"/>
    <w:link w:val="SubtitleChar"/>
    <w:uiPriority w:val="11"/>
    <w:qFormat/>
    <w:rsid w:val="00855AA6"/>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55AA6"/>
    <w:rPr>
      <w:rFonts w:asciiTheme="minorHAnsi" w:eastAsiaTheme="minorEastAsia" w:hAnsiTheme="minorHAnsi" w:cstheme="minorBidi"/>
      <w:color w:val="5A5A5A" w:themeColor="text1" w:themeTint="A5"/>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83246">
      <w:bodyDiv w:val="1"/>
      <w:marLeft w:val="0"/>
      <w:marRight w:val="0"/>
      <w:marTop w:val="0"/>
      <w:marBottom w:val="0"/>
      <w:divBdr>
        <w:top w:val="none" w:sz="0" w:space="0" w:color="auto"/>
        <w:left w:val="none" w:sz="0" w:space="0" w:color="auto"/>
        <w:bottom w:val="none" w:sz="0" w:space="0" w:color="auto"/>
        <w:right w:val="none" w:sz="0" w:space="0" w:color="auto"/>
      </w:divBdr>
    </w:div>
    <w:div w:id="773786934">
      <w:bodyDiv w:val="1"/>
      <w:marLeft w:val="0"/>
      <w:marRight w:val="0"/>
      <w:marTop w:val="0"/>
      <w:marBottom w:val="0"/>
      <w:divBdr>
        <w:top w:val="none" w:sz="0" w:space="0" w:color="auto"/>
        <w:left w:val="none" w:sz="0" w:space="0" w:color="auto"/>
        <w:bottom w:val="none" w:sz="0" w:space="0" w:color="auto"/>
        <w:right w:val="none" w:sz="0" w:space="0" w:color="auto"/>
      </w:divBdr>
    </w:div>
    <w:div w:id="860557666">
      <w:bodyDiv w:val="1"/>
      <w:marLeft w:val="0"/>
      <w:marRight w:val="0"/>
      <w:marTop w:val="0"/>
      <w:marBottom w:val="0"/>
      <w:divBdr>
        <w:top w:val="none" w:sz="0" w:space="0" w:color="auto"/>
        <w:left w:val="none" w:sz="0" w:space="0" w:color="auto"/>
        <w:bottom w:val="none" w:sz="0" w:space="0" w:color="auto"/>
        <w:right w:val="none" w:sz="0" w:space="0" w:color="auto"/>
      </w:divBdr>
    </w:div>
    <w:div w:id="980429386">
      <w:bodyDiv w:val="1"/>
      <w:marLeft w:val="0"/>
      <w:marRight w:val="0"/>
      <w:marTop w:val="0"/>
      <w:marBottom w:val="0"/>
      <w:divBdr>
        <w:top w:val="none" w:sz="0" w:space="0" w:color="auto"/>
        <w:left w:val="none" w:sz="0" w:space="0" w:color="auto"/>
        <w:bottom w:val="none" w:sz="0" w:space="0" w:color="auto"/>
        <w:right w:val="none" w:sz="0" w:space="0" w:color="auto"/>
      </w:divBdr>
    </w:div>
    <w:div w:id="987392808">
      <w:bodyDiv w:val="1"/>
      <w:marLeft w:val="0"/>
      <w:marRight w:val="0"/>
      <w:marTop w:val="0"/>
      <w:marBottom w:val="0"/>
      <w:divBdr>
        <w:top w:val="none" w:sz="0" w:space="0" w:color="auto"/>
        <w:left w:val="none" w:sz="0" w:space="0" w:color="auto"/>
        <w:bottom w:val="none" w:sz="0" w:space="0" w:color="auto"/>
        <w:right w:val="none" w:sz="0" w:space="0" w:color="auto"/>
      </w:divBdr>
      <w:divsChild>
        <w:div w:id="1970816359">
          <w:marLeft w:val="0"/>
          <w:marRight w:val="0"/>
          <w:marTop w:val="0"/>
          <w:marBottom w:val="0"/>
          <w:divBdr>
            <w:top w:val="none" w:sz="0" w:space="0" w:color="auto"/>
            <w:left w:val="none" w:sz="0" w:space="0" w:color="auto"/>
            <w:bottom w:val="none" w:sz="0" w:space="0" w:color="auto"/>
            <w:right w:val="none" w:sz="0" w:space="0" w:color="auto"/>
          </w:divBdr>
        </w:div>
        <w:div w:id="257058122">
          <w:marLeft w:val="0"/>
          <w:marRight w:val="0"/>
          <w:marTop w:val="0"/>
          <w:marBottom w:val="0"/>
          <w:divBdr>
            <w:top w:val="none" w:sz="0" w:space="0" w:color="auto"/>
            <w:left w:val="none" w:sz="0" w:space="0" w:color="auto"/>
            <w:bottom w:val="none" w:sz="0" w:space="0" w:color="auto"/>
            <w:right w:val="none" w:sz="0" w:space="0" w:color="auto"/>
          </w:divBdr>
        </w:div>
        <w:div w:id="1565331492">
          <w:marLeft w:val="0"/>
          <w:marRight w:val="0"/>
          <w:marTop w:val="0"/>
          <w:marBottom w:val="0"/>
          <w:divBdr>
            <w:top w:val="none" w:sz="0" w:space="0" w:color="auto"/>
            <w:left w:val="none" w:sz="0" w:space="0" w:color="auto"/>
            <w:bottom w:val="none" w:sz="0" w:space="0" w:color="auto"/>
            <w:right w:val="none" w:sz="0" w:space="0" w:color="auto"/>
          </w:divBdr>
        </w:div>
        <w:div w:id="1159729209">
          <w:marLeft w:val="0"/>
          <w:marRight w:val="0"/>
          <w:marTop w:val="0"/>
          <w:marBottom w:val="0"/>
          <w:divBdr>
            <w:top w:val="none" w:sz="0" w:space="0" w:color="auto"/>
            <w:left w:val="none" w:sz="0" w:space="0" w:color="auto"/>
            <w:bottom w:val="none" w:sz="0" w:space="0" w:color="auto"/>
            <w:right w:val="none" w:sz="0" w:space="0" w:color="auto"/>
          </w:divBdr>
        </w:div>
        <w:div w:id="1420444144">
          <w:marLeft w:val="0"/>
          <w:marRight w:val="0"/>
          <w:marTop w:val="0"/>
          <w:marBottom w:val="0"/>
          <w:divBdr>
            <w:top w:val="none" w:sz="0" w:space="0" w:color="auto"/>
            <w:left w:val="none" w:sz="0" w:space="0" w:color="auto"/>
            <w:bottom w:val="none" w:sz="0" w:space="0" w:color="auto"/>
            <w:right w:val="none" w:sz="0" w:space="0" w:color="auto"/>
          </w:divBdr>
        </w:div>
        <w:div w:id="563880647">
          <w:marLeft w:val="0"/>
          <w:marRight w:val="0"/>
          <w:marTop w:val="0"/>
          <w:marBottom w:val="0"/>
          <w:divBdr>
            <w:top w:val="none" w:sz="0" w:space="0" w:color="auto"/>
            <w:left w:val="none" w:sz="0" w:space="0" w:color="auto"/>
            <w:bottom w:val="none" w:sz="0" w:space="0" w:color="auto"/>
            <w:right w:val="none" w:sz="0" w:space="0" w:color="auto"/>
          </w:divBdr>
        </w:div>
        <w:div w:id="1015764171">
          <w:marLeft w:val="0"/>
          <w:marRight w:val="0"/>
          <w:marTop w:val="0"/>
          <w:marBottom w:val="0"/>
          <w:divBdr>
            <w:top w:val="none" w:sz="0" w:space="0" w:color="auto"/>
            <w:left w:val="none" w:sz="0" w:space="0" w:color="auto"/>
            <w:bottom w:val="none" w:sz="0" w:space="0" w:color="auto"/>
            <w:right w:val="none" w:sz="0" w:space="0" w:color="auto"/>
          </w:divBdr>
        </w:div>
        <w:div w:id="569850859">
          <w:marLeft w:val="0"/>
          <w:marRight w:val="0"/>
          <w:marTop w:val="0"/>
          <w:marBottom w:val="0"/>
          <w:divBdr>
            <w:top w:val="none" w:sz="0" w:space="0" w:color="auto"/>
            <w:left w:val="none" w:sz="0" w:space="0" w:color="auto"/>
            <w:bottom w:val="none" w:sz="0" w:space="0" w:color="auto"/>
            <w:right w:val="none" w:sz="0" w:space="0" w:color="auto"/>
          </w:divBdr>
        </w:div>
        <w:div w:id="961619671">
          <w:marLeft w:val="0"/>
          <w:marRight w:val="0"/>
          <w:marTop w:val="0"/>
          <w:marBottom w:val="0"/>
          <w:divBdr>
            <w:top w:val="none" w:sz="0" w:space="0" w:color="auto"/>
            <w:left w:val="none" w:sz="0" w:space="0" w:color="auto"/>
            <w:bottom w:val="none" w:sz="0" w:space="0" w:color="auto"/>
            <w:right w:val="none" w:sz="0" w:space="0" w:color="auto"/>
          </w:divBdr>
        </w:div>
        <w:div w:id="551305699">
          <w:marLeft w:val="0"/>
          <w:marRight w:val="0"/>
          <w:marTop w:val="0"/>
          <w:marBottom w:val="0"/>
          <w:divBdr>
            <w:top w:val="none" w:sz="0" w:space="0" w:color="auto"/>
            <w:left w:val="none" w:sz="0" w:space="0" w:color="auto"/>
            <w:bottom w:val="none" w:sz="0" w:space="0" w:color="auto"/>
            <w:right w:val="none" w:sz="0" w:space="0" w:color="auto"/>
          </w:divBdr>
        </w:div>
        <w:div w:id="1090856275">
          <w:marLeft w:val="0"/>
          <w:marRight w:val="0"/>
          <w:marTop w:val="0"/>
          <w:marBottom w:val="0"/>
          <w:divBdr>
            <w:top w:val="none" w:sz="0" w:space="0" w:color="auto"/>
            <w:left w:val="none" w:sz="0" w:space="0" w:color="auto"/>
            <w:bottom w:val="none" w:sz="0" w:space="0" w:color="auto"/>
            <w:right w:val="none" w:sz="0" w:space="0" w:color="auto"/>
          </w:divBdr>
        </w:div>
        <w:div w:id="94055526">
          <w:marLeft w:val="0"/>
          <w:marRight w:val="0"/>
          <w:marTop w:val="0"/>
          <w:marBottom w:val="0"/>
          <w:divBdr>
            <w:top w:val="none" w:sz="0" w:space="0" w:color="auto"/>
            <w:left w:val="none" w:sz="0" w:space="0" w:color="auto"/>
            <w:bottom w:val="none" w:sz="0" w:space="0" w:color="auto"/>
            <w:right w:val="none" w:sz="0" w:space="0" w:color="auto"/>
          </w:divBdr>
        </w:div>
        <w:div w:id="1207184835">
          <w:marLeft w:val="0"/>
          <w:marRight w:val="0"/>
          <w:marTop w:val="0"/>
          <w:marBottom w:val="0"/>
          <w:divBdr>
            <w:top w:val="none" w:sz="0" w:space="0" w:color="auto"/>
            <w:left w:val="none" w:sz="0" w:space="0" w:color="auto"/>
            <w:bottom w:val="none" w:sz="0" w:space="0" w:color="auto"/>
            <w:right w:val="none" w:sz="0" w:space="0" w:color="auto"/>
          </w:divBdr>
        </w:div>
        <w:div w:id="890965916">
          <w:marLeft w:val="0"/>
          <w:marRight w:val="0"/>
          <w:marTop w:val="0"/>
          <w:marBottom w:val="0"/>
          <w:divBdr>
            <w:top w:val="none" w:sz="0" w:space="0" w:color="auto"/>
            <w:left w:val="none" w:sz="0" w:space="0" w:color="auto"/>
            <w:bottom w:val="none" w:sz="0" w:space="0" w:color="auto"/>
            <w:right w:val="none" w:sz="0" w:space="0" w:color="auto"/>
          </w:divBdr>
        </w:div>
        <w:div w:id="1893808376">
          <w:marLeft w:val="0"/>
          <w:marRight w:val="0"/>
          <w:marTop w:val="0"/>
          <w:marBottom w:val="0"/>
          <w:divBdr>
            <w:top w:val="none" w:sz="0" w:space="0" w:color="auto"/>
            <w:left w:val="none" w:sz="0" w:space="0" w:color="auto"/>
            <w:bottom w:val="none" w:sz="0" w:space="0" w:color="auto"/>
            <w:right w:val="none" w:sz="0" w:space="0" w:color="auto"/>
          </w:divBdr>
        </w:div>
        <w:div w:id="602079704">
          <w:marLeft w:val="0"/>
          <w:marRight w:val="0"/>
          <w:marTop w:val="0"/>
          <w:marBottom w:val="0"/>
          <w:divBdr>
            <w:top w:val="none" w:sz="0" w:space="0" w:color="auto"/>
            <w:left w:val="none" w:sz="0" w:space="0" w:color="auto"/>
            <w:bottom w:val="none" w:sz="0" w:space="0" w:color="auto"/>
            <w:right w:val="none" w:sz="0" w:space="0" w:color="auto"/>
          </w:divBdr>
        </w:div>
        <w:div w:id="869563518">
          <w:marLeft w:val="0"/>
          <w:marRight w:val="0"/>
          <w:marTop w:val="0"/>
          <w:marBottom w:val="0"/>
          <w:divBdr>
            <w:top w:val="none" w:sz="0" w:space="0" w:color="auto"/>
            <w:left w:val="none" w:sz="0" w:space="0" w:color="auto"/>
            <w:bottom w:val="none" w:sz="0" w:space="0" w:color="auto"/>
            <w:right w:val="none" w:sz="0" w:space="0" w:color="auto"/>
          </w:divBdr>
        </w:div>
        <w:div w:id="446197475">
          <w:marLeft w:val="0"/>
          <w:marRight w:val="0"/>
          <w:marTop w:val="0"/>
          <w:marBottom w:val="0"/>
          <w:divBdr>
            <w:top w:val="none" w:sz="0" w:space="0" w:color="auto"/>
            <w:left w:val="none" w:sz="0" w:space="0" w:color="auto"/>
            <w:bottom w:val="none" w:sz="0" w:space="0" w:color="auto"/>
            <w:right w:val="none" w:sz="0" w:space="0" w:color="auto"/>
          </w:divBdr>
        </w:div>
        <w:div w:id="675183244">
          <w:marLeft w:val="0"/>
          <w:marRight w:val="0"/>
          <w:marTop w:val="0"/>
          <w:marBottom w:val="0"/>
          <w:divBdr>
            <w:top w:val="none" w:sz="0" w:space="0" w:color="auto"/>
            <w:left w:val="none" w:sz="0" w:space="0" w:color="auto"/>
            <w:bottom w:val="none" w:sz="0" w:space="0" w:color="auto"/>
            <w:right w:val="none" w:sz="0" w:space="0" w:color="auto"/>
          </w:divBdr>
        </w:div>
        <w:div w:id="67728507">
          <w:marLeft w:val="0"/>
          <w:marRight w:val="0"/>
          <w:marTop w:val="0"/>
          <w:marBottom w:val="0"/>
          <w:divBdr>
            <w:top w:val="none" w:sz="0" w:space="0" w:color="auto"/>
            <w:left w:val="none" w:sz="0" w:space="0" w:color="auto"/>
            <w:bottom w:val="none" w:sz="0" w:space="0" w:color="auto"/>
            <w:right w:val="none" w:sz="0" w:space="0" w:color="auto"/>
          </w:divBdr>
        </w:div>
        <w:div w:id="1105154165">
          <w:marLeft w:val="0"/>
          <w:marRight w:val="0"/>
          <w:marTop w:val="0"/>
          <w:marBottom w:val="0"/>
          <w:divBdr>
            <w:top w:val="none" w:sz="0" w:space="0" w:color="auto"/>
            <w:left w:val="none" w:sz="0" w:space="0" w:color="auto"/>
            <w:bottom w:val="none" w:sz="0" w:space="0" w:color="auto"/>
            <w:right w:val="none" w:sz="0" w:space="0" w:color="auto"/>
          </w:divBdr>
        </w:div>
      </w:divsChild>
    </w:div>
    <w:div w:id="1117916545">
      <w:bodyDiv w:val="1"/>
      <w:marLeft w:val="0"/>
      <w:marRight w:val="0"/>
      <w:marTop w:val="0"/>
      <w:marBottom w:val="0"/>
      <w:divBdr>
        <w:top w:val="none" w:sz="0" w:space="0" w:color="auto"/>
        <w:left w:val="none" w:sz="0" w:space="0" w:color="auto"/>
        <w:bottom w:val="none" w:sz="0" w:space="0" w:color="auto"/>
        <w:right w:val="none" w:sz="0" w:space="0" w:color="auto"/>
      </w:divBdr>
      <w:divsChild>
        <w:div w:id="1333484208">
          <w:marLeft w:val="0"/>
          <w:marRight w:val="0"/>
          <w:marTop w:val="0"/>
          <w:marBottom w:val="0"/>
          <w:divBdr>
            <w:top w:val="none" w:sz="0" w:space="0" w:color="auto"/>
            <w:left w:val="none" w:sz="0" w:space="0" w:color="auto"/>
            <w:bottom w:val="none" w:sz="0" w:space="0" w:color="auto"/>
            <w:right w:val="none" w:sz="0" w:space="0" w:color="auto"/>
          </w:divBdr>
        </w:div>
        <w:div w:id="1161852587">
          <w:marLeft w:val="0"/>
          <w:marRight w:val="0"/>
          <w:marTop w:val="0"/>
          <w:marBottom w:val="0"/>
          <w:divBdr>
            <w:top w:val="none" w:sz="0" w:space="0" w:color="auto"/>
            <w:left w:val="none" w:sz="0" w:space="0" w:color="auto"/>
            <w:bottom w:val="none" w:sz="0" w:space="0" w:color="auto"/>
            <w:right w:val="none" w:sz="0" w:space="0" w:color="auto"/>
          </w:divBdr>
        </w:div>
        <w:div w:id="756898575">
          <w:marLeft w:val="0"/>
          <w:marRight w:val="0"/>
          <w:marTop w:val="0"/>
          <w:marBottom w:val="0"/>
          <w:divBdr>
            <w:top w:val="none" w:sz="0" w:space="0" w:color="auto"/>
            <w:left w:val="none" w:sz="0" w:space="0" w:color="auto"/>
            <w:bottom w:val="none" w:sz="0" w:space="0" w:color="auto"/>
            <w:right w:val="none" w:sz="0" w:space="0" w:color="auto"/>
          </w:divBdr>
        </w:div>
        <w:div w:id="1693528874">
          <w:marLeft w:val="0"/>
          <w:marRight w:val="0"/>
          <w:marTop w:val="0"/>
          <w:marBottom w:val="0"/>
          <w:divBdr>
            <w:top w:val="none" w:sz="0" w:space="0" w:color="auto"/>
            <w:left w:val="none" w:sz="0" w:space="0" w:color="auto"/>
            <w:bottom w:val="none" w:sz="0" w:space="0" w:color="auto"/>
            <w:right w:val="none" w:sz="0" w:space="0" w:color="auto"/>
          </w:divBdr>
        </w:div>
        <w:div w:id="1666198860">
          <w:marLeft w:val="0"/>
          <w:marRight w:val="0"/>
          <w:marTop w:val="0"/>
          <w:marBottom w:val="0"/>
          <w:divBdr>
            <w:top w:val="none" w:sz="0" w:space="0" w:color="auto"/>
            <w:left w:val="none" w:sz="0" w:space="0" w:color="auto"/>
            <w:bottom w:val="none" w:sz="0" w:space="0" w:color="auto"/>
            <w:right w:val="none" w:sz="0" w:space="0" w:color="auto"/>
          </w:divBdr>
        </w:div>
      </w:divsChild>
    </w:div>
    <w:div w:id="1666401736">
      <w:bodyDiv w:val="1"/>
      <w:marLeft w:val="0"/>
      <w:marRight w:val="0"/>
      <w:marTop w:val="0"/>
      <w:marBottom w:val="0"/>
      <w:divBdr>
        <w:top w:val="none" w:sz="0" w:space="0" w:color="auto"/>
        <w:left w:val="none" w:sz="0" w:space="0" w:color="auto"/>
        <w:bottom w:val="none" w:sz="0" w:space="0" w:color="auto"/>
        <w:right w:val="none" w:sz="0" w:space="0" w:color="auto"/>
      </w:divBdr>
      <w:divsChild>
        <w:div w:id="723211310">
          <w:marLeft w:val="0"/>
          <w:marRight w:val="0"/>
          <w:marTop w:val="0"/>
          <w:marBottom w:val="0"/>
          <w:divBdr>
            <w:top w:val="none" w:sz="0" w:space="0" w:color="auto"/>
            <w:left w:val="none" w:sz="0" w:space="0" w:color="auto"/>
            <w:bottom w:val="none" w:sz="0" w:space="0" w:color="auto"/>
            <w:right w:val="none" w:sz="0" w:space="0" w:color="auto"/>
          </w:divBdr>
        </w:div>
        <w:div w:id="696738061">
          <w:marLeft w:val="0"/>
          <w:marRight w:val="0"/>
          <w:marTop w:val="0"/>
          <w:marBottom w:val="0"/>
          <w:divBdr>
            <w:top w:val="none" w:sz="0" w:space="0" w:color="auto"/>
            <w:left w:val="none" w:sz="0" w:space="0" w:color="auto"/>
            <w:bottom w:val="none" w:sz="0" w:space="0" w:color="auto"/>
            <w:right w:val="none" w:sz="0" w:space="0" w:color="auto"/>
          </w:divBdr>
          <w:divsChild>
            <w:div w:id="43077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75CE8-236F-4661-A27B-67EA22C84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5632</Words>
  <Characters>32108</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Customer</Company>
  <LinksUpToDate>false</LinksUpToDate>
  <CharactersWithSpaces>37665</CharactersWithSpaces>
  <SharedDoc>false</SharedDoc>
  <HLinks>
    <vt:vector size="6" baseType="variant">
      <vt:variant>
        <vt:i4>4128895</vt:i4>
      </vt:variant>
      <vt:variant>
        <vt:i4>0</vt:i4>
      </vt:variant>
      <vt:variant>
        <vt:i4>0</vt:i4>
      </vt:variant>
      <vt:variant>
        <vt:i4>5</vt:i4>
      </vt:variant>
      <vt:variant>
        <vt:lpwstr>http://www.simplypsychology.org/piaget.html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larvor</dc:creator>
  <cp:keywords/>
  <cp:lastModifiedBy>Brendan larvor</cp:lastModifiedBy>
  <cp:revision>2</cp:revision>
  <cp:lastPrinted>2015-08-03T09:18:00Z</cp:lastPrinted>
  <dcterms:created xsi:type="dcterms:W3CDTF">2018-11-22T12:18:00Z</dcterms:created>
  <dcterms:modified xsi:type="dcterms:W3CDTF">2018-11-22T12:18:00Z</dcterms:modified>
</cp:coreProperties>
</file>