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6AF78" w14:textId="11529E47" w:rsidR="00834FA5" w:rsidRDefault="003F2BFF" w:rsidP="00C5075C">
      <w:pPr>
        <w:spacing w:beforeLines="100" w:before="240" w:afterLines="100" w:after="240" w:line="480" w:lineRule="auto"/>
        <w:rPr>
          <w:rFonts w:ascii="Times New Roman" w:hAnsi="Times New Roman" w:cs="Times New Roman"/>
          <w:sz w:val="24"/>
          <w:szCs w:val="24"/>
        </w:rPr>
      </w:pPr>
      <w:r w:rsidRPr="0008661E">
        <w:rPr>
          <w:rFonts w:ascii="Times New Roman" w:hAnsi="Times New Roman" w:cs="Times New Roman"/>
          <w:sz w:val="32"/>
          <w:szCs w:val="32"/>
        </w:rPr>
        <w:t xml:space="preserve">Kuhn’s </w:t>
      </w:r>
      <w:r w:rsidRPr="0008661E">
        <w:rPr>
          <w:rFonts w:ascii="Times New Roman" w:hAnsi="Times New Roman" w:cs="Times New Roman"/>
          <w:sz w:val="32"/>
          <w:szCs w:val="32"/>
          <w:lang w:val="en-US" w:eastAsia="zh-CN"/>
        </w:rPr>
        <w:t>“</w:t>
      </w:r>
      <w:r w:rsidRPr="0008661E">
        <w:rPr>
          <w:rFonts w:ascii="Times New Roman" w:hAnsi="Times New Roman" w:cs="Times New Roman"/>
          <w:sz w:val="32"/>
          <w:szCs w:val="32"/>
        </w:rPr>
        <w:t>Wrong Turning</w:t>
      </w:r>
      <w:r w:rsidR="0055034F">
        <w:rPr>
          <w:rFonts w:ascii="Times New Roman" w:hAnsi="Times New Roman" w:cs="Times New Roman"/>
          <w:sz w:val="32"/>
          <w:szCs w:val="32"/>
          <w:lang w:val="en-US" w:eastAsia="zh-CN"/>
        </w:rPr>
        <w:t>” and Legacy Today</w:t>
      </w:r>
      <w:bookmarkStart w:id="0" w:name="_GoBack"/>
      <w:bookmarkEnd w:id="0"/>
    </w:p>
    <w:p w14:paraId="6BCE932A" w14:textId="741C224D" w:rsidR="00251A6D" w:rsidRPr="00834FA5" w:rsidRDefault="003D6B23" w:rsidP="00C5075C">
      <w:pPr>
        <w:spacing w:beforeLines="100" w:before="240" w:afterLines="100" w:after="240" w:line="480" w:lineRule="auto"/>
        <w:rPr>
          <w:rFonts w:ascii="Times New Roman" w:hAnsi="Times New Roman" w:cs="Times New Roman"/>
          <w:sz w:val="32"/>
          <w:szCs w:val="32"/>
        </w:rPr>
      </w:pPr>
      <w:r>
        <w:rPr>
          <w:rFonts w:ascii="Times New Roman" w:hAnsi="Times New Roman" w:cs="Times New Roman"/>
          <w:b/>
          <w:sz w:val="24"/>
          <w:szCs w:val="24"/>
        </w:rPr>
        <w:t>1</w:t>
      </w:r>
      <w:r w:rsidR="00577B52" w:rsidRPr="0008661E">
        <w:rPr>
          <w:rFonts w:ascii="Times New Roman" w:hAnsi="Times New Roman" w:cs="Times New Roman"/>
          <w:b/>
          <w:sz w:val="24"/>
          <w:szCs w:val="24"/>
        </w:rPr>
        <w:t xml:space="preserve">. </w:t>
      </w:r>
      <w:r w:rsidR="001354AC">
        <w:rPr>
          <w:rFonts w:ascii="Times New Roman" w:hAnsi="Times New Roman" w:cs="Times New Roman"/>
          <w:b/>
          <w:sz w:val="24"/>
          <w:szCs w:val="24"/>
        </w:rPr>
        <w:t xml:space="preserve">Introduction: </w:t>
      </w:r>
      <w:r w:rsidR="001C64AB" w:rsidRPr="0008661E">
        <w:rPr>
          <w:rFonts w:ascii="Times New Roman" w:hAnsi="Times New Roman" w:cs="Times New Roman"/>
          <w:b/>
          <w:sz w:val="24"/>
          <w:szCs w:val="24"/>
        </w:rPr>
        <w:t>Bird</w:t>
      </w:r>
      <w:r w:rsidR="00834FA5">
        <w:rPr>
          <w:rFonts w:ascii="Times New Roman" w:hAnsi="Times New Roman" w:cs="Times New Roman"/>
          <w:b/>
          <w:sz w:val="24"/>
          <w:szCs w:val="24"/>
        </w:rPr>
        <w:t xml:space="preserve"> on the Paradox of Kuhn’s Legacy</w:t>
      </w:r>
    </w:p>
    <w:p w14:paraId="074AAB45" w14:textId="48FF3459" w:rsidR="00E62D84" w:rsidRPr="0008661E" w:rsidRDefault="003D6B23" w:rsidP="00C5075C">
      <w:pPr>
        <w:spacing w:beforeLines="100" w:before="240" w:afterLines="100" w:after="240" w:line="480" w:lineRule="auto"/>
        <w:rPr>
          <w:rFonts w:ascii="Times New Roman" w:hAnsi="Times New Roman" w:cs="Times New Roman"/>
          <w:sz w:val="24"/>
          <w:szCs w:val="24"/>
        </w:rPr>
      </w:pPr>
      <w:r w:rsidRPr="0008661E">
        <w:rPr>
          <w:rFonts w:ascii="Times New Roman" w:hAnsi="Times New Roman" w:cs="Times New Roman"/>
          <w:sz w:val="24"/>
          <w:szCs w:val="24"/>
        </w:rPr>
        <w:t xml:space="preserve">Alexander Bird </w:t>
      </w:r>
      <w:r w:rsidR="008C414C">
        <w:rPr>
          <w:rFonts w:ascii="Times New Roman" w:hAnsi="Times New Roman" w:cs="Times New Roman"/>
          <w:sz w:val="24"/>
          <w:szCs w:val="24"/>
        </w:rPr>
        <w:fldChar w:fldCharType="begin" w:fldLock="1"/>
      </w:r>
      <w:r w:rsidR="00302671">
        <w:rPr>
          <w:rFonts w:ascii="Times New Roman" w:hAnsi="Times New Roman" w:cs="Times New Roman"/>
          <w:sz w:val="24"/>
          <w:szCs w:val="24"/>
        </w:rPr>
        <w:instrText>ADDIN CSL_CITATION { "citationItems" : [ { "id" : "ITEM-1", "itemData" : { "author" : [ { "dropping-particle" : "", "family" : "Bird", "given" : "Alexander", "non-dropping-particle" : "", "parse-names" : false, "suffix" : "" } ], "container-title" : "Studies in History and Philosophy of Science", "id" : "ITEM-1", "issue" : "3", "issued" : { "date-parts" : [ [ "2002" ] ] }, "page" : "443-463", "title" : "Kuhn's Wrong Turning", "type" : "article-journal", "volume" : "33" }, "suppress-author" : 1, "uris" : [ "http://www.mendeley.com/documents/?uuid=d6292e77-253a-41dd-9845-dd6a92a0919a" ] } ], "mendeley" : { "formattedCitation" : "(2002)", "plainTextFormattedCitation" : "(2002)", "previouslyFormattedCitation" : "(2002)" }, "properties" : { "noteIndex" : 0 }, "schema" : "https://github.com/citation-style-language/schema/raw/master/csl-citation.json" }</w:instrText>
      </w:r>
      <w:r w:rsidR="008C414C">
        <w:rPr>
          <w:rFonts w:ascii="Times New Roman" w:hAnsi="Times New Roman" w:cs="Times New Roman"/>
          <w:sz w:val="24"/>
          <w:szCs w:val="24"/>
        </w:rPr>
        <w:fldChar w:fldCharType="separate"/>
      </w:r>
      <w:r w:rsidR="008C414C" w:rsidRPr="008C414C">
        <w:rPr>
          <w:rFonts w:ascii="Times New Roman" w:hAnsi="Times New Roman" w:cs="Times New Roman"/>
          <w:noProof/>
          <w:sz w:val="24"/>
          <w:szCs w:val="24"/>
        </w:rPr>
        <w:t>(2002)</w:t>
      </w:r>
      <w:r w:rsidR="008C414C">
        <w:rPr>
          <w:rFonts w:ascii="Times New Roman" w:hAnsi="Times New Roman" w:cs="Times New Roman"/>
          <w:sz w:val="24"/>
          <w:szCs w:val="24"/>
        </w:rPr>
        <w:fldChar w:fldCharType="end"/>
      </w:r>
      <w:r w:rsidR="008C414C">
        <w:rPr>
          <w:rFonts w:ascii="Times New Roman" w:hAnsi="Times New Roman" w:cs="Times New Roman"/>
          <w:sz w:val="24"/>
          <w:szCs w:val="24"/>
        </w:rPr>
        <w:t xml:space="preserve"> </w:t>
      </w:r>
      <w:r w:rsidRPr="0008661E">
        <w:rPr>
          <w:rFonts w:ascii="Times New Roman" w:hAnsi="Times New Roman" w:cs="Times New Roman"/>
          <w:sz w:val="24"/>
          <w:szCs w:val="24"/>
        </w:rPr>
        <w:t xml:space="preserve">indicates that the significance of Thomas </w:t>
      </w:r>
      <w:r>
        <w:rPr>
          <w:rFonts w:ascii="Times New Roman" w:hAnsi="Times New Roman" w:cs="Times New Roman"/>
          <w:sz w:val="24"/>
          <w:szCs w:val="24"/>
        </w:rPr>
        <w:t xml:space="preserve">Kuhn in the history of </w:t>
      </w:r>
      <w:r w:rsidRPr="0008661E">
        <w:rPr>
          <w:rFonts w:ascii="Times New Roman" w:hAnsi="Times New Roman" w:cs="Times New Roman"/>
          <w:sz w:val="24"/>
          <w:szCs w:val="24"/>
        </w:rPr>
        <w:t xml:space="preserve">philosophy of science is somehow paradoxical. On the one hand, Kuhn was one of the most influential and important philosophers of science in the second half of the twentieth century. On the other hand, nowadays there is little distinctively Kuhn’s legacy in the sense that most </w:t>
      </w:r>
      <w:r w:rsidR="001237C7">
        <w:rPr>
          <w:rFonts w:ascii="Times New Roman" w:hAnsi="Times New Roman" w:cs="Times New Roman"/>
          <w:sz w:val="24"/>
          <w:szCs w:val="24"/>
        </w:rPr>
        <w:t>of Kuhn’s work has no longer any</w:t>
      </w:r>
      <w:r w:rsidRPr="0008661E">
        <w:rPr>
          <w:rFonts w:ascii="Times New Roman" w:hAnsi="Times New Roman" w:cs="Times New Roman"/>
          <w:sz w:val="24"/>
          <w:szCs w:val="24"/>
        </w:rPr>
        <w:t xml:space="preserve"> philosophical significance.</w:t>
      </w:r>
      <w:r w:rsidR="00216291" w:rsidRPr="00330659">
        <w:rPr>
          <w:rStyle w:val="FootnoteReference"/>
        </w:rPr>
        <w:footnoteReference w:id="1"/>
      </w:r>
      <w:r w:rsidRPr="0008661E">
        <w:rPr>
          <w:rFonts w:ascii="Times New Roman" w:hAnsi="Times New Roman" w:cs="Times New Roman"/>
          <w:sz w:val="24"/>
          <w:szCs w:val="24"/>
        </w:rPr>
        <w:t xml:space="preserve"> </w:t>
      </w:r>
      <w:r w:rsidR="00E62D84" w:rsidRPr="0008661E">
        <w:rPr>
          <w:rFonts w:ascii="Times New Roman" w:hAnsi="Times New Roman" w:cs="Times New Roman"/>
          <w:sz w:val="24"/>
          <w:szCs w:val="24"/>
        </w:rPr>
        <w:t>Bird argu</w:t>
      </w:r>
      <w:r w:rsidR="000565C4" w:rsidRPr="0008661E">
        <w:rPr>
          <w:rFonts w:ascii="Times New Roman" w:hAnsi="Times New Roman" w:cs="Times New Roman"/>
          <w:sz w:val="24"/>
          <w:szCs w:val="24"/>
        </w:rPr>
        <w:t>es</w:t>
      </w:r>
      <w:r w:rsidR="0073167D" w:rsidRPr="0008661E">
        <w:rPr>
          <w:rFonts w:ascii="Times New Roman" w:hAnsi="Times New Roman" w:cs="Times New Roman"/>
          <w:sz w:val="24"/>
          <w:szCs w:val="24"/>
        </w:rPr>
        <w:t xml:space="preserve"> that the explanation of the paradox of Kuhn’s legacy</w:t>
      </w:r>
      <w:r w:rsidR="00E62D84" w:rsidRPr="0008661E">
        <w:rPr>
          <w:rFonts w:ascii="Times New Roman" w:hAnsi="Times New Roman" w:cs="Times New Roman"/>
          <w:sz w:val="24"/>
          <w:szCs w:val="24"/>
        </w:rPr>
        <w:t xml:space="preserve"> is that Kuhn took a direction opposite to that of the mainstream of the philosophy of science in his later academic career. </w:t>
      </w:r>
      <w:r w:rsidR="00493FF0" w:rsidRPr="0008661E">
        <w:rPr>
          <w:rFonts w:ascii="Times New Roman" w:hAnsi="Times New Roman" w:cs="Times New Roman"/>
          <w:sz w:val="24"/>
          <w:szCs w:val="24"/>
        </w:rPr>
        <w:t xml:space="preserve">From Bird’s point of view, </w:t>
      </w:r>
      <w:r w:rsidR="00493FF0">
        <w:rPr>
          <w:rFonts w:ascii="Times New Roman" w:hAnsi="Times New Roman" w:cs="Times New Roman"/>
          <w:sz w:val="24"/>
          <w:szCs w:val="24"/>
        </w:rPr>
        <w:t>s</w:t>
      </w:r>
      <w:r w:rsidR="00E62D84" w:rsidRPr="0008661E">
        <w:rPr>
          <w:rFonts w:ascii="Times New Roman" w:hAnsi="Times New Roman" w:cs="Times New Roman"/>
          <w:sz w:val="24"/>
          <w:szCs w:val="24"/>
        </w:rPr>
        <w:t xml:space="preserve">ince </w:t>
      </w:r>
      <w:r w:rsidR="00EF3EA9">
        <w:rPr>
          <w:rFonts w:ascii="Times New Roman" w:hAnsi="Times New Roman" w:cs="Times New Roman"/>
          <w:sz w:val="24"/>
          <w:szCs w:val="24"/>
        </w:rPr>
        <w:t xml:space="preserve">the </w:t>
      </w:r>
      <w:r w:rsidR="00E62D84" w:rsidRPr="0008661E">
        <w:rPr>
          <w:rFonts w:ascii="Times New Roman" w:hAnsi="Times New Roman" w:cs="Times New Roman"/>
          <w:sz w:val="24"/>
          <w:szCs w:val="24"/>
        </w:rPr>
        <w:t>1970s, more and more philosophers became sympathetic to a naturalistic approach to philosophical issues, whereas Kuhn took a more</w:t>
      </w:r>
      <w:r w:rsidR="00A26C63" w:rsidRPr="0008661E">
        <w:rPr>
          <w:rFonts w:ascii="Times New Roman" w:hAnsi="Times New Roman" w:cs="Times New Roman"/>
          <w:sz w:val="24"/>
          <w:szCs w:val="24"/>
        </w:rPr>
        <w:t xml:space="preserve"> a priori</w:t>
      </w:r>
      <w:r w:rsidR="00E62D84" w:rsidRPr="0008661E">
        <w:rPr>
          <w:rFonts w:ascii="Times New Roman" w:hAnsi="Times New Roman" w:cs="Times New Roman"/>
          <w:sz w:val="24"/>
          <w:szCs w:val="24"/>
        </w:rPr>
        <w:t xml:space="preserve"> approach. This is what Bi</w:t>
      </w:r>
      <w:r w:rsidR="00282776" w:rsidRPr="0008661E">
        <w:rPr>
          <w:rFonts w:ascii="Times New Roman" w:hAnsi="Times New Roman" w:cs="Times New Roman"/>
          <w:sz w:val="24"/>
          <w:szCs w:val="24"/>
        </w:rPr>
        <w:t>rd called Kuhn’s wrong turning.</w:t>
      </w:r>
      <w:r w:rsidR="00251A6D" w:rsidRPr="0008661E">
        <w:rPr>
          <w:rFonts w:ascii="Times New Roman" w:hAnsi="Times New Roman" w:cs="Times New Roman"/>
          <w:sz w:val="24"/>
          <w:szCs w:val="24"/>
        </w:rPr>
        <w:t xml:space="preserve"> </w:t>
      </w:r>
      <w:r w:rsidR="00493FF0">
        <w:rPr>
          <w:rFonts w:ascii="Times New Roman" w:hAnsi="Times New Roman" w:cs="Times New Roman"/>
          <w:sz w:val="24"/>
          <w:szCs w:val="24"/>
        </w:rPr>
        <w:t>A</w:t>
      </w:r>
      <w:r w:rsidR="00E2659A" w:rsidRPr="0008661E">
        <w:rPr>
          <w:rFonts w:ascii="Times New Roman" w:hAnsi="Times New Roman" w:cs="Times New Roman"/>
          <w:sz w:val="24"/>
          <w:szCs w:val="24"/>
        </w:rPr>
        <w:t xml:space="preserve"> consequence of this</w:t>
      </w:r>
      <w:r w:rsidR="00251A6D" w:rsidRPr="0008661E">
        <w:rPr>
          <w:rFonts w:ascii="Times New Roman" w:hAnsi="Times New Roman" w:cs="Times New Roman"/>
          <w:sz w:val="24"/>
          <w:szCs w:val="24"/>
        </w:rPr>
        <w:t xml:space="preserve"> methodological turn is that Kuhn failed to arti</w:t>
      </w:r>
      <w:r w:rsidR="009B0BC8">
        <w:rPr>
          <w:rFonts w:ascii="Times New Roman" w:hAnsi="Times New Roman" w:cs="Times New Roman"/>
          <w:sz w:val="24"/>
          <w:szCs w:val="24"/>
        </w:rPr>
        <w:t>culate and ex</w:t>
      </w:r>
      <w:r w:rsidR="005D705C">
        <w:rPr>
          <w:rFonts w:ascii="Times New Roman" w:hAnsi="Times New Roman" w:cs="Times New Roman"/>
          <w:sz w:val="24"/>
          <w:szCs w:val="24"/>
        </w:rPr>
        <w:t>plore the concept of paradigm as exemplar</w:t>
      </w:r>
      <w:r w:rsidR="00251A6D" w:rsidRPr="0008661E">
        <w:rPr>
          <w:rFonts w:ascii="Times New Roman" w:hAnsi="Times New Roman" w:cs="Times New Roman"/>
          <w:sz w:val="24"/>
          <w:szCs w:val="24"/>
        </w:rPr>
        <w:t xml:space="preserve"> in a naturalistic approach.</w:t>
      </w:r>
      <w:r w:rsidR="002F07C4" w:rsidRPr="0008661E">
        <w:rPr>
          <w:rFonts w:ascii="Times New Roman" w:hAnsi="Times New Roman" w:cs="Times New Roman"/>
          <w:sz w:val="24"/>
          <w:szCs w:val="24"/>
        </w:rPr>
        <w:t xml:space="preserve"> </w:t>
      </w:r>
      <w:r w:rsidR="00372998" w:rsidRPr="0008661E">
        <w:rPr>
          <w:rFonts w:ascii="Times New Roman" w:hAnsi="Times New Roman" w:cs="Times New Roman"/>
          <w:sz w:val="24"/>
          <w:szCs w:val="24"/>
        </w:rPr>
        <w:t xml:space="preserve">Bird </w:t>
      </w:r>
      <w:r w:rsidR="00E05F6D" w:rsidRPr="0008661E">
        <w:rPr>
          <w:rFonts w:ascii="Times New Roman" w:hAnsi="Times New Roman" w:cs="Times New Roman"/>
          <w:sz w:val="24"/>
          <w:szCs w:val="24"/>
        </w:rPr>
        <w:fldChar w:fldCharType="begin" w:fldLock="1"/>
      </w:r>
      <w:r w:rsidR="00F719C2">
        <w:rPr>
          <w:rFonts w:ascii="Times New Roman" w:hAnsi="Times New Roman" w:cs="Times New Roman"/>
          <w:sz w:val="24"/>
          <w:szCs w:val="24"/>
        </w:rPr>
        <w:instrText>ADDIN CSL_CITATION { "citationItems" : [ { "id" : "ITEM-1", "itemData" : { "author" : [ { "dropping-particle" : "", "family" : "Bird", "given" : "Alexander", "non-dropping-particle" : "", "parse-names" : false, "suffix" : "" } ], "container-title" : "Studies in History and Philosophy of Science", "id" : "ITEM-1", "issue" : "3", "issued" : { "date-parts" : [ [ "2002" ] ] }, "page" : "443-463", "title" : "Kuhn's Wrong Turning", "type" : "article-journal", "volume" : "33" }, "suppress-author" : 1, "uris" : [ "http://www.mendeley.com/documents/?uuid=d6292e77-253a-41dd-9845-dd6a92a0919a", "http://www.mendeley.com/documents/?uuid=020c0979-4b7d-43c2-8cc0-545a15bef4d9" ] }, { "id" : "ITEM-2", "itemData" : { "DOI" : "10.1111/j.1467-9264.2004.00166.x", "ISSN" : "0066-7374", "abstract" : "I argue that the naturalism of Thomas Kuhn's \"The Structure of Scientific Revolutions,\" which he himself later ignored, is worthy of rehabilitation. A naturalistic conception of paradigms is ripe for development with the tools of cognitive science. As a consequence a naturalistic understanding of world-change and incommensurability is also viable", "author" : [ { "dropping-particle" : "", "family" : "Bird", "given" : "Alexander", "non-dropping-particle" : "", "parse-names" : false, "suffix" : "" } ], "container-title" : "Proceedings of the Aristotelian Society", "id" : "ITEM-2", "issue" : "1", "issued" : { "date-parts" : [ [ "2005" ] ] }, "page" : "99-117", "title" : "Naturalizing Kuhn", "type" : "article-journal", "volume" : "105" }, "suppress-author" : 1, "uris" : [ "http://www.mendeley.com/documents/?uuid=47a27aba-0baf-4237-b104-2a4baae4676d", "http://www.mendeley.com/documents/?uuid=913c1b0c-d5d3-4339-819d-323df0a599f1" ] }, { "id" : "ITEM-3", "itemData" : { "author" : [ { "dropping-particle" : "", "family" : "Bird", "given" : "Alexander", "non-dropping-particle" : "", "parse-names" : false, "suffix" : "" } ], "container-title" : "Rethinking Scientific Change and Theory Comparison: Stabilities, Ruptures, Incommensurabilities? (Boston Studies in the Philosophy and History of Science)", "editor" : [ { "dropping-particle" : "", "family" : "Soler", "given" : "L\u00e9na", "non-dropping-particle" : "", "parse-names" : false, "suffix" : "" }, { "dropping-particle" : "", "family" : "Sankey", "given" : "Howard", "non-dropping-particle" : "", "parse-names" : false, "suffix" : "" }, { "dropping-particle" : "", "family" : "Hoyningen-Huene", "given" : "Paul", "non-dropping-particle" : "", "parse-names" : false, "suffix" : "" } ], "id" : "ITEM-3", "issue" : "i", "issued" : { "date-parts" : [ [ "2008" ] ] }, "page" : "21-39", "publisher" : "Springer", "publisher-place" : "Dordrecht", "title" : "Incommensurability Naturalized", "type" : "chapter" }, "suppress-author" : 1, "uris" : [ "http://www.mendeley.com/documents/?uuid=febf707c-ee98-42c2-a8fe-8a7ac2bf529a", "http://www.mendeley.com/documents/?uuid=a69a58b8-629b-4bf3-8ba2-4e0774c61ceb" ] } ], "mendeley" : { "formattedCitation" : "(2002; 2005; 2008)", "plainTextFormattedCitation" : "(2002; 2005; 2008)", "previouslyFormattedCitation" : "(2002; 2005; 2008)" }, "properties" : { "noteIndex" : 0 }, "schema" : "https://github.com/citation-style-language/schema/raw/master/csl-citation.json" }</w:instrText>
      </w:r>
      <w:r w:rsidR="00E05F6D" w:rsidRPr="0008661E">
        <w:rPr>
          <w:rFonts w:ascii="Times New Roman" w:hAnsi="Times New Roman" w:cs="Times New Roman"/>
          <w:sz w:val="24"/>
          <w:szCs w:val="24"/>
        </w:rPr>
        <w:fldChar w:fldCharType="separate"/>
      </w:r>
      <w:r w:rsidR="00EC5040" w:rsidRPr="00EC5040">
        <w:rPr>
          <w:rFonts w:ascii="Times New Roman" w:hAnsi="Times New Roman" w:cs="Times New Roman"/>
          <w:noProof/>
          <w:sz w:val="24"/>
          <w:szCs w:val="24"/>
        </w:rPr>
        <w:t>(2002; 2005; 2008)</w:t>
      </w:r>
      <w:r w:rsidR="00E05F6D" w:rsidRPr="0008661E">
        <w:rPr>
          <w:rFonts w:ascii="Times New Roman" w:hAnsi="Times New Roman" w:cs="Times New Roman"/>
          <w:sz w:val="24"/>
          <w:szCs w:val="24"/>
        </w:rPr>
        <w:fldChar w:fldCharType="end"/>
      </w:r>
      <w:r w:rsidR="00027575" w:rsidRPr="0008661E">
        <w:rPr>
          <w:rFonts w:ascii="Times New Roman" w:hAnsi="Times New Roman" w:cs="Times New Roman"/>
          <w:sz w:val="24"/>
          <w:szCs w:val="24"/>
        </w:rPr>
        <w:t xml:space="preserve"> </w:t>
      </w:r>
      <w:r w:rsidR="003348A3">
        <w:rPr>
          <w:rFonts w:ascii="Times New Roman" w:hAnsi="Times New Roman" w:cs="Times New Roman"/>
          <w:sz w:val="24"/>
          <w:szCs w:val="24"/>
        </w:rPr>
        <w:t xml:space="preserve">also </w:t>
      </w:r>
      <w:r w:rsidR="00027575" w:rsidRPr="0008661E">
        <w:rPr>
          <w:rFonts w:ascii="Times New Roman" w:hAnsi="Times New Roman" w:cs="Times New Roman"/>
          <w:sz w:val="24"/>
          <w:szCs w:val="24"/>
        </w:rPr>
        <w:t>proposes a</w:t>
      </w:r>
      <w:r w:rsidR="00372998" w:rsidRPr="0008661E">
        <w:rPr>
          <w:rFonts w:ascii="Times New Roman" w:hAnsi="Times New Roman" w:cs="Times New Roman"/>
          <w:sz w:val="24"/>
          <w:szCs w:val="24"/>
        </w:rPr>
        <w:t xml:space="preserve"> naturalised</w:t>
      </w:r>
      <w:r w:rsidR="00027575" w:rsidRPr="0008661E">
        <w:rPr>
          <w:rFonts w:ascii="Times New Roman" w:hAnsi="Times New Roman" w:cs="Times New Roman"/>
          <w:sz w:val="24"/>
          <w:szCs w:val="24"/>
        </w:rPr>
        <w:t xml:space="preserve"> account of the</w:t>
      </w:r>
      <w:r w:rsidR="00372998" w:rsidRPr="0008661E">
        <w:rPr>
          <w:rFonts w:ascii="Times New Roman" w:hAnsi="Times New Roman" w:cs="Times New Roman"/>
          <w:sz w:val="24"/>
          <w:szCs w:val="24"/>
        </w:rPr>
        <w:t xml:space="preserve"> incommensurability thesis</w:t>
      </w:r>
      <w:r w:rsidR="00027575" w:rsidRPr="0008661E">
        <w:rPr>
          <w:rFonts w:ascii="Times New Roman" w:hAnsi="Times New Roman" w:cs="Times New Roman"/>
          <w:sz w:val="24"/>
          <w:szCs w:val="24"/>
        </w:rPr>
        <w:t xml:space="preserve"> and argues that it</w:t>
      </w:r>
      <w:r w:rsidR="00372998" w:rsidRPr="0008661E">
        <w:rPr>
          <w:rFonts w:ascii="Times New Roman" w:hAnsi="Times New Roman" w:cs="Times New Roman"/>
          <w:sz w:val="24"/>
          <w:szCs w:val="24"/>
        </w:rPr>
        <w:t xml:space="preserve"> is more promising</w:t>
      </w:r>
      <w:r w:rsidR="00C67188" w:rsidRPr="0008661E">
        <w:rPr>
          <w:rFonts w:ascii="Times New Roman" w:hAnsi="Times New Roman" w:cs="Times New Roman"/>
          <w:sz w:val="24"/>
          <w:szCs w:val="24"/>
        </w:rPr>
        <w:t xml:space="preserve"> </w:t>
      </w:r>
      <w:r w:rsidR="005B54BE" w:rsidRPr="0008661E">
        <w:rPr>
          <w:rFonts w:ascii="Times New Roman" w:hAnsi="Times New Roman" w:cs="Times New Roman"/>
          <w:sz w:val="24"/>
          <w:szCs w:val="24"/>
        </w:rPr>
        <w:t xml:space="preserve">and plausible </w:t>
      </w:r>
      <w:r w:rsidR="00B36CBB">
        <w:rPr>
          <w:rFonts w:ascii="Times New Roman" w:hAnsi="Times New Roman" w:cs="Times New Roman"/>
          <w:sz w:val="24"/>
          <w:szCs w:val="24"/>
        </w:rPr>
        <w:t>than Kuhn’s late</w:t>
      </w:r>
      <w:r w:rsidR="00C67188" w:rsidRPr="0008661E">
        <w:rPr>
          <w:rFonts w:ascii="Times New Roman" w:hAnsi="Times New Roman" w:cs="Times New Roman"/>
          <w:sz w:val="24"/>
          <w:szCs w:val="24"/>
        </w:rPr>
        <w:t xml:space="preserve"> versions of incommensurability</w:t>
      </w:r>
      <w:r w:rsidR="00D13D46">
        <w:rPr>
          <w:rFonts w:ascii="Times New Roman" w:hAnsi="Times New Roman" w:cs="Times New Roman"/>
          <w:sz w:val="24"/>
          <w:szCs w:val="24"/>
        </w:rPr>
        <w:t xml:space="preserve"> </w:t>
      </w:r>
      <w:r w:rsidR="00D13D46">
        <w:rPr>
          <w:rFonts w:ascii="Times New Roman" w:hAnsi="Times New Roman" w:cs="Times New Roman"/>
          <w:sz w:val="24"/>
          <w:szCs w:val="24"/>
        </w:rPr>
        <w:fldChar w:fldCharType="begin" w:fldLock="1"/>
      </w:r>
      <w:r w:rsidR="00384DA3">
        <w:rPr>
          <w:rFonts w:ascii="Times New Roman" w:hAnsi="Times New Roman" w:cs="Times New Roman"/>
          <w:sz w:val="24"/>
          <w:szCs w:val="24"/>
        </w:rPr>
        <w:instrText>ADDIN CSL_CITATION { "citationItems" : [ { "id" : "ITEM-1", "itemData" : { "author" : [ { "dropping-particle" : "", "family" : "Kuhn", "given" : "Thomas Samuel", "non-dropping-particle" : "", "parse-names" : false, "suffix" : "" } ], "container-title" : "Possible Worlds in Humanities, Arts and Sciences", "editor" : [ { "dropping-particle" : "", "family" : "Allen", "given" : "S.", "non-dropping-particle" : "", "parse-names" : false, "suffix" : "" } ], "id" : "ITEM-1", "issued" : { "date-parts" : [ [ "1989" ] ] }, "page" : "9-32", "publisher" : "de Gruyter", "publisher-place" : "Berlin", "title" : "Possible Worlds in History of Science", "type" : "chapter" }, "suppress-author" : 1, "uris" : [ "http://www.mendeley.com/documents/?uuid=6f31e6e7-4d8b-41a0-82ce-7d41b13862e0", "http://www.mendeley.com/documents/?uuid=cee3b5d5-d7b6-49ab-8a42-9be25b2d83a2" ] }, { "id" : "ITEM-2", "itemData" : { "DOI" : "10.1093/bjps/55.1.175", "ISBN" : "0-226-45798-2", "ISSN" : "02708647", "abstract" : "A highly condensed account of the author's present view of some philosophical problems unresolved in The Structure of Scientific Revolutions. The concept of incommensurability, now considerably developed, remains at center stage, but the evolutionary metaphor, introduced in the final pages of the book, now also plays a principal role.", "author" : [ { "dropping-particle" : "", "family" : "Kuhn", "given" : "Thomas Samuel", "non-dropping-particle" : "", "parse-names" : false, "suffix" : "" } ], "container-title" : "PSA: Proceedings of the Biennial Meeting of the Philosophy of Science Association", "id" : "ITEM-2", "issued" : { "date-parts" : [ [ "1990" ] ] }, "page" : "3-13", "title" : "The Road since Structure", "type" : "article-journal", "volume" : "2" }, "suppress-author" : 1, "uris" : [ "http://www.mendeley.com/documents/?uuid=9ab6b19a-377d-4d69-84b8-125b3de7fe2f", "http://www.mendeley.com/documents/?uuid=15efc0dc-56d7-4997-8d3c-656696dbc15d" ] }, { "id" : "ITEM-3", "itemData" : { "author" : [ { "dropping-particle" : "", "family" : "Kuhn", "given" : "Thomas Samuel", "non-dropping-particle" : "", "parse-names" : false, "suffix" : "" } ], "container-title" : "World Change: Thomas Kuhn and the Nature of Science", "editor" : [ { "dropping-particle" : "", "family" : "Horwich", "given" : "Paul", "non-dropping-particle" : "", "parse-names" : false, "suffix" : "" } ], "id" : "ITEM-3", "issued" : { "date-parts" : [ [ "1993" ] ] }, "page" : "311-341", "publisher" : "MIT Press", "publisher-place" : "Cambridge, MA", "title" : "Afterwords", "type" : "chapter" }, "suppress-author" : 1, "uris" : [ "http://www.mendeley.com/documents/?uuid=26f2f607-e227-4de5-86c6-c85a70aeddd4", "http://www.mendeley.com/documents/?uuid=3b2e8fd8-764c-48d2-9718-f481a5ba3363" ] }, { "id" : "ITEM-4", "itemData" : { "author" : [ { "dropping-particle" : "", "family" : "Kuhn", "given" : "Thomas Samuel", "non-dropping-particle" : "", "parse-names" : false, "suffix" : "" } ], "chapter-number" : "10", "container-title" : "The Road Since Structure", "editor" : [ { "dropping-particle" : "", "family" : "Conant", "given" : "James", "non-dropping-particle" : "", "parse-names" : false, "suffix" : "" }, { "dropping-particle" : "", "family" : "Haugeland", "given" : "John", "non-dropping-particle" : "", "parse-names" : false, "suffix" : "" } ], "id" : "ITEM-4", "issued" : { "date-parts" : [ [ "2000" ] ] }, "page" : "216-223", "publisher" : "University of Chicago Press", "publisher-place" : "Chicago, IL", "title" : "The Natural and the Human Sciences", "type" : "chapter" }, "suppress-author" : 1, "uris" : [ "http://www.mendeley.com/documents/?uuid=5e2ffa20-088f-4a0f-bc9a-4824334652ce", "http://www.mendeley.com/documents/?uuid=2de5cfa3-1877-43f5-b1e2-91e9907a29da" ] }, { "id" : "ITEM-5", "itemData" : { "author" : [ { "dropping-particle" : "", "family" : "Kuhn", "given" : "Thomas Samuel", "non-dropping-particle" : "", "parse-names" : false, "suffix" : "" } ], "chapter-number" : "5", "container-title" : "The Road Since Structure", "editor" : [ { "dropping-particle" : "", "family" : "Conant", "given" : "James", "non-dropping-particle" : "", "parse-names" : false, "suffix" : "" }, { "dropping-particle" : "", "family" : "Haugeland", "given" : "John", "non-dropping-particle" : "", "parse-names" : false, "suffix" : "" } ], "id" : "ITEM-5", "issued" : { "date-parts" : [ [ "2000" ] ] }, "page" : "105-120", "publisher" : "University of Chicago Press", "publisher-place" : "Chicago, IL", "title" : "The Trouble with the Historical Philosophy of Science", "type" : "chapter" }, "suppress-author" : 1, "uris" : [ "http://www.mendeley.com/documents/?uuid=bbb6d3fd-9f13-4e82-9acc-c89ea3969231", "http://www.mendeley.com/documents/?uuid=7c692b82-743f-4d1b-a567-b33dc0c3ee88" ] } ], "mendeley" : { "formattedCitation" : "(1989; 1990; 1993; 2000a; 2000b)", "plainTextFormattedCitation" : "(1989; 1990; 1993; 2000a; 2000b)", "previouslyFormattedCitation" : "(1989; 1990; 1993; 2000a; 2000b)" }, "properties" : { "noteIndex" : 0 }, "schema" : "https://github.com/citation-style-language/schema/raw/master/csl-citation.json" }</w:instrText>
      </w:r>
      <w:r w:rsidR="00D13D46">
        <w:rPr>
          <w:rFonts w:ascii="Times New Roman" w:hAnsi="Times New Roman" w:cs="Times New Roman"/>
          <w:sz w:val="24"/>
          <w:szCs w:val="24"/>
        </w:rPr>
        <w:fldChar w:fldCharType="separate"/>
      </w:r>
      <w:r w:rsidR="00F719C2" w:rsidRPr="00F719C2">
        <w:rPr>
          <w:rFonts w:ascii="Times New Roman" w:hAnsi="Times New Roman" w:cs="Times New Roman"/>
          <w:noProof/>
          <w:sz w:val="24"/>
          <w:szCs w:val="24"/>
        </w:rPr>
        <w:t>(1989; 1990; 1993; 2000a; 2000b)</w:t>
      </w:r>
      <w:r w:rsidR="00D13D46">
        <w:rPr>
          <w:rFonts w:ascii="Times New Roman" w:hAnsi="Times New Roman" w:cs="Times New Roman"/>
          <w:sz w:val="24"/>
          <w:szCs w:val="24"/>
        </w:rPr>
        <w:fldChar w:fldCharType="end"/>
      </w:r>
      <w:r w:rsidR="00C67188" w:rsidRPr="0008661E">
        <w:rPr>
          <w:rFonts w:ascii="Times New Roman" w:hAnsi="Times New Roman" w:cs="Times New Roman"/>
          <w:sz w:val="24"/>
          <w:szCs w:val="24"/>
        </w:rPr>
        <w:t>.</w:t>
      </w:r>
      <w:r w:rsidR="009012B6">
        <w:rPr>
          <w:rFonts w:ascii="Times New Roman" w:hAnsi="Times New Roman" w:cs="Times New Roman"/>
          <w:sz w:val="24"/>
          <w:szCs w:val="24"/>
        </w:rPr>
        <w:t xml:space="preserve"> To sum up</w:t>
      </w:r>
      <w:r w:rsidR="00AF613F" w:rsidRPr="0008661E">
        <w:rPr>
          <w:rFonts w:ascii="Times New Roman" w:hAnsi="Times New Roman" w:cs="Times New Roman"/>
          <w:sz w:val="24"/>
          <w:szCs w:val="24"/>
        </w:rPr>
        <w:t xml:space="preserve">, Bird argues the success of Kuhn’s 1962 book </w:t>
      </w:r>
      <w:r w:rsidR="00AF613F" w:rsidRPr="0008661E">
        <w:rPr>
          <w:rFonts w:ascii="Times New Roman" w:hAnsi="Times New Roman" w:cs="Times New Roman"/>
          <w:i/>
          <w:sz w:val="24"/>
          <w:szCs w:val="24"/>
        </w:rPr>
        <w:t>The Structure of Scientific Revolutions</w:t>
      </w:r>
      <w:r w:rsidR="00F209B2" w:rsidRPr="0008661E">
        <w:rPr>
          <w:rFonts w:ascii="Times New Roman" w:hAnsi="Times New Roman" w:cs="Times New Roman"/>
          <w:i/>
          <w:sz w:val="24"/>
          <w:szCs w:val="24"/>
        </w:rPr>
        <w:t xml:space="preserve"> (SSR)</w:t>
      </w:r>
      <w:r w:rsidR="00C67188" w:rsidRPr="0008661E">
        <w:rPr>
          <w:rFonts w:ascii="Times New Roman" w:hAnsi="Times New Roman" w:cs="Times New Roman"/>
          <w:sz w:val="24"/>
          <w:szCs w:val="24"/>
        </w:rPr>
        <w:t xml:space="preserve"> </w:t>
      </w:r>
      <w:r w:rsidR="00143CC1">
        <w:rPr>
          <w:rFonts w:ascii="Times New Roman" w:hAnsi="Times New Roman" w:cs="Times New Roman"/>
          <w:sz w:val="24"/>
          <w:szCs w:val="24"/>
        </w:rPr>
        <w:t>is due</w:t>
      </w:r>
      <w:r w:rsidR="00AF613F" w:rsidRPr="0008661E">
        <w:rPr>
          <w:rFonts w:ascii="Times New Roman" w:hAnsi="Times New Roman" w:cs="Times New Roman"/>
          <w:sz w:val="24"/>
          <w:szCs w:val="24"/>
        </w:rPr>
        <w:t xml:space="preserve"> to </w:t>
      </w:r>
      <w:r w:rsidR="00143CC1">
        <w:rPr>
          <w:rFonts w:ascii="Times New Roman" w:hAnsi="Times New Roman" w:cs="Times New Roman"/>
          <w:sz w:val="24"/>
          <w:szCs w:val="24"/>
        </w:rPr>
        <w:t>his</w:t>
      </w:r>
      <w:r w:rsidR="00AF613F" w:rsidRPr="0008661E">
        <w:rPr>
          <w:rFonts w:ascii="Times New Roman" w:hAnsi="Times New Roman" w:cs="Times New Roman"/>
          <w:sz w:val="24"/>
          <w:szCs w:val="24"/>
        </w:rPr>
        <w:t xml:space="preserve"> naturalised account of the h</w:t>
      </w:r>
      <w:r w:rsidR="00A12E18" w:rsidRPr="0008661E">
        <w:rPr>
          <w:rFonts w:ascii="Times New Roman" w:hAnsi="Times New Roman" w:cs="Times New Roman"/>
          <w:sz w:val="24"/>
          <w:szCs w:val="24"/>
        </w:rPr>
        <w:t>istory and practice of science</w:t>
      </w:r>
      <w:r w:rsidR="00635C39">
        <w:rPr>
          <w:rFonts w:ascii="Times New Roman" w:hAnsi="Times New Roman" w:cs="Times New Roman"/>
          <w:sz w:val="24"/>
          <w:szCs w:val="24"/>
        </w:rPr>
        <w:t xml:space="preserve"> in terms of paradigms</w:t>
      </w:r>
      <w:r w:rsidR="00A12E18" w:rsidRPr="0008661E">
        <w:rPr>
          <w:rFonts w:ascii="Times New Roman" w:hAnsi="Times New Roman" w:cs="Times New Roman"/>
          <w:sz w:val="24"/>
          <w:szCs w:val="24"/>
        </w:rPr>
        <w:t>. (In particular, Kuhn uses empirical evidence to argue for the theory-dependence of observation.) S</w:t>
      </w:r>
      <w:r w:rsidR="00AF613F" w:rsidRPr="0008661E">
        <w:rPr>
          <w:rFonts w:ascii="Times New Roman" w:hAnsi="Times New Roman" w:cs="Times New Roman"/>
          <w:sz w:val="24"/>
          <w:szCs w:val="24"/>
        </w:rPr>
        <w:t>o it is not s</w:t>
      </w:r>
      <w:r w:rsidR="00F04261">
        <w:rPr>
          <w:rFonts w:ascii="Times New Roman" w:hAnsi="Times New Roman" w:cs="Times New Roman"/>
          <w:sz w:val="24"/>
          <w:szCs w:val="24"/>
        </w:rPr>
        <w:t>urprising that Kuhn’s late work</w:t>
      </w:r>
      <w:r w:rsidR="00AF613F" w:rsidRPr="0008661E">
        <w:rPr>
          <w:rFonts w:ascii="Times New Roman" w:hAnsi="Times New Roman" w:cs="Times New Roman"/>
          <w:sz w:val="24"/>
          <w:szCs w:val="24"/>
        </w:rPr>
        <w:t xml:space="preserve"> with </w:t>
      </w:r>
      <w:r w:rsidR="00EC3B5C" w:rsidRPr="0008661E">
        <w:rPr>
          <w:rFonts w:ascii="Times New Roman" w:hAnsi="Times New Roman" w:cs="Times New Roman"/>
          <w:sz w:val="24"/>
          <w:szCs w:val="24"/>
        </w:rPr>
        <w:t xml:space="preserve">a less naturalistic approach </w:t>
      </w:r>
      <w:r w:rsidR="00AF613F" w:rsidRPr="0008661E">
        <w:rPr>
          <w:rFonts w:ascii="Times New Roman" w:hAnsi="Times New Roman" w:cs="Times New Roman"/>
          <w:sz w:val="24"/>
          <w:szCs w:val="24"/>
        </w:rPr>
        <w:t xml:space="preserve">leaves little </w:t>
      </w:r>
      <w:r w:rsidR="00AF613F" w:rsidRPr="0008661E">
        <w:rPr>
          <w:rFonts w:ascii="Times New Roman" w:hAnsi="Times New Roman" w:cs="Times New Roman"/>
          <w:sz w:val="24"/>
          <w:szCs w:val="24"/>
        </w:rPr>
        <w:lastRenderedPageBreak/>
        <w:t>impact</w:t>
      </w:r>
      <w:r w:rsidR="00EC3B5C" w:rsidRPr="0008661E">
        <w:rPr>
          <w:rFonts w:ascii="Times New Roman" w:hAnsi="Times New Roman" w:cs="Times New Roman"/>
          <w:sz w:val="24"/>
          <w:szCs w:val="24"/>
        </w:rPr>
        <w:t xml:space="preserve"> on contemporary philosophy of science</w:t>
      </w:r>
      <w:r w:rsidR="00AF613F" w:rsidRPr="0008661E">
        <w:rPr>
          <w:rFonts w:ascii="Times New Roman" w:hAnsi="Times New Roman" w:cs="Times New Roman"/>
          <w:sz w:val="24"/>
          <w:szCs w:val="24"/>
        </w:rPr>
        <w:t xml:space="preserve">. </w:t>
      </w:r>
      <w:r w:rsidR="00C67188" w:rsidRPr="0008661E">
        <w:rPr>
          <w:rFonts w:ascii="Times New Roman" w:hAnsi="Times New Roman" w:cs="Times New Roman"/>
          <w:sz w:val="24"/>
          <w:szCs w:val="24"/>
        </w:rPr>
        <w:t>Th</w:t>
      </w:r>
      <w:r w:rsidR="00B26CA9">
        <w:rPr>
          <w:rFonts w:ascii="Times New Roman" w:hAnsi="Times New Roman" w:cs="Times New Roman"/>
          <w:sz w:val="24"/>
          <w:szCs w:val="24"/>
        </w:rPr>
        <w:t>is is why</w:t>
      </w:r>
      <w:r w:rsidR="00C67188" w:rsidRPr="0008661E">
        <w:rPr>
          <w:rFonts w:ascii="Times New Roman" w:hAnsi="Times New Roman" w:cs="Times New Roman"/>
          <w:sz w:val="24"/>
          <w:szCs w:val="24"/>
        </w:rPr>
        <w:t xml:space="preserve"> </w:t>
      </w:r>
      <w:r w:rsidR="00A537D2">
        <w:rPr>
          <w:rFonts w:ascii="Times New Roman" w:hAnsi="Times New Roman" w:cs="Times New Roman"/>
          <w:sz w:val="24"/>
          <w:szCs w:val="24"/>
        </w:rPr>
        <w:t xml:space="preserve">Bird argues that </w:t>
      </w:r>
      <w:r w:rsidR="00C67188" w:rsidRPr="0008661E">
        <w:rPr>
          <w:rFonts w:ascii="Times New Roman" w:hAnsi="Times New Roman" w:cs="Times New Roman"/>
          <w:sz w:val="24"/>
          <w:szCs w:val="24"/>
        </w:rPr>
        <w:t>Kuhn’s methodological turn</w:t>
      </w:r>
      <w:r w:rsidR="00705A24" w:rsidRPr="0008661E">
        <w:rPr>
          <w:rFonts w:ascii="Times New Roman" w:hAnsi="Times New Roman" w:cs="Times New Roman"/>
          <w:sz w:val="24"/>
          <w:szCs w:val="24"/>
        </w:rPr>
        <w:t xml:space="preserve"> in the</w:t>
      </w:r>
      <w:r w:rsidR="00AF613F" w:rsidRPr="0008661E">
        <w:rPr>
          <w:rFonts w:ascii="Times New Roman" w:hAnsi="Times New Roman" w:cs="Times New Roman"/>
          <w:sz w:val="24"/>
          <w:szCs w:val="24"/>
        </w:rPr>
        <w:t xml:space="preserve"> 1970</w:t>
      </w:r>
      <w:r w:rsidR="00705A24" w:rsidRPr="0008661E">
        <w:rPr>
          <w:rFonts w:ascii="Times New Roman" w:hAnsi="Times New Roman" w:cs="Times New Roman"/>
          <w:sz w:val="24"/>
          <w:szCs w:val="24"/>
        </w:rPr>
        <w:t>s</w:t>
      </w:r>
      <w:r w:rsidR="00C67188" w:rsidRPr="0008661E">
        <w:rPr>
          <w:rFonts w:ascii="Times New Roman" w:hAnsi="Times New Roman" w:cs="Times New Roman"/>
          <w:sz w:val="24"/>
          <w:szCs w:val="24"/>
        </w:rPr>
        <w:t xml:space="preserve"> </w:t>
      </w:r>
      <w:r w:rsidR="00686F08">
        <w:rPr>
          <w:rFonts w:ascii="Times New Roman" w:hAnsi="Times New Roman" w:cs="Times New Roman"/>
          <w:sz w:val="24"/>
          <w:szCs w:val="24"/>
        </w:rPr>
        <w:t>explains</w:t>
      </w:r>
      <w:r w:rsidR="00C67188" w:rsidRPr="0008661E">
        <w:rPr>
          <w:rFonts w:ascii="Times New Roman" w:hAnsi="Times New Roman" w:cs="Times New Roman"/>
          <w:sz w:val="24"/>
          <w:szCs w:val="24"/>
        </w:rPr>
        <w:t xml:space="preserve"> the paradox of Kuhn’s legacy.</w:t>
      </w:r>
    </w:p>
    <w:p w14:paraId="58E17770" w14:textId="018808B6" w:rsidR="00C67188" w:rsidRPr="0008661E" w:rsidRDefault="00AF613F" w:rsidP="00C5075C">
      <w:pPr>
        <w:spacing w:beforeLines="100" w:before="240" w:afterLines="100" w:after="240" w:line="480" w:lineRule="auto"/>
        <w:rPr>
          <w:rFonts w:ascii="Times New Roman" w:hAnsi="Times New Roman" w:cs="Times New Roman"/>
          <w:sz w:val="24"/>
          <w:szCs w:val="24"/>
        </w:rPr>
      </w:pPr>
      <w:r w:rsidRPr="0008661E">
        <w:rPr>
          <w:rFonts w:ascii="Times New Roman" w:hAnsi="Times New Roman" w:cs="Times New Roman"/>
          <w:sz w:val="24"/>
          <w:szCs w:val="24"/>
        </w:rPr>
        <w:t>But why did Kuhn make such a methodological turn?</w:t>
      </w:r>
      <w:r w:rsidR="002255F4" w:rsidRPr="0008661E">
        <w:rPr>
          <w:rFonts w:ascii="Times New Roman" w:hAnsi="Times New Roman" w:cs="Times New Roman"/>
          <w:sz w:val="24"/>
          <w:szCs w:val="24"/>
        </w:rPr>
        <w:t xml:space="preserve"> Bird </w:t>
      </w:r>
      <w:r w:rsidR="00C57900" w:rsidRPr="0008661E">
        <w:rPr>
          <w:rFonts w:ascii="Times New Roman" w:hAnsi="Times New Roman" w:cs="Times New Roman"/>
          <w:sz w:val="24"/>
          <w:szCs w:val="24"/>
        </w:rPr>
        <w:t xml:space="preserve">provides two further explanations. Firstly, the machinery that Kuhn needed to </w:t>
      </w:r>
      <w:r w:rsidR="00F04261">
        <w:rPr>
          <w:rFonts w:ascii="Times New Roman" w:hAnsi="Times New Roman" w:cs="Times New Roman"/>
          <w:sz w:val="24"/>
          <w:szCs w:val="24"/>
        </w:rPr>
        <w:t xml:space="preserve">further </w:t>
      </w:r>
      <w:r w:rsidR="00C57900" w:rsidRPr="0008661E">
        <w:rPr>
          <w:rFonts w:ascii="Times New Roman" w:hAnsi="Times New Roman" w:cs="Times New Roman"/>
          <w:sz w:val="24"/>
          <w:szCs w:val="24"/>
        </w:rPr>
        <w:t xml:space="preserve">develop the incommensurability thesis was not available to him. In Bird’s words, “the central idea of </w:t>
      </w:r>
      <w:r w:rsidR="00C57900" w:rsidRPr="0008661E">
        <w:rPr>
          <w:rFonts w:ascii="Times New Roman" w:hAnsi="Times New Roman" w:cs="Times New Roman"/>
          <w:i/>
          <w:sz w:val="24"/>
          <w:szCs w:val="24"/>
        </w:rPr>
        <w:t xml:space="preserve">The Structure of Scientific Revolutions </w:t>
      </w:r>
      <w:r w:rsidR="00C57900" w:rsidRPr="0008661E">
        <w:rPr>
          <w:rFonts w:ascii="Times New Roman" w:hAnsi="Times New Roman" w:cs="Times New Roman"/>
          <w:sz w:val="24"/>
          <w:szCs w:val="24"/>
        </w:rPr>
        <w:t xml:space="preserve">was before its time in an important respect.” </w:t>
      </w:r>
      <w:r w:rsidR="00B511BC" w:rsidRPr="0008661E">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"author" : [ { "dropping-particle" : "", "family" : "Bird", "given" : "Alexander", "non-dropping-particle" : "", "parse-names" : false, "suffix" : "" } ], "container-title" : "Studies in History and Philosophy of Science", "id" : "ITEM-1", "issue" : "3", "issued" : { "date-parts" : [ [ "2002" ] ] }, "page" : "443-463", "title" : "Kuhn's Wrong Turning", "type" : "article-journal", "volume" : "33" }, "locator" : "444", "uris" : [ "http://www.mendeley.com/documents/?uuid=d6292e77-253a-41dd-9845-dd6a92a0919a", "http://www.mendeley.com/documents/?uuid=020c0979-4b7d-43c2-8cc0-545a15bef4d9" ] } ], "mendeley" : { "formattedCitation" : "(Bird 2002, 444)", "plainTextFormattedCitation" : "(Bird 2002, 444)", "previouslyFormattedCitation" : "(Bird 2002, 444)" }, "properties" : { "noteIndex" : 0 }, "schema" : "https://github.com/citation-style-language/schema/raw/master/csl-citation.json" }</w:instrText>
      </w:r>
      <w:r w:rsidR="00B511BC" w:rsidRPr="0008661E">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(Bird 2002, 444)</w:t>
      </w:r>
      <w:r w:rsidR="00B511BC" w:rsidRPr="0008661E">
        <w:rPr>
          <w:rFonts w:ascii="Times New Roman" w:hAnsi="Times New Roman" w:cs="Times New Roman"/>
          <w:sz w:val="24"/>
          <w:szCs w:val="24"/>
        </w:rPr>
        <w:fldChar w:fldCharType="end"/>
      </w:r>
      <w:r w:rsidR="008D5076" w:rsidRPr="0008661E">
        <w:rPr>
          <w:rFonts w:ascii="Times New Roman" w:hAnsi="Times New Roman" w:cs="Times New Roman"/>
          <w:sz w:val="24"/>
          <w:szCs w:val="24"/>
        </w:rPr>
        <w:t xml:space="preserve"> Secondly, though Kuhn was strongly inclined to be a philosopher, he ha</w:t>
      </w:r>
      <w:r w:rsidR="00A973CB" w:rsidRPr="0008661E">
        <w:rPr>
          <w:rFonts w:ascii="Times New Roman" w:hAnsi="Times New Roman" w:cs="Times New Roman"/>
          <w:sz w:val="24"/>
          <w:szCs w:val="24"/>
        </w:rPr>
        <w:t xml:space="preserve">d little philosophical training and was unaware of the naturalistic turn in the </w:t>
      </w:r>
      <w:r w:rsidR="00924450">
        <w:rPr>
          <w:rFonts w:ascii="Times New Roman" w:hAnsi="Times New Roman" w:cs="Times New Roman"/>
          <w:sz w:val="24"/>
          <w:szCs w:val="24"/>
        </w:rPr>
        <w:t>philosophical</w:t>
      </w:r>
      <w:r w:rsidR="00A973CB" w:rsidRPr="0008661E">
        <w:rPr>
          <w:rFonts w:ascii="Times New Roman" w:hAnsi="Times New Roman" w:cs="Times New Roman"/>
          <w:sz w:val="24"/>
          <w:szCs w:val="24"/>
        </w:rPr>
        <w:t xml:space="preserve"> world in his time.</w:t>
      </w:r>
    </w:p>
    <w:p w14:paraId="39EE2806" w14:textId="77777777" w:rsidR="008405B1" w:rsidRPr="0008661E" w:rsidRDefault="008405B1" w:rsidP="00C5075C">
      <w:pPr>
        <w:spacing w:beforeLines="100" w:before="240" w:afterLines="100" w:after="240" w:line="480" w:lineRule="auto"/>
        <w:rPr>
          <w:rFonts w:ascii="Times New Roman" w:hAnsi="Times New Roman" w:cs="Times New Roman"/>
          <w:sz w:val="24"/>
          <w:szCs w:val="24"/>
        </w:rPr>
      </w:pPr>
      <w:r w:rsidRPr="0008661E">
        <w:rPr>
          <w:rFonts w:ascii="Times New Roman" w:hAnsi="Times New Roman" w:cs="Times New Roman"/>
          <w:sz w:val="24"/>
          <w:szCs w:val="24"/>
        </w:rPr>
        <w:t>Thus, Bird’s argument can be reformulated as follows:</w:t>
      </w:r>
    </w:p>
    <w:p w14:paraId="00825429" w14:textId="4A8578DD" w:rsidR="008405B1" w:rsidRPr="00924450" w:rsidRDefault="00924450" w:rsidP="00924450">
      <w:pPr>
        <w:spacing w:beforeLines="100" w:before="240" w:afterLines="100" w:after="240" w:line="480" w:lineRule="auto"/>
        <w:rPr>
          <w:rFonts w:ascii="Times New Roman" w:hAnsi="Times New Roman" w:cs="Times New Roman"/>
          <w:sz w:val="24"/>
          <w:szCs w:val="24"/>
        </w:rPr>
      </w:pPr>
      <w:r>
        <w:rPr>
          <w:rFonts w:ascii="Times New Roman" w:hAnsi="Times New Roman" w:cs="Times New Roman"/>
          <w:sz w:val="24"/>
          <w:szCs w:val="24"/>
        </w:rPr>
        <w:t xml:space="preserve">P1. </w:t>
      </w:r>
      <w:r w:rsidR="008405B1" w:rsidRPr="00924450">
        <w:rPr>
          <w:rFonts w:ascii="Times New Roman" w:hAnsi="Times New Roman" w:cs="Times New Roman"/>
          <w:sz w:val="24"/>
          <w:szCs w:val="24"/>
        </w:rPr>
        <w:t>Kuhn</w:t>
      </w:r>
      <w:r w:rsidR="00A779BF" w:rsidRPr="00924450">
        <w:rPr>
          <w:rFonts w:ascii="Times New Roman" w:hAnsi="Times New Roman" w:cs="Times New Roman"/>
          <w:sz w:val="24"/>
          <w:szCs w:val="24"/>
        </w:rPr>
        <w:t>’s most</w:t>
      </w:r>
      <w:r w:rsidR="000E18D9" w:rsidRPr="00924450">
        <w:rPr>
          <w:rFonts w:ascii="Times New Roman" w:hAnsi="Times New Roman" w:cs="Times New Roman"/>
          <w:sz w:val="24"/>
          <w:szCs w:val="24"/>
        </w:rPr>
        <w:t xml:space="preserve"> </w:t>
      </w:r>
      <w:r w:rsidR="00E54F81" w:rsidRPr="00924450">
        <w:rPr>
          <w:rFonts w:ascii="Times New Roman" w:hAnsi="Times New Roman" w:cs="Times New Roman"/>
          <w:sz w:val="24"/>
          <w:szCs w:val="24"/>
        </w:rPr>
        <w:t xml:space="preserve">important </w:t>
      </w:r>
      <w:r w:rsidR="000E18D9" w:rsidRPr="00924450">
        <w:rPr>
          <w:rFonts w:ascii="Times New Roman" w:hAnsi="Times New Roman" w:cs="Times New Roman"/>
          <w:sz w:val="24"/>
          <w:szCs w:val="24"/>
        </w:rPr>
        <w:t>contribut</w:t>
      </w:r>
      <w:r w:rsidR="00A62A4C" w:rsidRPr="00924450">
        <w:rPr>
          <w:rFonts w:ascii="Times New Roman" w:hAnsi="Times New Roman" w:cs="Times New Roman"/>
          <w:sz w:val="24"/>
          <w:szCs w:val="24"/>
        </w:rPr>
        <w:t xml:space="preserve">ion is his naturalistic account of the history of science </w:t>
      </w:r>
      <w:r w:rsidR="00F04261" w:rsidRPr="00924450">
        <w:rPr>
          <w:rFonts w:ascii="Times New Roman" w:hAnsi="Times New Roman" w:cs="Times New Roman"/>
          <w:sz w:val="24"/>
          <w:szCs w:val="24"/>
        </w:rPr>
        <w:t xml:space="preserve">in </w:t>
      </w:r>
      <w:r w:rsidR="00F04261" w:rsidRPr="00924450">
        <w:rPr>
          <w:rFonts w:ascii="Times New Roman" w:hAnsi="Times New Roman" w:cs="Times New Roman"/>
          <w:i/>
          <w:sz w:val="24"/>
          <w:szCs w:val="24"/>
        </w:rPr>
        <w:t>SSR</w:t>
      </w:r>
      <w:r w:rsidR="00F04261" w:rsidRPr="00924450">
        <w:rPr>
          <w:rFonts w:ascii="Times New Roman" w:hAnsi="Times New Roman" w:cs="Times New Roman"/>
          <w:sz w:val="24"/>
          <w:szCs w:val="24"/>
        </w:rPr>
        <w:t xml:space="preserve"> </w:t>
      </w:r>
      <w:r w:rsidR="00A62A4C" w:rsidRPr="00924450">
        <w:rPr>
          <w:rFonts w:ascii="Times New Roman" w:hAnsi="Times New Roman" w:cs="Times New Roman"/>
          <w:sz w:val="24"/>
          <w:szCs w:val="24"/>
        </w:rPr>
        <w:t>in terms of paradigm</w:t>
      </w:r>
      <w:r w:rsidR="008405B1" w:rsidRPr="00924450">
        <w:rPr>
          <w:rFonts w:ascii="Times New Roman" w:hAnsi="Times New Roman" w:cs="Times New Roman"/>
          <w:sz w:val="24"/>
          <w:szCs w:val="24"/>
        </w:rPr>
        <w:t>.</w:t>
      </w:r>
    </w:p>
    <w:p w14:paraId="22E3648A" w14:textId="1CADB2B5" w:rsidR="008405B1" w:rsidRPr="00924450" w:rsidRDefault="00924450" w:rsidP="00924450">
      <w:pPr>
        <w:spacing w:beforeLines="100" w:before="240" w:afterLines="100" w:after="240" w:line="480" w:lineRule="auto"/>
        <w:rPr>
          <w:rFonts w:ascii="Times New Roman" w:hAnsi="Times New Roman" w:cs="Times New Roman"/>
          <w:sz w:val="24"/>
          <w:szCs w:val="24"/>
        </w:rPr>
      </w:pPr>
      <w:r>
        <w:rPr>
          <w:rFonts w:ascii="Times New Roman" w:hAnsi="Times New Roman" w:cs="Times New Roman"/>
          <w:sz w:val="24"/>
          <w:szCs w:val="24"/>
        </w:rPr>
        <w:t xml:space="preserve">P2. </w:t>
      </w:r>
      <w:r w:rsidR="008405B1" w:rsidRPr="00924450">
        <w:rPr>
          <w:rFonts w:ascii="Times New Roman" w:hAnsi="Times New Roman" w:cs="Times New Roman"/>
          <w:sz w:val="24"/>
          <w:szCs w:val="24"/>
        </w:rPr>
        <w:t>Kuhn made a methodological turn in the 1970s, namely from a naturalistic approach to an a priori approach.</w:t>
      </w:r>
    </w:p>
    <w:p w14:paraId="0894CC18" w14:textId="6B06EDD0" w:rsidR="008405B1" w:rsidRPr="00924450" w:rsidRDefault="00924450" w:rsidP="00924450">
      <w:pPr>
        <w:spacing w:beforeLines="100" w:before="240" w:afterLines="100" w:after="240" w:line="480" w:lineRule="auto"/>
        <w:rPr>
          <w:rFonts w:ascii="Times New Roman" w:hAnsi="Times New Roman" w:cs="Times New Roman"/>
          <w:sz w:val="24"/>
          <w:szCs w:val="24"/>
        </w:rPr>
      </w:pPr>
      <w:r>
        <w:rPr>
          <w:rFonts w:ascii="Times New Roman" w:hAnsi="Times New Roman" w:cs="Times New Roman"/>
          <w:sz w:val="24"/>
          <w:szCs w:val="24"/>
        </w:rPr>
        <w:t xml:space="preserve">P3. </w:t>
      </w:r>
      <w:r w:rsidR="008405B1" w:rsidRPr="00924450">
        <w:rPr>
          <w:rFonts w:ascii="Times New Roman" w:hAnsi="Times New Roman" w:cs="Times New Roman"/>
          <w:sz w:val="24"/>
          <w:szCs w:val="24"/>
        </w:rPr>
        <w:t>Kuhn’s methodological turn makes him fail to arti</w:t>
      </w:r>
      <w:r w:rsidR="009B0BC8">
        <w:rPr>
          <w:rFonts w:ascii="Times New Roman" w:hAnsi="Times New Roman" w:cs="Times New Roman"/>
          <w:sz w:val="24"/>
          <w:szCs w:val="24"/>
        </w:rPr>
        <w:t>culate and explore the concept of paradigm</w:t>
      </w:r>
      <w:r w:rsidR="008405B1" w:rsidRPr="00924450">
        <w:rPr>
          <w:rFonts w:ascii="Times New Roman" w:hAnsi="Times New Roman" w:cs="Times New Roman"/>
          <w:sz w:val="24"/>
          <w:szCs w:val="24"/>
        </w:rPr>
        <w:t xml:space="preserve"> in a naturalistic way.</w:t>
      </w:r>
    </w:p>
    <w:p w14:paraId="4F66580C" w14:textId="1F5F320D" w:rsidR="008405B1" w:rsidRPr="00924450" w:rsidRDefault="00924450" w:rsidP="00924450">
      <w:pPr>
        <w:pStyle w:val="ListParagraph"/>
        <w:numPr>
          <w:ilvl w:val="0"/>
          <w:numId w:val="19"/>
        </w:numPr>
        <w:spacing w:beforeLines="100" w:before="240" w:afterLines="100" w:after="240" w:line="480" w:lineRule="auto"/>
        <w:ind w:firstLineChars="0"/>
        <w:rPr>
          <w:rFonts w:ascii="Times New Roman" w:hAnsi="Times New Roman" w:cs="Times New Roman"/>
          <w:sz w:val="24"/>
          <w:szCs w:val="24"/>
        </w:rPr>
      </w:pPr>
      <w:r>
        <w:rPr>
          <w:rFonts w:ascii="Times New Roman" w:hAnsi="Times New Roman" w:cs="Times New Roman"/>
          <w:sz w:val="24"/>
          <w:szCs w:val="24"/>
        </w:rPr>
        <w:t>Therefore,</w:t>
      </w:r>
      <w:r w:rsidRPr="00924450">
        <w:rPr>
          <w:rFonts w:ascii="Times New Roman" w:hAnsi="Times New Roman" w:cs="Times New Roman"/>
          <w:sz w:val="24"/>
          <w:szCs w:val="24"/>
        </w:rPr>
        <w:t xml:space="preserve"> </w:t>
      </w:r>
      <w:r w:rsidR="008405B1" w:rsidRPr="00924450">
        <w:rPr>
          <w:rFonts w:ascii="Times New Roman" w:hAnsi="Times New Roman" w:cs="Times New Roman"/>
          <w:sz w:val="24"/>
          <w:szCs w:val="24"/>
        </w:rPr>
        <w:t xml:space="preserve">Kuhn’s </w:t>
      </w:r>
      <w:r w:rsidR="009C589C" w:rsidRPr="00924450">
        <w:rPr>
          <w:rFonts w:ascii="Times New Roman" w:hAnsi="Times New Roman" w:cs="Times New Roman"/>
          <w:sz w:val="24"/>
          <w:szCs w:val="24"/>
        </w:rPr>
        <w:t xml:space="preserve">most important </w:t>
      </w:r>
      <w:r w:rsidR="00E27E2B" w:rsidRPr="00924450">
        <w:rPr>
          <w:rFonts w:ascii="Times New Roman" w:hAnsi="Times New Roman" w:cs="Times New Roman"/>
          <w:sz w:val="24"/>
          <w:szCs w:val="24"/>
        </w:rPr>
        <w:t>contribution</w:t>
      </w:r>
      <w:r w:rsidR="008405B1" w:rsidRPr="00924450">
        <w:rPr>
          <w:rFonts w:ascii="Times New Roman" w:hAnsi="Times New Roman" w:cs="Times New Roman"/>
          <w:sz w:val="24"/>
          <w:szCs w:val="24"/>
        </w:rPr>
        <w:t xml:space="preserve"> is undermined by his methodological turn. Thus, Kuhn’s legacy is really thin today.</w:t>
      </w:r>
    </w:p>
    <w:p w14:paraId="34BB67D0" w14:textId="7AB6748A" w:rsidR="009A382F" w:rsidRPr="00525D92" w:rsidRDefault="007C4F0D" w:rsidP="00C5075C">
      <w:pPr>
        <w:widowControl w:val="0"/>
        <w:autoSpaceDE w:val="0"/>
        <w:autoSpaceDN w:val="0"/>
        <w:adjustRightInd w:val="0"/>
        <w:spacing w:after="0" w:line="480" w:lineRule="auto"/>
        <w:rPr>
          <w:rFonts w:ascii="Times New Roman" w:hAnsi="Times New Roman" w:cs="Times New Roman"/>
          <w:sz w:val="17"/>
          <w:szCs w:val="17"/>
          <w:lang w:val="en-US"/>
        </w:rPr>
      </w:pPr>
      <w:r w:rsidRPr="0008661E">
        <w:rPr>
          <w:rFonts w:ascii="Times New Roman" w:hAnsi="Times New Roman" w:cs="Times New Roman"/>
          <w:sz w:val="24"/>
          <w:szCs w:val="24"/>
        </w:rPr>
        <w:t>I agree with Bird on the point that Kuhn</w:t>
      </w:r>
      <w:r w:rsidR="007609E1" w:rsidRPr="0008661E">
        <w:rPr>
          <w:rFonts w:ascii="Times New Roman" w:hAnsi="Times New Roman" w:cs="Times New Roman"/>
          <w:sz w:val="24"/>
          <w:szCs w:val="24"/>
        </w:rPr>
        <w:t xml:space="preserve"> made some “wrong turning” in the sense it</w:t>
      </w:r>
      <w:r w:rsidRPr="0008661E">
        <w:rPr>
          <w:rFonts w:ascii="Times New Roman" w:hAnsi="Times New Roman" w:cs="Times New Roman"/>
          <w:sz w:val="24"/>
          <w:szCs w:val="24"/>
        </w:rPr>
        <w:t xml:space="preserve"> prevents his work becoming more promising</w:t>
      </w:r>
      <w:r w:rsidR="007609E1" w:rsidRPr="0008661E">
        <w:rPr>
          <w:rFonts w:ascii="Times New Roman" w:hAnsi="Times New Roman" w:cs="Times New Roman"/>
          <w:sz w:val="24"/>
          <w:szCs w:val="24"/>
        </w:rPr>
        <w:t xml:space="preserve"> and better received</w:t>
      </w:r>
      <w:r w:rsidRPr="0008661E">
        <w:rPr>
          <w:rFonts w:ascii="Times New Roman" w:hAnsi="Times New Roman" w:cs="Times New Roman"/>
          <w:sz w:val="24"/>
          <w:szCs w:val="24"/>
        </w:rPr>
        <w:t>.</w:t>
      </w:r>
      <w:r w:rsidR="000A7715" w:rsidRPr="00330659">
        <w:rPr>
          <w:rStyle w:val="FootnoteReference"/>
        </w:rPr>
        <w:footnoteReference w:id="2"/>
      </w:r>
      <w:r w:rsidRPr="0008661E">
        <w:rPr>
          <w:rFonts w:ascii="Times New Roman" w:hAnsi="Times New Roman" w:cs="Times New Roman"/>
          <w:sz w:val="24"/>
          <w:szCs w:val="24"/>
        </w:rPr>
        <w:t xml:space="preserve"> I also agree that </w:t>
      </w:r>
      <w:r w:rsidR="007609E1" w:rsidRPr="0008661E">
        <w:rPr>
          <w:rFonts w:ascii="Times New Roman" w:hAnsi="Times New Roman" w:cs="Times New Roman"/>
          <w:sz w:val="24"/>
          <w:szCs w:val="24"/>
        </w:rPr>
        <w:t xml:space="preserve">Kuhn made a methodological turn </w:t>
      </w:r>
      <w:r w:rsidR="00705A24" w:rsidRPr="0008661E">
        <w:rPr>
          <w:rFonts w:ascii="Times New Roman" w:hAnsi="Times New Roman" w:cs="Times New Roman"/>
          <w:sz w:val="24"/>
          <w:szCs w:val="24"/>
        </w:rPr>
        <w:t>in the</w:t>
      </w:r>
      <w:r w:rsidR="007609E1" w:rsidRPr="0008661E">
        <w:rPr>
          <w:rFonts w:ascii="Times New Roman" w:hAnsi="Times New Roman" w:cs="Times New Roman"/>
          <w:sz w:val="24"/>
          <w:szCs w:val="24"/>
        </w:rPr>
        <w:t xml:space="preserve"> 1970</w:t>
      </w:r>
      <w:r w:rsidR="00705A24" w:rsidRPr="0008661E">
        <w:rPr>
          <w:rFonts w:ascii="Times New Roman" w:hAnsi="Times New Roman" w:cs="Times New Roman"/>
          <w:sz w:val="24"/>
          <w:szCs w:val="24"/>
        </w:rPr>
        <w:t>s</w:t>
      </w:r>
      <w:r w:rsidR="007609E1" w:rsidRPr="0008661E">
        <w:rPr>
          <w:rFonts w:ascii="Times New Roman" w:hAnsi="Times New Roman" w:cs="Times New Roman"/>
          <w:sz w:val="24"/>
          <w:szCs w:val="24"/>
        </w:rPr>
        <w:t>, and Bird’s</w:t>
      </w:r>
      <w:r w:rsidRPr="0008661E">
        <w:rPr>
          <w:rFonts w:ascii="Times New Roman" w:hAnsi="Times New Roman" w:cs="Times New Roman"/>
          <w:sz w:val="24"/>
          <w:szCs w:val="24"/>
        </w:rPr>
        <w:t xml:space="preserve"> naturalised </w:t>
      </w:r>
      <w:r w:rsidR="009E2181" w:rsidRPr="0008661E">
        <w:rPr>
          <w:rFonts w:ascii="Times New Roman" w:hAnsi="Times New Roman" w:cs="Times New Roman"/>
          <w:sz w:val="24"/>
          <w:szCs w:val="24"/>
        </w:rPr>
        <w:t>account</w:t>
      </w:r>
      <w:r w:rsidRPr="0008661E">
        <w:rPr>
          <w:rFonts w:ascii="Times New Roman" w:hAnsi="Times New Roman" w:cs="Times New Roman"/>
          <w:sz w:val="24"/>
          <w:szCs w:val="24"/>
        </w:rPr>
        <w:t xml:space="preserve"> o</w:t>
      </w:r>
      <w:r w:rsidR="00E05F6D">
        <w:rPr>
          <w:rFonts w:ascii="Times New Roman" w:hAnsi="Times New Roman" w:cs="Times New Roman"/>
          <w:sz w:val="24"/>
          <w:szCs w:val="24"/>
        </w:rPr>
        <w:t xml:space="preserve">f the incommensurability </w:t>
      </w:r>
      <w:r w:rsidR="00E05F6D">
        <w:rPr>
          <w:rFonts w:ascii="Times New Roman" w:hAnsi="Times New Roman" w:cs="Times New Roman"/>
          <w:sz w:val="24"/>
          <w:szCs w:val="24"/>
        </w:rPr>
        <w:lastRenderedPageBreak/>
        <w:t>thesis</w:t>
      </w:r>
      <w:r w:rsidR="009E2181" w:rsidRPr="0008661E">
        <w:rPr>
          <w:rFonts w:ascii="Times New Roman" w:hAnsi="Times New Roman" w:cs="Times New Roman"/>
          <w:sz w:val="24"/>
          <w:szCs w:val="24"/>
        </w:rPr>
        <w:t xml:space="preserve"> </w:t>
      </w:r>
      <w:r w:rsidRPr="0008661E">
        <w:rPr>
          <w:rFonts w:ascii="Times New Roman" w:hAnsi="Times New Roman" w:cs="Times New Roman"/>
          <w:sz w:val="24"/>
          <w:szCs w:val="24"/>
        </w:rPr>
        <w:t xml:space="preserve">is </w:t>
      </w:r>
      <w:r w:rsidR="00200781">
        <w:rPr>
          <w:rFonts w:ascii="Times New Roman" w:hAnsi="Times New Roman" w:cs="Times New Roman"/>
          <w:sz w:val="24"/>
          <w:szCs w:val="24"/>
        </w:rPr>
        <w:t>more promising than Kuhn’s late</w:t>
      </w:r>
      <w:r w:rsidR="007609E1" w:rsidRPr="0008661E">
        <w:rPr>
          <w:rFonts w:ascii="Times New Roman" w:hAnsi="Times New Roman" w:cs="Times New Roman"/>
          <w:sz w:val="24"/>
          <w:szCs w:val="24"/>
        </w:rPr>
        <w:t xml:space="preserve"> versions of incommensurability.</w:t>
      </w:r>
      <w:r w:rsidRPr="0008661E">
        <w:rPr>
          <w:rFonts w:ascii="Times New Roman" w:hAnsi="Times New Roman" w:cs="Times New Roman"/>
          <w:sz w:val="24"/>
          <w:szCs w:val="24"/>
        </w:rPr>
        <w:t xml:space="preserve"> </w:t>
      </w:r>
      <w:r w:rsidR="004326EC" w:rsidRPr="0008661E">
        <w:rPr>
          <w:rFonts w:ascii="Times New Roman" w:hAnsi="Times New Roman" w:cs="Times New Roman"/>
          <w:sz w:val="24"/>
          <w:szCs w:val="24"/>
        </w:rPr>
        <w:t xml:space="preserve">However, </w:t>
      </w:r>
      <w:r w:rsidR="005415EF" w:rsidRPr="0008661E">
        <w:rPr>
          <w:rFonts w:ascii="Times New Roman" w:hAnsi="Times New Roman" w:cs="Times New Roman"/>
          <w:sz w:val="24"/>
          <w:szCs w:val="24"/>
        </w:rPr>
        <w:t xml:space="preserve">I </w:t>
      </w:r>
      <w:r w:rsidR="009A382F" w:rsidRPr="0008661E">
        <w:rPr>
          <w:rFonts w:ascii="Times New Roman" w:hAnsi="Times New Roman" w:cs="Times New Roman"/>
          <w:sz w:val="24"/>
          <w:szCs w:val="24"/>
        </w:rPr>
        <w:t>find Bird’s diagnosis still incomplete</w:t>
      </w:r>
      <w:r w:rsidR="007609E1" w:rsidRPr="0008661E">
        <w:rPr>
          <w:rFonts w:ascii="Times New Roman" w:hAnsi="Times New Roman" w:cs="Times New Roman"/>
          <w:sz w:val="24"/>
          <w:szCs w:val="24"/>
        </w:rPr>
        <w:t xml:space="preserve">. Firstly, </w:t>
      </w:r>
      <w:r w:rsidR="004C76F2">
        <w:rPr>
          <w:rFonts w:ascii="Times New Roman" w:hAnsi="Times New Roman" w:cs="Times New Roman"/>
          <w:sz w:val="24"/>
          <w:szCs w:val="24"/>
        </w:rPr>
        <w:t xml:space="preserve">Kuhn’s </w:t>
      </w:r>
      <w:r w:rsidR="004C76F2" w:rsidRPr="00C976D4">
        <w:rPr>
          <w:rFonts w:ascii="Times New Roman" w:hAnsi="Times New Roman" w:cs="Times New Roman"/>
          <w:sz w:val="24"/>
          <w:szCs w:val="24"/>
        </w:rPr>
        <w:t xml:space="preserve">“wrong turning” is more than methodological. </w:t>
      </w:r>
      <w:r w:rsidR="00C976D4" w:rsidRPr="00C976D4">
        <w:rPr>
          <w:rFonts w:ascii="Times New Roman" w:hAnsi="Times New Roman" w:cs="Times New Roman"/>
          <w:sz w:val="24"/>
          <w:szCs w:val="24"/>
        </w:rPr>
        <w:t xml:space="preserve">As Bird points out, in the </w:t>
      </w:r>
      <w:r w:rsidR="00C976D4" w:rsidRPr="00C976D4">
        <w:rPr>
          <w:rFonts w:ascii="Times New Roman" w:hAnsi="Times New Roman" w:cs="Times New Roman"/>
          <w:sz w:val="24"/>
          <w:szCs w:val="24"/>
          <w:lang w:val="en-US"/>
        </w:rPr>
        <w:t>presidential address to the Philosophy of Science Association in 1990, Kuhn made no mention at all of paradigms, which</w:t>
      </w:r>
      <w:r w:rsidR="00C976D4">
        <w:rPr>
          <w:rFonts w:ascii="Times New Roman" w:hAnsi="Times New Roman" w:cs="Times New Roman"/>
          <w:sz w:val="24"/>
          <w:szCs w:val="24"/>
          <w:lang w:val="en-US"/>
        </w:rPr>
        <w:t xml:space="preserve"> was his major contribution in </w:t>
      </w:r>
      <w:r w:rsidR="00C976D4" w:rsidRPr="00C976D4">
        <w:rPr>
          <w:rFonts w:ascii="Times New Roman" w:hAnsi="Times New Roman" w:cs="Times New Roman"/>
          <w:i/>
          <w:sz w:val="24"/>
          <w:szCs w:val="24"/>
          <w:lang w:val="en-US"/>
        </w:rPr>
        <w:t>SSR</w:t>
      </w:r>
      <w:r w:rsidR="00C976D4">
        <w:rPr>
          <w:rFonts w:ascii="Times New Roman" w:hAnsi="Times New Roman" w:cs="Times New Roman"/>
          <w:sz w:val="24"/>
          <w:szCs w:val="24"/>
          <w:lang w:val="en-US"/>
        </w:rPr>
        <w:t xml:space="preserve">. In fact, as I shall </w:t>
      </w:r>
      <w:r w:rsidR="00074492">
        <w:rPr>
          <w:rFonts w:ascii="Times New Roman" w:hAnsi="Times New Roman" w:cs="Times New Roman"/>
          <w:sz w:val="24"/>
          <w:szCs w:val="24"/>
          <w:lang w:val="en-US"/>
        </w:rPr>
        <w:t xml:space="preserve">argue </w:t>
      </w:r>
      <w:r w:rsidR="00C976D4">
        <w:rPr>
          <w:rFonts w:ascii="Times New Roman" w:hAnsi="Times New Roman" w:cs="Times New Roman"/>
          <w:sz w:val="24"/>
          <w:szCs w:val="24"/>
          <w:lang w:val="en-US"/>
        </w:rPr>
        <w:t>in section 3, Kuhn has been</w:t>
      </w:r>
      <w:r w:rsidR="008E4B7D">
        <w:rPr>
          <w:rFonts w:ascii="Times New Roman" w:hAnsi="Times New Roman" w:cs="Times New Roman"/>
          <w:sz w:val="24"/>
          <w:szCs w:val="24"/>
          <w:lang w:val="en-US"/>
        </w:rPr>
        <w:t xml:space="preserve"> </w:t>
      </w:r>
      <w:r w:rsidR="008E4B7D" w:rsidRPr="00525D92">
        <w:rPr>
          <w:rFonts w:ascii="Times New Roman" w:hAnsi="Times New Roman" w:cs="Times New Roman"/>
          <w:sz w:val="24"/>
          <w:szCs w:val="24"/>
          <w:lang w:val="en-US"/>
        </w:rPr>
        <w:t>deliberately</w:t>
      </w:r>
      <w:r w:rsidR="00C976D4" w:rsidRPr="00525D92">
        <w:rPr>
          <w:rFonts w:ascii="Times New Roman" w:hAnsi="Times New Roman" w:cs="Times New Roman"/>
          <w:sz w:val="24"/>
          <w:szCs w:val="24"/>
          <w:lang w:val="en-US"/>
        </w:rPr>
        <w:t xml:space="preserve"> </w:t>
      </w:r>
      <w:r w:rsidR="008E4B7D" w:rsidRPr="00525D92">
        <w:rPr>
          <w:rFonts w:ascii="Times New Roman" w:hAnsi="Times New Roman" w:cs="Times New Roman"/>
          <w:sz w:val="24"/>
          <w:szCs w:val="24"/>
          <w:lang w:val="en-US"/>
        </w:rPr>
        <w:t xml:space="preserve">avoiding talking of paradigm </w:t>
      </w:r>
      <w:r w:rsidR="00C976D4" w:rsidRPr="00525D92">
        <w:rPr>
          <w:rFonts w:ascii="Times New Roman" w:hAnsi="Times New Roman" w:cs="Times New Roman"/>
          <w:sz w:val="24"/>
          <w:szCs w:val="24"/>
          <w:lang w:val="en-US"/>
        </w:rPr>
        <w:t>since 1970s.</w:t>
      </w:r>
      <w:r w:rsidR="00525D92" w:rsidRPr="00525D92">
        <w:rPr>
          <w:rFonts w:ascii="Times New Roman" w:hAnsi="Times New Roman" w:cs="Times New Roman"/>
          <w:sz w:val="24"/>
          <w:szCs w:val="24"/>
          <w:lang w:val="en-US"/>
        </w:rPr>
        <w:t xml:space="preserve"> Thus, </w:t>
      </w:r>
      <w:r w:rsidR="00525D92">
        <w:rPr>
          <w:rFonts w:ascii="Times New Roman" w:hAnsi="Times New Roman" w:cs="Times New Roman"/>
          <w:sz w:val="24"/>
          <w:szCs w:val="24"/>
          <w:lang w:val="en-US"/>
        </w:rPr>
        <w:t>there is also a conceptual</w:t>
      </w:r>
      <w:r w:rsidR="00AB664C">
        <w:rPr>
          <w:rFonts w:ascii="Times New Roman" w:hAnsi="Times New Roman" w:cs="Times New Roman"/>
          <w:sz w:val="24"/>
          <w:szCs w:val="24"/>
          <w:lang w:val="en-US"/>
        </w:rPr>
        <w:t>/terminological</w:t>
      </w:r>
      <w:r w:rsidR="00525D92">
        <w:rPr>
          <w:rFonts w:ascii="Times New Roman" w:hAnsi="Times New Roman" w:cs="Times New Roman"/>
          <w:sz w:val="24"/>
          <w:szCs w:val="24"/>
          <w:lang w:val="en-US"/>
        </w:rPr>
        <w:t xml:space="preserve"> turn in Kuhn’s philosophy of science. </w:t>
      </w:r>
      <w:r w:rsidR="007609E1" w:rsidRPr="00525D92">
        <w:rPr>
          <w:rFonts w:ascii="Times New Roman" w:hAnsi="Times New Roman" w:cs="Times New Roman"/>
          <w:sz w:val="24"/>
          <w:szCs w:val="24"/>
        </w:rPr>
        <w:t xml:space="preserve">Secondly, </w:t>
      </w:r>
      <w:r w:rsidR="00525D92" w:rsidRPr="00525D92">
        <w:rPr>
          <w:rFonts w:ascii="Times New Roman" w:hAnsi="Times New Roman" w:cs="Times New Roman"/>
          <w:sz w:val="24"/>
          <w:szCs w:val="24"/>
        </w:rPr>
        <w:t xml:space="preserve">even </w:t>
      </w:r>
      <w:r w:rsidR="00525D92">
        <w:rPr>
          <w:rFonts w:ascii="Times New Roman" w:hAnsi="Times New Roman" w:cs="Times New Roman"/>
          <w:sz w:val="24"/>
          <w:szCs w:val="24"/>
        </w:rPr>
        <w:t>if Bird’s attempt to naturalise</w:t>
      </w:r>
      <w:r w:rsidR="00AB664C">
        <w:rPr>
          <w:rFonts w:ascii="Times New Roman" w:hAnsi="Times New Roman" w:cs="Times New Roman"/>
          <w:sz w:val="24"/>
          <w:szCs w:val="24"/>
        </w:rPr>
        <w:t xml:space="preserve"> the incommensurability </w:t>
      </w:r>
      <w:r w:rsidR="003352E8">
        <w:rPr>
          <w:rFonts w:ascii="Times New Roman" w:hAnsi="Times New Roman" w:cs="Times New Roman"/>
          <w:sz w:val="24"/>
          <w:szCs w:val="24"/>
        </w:rPr>
        <w:t xml:space="preserve">thesis </w:t>
      </w:r>
      <w:r w:rsidR="00AB664C">
        <w:rPr>
          <w:rFonts w:ascii="Times New Roman" w:hAnsi="Times New Roman" w:cs="Times New Roman"/>
          <w:sz w:val="24"/>
          <w:szCs w:val="24"/>
        </w:rPr>
        <w:t xml:space="preserve">is </w:t>
      </w:r>
      <w:r w:rsidR="00525D92">
        <w:rPr>
          <w:rFonts w:ascii="Times New Roman" w:hAnsi="Times New Roman" w:cs="Times New Roman"/>
          <w:sz w:val="24"/>
          <w:szCs w:val="24"/>
        </w:rPr>
        <w:t>promising, I contend that it is not the o</w:t>
      </w:r>
      <w:r w:rsidR="00B06C16">
        <w:rPr>
          <w:rFonts w:ascii="Times New Roman" w:hAnsi="Times New Roman" w:cs="Times New Roman"/>
          <w:sz w:val="24"/>
          <w:szCs w:val="24"/>
        </w:rPr>
        <w:t>nly way to develop Kuhn’s work</w:t>
      </w:r>
      <w:r w:rsidR="00525D92">
        <w:rPr>
          <w:rFonts w:ascii="Times New Roman" w:hAnsi="Times New Roman" w:cs="Times New Roman"/>
          <w:sz w:val="24"/>
          <w:szCs w:val="24"/>
        </w:rPr>
        <w:t xml:space="preserve"> to contribute to contemporary philosophy of science.</w:t>
      </w:r>
      <w:r w:rsidR="005865C5">
        <w:rPr>
          <w:rFonts w:ascii="Times New Roman" w:hAnsi="Times New Roman" w:cs="Times New Roman"/>
          <w:sz w:val="24"/>
          <w:szCs w:val="24"/>
        </w:rPr>
        <w:t xml:space="preserve"> </w:t>
      </w:r>
      <w:r w:rsidR="00D34C18">
        <w:rPr>
          <w:rFonts w:ascii="Times New Roman" w:hAnsi="Times New Roman" w:cs="Times New Roman"/>
          <w:sz w:val="24"/>
          <w:szCs w:val="24"/>
        </w:rPr>
        <w:t xml:space="preserve">In this paper, I aim to </w:t>
      </w:r>
      <w:r w:rsidR="00D34C18" w:rsidRPr="0008661E">
        <w:rPr>
          <w:rFonts w:ascii="Times New Roman" w:hAnsi="Times New Roman" w:cs="Times New Roman"/>
          <w:sz w:val="24"/>
          <w:szCs w:val="24"/>
        </w:rPr>
        <w:t xml:space="preserve">provide a new way to </w:t>
      </w:r>
      <w:r w:rsidR="00DE2A7C">
        <w:rPr>
          <w:rFonts w:ascii="Times New Roman" w:hAnsi="Times New Roman" w:cs="Times New Roman"/>
          <w:sz w:val="24"/>
          <w:szCs w:val="24"/>
        </w:rPr>
        <w:t>understand and develop</w:t>
      </w:r>
      <w:r w:rsidR="00D34C18">
        <w:rPr>
          <w:rFonts w:ascii="Times New Roman" w:hAnsi="Times New Roman" w:cs="Times New Roman"/>
          <w:sz w:val="24"/>
          <w:szCs w:val="24"/>
        </w:rPr>
        <w:t xml:space="preserve"> Kuhn’s legacy by revisiting the development of Kuhn’s </w:t>
      </w:r>
      <w:r w:rsidR="00F74495">
        <w:rPr>
          <w:rFonts w:ascii="Times New Roman" w:hAnsi="Times New Roman" w:cs="Times New Roman"/>
          <w:sz w:val="24"/>
          <w:szCs w:val="24"/>
        </w:rPr>
        <w:t>philosophy of science in 1970s</w:t>
      </w:r>
      <w:r w:rsidR="001237C7">
        <w:rPr>
          <w:rFonts w:ascii="Times New Roman" w:hAnsi="Times New Roman" w:cs="Times New Roman"/>
          <w:sz w:val="24"/>
          <w:szCs w:val="24"/>
        </w:rPr>
        <w:t xml:space="preserve"> and proposing a new account of </w:t>
      </w:r>
      <w:r w:rsidR="001237C7" w:rsidRPr="00F04261">
        <w:rPr>
          <w:rFonts w:ascii="Times New Roman Italic" w:hAnsi="Times New Roman Italic" w:cs="Times New Roman"/>
          <w:i/>
          <w:iCs/>
          <w:sz w:val="24"/>
          <w:szCs w:val="24"/>
        </w:rPr>
        <w:t>exemplar</w:t>
      </w:r>
      <w:r w:rsidR="001237C7">
        <w:rPr>
          <w:rFonts w:ascii="Times New Roman" w:hAnsi="Times New Roman" w:cs="Times New Roman"/>
          <w:sz w:val="24"/>
          <w:szCs w:val="24"/>
        </w:rPr>
        <w:t>.</w:t>
      </w:r>
    </w:p>
    <w:p w14:paraId="69B53D20" w14:textId="53D88E8A" w:rsidR="00902645" w:rsidRPr="0008661E" w:rsidRDefault="00D34C18" w:rsidP="00C5075C">
      <w:pPr>
        <w:spacing w:beforeLines="100" w:before="240" w:afterLines="100" w:after="240" w:line="480" w:lineRule="auto"/>
        <w:rPr>
          <w:rFonts w:ascii="Times New Roman" w:hAnsi="Times New Roman" w:cs="Times New Roman"/>
          <w:sz w:val="24"/>
          <w:szCs w:val="24"/>
        </w:rPr>
      </w:pPr>
      <w:r>
        <w:rPr>
          <w:rFonts w:ascii="Times New Roman" w:hAnsi="Times New Roman" w:cs="Times New Roman"/>
          <w:sz w:val="24"/>
          <w:szCs w:val="24"/>
        </w:rPr>
        <w:t>My</w:t>
      </w:r>
      <w:r w:rsidR="00902645" w:rsidRPr="0008661E">
        <w:rPr>
          <w:rFonts w:ascii="Times New Roman" w:hAnsi="Times New Roman" w:cs="Times New Roman"/>
          <w:sz w:val="24"/>
          <w:szCs w:val="24"/>
        </w:rPr>
        <w:t xml:space="preserve"> strategy of </w:t>
      </w:r>
      <w:r w:rsidR="0001636D" w:rsidRPr="0008661E">
        <w:rPr>
          <w:rFonts w:ascii="Times New Roman" w:hAnsi="Times New Roman" w:cs="Times New Roman"/>
          <w:sz w:val="24"/>
          <w:szCs w:val="24"/>
        </w:rPr>
        <w:t xml:space="preserve">analysing Kuhn’s </w:t>
      </w:r>
      <w:r w:rsidR="006B4E51" w:rsidRPr="0008661E">
        <w:rPr>
          <w:rFonts w:ascii="Times New Roman" w:hAnsi="Times New Roman" w:cs="Times New Roman"/>
          <w:sz w:val="24"/>
          <w:szCs w:val="24"/>
        </w:rPr>
        <w:t>“</w:t>
      </w:r>
      <w:r w:rsidR="0001636D" w:rsidRPr="0008661E">
        <w:rPr>
          <w:rFonts w:ascii="Times New Roman" w:hAnsi="Times New Roman" w:cs="Times New Roman"/>
          <w:sz w:val="24"/>
          <w:szCs w:val="24"/>
        </w:rPr>
        <w:t>wrong</w:t>
      </w:r>
      <w:r w:rsidR="006B4E51" w:rsidRPr="0008661E">
        <w:rPr>
          <w:rFonts w:ascii="Times New Roman" w:hAnsi="Times New Roman" w:cs="Times New Roman"/>
          <w:sz w:val="24"/>
          <w:szCs w:val="24"/>
        </w:rPr>
        <w:t>”</w:t>
      </w:r>
      <w:r w:rsidR="0001636D" w:rsidRPr="0008661E">
        <w:rPr>
          <w:rFonts w:ascii="Times New Roman" w:hAnsi="Times New Roman" w:cs="Times New Roman"/>
          <w:sz w:val="24"/>
          <w:szCs w:val="24"/>
        </w:rPr>
        <w:t xml:space="preserve"> turning </w:t>
      </w:r>
      <w:r w:rsidR="0081514A">
        <w:rPr>
          <w:rFonts w:ascii="Times New Roman" w:hAnsi="Times New Roman" w:cs="Times New Roman"/>
          <w:sz w:val="24"/>
          <w:szCs w:val="24"/>
        </w:rPr>
        <w:t>will be</w:t>
      </w:r>
      <w:r w:rsidR="00A20CB8" w:rsidRPr="0008661E">
        <w:rPr>
          <w:rFonts w:ascii="Times New Roman" w:hAnsi="Times New Roman" w:cs="Times New Roman"/>
          <w:sz w:val="24"/>
          <w:szCs w:val="24"/>
        </w:rPr>
        <w:t xml:space="preserve"> centrally concerned with </w:t>
      </w:r>
      <w:r w:rsidR="0001636D" w:rsidRPr="0008661E">
        <w:rPr>
          <w:rFonts w:ascii="Times New Roman" w:hAnsi="Times New Roman" w:cs="Times New Roman"/>
          <w:sz w:val="24"/>
          <w:szCs w:val="24"/>
        </w:rPr>
        <w:t>Kuhn’s novel contributions</w:t>
      </w:r>
      <w:r w:rsidR="00645E7F">
        <w:rPr>
          <w:rFonts w:ascii="Times New Roman" w:hAnsi="Times New Roman" w:cs="Times New Roman"/>
          <w:sz w:val="24"/>
          <w:szCs w:val="24"/>
        </w:rPr>
        <w:t>.</w:t>
      </w:r>
      <w:r w:rsidR="00902645" w:rsidRPr="0008661E">
        <w:rPr>
          <w:rFonts w:ascii="Times New Roman" w:hAnsi="Times New Roman" w:cs="Times New Roman"/>
          <w:sz w:val="24"/>
          <w:szCs w:val="24"/>
        </w:rPr>
        <w:t xml:space="preserve"> </w:t>
      </w:r>
      <w:r w:rsidR="005C3027" w:rsidRPr="0008661E">
        <w:rPr>
          <w:rFonts w:ascii="Times New Roman" w:hAnsi="Times New Roman" w:cs="Times New Roman"/>
          <w:sz w:val="24"/>
          <w:szCs w:val="24"/>
        </w:rPr>
        <w:t>I shall examine</w:t>
      </w:r>
      <w:r w:rsidR="00902645" w:rsidRPr="0008661E">
        <w:rPr>
          <w:rFonts w:ascii="Times New Roman" w:hAnsi="Times New Roman" w:cs="Times New Roman"/>
          <w:sz w:val="24"/>
          <w:szCs w:val="24"/>
        </w:rPr>
        <w:t xml:space="preserve"> what makes Kuhn’s early philosophy of science so revolutionary and influential.</w:t>
      </w:r>
      <w:r w:rsidR="00B472F7" w:rsidRPr="0008661E">
        <w:rPr>
          <w:rFonts w:ascii="Times New Roman" w:hAnsi="Times New Roman" w:cs="Times New Roman"/>
          <w:sz w:val="24"/>
          <w:szCs w:val="24"/>
        </w:rPr>
        <w:t xml:space="preserve"> In other words, what are the novel contributions made by early Kuhn</w:t>
      </w:r>
      <w:r w:rsidR="00902645" w:rsidRPr="0008661E">
        <w:rPr>
          <w:rFonts w:ascii="Times New Roman" w:hAnsi="Times New Roman" w:cs="Times New Roman"/>
          <w:sz w:val="24"/>
          <w:szCs w:val="24"/>
        </w:rPr>
        <w:t xml:space="preserve"> </w:t>
      </w:r>
      <w:r w:rsidR="00B472F7" w:rsidRPr="0008661E">
        <w:rPr>
          <w:rFonts w:ascii="Times New Roman" w:hAnsi="Times New Roman" w:cs="Times New Roman"/>
          <w:sz w:val="24"/>
          <w:szCs w:val="24"/>
        </w:rPr>
        <w:t xml:space="preserve">which might be Kuhn’s legacy for today? </w:t>
      </w:r>
      <w:r w:rsidR="00902645" w:rsidRPr="0008661E">
        <w:rPr>
          <w:rFonts w:ascii="Times New Roman" w:hAnsi="Times New Roman" w:cs="Times New Roman"/>
          <w:sz w:val="24"/>
          <w:szCs w:val="24"/>
        </w:rPr>
        <w:t xml:space="preserve">Secondly, I shall </w:t>
      </w:r>
      <w:r w:rsidR="008E3E2F" w:rsidRPr="0008661E">
        <w:rPr>
          <w:rFonts w:ascii="Times New Roman" w:hAnsi="Times New Roman" w:cs="Times New Roman"/>
          <w:sz w:val="24"/>
          <w:szCs w:val="24"/>
        </w:rPr>
        <w:t>identify the obstacles to the further articulation of Kuhn’s novel contribution</w:t>
      </w:r>
      <w:r w:rsidR="005C3027" w:rsidRPr="0008661E">
        <w:rPr>
          <w:rFonts w:ascii="Times New Roman" w:hAnsi="Times New Roman" w:cs="Times New Roman"/>
          <w:sz w:val="24"/>
          <w:szCs w:val="24"/>
        </w:rPr>
        <w:t>s</w:t>
      </w:r>
      <w:r w:rsidR="008E3E2F" w:rsidRPr="0008661E">
        <w:rPr>
          <w:rFonts w:ascii="Times New Roman" w:hAnsi="Times New Roman" w:cs="Times New Roman"/>
          <w:sz w:val="24"/>
          <w:szCs w:val="24"/>
        </w:rPr>
        <w:t>: Why are these “revolutionary and influential” parts of Ku</w:t>
      </w:r>
      <w:r w:rsidR="00A37A03">
        <w:rPr>
          <w:rFonts w:ascii="Times New Roman" w:hAnsi="Times New Roman" w:cs="Times New Roman"/>
          <w:sz w:val="24"/>
          <w:szCs w:val="24"/>
        </w:rPr>
        <w:t>hn’s philosophy left without substantial or lasting</w:t>
      </w:r>
      <w:r w:rsidR="008E3E2F" w:rsidRPr="0008661E">
        <w:rPr>
          <w:rFonts w:ascii="Times New Roman" w:hAnsi="Times New Roman" w:cs="Times New Roman"/>
          <w:sz w:val="24"/>
          <w:szCs w:val="24"/>
        </w:rPr>
        <w:t xml:space="preserve"> impact on contemporary philosophy of science?</w:t>
      </w:r>
      <w:r w:rsidR="00662649">
        <w:rPr>
          <w:rFonts w:ascii="Times New Roman" w:hAnsi="Times New Roman" w:cs="Times New Roman"/>
          <w:sz w:val="24"/>
          <w:szCs w:val="24"/>
        </w:rPr>
        <w:t xml:space="preserve"> In section 2</w:t>
      </w:r>
      <w:r w:rsidR="00662649" w:rsidRPr="0008661E">
        <w:rPr>
          <w:rFonts w:ascii="Times New Roman" w:hAnsi="Times New Roman" w:cs="Times New Roman"/>
          <w:sz w:val="24"/>
          <w:szCs w:val="24"/>
        </w:rPr>
        <w:t xml:space="preserve">, I shall propose my own diagnosis </w:t>
      </w:r>
      <w:r w:rsidR="000B1749">
        <w:rPr>
          <w:rFonts w:ascii="Times New Roman" w:hAnsi="Times New Roman" w:cs="Times New Roman"/>
          <w:sz w:val="24"/>
          <w:szCs w:val="24"/>
        </w:rPr>
        <w:t xml:space="preserve">by </w:t>
      </w:r>
      <w:r w:rsidR="00662649" w:rsidRPr="0008661E">
        <w:rPr>
          <w:rFonts w:ascii="Times New Roman" w:hAnsi="Times New Roman" w:cs="Times New Roman"/>
          <w:sz w:val="24"/>
          <w:szCs w:val="24"/>
        </w:rPr>
        <w:t xml:space="preserve">identifying that Kuhn’s two novel contributions. </w:t>
      </w:r>
      <w:r w:rsidR="00662649">
        <w:rPr>
          <w:rFonts w:ascii="Times New Roman" w:hAnsi="Times New Roman" w:cs="Times New Roman"/>
          <w:sz w:val="24"/>
          <w:szCs w:val="24"/>
          <w:lang w:val="en-US" w:eastAsia="zh-CN"/>
        </w:rPr>
        <w:t>In section 3</w:t>
      </w:r>
      <w:r w:rsidR="00662649" w:rsidRPr="0008661E">
        <w:rPr>
          <w:rFonts w:ascii="Times New Roman" w:hAnsi="Times New Roman" w:cs="Times New Roman"/>
          <w:sz w:val="24"/>
          <w:szCs w:val="24"/>
          <w:lang w:val="en-US" w:eastAsia="zh-CN"/>
        </w:rPr>
        <w:t xml:space="preserve">, </w:t>
      </w:r>
      <w:r w:rsidR="00662649">
        <w:rPr>
          <w:rFonts w:ascii="Times New Roman" w:hAnsi="Times New Roman" w:cs="Times New Roman"/>
          <w:sz w:val="24"/>
          <w:szCs w:val="24"/>
          <w:lang w:val="en-US" w:eastAsia="zh-CN"/>
        </w:rPr>
        <w:t xml:space="preserve">I shall argue that </w:t>
      </w:r>
      <w:r w:rsidR="00280704">
        <w:rPr>
          <w:rFonts w:ascii="Times New Roman" w:hAnsi="Times New Roman" w:cs="Times New Roman"/>
          <w:sz w:val="24"/>
          <w:szCs w:val="24"/>
          <w:lang w:val="en-US" w:eastAsia="zh-CN"/>
        </w:rPr>
        <w:t>Kuhn made a</w:t>
      </w:r>
      <w:r w:rsidR="00662649">
        <w:rPr>
          <w:rFonts w:ascii="Times New Roman" w:hAnsi="Times New Roman" w:cs="Times New Roman"/>
          <w:sz w:val="24"/>
          <w:szCs w:val="24"/>
          <w:lang w:val="en-US" w:eastAsia="zh-CN"/>
        </w:rPr>
        <w:t xml:space="preserve"> conceptual</w:t>
      </w:r>
      <w:r w:rsidR="000B1749">
        <w:rPr>
          <w:rFonts w:ascii="Times New Roman" w:hAnsi="Times New Roman" w:cs="Times New Roman"/>
          <w:sz w:val="24"/>
          <w:szCs w:val="24"/>
          <w:lang w:val="en-US" w:eastAsia="zh-CN"/>
        </w:rPr>
        <w:t>/terminological</w:t>
      </w:r>
      <w:r w:rsidR="00662649">
        <w:rPr>
          <w:rFonts w:ascii="Times New Roman" w:hAnsi="Times New Roman" w:cs="Times New Roman"/>
          <w:sz w:val="24"/>
          <w:szCs w:val="24"/>
          <w:lang w:val="en-US" w:eastAsia="zh-CN"/>
        </w:rPr>
        <w:t xml:space="preserve"> turn from paradigm to theory</w:t>
      </w:r>
      <w:r w:rsidR="00280704">
        <w:rPr>
          <w:rFonts w:ascii="Times New Roman" w:hAnsi="Times New Roman" w:cs="Times New Roman"/>
          <w:sz w:val="24"/>
          <w:szCs w:val="24"/>
          <w:lang w:val="en-US" w:eastAsia="zh-CN"/>
        </w:rPr>
        <w:t>, which</w:t>
      </w:r>
      <w:r w:rsidR="00662649">
        <w:rPr>
          <w:rFonts w:ascii="Times New Roman" w:hAnsi="Times New Roman" w:cs="Times New Roman"/>
          <w:sz w:val="24"/>
          <w:szCs w:val="24"/>
          <w:lang w:val="en-US" w:eastAsia="zh-CN"/>
        </w:rPr>
        <w:t xml:space="preserve"> </w:t>
      </w:r>
      <w:r w:rsidR="00280704">
        <w:rPr>
          <w:rFonts w:ascii="Times New Roman" w:hAnsi="Times New Roman" w:cs="Times New Roman"/>
          <w:sz w:val="24"/>
          <w:szCs w:val="24"/>
          <w:lang w:val="en-US" w:eastAsia="zh-CN"/>
        </w:rPr>
        <w:t>undermined</w:t>
      </w:r>
      <w:r w:rsidR="0036390C">
        <w:rPr>
          <w:rFonts w:ascii="Times New Roman" w:hAnsi="Times New Roman" w:cs="Times New Roman"/>
          <w:sz w:val="24"/>
          <w:szCs w:val="24"/>
          <w:lang w:val="en-US" w:eastAsia="zh-CN"/>
        </w:rPr>
        <w:t xml:space="preserve"> Kuhn’s novel contributions</w:t>
      </w:r>
      <w:r w:rsidR="00662649" w:rsidRPr="0008661E">
        <w:rPr>
          <w:rFonts w:ascii="Times New Roman" w:hAnsi="Times New Roman" w:cs="Times New Roman"/>
          <w:sz w:val="24"/>
          <w:szCs w:val="24"/>
        </w:rPr>
        <w:t>.</w:t>
      </w:r>
      <w:r w:rsidR="00662649">
        <w:rPr>
          <w:rFonts w:ascii="Times New Roman" w:hAnsi="Times New Roman" w:cs="Times New Roman"/>
          <w:sz w:val="24"/>
          <w:szCs w:val="24"/>
        </w:rPr>
        <w:t xml:space="preserve"> </w:t>
      </w:r>
      <w:r w:rsidR="000B1749">
        <w:rPr>
          <w:rFonts w:ascii="Times New Roman" w:hAnsi="Times New Roman" w:cs="Times New Roman"/>
          <w:sz w:val="24"/>
          <w:szCs w:val="24"/>
        </w:rPr>
        <w:t>In section 4</w:t>
      </w:r>
      <w:r w:rsidR="00C216D7">
        <w:rPr>
          <w:rFonts w:ascii="Times New Roman" w:hAnsi="Times New Roman" w:cs="Times New Roman"/>
          <w:sz w:val="24"/>
          <w:szCs w:val="24"/>
        </w:rPr>
        <w:t xml:space="preserve">, I shall </w:t>
      </w:r>
      <w:r w:rsidR="000B1749">
        <w:rPr>
          <w:rFonts w:ascii="Times New Roman" w:hAnsi="Times New Roman" w:cs="Times New Roman"/>
          <w:sz w:val="24"/>
          <w:szCs w:val="24"/>
        </w:rPr>
        <w:t>propose a new articulation</w:t>
      </w:r>
      <w:r w:rsidR="00C216D7">
        <w:rPr>
          <w:rFonts w:ascii="Times New Roman" w:hAnsi="Times New Roman" w:cs="Times New Roman"/>
          <w:sz w:val="24"/>
          <w:szCs w:val="24"/>
        </w:rPr>
        <w:t xml:space="preserve"> of exemplar</w:t>
      </w:r>
      <w:r w:rsidR="000B1749">
        <w:rPr>
          <w:rFonts w:ascii="Times New Roman" w:hAnsi="Times New Roman" w:cs="Times New Roman"/>
          <w:sz w:val="24"/>
          <w:szCs w:val="24"/>
        </w:rPr>
        <w:t xml:space="preserve"> and propose an exemplar-based approach to analysing the history </w:t>
      </w:r>
      <w:r w:rsidR="003D3B04">
        <w:rPr>
          <w:rFonts w:ascii="Times New Roman" w:hAnsi="Times New Roman" w:cs="Times New Roman"/>
          <w:sz w:val="24"/>
          <w:szCs w:val="24"/>
        </w:rPr>
        <w:t xml:space="preserve">and practice </w:t>
      </w:r>
      <w:r w:rsidR="000B1749">
        <w:rPr>
          <w:rFonts w:ascii="Times New Roman" w:hAnsi="Times New Roman" w:cs="Times New Roman"/>
          <w:sz w:val="24"/>
          <w:szCs w:val="24"/>
        </w:rPr>
        <w:t>of science</w:t>
      </w:r>
      <w:r w:rsidR="00662649">
        <w:rPr>
          <w:rFonts w:ascii="Times New Roman" w:hAnsi="Times New Roman" w:cs="Times New Roman"/>
          <w:sz w:val="24"/>
          <w:szCs w:val="24"/>
        </w:rPr>
        <w:t>.</w:t>
      </w:r>
      <w:r w:rsidR="000B1749">
        <w:rPr>
          <w:rFonts w:ascii="Times New Roman" w:hAnsi="Times New Roman" w:cs="Times New Roman"/>
          <w:sz w:val="24"/>
          <w:szCs w:val="24"/>
        </w:rPr>
        <w:t xml:space="preserve"> In section</w:t>
      </w:r>
      <w:r w:rsidR="0035502A">
        <w:rPr>
          <w:rFonts w:ascii="Times New Roman" w:hAnsi="Times New Roman" w:cs="Times New Roman"/>
          <w:sz w:val="24"/>
          <w:szCs w:val="24"/>
        </w:rPr>
        <w:t xml:space="preserve"> 5</w:t>
      </w:r>
      <w:r w:rsidR="000B1749">
        <w:rPr>
          <w:rFonts w:ascii="Times New Roman" w:hAnsi="Times New Roman" w:cs="Times New Roman"/>
          <w:sz w:val="24"/>
          <w:szCs w:val="24"/>
        </w:rPr>
        <w:t xml:space="preserve">, I shall show how the exemplar-based approach can be applied to account for the </w:t>
      </w:r>
      <w:r w:rsidR="003D3B04">
        <w:rPr>
          <w:rFonts w:ascii="Times New Roman" w:hAnsi="Times New Roman" w:cs="Times New Roman"/>
          <w:sz w:val="24"/>
          <w:szCs w:val="24"/>
        </w:rPr>
        <w:t xml:space="preserve">early </w:t>
      </w:r>
      <w:r w:rsidR="000B1749">
        <w:rPr>
          <w:rFonts w:ascii="Times New Roman" w:hAnsi="Times New Roman" w:cs="Times New Roman"/>
          <w:sz w:val="24"/>
          <w:szCs w:val="24"/>
        </w:rPr>
        <w:t>development of genetics.</w:t>
      </w:r>
    </w:p>
    <w:p w14:paraId="1DFB5FA4" w14:textId="76917DC0" w:rsidR="00C76F8C" w:rsidRPr="0008661E" w:rsidRDefault="003D6B23" w:rsidP="00C5075C">
      <w:pPr>
        <w:spacing w:beforeLines="100" w:before="240" w:afterLines="100" w:after="240" w:line="480" w:lineRule="auto"/>
        <w:rPr>
          <w:rFonts w:ascii="Times New Roman" w:hAnsi="Times New Roman" w:cs="Times New Roman"/>
          <w:b/>
          <w:sz w:val="24"/>
          <w:szCs w:val="24"/>
        </w:rPr>
      </w:pPr>
      <w:r>
        <w:rPr>
          <w:rFonts w:ascii="Times New Roman" w:hAnsi="Times New Roman" w:cs="Times New Roman"/>
          <w:b/>
          <w:sz w:val="24"/>
          <w:szCs w:val="24"/>
        </w:rPr>
        <w:lastRenderedPageBreak/>
        <w:t>2</w:t>
      </w:r>
      <w:r w:rsidR="00C92C1A" w:rsidRPr="0008661E">
        <w:rPr>
          <w:rFonts w:ascii="Times New Roman" w:hAnsi="Times New Roman" w:cs="Times New Roman"/>
          <w:b/>
          <w:sz w:val="24"/>
          <w:szCs w:val="24"/>
        </w:rPr>
        <w:t xml:space="preserve">. </w:t>
      </w:r>
      <w:r w:rsidR="001C64AB" w:rsidRPr="0008661E">
        <w:rPr>
          <w:rFonts w:ascii="Times New Roman" w:hAnsi="Times New Roman" w:cs="Times New Roman"/>
          <w:b/>
          <w:sz w:val="24"/>
          <w:szCs w:val="24"/>
        </w:rPr>
        <w:t>Kuhn’s Novel Contributions</w:t>
      </w:r>
    </w:p>
    <w:p w14:paraId="625AFF56" w14:textId="44189029" w:rsidR="003B5DE6" w:rsidRPr="0008661E" w:rsidRDefault="008D523A" w:rsidP="00C5075C">
      <w:pPr>
        <w:spacing w:beforeLines="100" w:before="240" w:afterLines="100" w:after="240" w:line="480" w:lineRule="auto"/>
        <w:rPr>
          <w:rFonts w:ascii="Times New Roman" w:hAnsi="Times New Roman" w:cs="Times New Roman"/>
          <w:sz w:val="24"/>
          <w:szCs w:val="24"/>
        </w:rPr>
      </w:pPr>
      <w:r>
        <w:rPr>
          <w:rFonts w:ascii="Times New Roman" w:hAnsi="Times New Roman" w:cs="Times New Roman"/>
          <w:sz w:val="24"/>
          <w:szCs w:val="24"/>
        </w:rPr>
        <w:t xml:space="preserve">In this section, I shall argue that </w:t>
      </w:r>
      <w:r w:rsidR="00EF333F" w:rsidRPr="0008661E">
        <w:rPr>
          <w:rFonts w:ascii="Times New Roman" w:hAnsi="Times New Roman" w:cs="Times New Roman"/>
          <w:sz w:val="24"/>
          <w:szCs w:val="24"/>
        </w:rPr>
        <w:t>Kuhn ma</w:t>
      </w:r>
      <w:r w:rsidR="00A47F32" w:rsidRPr="0008661E">
        <w:rPr>
          <w:rFonts w:ascii="Times New Roman" w:hAnsi="Times New Roman" w:cs="Times New Roman"/>
          <w:sz w:val="24"/>
          <w:szCs w:val="24"/>
        </w:rPr>
        <w:t>de two major</w:t>
      </w:r>
      <w:r w:rsidR="00EF333F" w:rsidRPr="0008661E">
        <w:rPr>
          <w:rFonts w:ascii="Times New Roman" w:hAnsi="Times New Roman" w:cs="Times New Roman"/>
          <w:sz w:val="24"/>
          <w:szCs w:val="24"/>
        </w:rPr>
        <w:t xml:space="preserve"> novel contributions in </w:t>
      </w:r>
      <w:r w:rsidR="00EF333F" w:rsidRPr="0008661E">
        <w:rPr>
          <w:rFonts w:ascii="Times New Roman" w:hAnsi="Times New Roman" w:cs="Times New Roman"/>
          <w:i/>
          <w:iCs/>
          <w:sz w:val="24"/>
          <w:szCs w:val="24"/>
        </w:rPr>
        <w:t>SSR</w:t>
      </w:r>
      <w:r w:rsidR="00EF333F" w:rsidRPr="0008661E">
        <w:rPr>
          <w:rFonts w:ascii="Times New Roman" w:hAnsi="Times New Roman" w:cs="Times New Roman"/>
          <w:sz w:val="24"/>
          <w:szCs w:val="24"/>
        </w:rPr>
        <w:t xml:space="preserve">. </w:t>
      </w:r>
      <w:r w:rsidR="00D3766A">
        <w:rPr>
          <w:rFonts w:ascii="Times New Roman" w:hAnsi="Times New Roman" w:cs="Times New Roman"/>
          <w:sz w:val="24"/>
          <w:szCs w:val="24"/>
        </w:rPr>
        <w:t xml:space="preserve">Along with Bird, I contend that </w:t>
      </w:r>
      <w:r w:rsidR="00EF333F" w:rsidRPr="0008661E">
        <w:rPr>
          <w:rFonts w:ascii="Times New Roman" w:hAnsi="Times New Roman" w:cs="Times New Roman"/>
          <w:sz w:val="24"/>
          <w:szCs w:val="24"/>
        </w:rPr>
        <w:t>Kuhn’s</w:t>
      </w:r>
      <w:r w:rsidR="00C21EAB">
        <w:rPr>
          <w:rFonts w:ascii="Times New Roman" w:hAnsi="Times New Roman" w:cs="Times New Roman"/>
          <w:sz w:val="24"/>
          <w:szCs w:val="24"/>
        </w:rPr>
        <w:t xml:space="preserve"> introduction of</w:t>
      </w:r>
      <w:r w:rsidR="009B0BC8">
        <w:rPr>
          <w:rFonts w:ascii="Times New Roman" w:hAnsi="Times New Roman" w:cs="Times New Roman"/>
          <w:sz w:val="24"/>
          <w:szCs w:val="24"/>
        </w:rPr>
        <w:t xml:space="preserve"> the concept of </w:t>
      </w:r>
      <w:r w:rsidR="009B0BC8" w:rsidRPr="00F04261">
        <w:rPr>
          <w:rFonts w:ascii="Times New Roman Italic" w:hAnsi="Times New Roman Italic" w:cs="Times New Roman"/>
          <w:i/>
          <w:iCs/>
          <w:sz w:val="24"/>
          <w:szCs w:val="24"/>
        </w:rPr>
        <w:t>paradigm</w:t>
      </w:r>
      <w:r w:rsidR="005D705C">
        <w:rPr>
          <w:rFonts w:ascii="Times New Roman" w:hAnsi="Times New Roman" w:cs="Times New Roman"/>
          <w:sz w:val="24"/>
          <w:szCs w:val="24"/>
        </w:rPr>
        <w:t xml:space="preserve"> (as an alternative to </w:t>
      </w:r>
      <w:r w:rsidR="00E62D84" w:rsidRPr="0008661E">
        <w:rPr>
          <w:rFonts w:ascii="Times New Roman" w:hAnsi="Times New Roman" w:cs="Times New Roman"/>
          <w:sz w:val="24"/>
          <w:szCs w:val="24"/>
        </w:rPr>
        <w:t>t</w:t>
      </w:r>
      <w:r w:rsidR="005D705C">
        <w:rPr>
          <w:rFonts w:ascii="Times New Roman" w:hAnsi="Times New Roman" w:cs="Times New Roman"/>
          <w:sz w:val="24"/>
          <w:szCs w:val="24"/>
        </w:rPr>
        <w:t>heory</w:t>
      </w:r>
      <w:r w:rsidR="00B81B95">
        <w:rPr>
          <w:rFonts w:ascii="Times New Roman" w:hAnsi="Times New Roman" w:cs="Times New Roman"/>
          <w:sz w:val="24"/>
          <w:szCs w:val="24"/>
        </w:rPr>
        <w:t xml:space="preserve"> to characterise the history</w:t>
      </w:r>
      <w:r w:rsidR="002035CB">
        <w:rPr>
          <w:rFonts w:ascii="Times New Roman" w:hAnsi="Times New Roman" w:cs="Times New Roman"/>
          <w:sz w:val="24"/>
          <w:szCs w:val="24"/>
        </w:rPr>
        <w:t xml:space="preserve"> and practice</w:t>
      </w:r>
      <w:r w:rsidR="00B81B95">
        <w:rPr>
          <w:rFonts w:ascii="Times New Roman" w:hAnsi="Times New Roman" w:cs="Times New Roman"/>
          <w:sz w:val="24"/>
          <w:szCs w:val="24"/>
        </w:rPr>
        <w:t xml:space="preserve"> of science</w:t>
      </w:r>
      <w:r w:rsidR="00E62D84" w:rsidRPr="0008661E">
        <w:rPr>
          <w:rFonts w:ascii="Times New Roman" w:hAnsi="Times New Roman" w:cs="Times New Roman"/>
          <w:sz w:val="24"/>
          <w:szCs w:val="24"/>
        </w:rPr>
        <w:t xml:space="preserve">) in </w:t>
      </w:r>
      <w:r w:rsidR="00EF333F" w:rsidRPr="0008661E">
        <w:rPr>
          <w:rFonts w:ascii="Times New Roman" w:hAnsi="Times New Roman" w:cs="Times New Roman"/>
          <w:i/>
          <w:sz w:val="24"/>
          <w:szCs w:val="24"/>
        </w:rPr>
        <w:t>SSR</w:t>
      </w:r>
      <w:r w:rsidR="00D3766A">
        <w:rPr>
          <w:rFonts w:ascii="Times New Roman" w:hAnsi="Times New Roman" w:cs="Times New Roman"/>
          <w:sz w:val="24"/>
          <w:szCs w:val="24"/>
        </w:rPr>
        <w:t xml:space="preserve"> is</w:t>
      </w:r>
      <w:r w:rsidR="00EF333F" w:rsidRPr="0008661E">
        <w:rPr>
          <w:rFonts w:ascii="Times New Roman" w:hAnsi="Times New Roman" w:cs="Times New Roman"/>
          <w:sz w:val="24"/>
          <w:szCs w:val="24"/>
        </w:rPr>
        <w:t xml:space="preserve"> his most novel</w:t>
      </w:r>
      <w:r w:rsidR="00A779BF">
        <w:rPr>
          <w:rFonts w:ascii="Times New Roman" w:hAnsi="Times New Roman" w:cs="Times New Roman"/>
          <w:sz w:val="24"/>
          <w:szCs w:val="24"/>
        </w:rPr>
        <w:t xml:space="preserve"> and significant</w:t>
      </w:r>
      <w:r w:rsidR="00EF333F" w:rsidRPr="0008661E">
        <w:rPr>
          <w:rFonts w:ascii="Times New Roman" w:hAnsi="Times New Roman" w:cs="Times New Roman"/>
          <w:sz w:val="24"/>
          <w:szCs w:val="24"/>
        </w:rPr>
        <w:t xml:space="preserve"> contributions to the philosophy of science</w:t>
      </w:r>
      <w:r w:rsidR="00E62D84" w:rsidRPr="0008661E">
        <w:rPr>
          <w:rFonts w:ascii="Times New Roman" w:hAnsi="Times New Roman" w:cs="Times New Roman"/>
          <w:sz w:val="24"/>
          <w:szCs w:val="24"/>
        </w:rPr>
        <w:t xml:space="preserve">. </w:t>
      </w:r>
      <w:r w:rsidR="00FE4662" w:rsidRPr="0008661E">
        <w:rPr>
          <w:rFonts w:ascii="Times New Roman" w:hAnsi="Times New Roman" w:cs="Times New Roman"/>
          <w:sz w:val="24"/>
          <w:szCs w:val="24"/>
        </w:rPr>
        <w:fldChar w:fldCharType="begin" w:fldLock="1"/>
      </w:r>
      <w:r w:rsidR="00384DA3">
        <w:rPr>
          <w:rFonts w:ascii="Times New Roman" w:hAnsi="Times New Roman" w:cs="Times New Roman"/>
          <w:sz w:val="24"/>
          <w:szCs w:val="24"/>
        </w:rPr>
        <w:instrText>ADDIN CSL_CITATION { "citationItems" : [ { "id" : "ITEM-1", "itemData" : { "author" : [ { "dropping-particle" : "", "family" : "Kuhn", "given" : "Thomas Samuel", "non-dropping-particle" : "", "parse-names" : false, "suffix" : "" } ], "edition" : "1st", "id" : "ITEM-1", "issued" : { "date-parts" : [ [ "1962" ] ] }, "publisher" : "University of Chicago Press", "publisher-place" : "Chicago, IL", "title" : "The Structure of Scientific Revolutions", "type" : "book" }, "suppress-author" : 1, "uris" : [ "http://www.mendeley.com/documents/?uuid=c25d90fb-8490-4232-9978-ce6037be6ac5", "http://www.mendeley.com/documents/?uuid=84b98a26-ed9c-46e6-9f86-62c6fef9cb83" ] }, { "id" : "ITEM-2", "itemData" : { "author" : [ { "dropping-particle" : "", "family" : "Kuhn", "given" : "Thomas Samuel", "non-dropping-particle" : "", "parse-names" : false, "suffix" : "" } ], "edition" : "2nd", "id" : "ITEM-2", "issued" : { "date-parts" : [ [ "1970" ] ] }, "publisher" : "University of Chicago Press", "publisher-place" : "Chicago, IL", "title" : "The Structure of Scientific Revolutions", "type" : "book" }, "suppress-author" : 1, "uris" : [ "http://www.mendeley.com/documents/?uuid=6f92ef14-2dc4-439d-96b3-44304c32cc59", "http://www.mendeley.com/documents/?uuid=bdadb4d5-5622-49a8-89f9-43f6b3b7e8aa" ] } ], "mendeley" : { "formattedCitation" : "(1962; 1970)", "plainTextFormattedCitation" : "(1962; 1970)", "previouslyFormattedCitation" : "(1962; 1970)" }, "properties" : { "noteIndex" : 0 }, "schema" : "https://github.com/citation-style-language/schema/raw/master/csl-citation.json" }</w:instrText>
      </w:r>
      <w:r w:rsidR="00FE4662" w:rsidRPr="0008661E">
        <w:rPr>
          <w:rFonts w:ascii="Times New Roman" w:hAnsi="Times New Roman" w:cs="Times New Roman"/>
          <w:sz w:val="24"/>
          <w:szCs w:val="24"/>
        </w:rPr>
        <w:fldChar w:fldCharType="separate"/>
      </w:r>
      <w:r w:rsidR="00154E68" w:rsidRPr="00154E68">
        <w:rPr>
          <w:rFonts w:ascii="Times New Roman" w:hAnsi="Times New Roman" w:cs="Times New Roman"/>
          <w:noProof/>
          <w:sz w:val="24"/>
          <w:szCs w:val="24"/>
        </w:rPr>
        <w:t>(1962; 1970)</w:t>
      </w:r>
      <w:r w:rsidR="00FE4662" w:rsidRPr="0008661E">
        <w:rPr>
          <w:rFonts w:ascii="Times New Roman" w:hAnsi="Times New Roman" w:cs="Times New Roman"/>
          <w:sz w:val="24"/>
          <w:szCs w:val="24"/>
        </w:rPr>
        <w:fldChar w:fldCharType="end"/>
      </w:r>
      <w:r w:rsidR="00FE4662" w:rsidRPr="0008661E">
        <w:rPr>
          <w:rFonts w:ascii="Times New Roman" w:hAnsi="Times New Roman" w:cs="Times New Roman"/>
          <w:sz w:val="24"/>
          <w:szCs w:val="24"/>
        </w:rPr>
        <w:t xml:space="preserve"> </w:t>
      </w:r>
      <w:r w:rsidR="004925D8" w:rsidRPr="0008661E">
        <w:rPr>
          <w:rFonts w:ascii="Times New Roman" w:hAnsi="Times New Roman" w:cs="Times New Roman"/>
          <w:sz w:val="24"/>
          <w:szCs w:val="24"/>
        </w:rPr>
        <w:t xml:space="preserve">It is a novel move in the history of philosophy of science </w:t>
      </w:r>
      <w:r w:rsidR="00CE0079" w:rsidRPr="0008661E">
        <w:rPr>
          <w:rFonts w:ascii="Times New Roman" w:hAnsi="Times New Roman" w:cs="Times New Roman"/>
          <w:sz w:val="24"/>
          <w:szCs w:val="24"/>
        </w:rPr>
        <w:t>in two</w:t>
      </w:r>
      <w:r w:rsidR="00EF333F" w:rsidRPr="0008661E">
        <w:rPr>
          <w:rFonts w:ascii="Times New Roman" w:hAnsi="Times New Roman" w:cs="Times New Roman"/>
          <w:sz w:val="24"/>
          <w:szCs w:val="24"/>
        </w:rPr>
        <w:t xml:space="preserve"> </w:t>
      </w:r>
      <w:r w:rsidR="00E31D53">
        <w:rPr>
          <w:rFonts w:ascii="Times New Roman" w:hAnsi="Times New Roman" w:cs="Times New Roman"/>
          <w:sz w:val="24"/>
          <w:szCs w:val="24"/>
        </w:rPr>
        <w:t>sense</w:t>
      </w:r>
      <w:r w:rsidR="00EF333F" w:rsidRPr="0008661E">
        <w:rPr>
          <w:rFonts w:ascii="Times New Roman" w:hAnsi="Times New Roman" w:cs="Times New Roman"/>
          <w:sz w:val="24"/>
          <w:szCs w:val="24"/>
        </w:rPr>
        <w:t xml:space="preserve">s. </w:t>
      </w:r>
      <w:r w:rsidR="00F46FA0">
        <w:rPr>
          <w:rFonts w:ascii="Times New Roman" w:hAnsi="Times New Roman" w:cs="Times New Roman"/>
          <w:sz w:val="24"/>
          <w:szCs w:val="24"/>
        </w:rPr>
        <w:t>Firstly, i</w:t>
      </w:r>
      <w:r w:rsidR="00EF333F" w:rsidRPr="0008661E">
        <w:rPr>
          <w:rFonts w:ascii="Times New Roman" w:hAnsi="Times New Roman" w:cs="Times New Roman"/>
          <w:sz w:val="24"/>
          <w:szCs w:val="24"/>
        </w:rPr>
        <w:t>t is really novel to analyse and understand</w:t>
      </w:r>
      <w:r w:rsidR="004925D8" w:rsidRPr="0008661E">
        <w:rPr>
          <w:rFonts w:ascii="Times New Roman" w:hAnsi="Times New Roman" w:cs="Times New Roman"/>
          <w:sz w:val="24"/>
          <w:szCs w:val="24"/>
        </w:rPr>
        <w:t xml:space="preserve"> the history and practice of science</w:t>
      </w:r>
      <w:r w:rsidR="00C21EAB">
        <w:rPr>
          <w:rFonts w:ascii="Times New Roman" w:hAnsi="Times New Roman" w:cs="Times New Roman"/>
          <w:sz w:val="24"/>
          <w:szCs w:val="24"/>
        </w:rPr>
        <w:t xml:space="preserve"> in terms of paradigms</w:t>
      </w:r>
      <w:r w:rsidR="00847D6F">
        <w:rPr>
          <w:rFonts w:ascii="Times New Roman" w:hAnsi="Times New Roman" w:cs="Times New Roman"/>
          <w:sz w:val="24"/>
          <w:szCs w:val="24"/>
        </w:rPr>
        <w:t>.</w:t>
      </w:r>
      <w:r w:rsidR="004925D8" w:rsidRPr="0008661E">
        <w:rPr>
          <w:rFonts w:ascii="Times New Roman" w:hAnsi="Times New Roman" w:cs="Times New Roman"/>
          <w:sz w:val="24"/>
          <w:szCs w:val="24"/>
        </w:rPr>
        <w:t xml:space="preserve"> </w:t>
      </w:r>
      <w:r w:rsidR="00EF333F" w:rsidRPr="0008661E">
        <w:rPr>
          <w:rFonts w:ascii="Times New Roman" w:hAnsi="Times New Roman" w:cs="Times New Roman"/>
          <w:sz w:val="24"/>
          <w:szCs w:val="24"/>
        </w:rPr>
        <w:t>Traditionally</w:t>
      </w:r>
      <w:r w:rsidR="00910F73">
        <w:rPr>
          <w:rFonts w:ascii="Times New Roman" w:hAnsi="Times New Roman" w:cs="Times New Roman"/>
          <w:sz w:val="24"/>
          <w:szCs w:val="24"/>
        </w:rPr>
        <w:t>,</w:t>
      </w:r>
      <w:r w:rsidR="00EF333F" w:rsidRPr="0008661E">
        <w:rPr>
          <w:rFonts w:ascii="Times New Roman" w:hAnsi="Times New Roman" w:cs="Times New Roman"/>
          <w:sz w:val="24"/>
          <w:szCs w:val="24"/>
        </w:rPr>
        <w:t xml:space="preserve"> </w:t>
      </w:r>
      <w:r w:rsidR="00F04261">
        <w:rPr>
          <w:rFonts w:ascii="Times New Roman" w:hAnsi="Times New Roman" w:cs="Times New Roman"/>
          <w:sz w:val="24"/>
          <w:szCs w:val="24"/>
        </w:rPr>
        <w:t xml:space="preserve">without argument, </w:t>
      </w:r>
      <w:r w:rsidR="00EF333F" w:rsidRPr="0008661E">
        <w:rPr>
          <w:rFonts w:ascii="Times New Roman" w:hAnsi="Times New Roman" w:cs="Times New Roman"/>
          <w:sz w:val="24"/>
          <w:szCs w:val="24"/>
        </w:rPr>
        <w:t>philosophers</w:t>
      </w:r>
      <w:r w:rsidR="0061317F">
        <w:rPr>
          <w:rFonts w:ascii="Times New Roman" w:hAnsi="Times New Roman" w:cs="Times New Roman"/>
          <w:sz w:val="24"/>
          <w:szCs w:val="24"/>
        </w:rPr>
        <w:t xml:space="preserve"> </w:t>
      </w:r>
      <w:r w:rsidR="0005073B">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"Popper", "given" : "Karl", "non-dropping-particle" : "", "parse-names" : false, "suffix" : "" } ], "edition" : "1", "id" : "ITEM-1", "issued" : { "date-parts" : [ [ "1959" ] ] }, "publisher" : "Hutchinson &amp; Co.", "publisher-place" : "London", "title" : "The Logic of Scientific Discovery", "type" : "book" }, "prefix" : "e.g. ", "uris" : [ "http://www.mendeley.com/documents/?uuid=b8bcc667-de6a-4e70-8bc5-5b99a475942c", "http://www.mendeley.com/documents/?uuid=ea984c96-c2cd-4e62-ba02-31b27de32cb5" ] }, { "id" : "ITEM-2", "itemData" : { "author" : [ { "dropping-particle" : "", "family" : "Nagel", "given" : "Ernest", "non-dropping-particle" : "", "parse-names" : false, "suffix" : "" } ], "id" : "ITEM-2", "issued" : { "date-parts" : [ [ "1961" ] ] }, "publisher" : "Harcourt, Brace &amp; World", "publisher-place" : "New York", "title" : "The Structure of Science: Problems in the Logic of Scientific Explanation", "type" : "book" }, "uris" : [ "http://www.mendeley.com/documents/?uuid=22c47de2-3b41-4718-8331-3e8d525ef419", "http://www.mendeley.com/documents/?uuid=a1721584-2e2f-47b9-a458-cb3641c7e698" ] }, { "id" : "ITEM-3", "itemData" : { "edition" : "2", "editor" : [ { "dropping-particle" : "", "family" : "Suppe", "given" : "Frederick", "non-dropping-particle" : "", "parse-names" : false, "suffix" : "" } ], "id" : "ITEM-3", "issued" : { "date-parts" : [ [ "1977" ] ] }, "publisher" : "University of Illinois Press", "publisher-place" : "Urbana, IL", "title" : "The Structure of Scientific Theories", "type" : "book" }, "uris" : [ "http://www.mendeley.com/documents/?uuid=89ededc1-7128-4686-9523-83a42a97a529", "http://www.mendeley.com/documents/?uuid=551eb194-1f55-42e5-abc1-8a9a578bf585" ] } ], "mendeley" : { "formattedCitation" : "(e.g. Popper 1959; Nagel 1961; Suppe 1977)", "manualFormatting" : "(e.g., Popper 1959; Nagel 1961; Suppe 1977)", "plainTextFormattedCitation" : "(e.g. Popper 1959; Nagel 1961; Suppe 1977)", "previouslyFormattedCitation" : "(e.g. Popper 1959; Nagel 1961; Suppe 1977)" }, "properties" : { "noteIndex" : 0 }, "schema" : "https://github.com/citation-style-language/schema/raw/master/csl-citation.json" }</w:instrText>
      </w:r>
      <w:r w:rsidR="0005073B">
        <w:rPr>
          <w:rFonts w:ascii="Times New Roman" w:hAnsi="Times New Roman" w:cs="Times New Roman"/>
          <w:sz w:val="24"/>
          <w:szCs w:val="24"/>
        </w:rPr>
        <w:fldChar w:fldCharType="separate"/>
      </w:r>
      <w:r w:rsidR="00200189" w:rsidRPr="00200189">
        <w:rPr>
          <w:rFonts w:ascii="Times New Roman" w:hAnsi="Times New Roman" w:cs="Times New Roman"/>
          <w:noProof/>
          <w:sz w:val="24"/>
          <w:szCs w:val="24"/>
        </w:rPr>
        <w:t>(e.g.</w:t>
      </w:r>
      <w:r w:rsidR="00823CB2">
        <w:rPr>
          <w:rFonts w:ascii="Times New Roman" w:hAnsi="Times New Roman" w:cs="Times New Roman"/>
          <w:noProof/>
          <w:sz w:val="24"/>
          <w:szCs w:val="24"/>
        </w:rPr>
        <w:t>,</w:t>
      </w:r>
      <w:r w:rsidR="00200189" w:rsidRPr="00200189">
        <w:rPr>
          <w:rFonts w:ascii="Times New Roman" w:hAnsi="Times New Roman" w:cs="Times New Roman"/>
          <w:noProof/>
          <w:sz w:val="24"/>
          <w:szCs w:val="24"/>
        </w:rPr>
        <w:t xml:space="preserve"> Popper 1959; Nagel 1961; Suppe 1977)</w:t>
      </w:r>
      <w:r w:rsidR="0005073B">
        <w:rPr>
          <w:rFonts w:ascii="Times New Roman" w:hAnsi="Times New Roman" w:cs="Times New Roman"/>
          <w:sz w:val="24"/>
          <w:szCs w:val="24"/>
        </w:rPr>
        <w:fldChar w:fldCharType="end"/>
      </w:r>
      <w:r w:rsidR="00EF333F" w:rsidRPr="0008661E">
        <w:rPr>
          <w:rFonts w:ascii="Times New Roman" w:hAnsi="Times New Roman" w:cs="Times New Roman"/>
          <w:sz w:val="24"/>
          <w:szCs w:val="24"/>
        </w:rPr>
        <w:t xml:space="preserve"> analyse scientific knowledge and the history of science in terms of theories. </w:t>
      </w:r>
      <w:r w:rsidR="005C6AF9">
        <w:rPr>
          <w:rFonts w:ascii="Times New Roman" w:hAnsi="Times New Roman" w:cs="Times New Roman"/>
          <w:sz w:val="24"/>
          <w:szCs w:val="24"/>
          <w:lang w:val="en-US" w:eastAsia="zh-CN"/>
        </w:rPr>
        <w:t xml:space="preserve">Theories </w:t>
      </w:r>
      <w:r w:rsidR="007A565A">
        <w:rPr>
          <w:rFonts w:ascii="Times New Roman" w:hAnsi="Times New Roman" w:cs="Times New Roman"/>
          <w:sz w:val="24"/>
          <w:szCs w:val="24"/>
          <w:lang w:val="en-US" w:eastAsia="zh-CN"/>
        </w:rPr>
        <w:t>are</w:t>
      </w:r>
      <w:r w:rsidR="0074491D" w:rsidRPr="0008661E">
        <w:rPr>
          <w:rFonts w:ascii="Times New Roman" w:hAnsi="Times New Roman" w:cs="Times New Roman"/>
          <w:sz w:val="24"/>
          <w:szCs w:val="24"/>
          <w:lang w:val="en-US" w:eastAsia="zh-CN"/>
        </w:rPr>
        <w:t xml:space="preserve"> taken for granted as the typical unit to represent an episode of the history of science. For example</w:t>
      </w:r>
      <w:r w:rsidR="0005073B">
        <w:rPr>
          <w:rFonts w:ascii="Times New Roman" w:hAnsi="Times New Roman" w:cs="Times New Roman"/>
          <w:sz w:val="24"/>
          <w:szCs w:val="24"/>
          <w:lang w:val="en-US" w:eastAsia="zh-CN"/>
        </w:rPr>
        <w:t xml:space="preserve">, the Copernican </w:t>
      </w:r>
      <w:r w:rsidR="00606B47">
        <w:rPr>
          <w:rFonts w:ascii="Times New Roman" w:hAnsi="Times New Roman" w:cs="Times New Roman"/>
          <w:sz w:val="24"/>
          <w:szCs w:val="24"/>
          <w:lang w:val="en-US" w:eastAsia="zh-CN"/>
        </w:rPr>
        <w:t xml:space="preserve">revolution was </w:t>
      </w:r>
      <w:r w:rsidR="007724CF">
        <w:rPr>
          <w:rFonts w:ascii="Times New Roman" w:hAnsi="Times New Roman" w:cs="Times New Roman"/>
          <w:sz w:val="24"/>
          <w:szCs w:val="24"/>
          <w:lang w:val="en-US" w:eastAsia="zh-CN"/>
        </w:rPr>
        <w:t>widely</w:t>
      </w:r>
      <w:r w:rsidR="00606B47">
        <w:rPr>
          <w:rFonts w:ascii="Times New Roman" w:hAnsi="Times New Roman" w:cs="Times New Roman"/>
          <w:sz w:val="24"/>
          <w:szCs w:val="24"/>
          <w:lang w:val="en-US" w:eastAsia="zh-CN"/>
        </w:rPr>
        <w:t xml:space="preserve"> </w:t>
      </w:r>
      <w:r w:rsidR="0005073B">
        <w:rPr>
          <w:rFonts w:ascii="Times New Roman" w:hAnsi="Times New Roman" w:cs="Times New Roman"/>
          <w:sz w:val="24"/>
          <w:szCs w:val="24"/>
          <w:lang w:val="en-US" w:eastAsia="zh-CN"/>
        </w:rPr>
        <w:t>construed as</w:t>
      </w:r>
      <w:r w:rsidR="0074491D" w:rsidRPr="0008661E">
        <w:rPr>
          <w:rFonts w:ascii="Times New Roman" w:hAnsi="Times New Roman" w:cs="Times New Roman"/>
          <w:sz w:val="24"/>
          <w:szCs w:val="24"/>
          <w:lang w:val="en-US" w:eastAsia="zh-CN"/>
        </w:rPr>
        <w:t xml:space="preserve"> a theory-change from the Ptolemaic theory to the Copernican theory. </w:t>
      </w:r>
      <w:r w:rsidR="00A47F32" w:rsidRPr="0008661E">
        <w:rPr>
          <w:rFonts w:ascii="Times New Roman" w:hAnsi="Times New Roman" w:cs="Times New Roman"/>
          <w:sz w:val="24"/>
          <w:szCs w:val="24"/>
        </w:rPr>
        <w:t xml:space="preserve">It is Kuhn who first </w:t>
      </w:r>
      <w:r w:rsidR="00044E6F">
        <w:rPr>
          <w:rFonts w:ascii="Times New Roman" w:hAnsi="Times New Roman" w:cs="Times New Roman"/>
          <w:sz w:val="24"/>
          <w:szCs w:val="24"/>
        </w:rPr>
        <w:t>made</w:t>
      </w:r>
      <w:r w:rsidR="00424F36" w:rsidRPr="0008661E">
        <w:rPr>
          <w:rFonts w:ascii="Times New Roman" w:hAnsi="Times New Roman" w:cs="Times New Roman"/>
          <w:sz w:val="24"/>
          <w:szCs w:val="24"/>
        </w:rPr>
        <w:t xml:space="preserve"> philosophers </w:t>
      </w:r>
      <w:r w:rsidR="00044E6F">
        <w:rPr>
          <w:rFonts w:ascii="Times New Roman" w:hAnsi="Times New Roman" w:cs="Times New Roman"/>
          <w:sz w:val="24"/>
          <w:szCs w:val="24"/>
        </w:rPr>
        <w:t>seriously reconsider the legitimacy of the application of theory as</w:t>
      </w:r>
      <w:r w:rsidR="00A47F32" w:rsidRPr="0008661E">
        <w:rPr>
          <w:rFonts w:ascii="Times New Roman" w:hAnsi="Times New Roman" w:cs="Times New Roman"/>
          <w:sz w:val="24"/>
          <w:szCs w:val="24"/>
        </w:rPr>
        <w:t xml:space="preserve"> the </w:t>
      </w:r>
      <w:r w:rsidR="007C6430">
        <w:rPr>
          <w:rFonts w:ascii="Times New Roman" w:hAnsi="Times New Roman" w:cs="Times New Roman"/>
          <w:sz w:val="24"/>
          <w:szCs w:val="24"/>
        </w:rPr>
        <w:t xml:space="preserve">unit of analysis in the philosophical examination of the </w:t>
      </w:r>
      <w:r w:rsidR="00A47F32" w:rsidRPr="0008661E">
        <w:rPr>
          <w:rFonts w:ascii="Times New Roman" w:hAnsi="Times New Roman" w:cs="Times New Roman"/>
          <w:sz w:val="24"/>
          <w:szCs w:val="24"/>
        </w:rPr>
        <w:t>history of science</w:t>
      </w:r>
      <w:r w:rsidR="00044E6F">
        <w:rPr>
          <w:rFonts w:ascii="Times New Roman" w:hAnsi="Times New Roman" w:cs="Times New Roman"/>
          <w:sz w:val="24"/>
          <w:szCs w:val="24"/>
        </w:rPr>
        <w:t>.</w:t>
      </w:r>
      <w:r w:rsidR="00A47F32" w:rsidRPr="0008661E">
        <w:rPr>
          <w:rFonts w:ascii="Times New Roman" w:hAnsi="Times New Roman" w:cs="Times New Roman"/>
          <w:sz w:val="24"/>
          <w:szCs w:val="24"/>
        </w:rPr>
        <w:t xml:space="preserve"> </w:t>
      </w:r>
      <w:r w:rsidR="00373401">
        <w:rPr>
          <w:rFonts w:ascii="Times New Roman" w:hAnsi="Times New Roman" w:cs="Times New Roman"/>
          <w:sz w:val="24"/>
          <w:szCs w:val="24"/>
        </w:rPr>
        <w:t>Kuhn</w:t>
      </w:r>
      <w:r w:rsidR="003B5DE6" w:rsidRPr="0008661E">
        <w:rPr>
          <w:rFonts w:ascii="Times New Roman" w:hAnsi="Times New Roman" w:cs="Times New Roman"/>
          <w:sz w:val="24"/>
          <w:szCs w:val="24"/>
        </w:rPr>
        <w:t xml:space="preserve"> </w:t>
      </w:r>
      <w:r w:rsidR="004E7560" w:rsidRPr="0008661E">
        <w:rPr>
          <w:rFonts w:ascii="Times New Roman" w:hAnsi="Times New Roman" w:cs="Times New Roman"/>
          <w:sz w:val="24"/>
          <w:szCs w:val="24"/>
        </w:rPr>
        <w:fldChar w:fldCharType="begin" w:fldLock="1"/>
      </w:r>
      <w:r w:rsidR="00384DA3">
        <w:rPr>
          <w:rFonts w:ascii="Times New Roman" w:hAnsi="Times New Roman" w:cs="Times New Roman"/>
          <w:sz w:val="24"/>
          <w:szCs w:val="24"/>
        </w:rPr>
        <w:instrText>ADDIN CSL_CITATION { "citationItems" : [ { "id" : "ITEM-1", "itemData" : { "author" : [ { "dropping-particle" : "", "family" : "Kuhn", "given" : "Thomas Samuel", "non-dropping-particle" : "", "parse-names" : false, "suffix" : "" } ], "edition" : "2nd", "id" : "ITEM-1", "issued" : { "date-parts" : [ [ "1970" ] ] }, "publisher" : "University of Chicago Press", "publisher-place" : "Chicago, IL", "title" : "The Structure of Scientific Revolutions", "type" : "book" }, "locator" : "182", "suppress-author" : 1, "uris" : [ "http://www.mendeley.com/documents/?uuid=bdadb4d5-5622-49a8-89f9-43f6b3b7e8aa", "http://www.mendeley.com/documents/?uuid=6f92ef14-2dc4-439d-96b3-44304c32cc59" ] } ], "mendeley" : { "formattedCitation" : "(1970, 182)", "plainTextFormattedCitation" : "(1970, 182)", "previouslyFormattedCitation" : "(1970, 182)" }, "properties" : { "noteIndex" : 0 }, "schema" : "https://github.com/citation-style-language/schema/raw/master/csl-citation.json" }</w:instrText>
      </w:r>
      <w:r w:rsidR="004E7560" w:rsidRPr="0008661E">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(1970, 182)</w:t>
      </w:r>
      <w:r w:rsidR="004E7560" w:rsidRPr="0008661E">
        <w:rPr>
          <w:rFonts w:ascii="Times New Roman" w:hAnsi="Times New Roman" w:cs="Times New Roman"/>
          <w:sz w:val="24"/>
          <w:szCs w:val="24"/>
        </w:rPr>
        <w:fldChar w:fldCharType="end"/>
      </w:r>
      <w:r w:rsidR="004E7560">
        <w:rPr>
          <w:rFonts w:ascii="Times New Roman" w:hAnsi="Times New Roman" w:cs="Times New Roman"/>
          <w:sz w:val="24"/>
          <w:szCs w:val="24"/>
        </w:rPr>
        <w:t xml:space="preserve"> </w:t>
      </w:r>
      <w:r w:rsidR="003B5DE6" w:rsidRPr="0008661E">
        <w:rPr>
          <w:rFonts w:ascii="Times New Roman" w:hAnsi="Times New Roman" w:cs="Times New Roman"/>
          <w:sz w:val="24"/>
          <w:szCs w:val="24"/>
        </w:rPr>
        <w:t xml:space="preserve">insightfully points out that </w:t>
      </w:r>
      <w:r w:rsidR="00240249">
        <w:rPr>
          <w:rFonts w:ascii="Times New Roman" w:hAnsi="Times New Roman" w:cs="Times New Roman"/>
          <w:sz w:val="24"/>
          <w:szCs w:val="24"/>
        </w:rPr>
        <w:t>the</w:t>
      </w:r>
      <w:r w:rsidR="00044E6F">
        <w:rPr>
          <w:rFonts w:ascii="Times New Roman" w:hAnsi="Times New Roman" w:cs="Times New Roman"/>
          <w:sz w:val="24"/>
          <w:szCs w:val="24"/>
        </w:rPr>
        <w:t xml:space="preserve"> unit of analysis in philosophising the history of science </w:t>
      </w:r>
      <w:r w:rsidR="00044E6F" w:rsidRPr="0008661E">
        <w:rPr>
          <w:rFonts w:ascii="Times New Roman" w:hAnsi="Times New Roman" w:cs="Times New Roman"/>
          <w:sz w:val="24"/>
          <w:szCs w:val="24"/>
        </w:rPr>
        <w:t xml:space="preserve">should be </w:t>
      </w:r>
      <w:r w:rsidR="00044E6F">
        <w:rPr>
          <w:rFonts w:ascii="Times New Roman" w:hAnsi="Times New Roman" w:cs="Times New Roman"/>
          <w:sz w:val="24"/>
          <w:szCs w:val="24"/>
        </w:rPr>
        <w:t>a broader unit, i.e.</w:t>
      </w:r>
      <w:r w:rsidR="00044E6F" w:rsidRPr="0008661E">
        <w:rPr>
          <w:rFonts w:ascii="Times New Roman" w:hAnsi="Times New Roman" w:cs="Times New Roman"/>
          <w:sz w:val="24"/>
          <w:szCs w:val="24"/>
        </w:rPr>
        <w:t xml:space="preserve"> </w:t>
      </w:r>
      <w:r w:rsidR="00044E6F" w:rsidRPr="0008661E">
        <w:rPr>
          <w:rFonts w:ascii="Times New Roman" w:hAnsi="Times New Roman" w:cs="Times New Roman"/>
          <w:i/>
          <w:sz w:val="24"/>
          <w:szCs w:val="24"/>
        </w:rPr>
        <w:t>what is shared by a scientific community</w:t>
      </w:r>
      <w:r w:rsidR="00044E6F">
        <w:rPr>
          <w:rFonts w:ascii="Times New Roman" w:hAnsi="Times New Roman" w:cs="Times New Roman"/>
          <w:sz w:val="24"/>
          <w:szCs w:val="24"/>
        </w:rPr>
        <w:t>, rather than a single scientific theory</w:t>
      </w:r>
      <w:r w:rsidR="00E768FF">
        <w:rPr>
          <w:rFonts w:ascii="Times New Roman" w:hAnsi="Times New Roman" w:cs="Times New Roman"/>
          <w:sz w:val="24"/>
          <w:szCs w:val="24"/>
        </w:rPr>
        <w:t xml:space="preserve">, </w:t>
      </w:r>
      <w:r w:rsidR="002C2FBB">
        <w:rPr>
          <w:rFonts w:ascii="Times New Roman" w:hAnsi="Times New Roman" w:cs="Times New Roman"/>
          <w:sz w:val="24"/>
          <w:szCs w:val="24"/>
        </w:rPr>
        <w:t xml:space="preserve">which </w:t>
      </w:r>
      <w:r w:rsidR="00E768FF">
        <w:rPr>
          <w:rFonts w:ascii="Times New Roman" w:hAnsi="Times New Roman" w:cs="Times New Roman"/>
          <w:sz w:val="24"/>
          <w:szCs w:val="24"/>
        </w:rPr>
        <w:t>“</w:t>
      </w:r>
      <w:r w:rsidR="00E768FF" w:rsidRPr="0008661E">
        <w:rPr>
          <w:rFonts w:ascii="Times New Roman" w:hAnsi="Times New Roman" w:cs="Times New Roman"/>
          <w:sz w:val="24"/>
          <w:szCs w:val="24"/>
        </w:rPr>
        <w:t xml:space="preserve">connotes a structure far more limited in nature and </w:t>
      </w:r>
      <w:r w:rsidR="00E768FF">
        <w:rPr>
          <w:rFonts w:ascii="Times New Roman" w:hAnsi="Times New Roman" w:cs="Times New Roman"/>
          <w:sz w:val="24"/>
          <w:szCs w:val="24"/>
        </w:rPr>
        <w:t>scope than the one required”</w:t>
      </w:r>
      <w:r w:rsidR="00044E6F" w:rsidRPr="0008661E">
        <w:rPr>
          <w:rFonts w:ascii="Times New Roman" w:hAnsi="Times New Roman" w:cs="Times New Roman"/>
          <w:sz w:val="24"/>
          <w:szCs w:val="24"/>
        </w:rPr>
        <w:t>.</w:t>
      </w:r>
    </w:p>
    <w:p w14:paraId="549601C1" w14:textId="27D38925" w:rsidR="002B1D86" w:rsidRPr="002B1D86" w:rsidRDefault="006A511F" w:rsidP="00C5075C">
      <w:pPr>
        <w:spacing w:after="200" w:line="480" w:lineRule="auto"/>
        <w:rPr>
          <w:rFonts w:ascii="Times New Roman" w:hAnsi="Times New Roman" w:cs="Times New Roman"/>
          <w:sz w:val="24"/>
          <w:szCs w:val="24"/>
        </w:rPr>
      </w:pPr>
      <w:r>
        <w:rPr>
          <w:rFonts w:ascii="Times New Roman" w:hAnsi="Times New Roman" w:cs="Times New Roman"/>
          <w:sz w:val="24"/>
          <w:szCs w:val="24"/>
        </w:rPr>
        <w:t>Accordingly, Kuhn</w:t>
      </w:r>
      <w:r w:rsidR="00C72F4B">
        <w:rPr>
          <w:rFonts w:ascii="Times New Roman" w:hAnsi="Times New Roman" w:cs="Times New Roman"/>
          <w:sz w:val="24"/>
          <w:szCs w:val="24"/>
        </w:rPr>
        <w:t xml:space="preserve"> suggests</w:t>
      </w:r>
      <w:r w:rsidR="002B1D86" w:rsidRPr="002B1D86">
        <w:rPr>
          <w:rFonts w:ascii="Times New Roman" w:hAnsi="Times New Roman" w:cs="Times New Roman"/>
          <w:sz w:val="24"/>
          <w:szCs w:val="24"/>
        </w:rPr>
        <w:t xml:space="preserve"> that the history of a science is a cyclic process alternating the period of normal science, in which most scientists work under one dominating paradigm, with the period of scientific revolution, in which there are multiple competing paradigms. In the period of normal science, scientists’ main task is to solve puzzles or problems of the accepted paradigm. Sometimes a paradigm falls into a state of crisis due to some internal and external factors when the scientists begin to lose their confidence in the ability and effectiveness of the paradigm’s puzzle-solving machinery. For Kuhn</w:t>
      </w:r>
      <w:r w:rsidR="00130E42">
        <w:rPr>
          <w:rFonts w:ascii="Times New Roman" w:hAnsi="Times New Roman" w:cs="Times New Roman"/>
          <w:sz w:val="24"/>
          <w:szCs w:val="24"/>
        </w:rPr>
        <w:t xml:space="preserve"> </w:t>
      </w:r>
      <w:r w:rsidR="00130E42">
        <w:rPr>
          <w:rFonts w:ascii="Times New Roman" w:hAnsi="Times New Roman" w:cs="Times New Roman"/>
          <w:sz w:val="24"/>
          <w:szCs w:val="24"/>
        </w:rPr>
        <w:fldChar w:fldCharType="begin" w:fldLock="1"/>
      </w:r>
      <w:r w:rsidR="00384DA3">
        <w:rPr>
          <w:rFonts w:ascii="Times New Roman" w:hAnsi="Times New Roman" w:cs="Times New Roman"/>
          <w:sz w:val="24"/>
          <w:szCs w:val="24"/>
        </w:rPr>
        <w:instrText>ADDIN CSL_CITATION { "citationItems" : [ { "id" : "ITEM-1", "itemData" : { "author" : [ { "dropping-particle" : "", "family" : "Kuhn", "given" : "Thomas Samuel", "non-dropping-particle" : "", "parse-names" : false, "suffix" : "" } ], "edition" : "2nd", "id" : "ITEM-1", "issued" : { "date-parts" : [ [ "1970" ] ] }, "publisher" : "University of Chicago Press", "publisher-place" : "Chicago, IL", "title" : "The Structure of Scientific Revolutions", "type" : "book" }, "locator" : "181", "suppress-author" : 1, "uris" : [ "http://www.mendeley.com/documents/?uuid=bdadb4d5-5622-49a8-89f9-43f6b3b7e8aa" ] } ], "mendeley" : { "formattedCitation" : "(1970, 181)", "plainTextFormattedCitation" : "(1970, 181)", "previouslyFormattedCitation" : "(1970, 181)" }, "properties" : { "noteIndex" : 0 }, "schema" : "https://github.com/citation-style-language/schema/raw/master/csl-citation.json" }</w:instrText>
      </w:r>
      <w:r w:rsidR="00130E42">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(1970, 181)</w:t>
      </w:r>
      <w:r w:rsidR="00130E42">
        <w:rPr>
          <w:rFonts w:ascii="Times New Roman" w:hAnsi="Times New Roman" w:cs="Times New Roman"/>
          <w:sz w:val="24"/>
          <w:szCs w:val="24"/>
        </w:rPr>
        <w:fldChar w:fldCharType="end"/>
      </w:r>
      <w:r w:rsidR="002B1D86" w:rsidRPr="002B1D86">
        <w:rPr>
          <w:rFonts w:ascii="Times New Roman" w:hAnsi="Times New Roman" w:cs="Times New Roman"/>
          <w:sz w:val="24"/>
          <w:szCs w:val="24"/>
        </w:rPr>
        <w:t xml:space="preserve">, a crisis is </w:t>
      </w:r>
      <w:r w:rsidR="002B1D86" w:rsidRPr="002B1D86">
        <w:rPr>
          <w:rFonts w:ascii="Times New Roman" w:hAnsi="Times New Roman" w:cs="Times New Roman"/>
          <w:sz w:val="24"/>
          <w:szCs w:val="24"/>
        </w:rPr>
        <w:lastRenderedPageBreak/>
        <w:t xml:space="preserve">"the usual prelude" to a scientific revolution, or paradigm-shift. In the period of scientific revolution, there is no universally accepted paradigm in the community of scientists. Multiple paradigms compete with each other until the establishment of a new period of normal science </w:t>
      </w:r>
      <w:r w:rsidR="00F04261">
        <w:rPr>
          <w:rFonts w:ascii="Times New Roman" w:hAnsi="Times New Roman" w:cs="Times New Roman"/>
          <w:sz w:val="24"/>
          <w:szCs w:val="24"/>
        </w:rPr>
        <w:t>when</w:t>
      </w:r>
      <w:r w:rsidR="002B1D86" w:rsidRPr="002B1D86">
        <w:rPr>
          <w:rFonts w:ascii="Times New Roman" w:hAnsi="Times New Roman" w:cs="Times New Roman"/>
          <w:sz w:val="24"/>
          <w:szCs w:val="24"/>
        </w:rPr>
        <w:t xml:space="preserve"> one of the competing paradigms wins the support of the majority and most scientists again wor</w:t>
      </w:r>
      <w:r w:rsidR="00F04261">
        <w:rPr>
          <w:rFonts w:ascii="Times New Roman" w:hAnsi="Times New Roman" w:cs="Times New Roman"/>
          <w:sz w:val="24"/>
          <w:szCs w:val="24"/>
        </w:rPr>
        <w:t>k together to solve its puzzles</w:t>
      </w:r>
      <w:r w:rsidR="002B1D86" w:rsidRPr="002B1D86">
        <w:rPr>
          <w:rFonts w:ascii="Times New Roman" w:hAnsi="Times New Roman" w:cs="Times New Roman"/>
          <w:sz w:val="24"/>
          <w:szCs w:val="24"/>
        </w:rPr>
        <w:t>.</w:t>
      </w:r>
    </w:p>
    <w:p w14:paraId="5C2FB0C2" w14:textId="71EBAB21" w:rsidR="00054350" w:rsidRPr="0008661E" w:rsidRDefault="00054350" w:rsidP="00C5075C">
      <w:pPr>
        <w:spacing w:beforeLines="100" w:before="240" w:afterLines="100" w:after="240" w:line="480" w:lineRule="auto"/>
        <w:rPr>
          <w:rFonts w:ascii="Times New Roman" w:hAnsi="Times New Roman" w:cs="Times New Roman"/>
          <w:sz w:val="24"/>
          <w:szCs w:val="24"/>
          <w:lang w:val="en-US" w:eastAsia="zh-CN"/>
        </w:rPr>
      </w:pPr>
      <w:r w:rsidRPr="0008661E">
        <w:rPr>
          <w:rFonts w:ascii="Times New Roman" w:hAnsi="Times New Roman" w:cs="Times New Roman"/>
          <w:sz w:val="24"/>
          <w:szCs w:val="24"/>
          <w:lang w:eastAsia="zh-CN"/>
        </w:rPr>
        <w:t xml:space="preserve">Since the publication of </w:t>
      </w:r>
      <w:r w:rsidRPr="0008661E">
        <w:rPr>
          <w:rFonts w:ascii="Times New Roman" w:hAnsi="Times New Roman" w:cs="Times New Roman"/>
          <w:i/>
          <w:iCs/>
          <w:sz w:val="24"/>
          <w:szCs w:val="24"/>
          <w:lang w:eastAsia="zh-CN"/>
        </w:rPr>
        <w:t>SSR</w:t>
      </w:r>
      <w:r w:rsidRPr="0008661E">
        <w:rPr>
          <w:rFonts w:ascii="Times New Roman" w:hAnsi="Times New Roman" w:cs="Times New Roman"/>
          <w:sz w:val="24"/>
          <w:szCs w:val="24"/>
          <w:lang w:eastAsia="zh-CN"/>
        </w:rPr>
        <w:t xml:space="preserve">, many </w:t>
      </w:r>
      <w:r w:rsidR="00910F73">
        <w:rPr>
          <w:rFonts w:ascii="Times New Roman" w:hAnsi="Times New Roman" w:cs="Times New Roman"/>
          <w:sz w:val="24"/>
          <w:szCs w:val="24"/>
          <w:lang w:eastAsia="zh-CN"/>
        </w:rPr>
        <w:t>alternative</w:t>
      </w:r>
      <w:r w:rsidR="00D36E1C">
        <w:rPr>
          <w:rFonts w:ascii="Times New Roman" w:hAnsi="Times New Roman" w:cs="Times New Roman"/>
          <w:sz w:val="24"/>
          <w:szCs w:val="24"/>
          <w:lang w:eastAsia="zh-CN"/>
        </w:rPr>
        <w:t xml:space="preserve"> units of analysis</w:t>
      </w:r>
      <w:r w:rsidRPr="0008661E">
        <w:rPr>
          <w:rFonts w:ascii="Times New Roman" w:hAnsi="Times New Roman" w:cs="Times New Roman"/>
          <w:sz w:val="24"/>
          <w:szCs w:val="24"/>
          <w:lang w:eastAsia="zh-CN"/>
        </w:rPr>
        <w:t xml:space="preserve"> have been proposed</w:t>
      </w:r>
      <w:r w:rsidR="007A565A">
        <w:rPr>
          <w:rFonts w:ascii="Times New Roman" w:hAnsi="Times New Roman" w:cs="Times New Roman"/>
          <w:sz w:val="24"/>
          <w:szCs w:val="24"/>
          <w:lang w:val="en-US" w:eastAsia="zh-CN"/>
        </w:rPr>
        <w:t xml:space="preserve"> inspired by Kuhn’s paradigm</w:t>
      </w:r>
      <w:r w:rsidR="00044E6F">
        <w:rPr>
          <w:rFonts w:ascii="Times New Roman" w:hAnsi="Times New Roman" w:cs="Times New Roman"/>
          <w:sz w:val="24"/>
          <w:szCs w:val="24"/>
          <w:lang w:eastAsia="zh-CN"/>
        </w:rPr>
        <w:t>.</w:t>
      </w:r>
      <w:r w:rsidR="006861A0">
        <w:rPr>
          <w:rFonts w:ascii="Times New Roman" w:hAnsi="Times New Roman" w:cs="Times New Roman"/>
          <w:sz w:val="24"/>
          <w:szCs w:val="24"/>
          <w:lang w:eastAsia="zh-CN"/>
        </w:rPr>
        <w:t xml:space="preserve"> </w:t>
      </w:r>
      <w:r w:rsidRPr="0008661E">
        <w:rPr>
          <w:rFonts w:ascii="Times New Roman" w:hAnsi="Times New Roman" w:cs="Times New Roman"/>
          <w:sz w:val="24"/>
          <w:szCs w:val="24"/>
          <w:lang w:val="en-US" w:eastAsia="zh-CN"/>
        </w:rPr>
        <w:t xml:space="preserve">Lakatos’ </w:t>
      </w:r>
      <w:r w:rsidR="00125AE2">
        <w:rPr>
          <w:rFonts w:ascii="Times New Roman" w:hAnsi="Times New Roman" w:cs="Times New Roman"/>
          <w:sz w:val="24"/>
          <w:szCs w:val="24"/>
        </w:rPr>
        <w:t>research programme</w:t>
      </w:r>
      <w:r w:rsidRPr="0008661E">
        <w:rPr>
          <w:rFonts w:ascii="Times New Roman" w:hAnsi="Times New Roman" w:cs="Times New Roman"/>
          <w:sz w:val="24"/>
          <w:szCs w:val="24"/>
        </w:rPr>
        <w:t xml:space="preserve"> </w:t>
      </w:r>
      <w:r w:rsidRPr="0008661E">
        <w:rPr>
          <w:rFonts w:ascii="Times New Roman" w:hAnsi="Times New Roman" w:cs="Times New Roman"/>
          <w:sz w:val="24"/>
          <w:szCs w:val="24"/>
        </w:rPr>
        <w:fldChar w:fldCharType="begin" w:fldLock="1"/>
      </w:r>
      <w:r w:rsidR="00F34916">
        <w:rPr>
          <w:rFonts w:ascii="Times New Roman" w:hAnsi="Times New Roman" w:cs="Times New Roman"/>
          <w:sz w:val="24"/>
          <w:szCs w:val="24"/>
        </w:rPr>
        <w:instrText>ADDIN CSL_CITATION { "citationItems" : [ { "id" : "ITEM-1", "itemData" : { "author" : [ { "dropping-particle" : "", "family" : "Lakatos", "given" : "Imre", "non-dropping-particle" : "", "parse-names" : false, "suffix" : "" } ], "container-title" : "Proceedings of the Aristotelian Society", "id" : "ITEM-1", "issued" : { "date-parts" : [ [ "1968" ] ] }, "page" : "149-186", "title" : "Criticism and the Methodology of Scientific Research Programmes", "type" : "article-journal", "volume" : "69" }, "suppress-author" : 1, "uris" : [ "http://www.mendeley.com/documents/?uuid=38a1e4de-d4a6-4064-ae7e-97610c76ab89", "http://www.mendeley.com/documents/?uuid=83eca606-187c-44e8-95bb-3c99e111916a" ] } ], "mendeley" : { "formattedCitation" : "(1968)", "plainTextFormattedCitation" : "(1968)", "previouslyFormattedCitation" : "(1968)" }, "properties" : { "noteIndex" : 0 }, "schema" : "https://github.com/citation-style-language/schema/raw/master/csl-citation.json" }</w:instrText>
      </w:r>
      <w:r w:rsidRPr="0008661E">
        <w:rPr>
          <w:rFonts w:ascii="Times New Roman" w:hAnsi="Times New Roman" w:cs="Times New Roman"/>
          <w:sz w:val="24"/>
          <w:szCs w:val="24"/>
        </w:rPr>
        <w:fldChar w:fldCharType="separate"/>
      </w:r>
      <w:r w:rsidRPr="0008661E">
        <w:rPr>
          <w:rFonts w:ascii="Times New Roman" w:hAnsi="Times New Roman" w:cs="Times New Roman"/>
          <w:noProof/>
          <w:sz w:val="24"/>
          <w:szCs w:val="24"/>
        </w:rPr>
        <w:t>(1968)</w:t>
      </w:r>
      <w:r w:rsidRPr="0008661E">
        <w:rPr>
          <w:rFonts w:ascii="Times New Roman" w:hAnsi="Times New Roman" w:cs="Times New Roman"/>
          <w:sz w:val="24"/>
          <w:szCs w:val="24"/>
        </w:rPr>
        <w:fldChar w:fldCharType="end"/>
      </w:r>
      <w:r w:rsidR="008011D5" w:rsidRPr="00330659">
        <w:rPr>
          <w:rStyle w:val="FootnoteReference"/>
        </w:rPr>
        <w:footnoteReference w:id="3"/>
      </w:r>
      <w:r w:rsidRPr="0008661E">
        <w:rPr>
          <w:rFonts w:ascii="Times New Roman" w:hAnsi="Times New Roman" w:cs="Times New Roman"/>
          <w:sz w:val="24"/>
          <w:szCs w:val="24"/>
        </w:rPr>
        <w:t>,</w:t>
      </w:r>
      <w:r w:rsidR="00125AE2">
        <w:rPr>
          <w:rFonts w:ascii="Times New Roman" w:hAnsi="Times New Roman" w:cs="Times New Roman"/>
          <w:sz w:val="24"/>
          <w:szCs w:val="24"/>
        </w:rPr>
        <w:t xml:space="preserve"> Laudan’s research tradition</w:t>
      </w:r>
      <w:r w:rsidRPr="0008661E">
        <w:rPr>
          <w:rFonts w:ascii="Times New Roman" w:hAnsi="Times New Roman" w:cs="Times New Roman"/>
          <w:sz w:val="24"/>
          <w:szCs w:val="24"/>
        </w:rPr>
        <w:t xml:space="preserve"> </w:t>
      </w:r>
      <w:r w:rsidRPr="0008661E">
        <w:rPr>
          <w:rFonts w:ascii="Times New Roman" w:hAnsi="Times New Roman" w:cs="Times New Roman"/>
          <w:sz w:val="24"/>
          <w:szCs w:val="24"/>
        </w:rPr>
        <w:fldChar w:fldCharType="begin" w:fldLock="1"/>
      </w:r>
      <w:r w:rsidR="00F64DDE">
        <w:rPr>
          <w:rFonts w:ascii="Times New Roman" w:hAnsi="Times New Roman" w:cs="Times New Roman"/>
          <w:sz w:val="24"/>
          <w:szCs w:val="24"/>
        </w:rPr>
        <w:instrText>ADDIN CSL_CITATION { "citationItems" : [ { "id" : "ITEM-1", "itemData" : { "author" : [ { "dropping-particle" : "", "family" : "Laudan", "given" : "Larry", "non-dropping-particle" : "", "parse-names" : false, "suffix" : "" } ], "id" : "ITEM-1", "issued" : { "date-parts" : [ [ "1977" ] ] }, "publisher" : "University of California Press", "publisher-place" : "Berkeley and Los Angeles, CA", "title" : "Progress and its Problems", "type" : "book" }, "suppress-author" : 1, "uris" : [ "http://www.mendeley.com/documents/?uuid=27089d24-6827-48ab-9e05-b1dc9ea73405" ] } ], "mendeley" : { "formattedCitation" : "(1977)", "plainTextFormattedCitation" : "(1977)", "previouslyFormattedCitation" : "(1977)" }, "properties" : { "noteIndex" : 0 }, "schema" : "https://github.com/citation-style-language/schema/raw/master/csl-citation.json" }</w:instrText>
      </w:r>
      <w:r w:rsidRPr="0008661E">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(1977)</w:t>
      </w:r>
      <w:r w:rsidRPr="0008661E">
        <w:rPr>
          <w:rFonts w:ascii="Times New Roman" w:hAnsi="Times New Roman" w:cs="Times New Roman"/>
          <w:sz w:val="24"/>
          <w:szCs w:val="24"/>
        </w:rPr>
        <w:fldChar w:fldCharType="end"/>
      </w:r>
      <w:r w:rsidR="000E4AE5" w:rsidRPr="00330659">
        <w:rPr>
          <w:rStyle w:val="FootnoteReference"/>
        </w:rPr>
        <w:footnoteReference w:id="4"/>
      </w:r>
      <w:r w:rsidR="00044E6F">
        <w:rPr>
          <w:rFonts w:ascii="Times New Roman" w:hAnsi="Times New Roman" w:cs="Times New Roman"/>
          <w:sz w:val="24"/>
          <w:szCs w:val="24"/>
        </w:rPr>
        <w:t>, and</w:t>
      </w:r>
      <w:r w:rsidR="00125AE2">
        <w:rPr>
          <w:rFonts w:ascii="Times New Roman" w:hAnsi="Times New Roman" w:cs="Times New Roman"/>
          <w:sz w:val="24"/>
          <w:szCs w:val="24"/>
        </w:rPr>
        <w:t xml:space="preserve"> Darden and Maull’s field</w:t>
      </w:r>
      <w:r w:rsidRPr="0008661E">
        <w:rPr>
          <w:rFonts w:ascii="Times New Roman" w:hAnsi="Times New Roman" w:cs="Times New Roman"/>
          <w:sz w:val="24"/>
          <w:szCs w:val="24"/>
        </w:rPr>
        <w:t xml:space="preserve"> </w:t>
      </w:r>
      <w:r w:rsidRPr="0008661E">
        <w:rPr>
          <w:rFonts w:ascii="Times New Roman" w:hAnsi="Times New Roman" w:cs="Times New Roman"/>
          <w:sz w:val="24"/>
          <w:szCs w:val="24"/>
        </w:rPr>
        <w:fldChar w:fldCharType="begin" w:fldLock="1"/>
      </w:r>
      <w:r w:rsidR="000E4AE5">
        <w:rPr>
          <w:rFonts w:ascii="Times New Roman" w:hAnsi="Times New Roman" w:cs="Times New Roman"/>
          <w:sz w:val="24"/>
          <w:szCs w:val="24"/>
        </w:rPr>
        <w:instrText>ADDIN CSL_CITATION { "citationItems" : [ { "id" : "ITEM-1", "itemData" : { "author" : [ { "dropping-particle" : "", "family" : "Darden", "given" : "Lindley", "non-dropping-particle" : "", "parse-names" : false, "suffix" : "" }, { "dropping-particle" : "", "family" : "Maull", "given" : "Nancy", "non-dropping-particle" : "", "parse-names" : false, "suffix" : "" } ], "container-title" : "Philosophy of Science", "id" : "ITEM-1", "issue" : "1", "issued" : { "date-parts" : [ [ "1977" ] ] }, "page" : "43-64", "title" : "Interfield Theories", "type" : "article-journal", "volume" : "44" }, "suppress-author" : 1, "uris" : [ "http://www.mendeley.com/documents/?uuid=1fa780cf-6ae4-4c45-8f6a-6d209dadc144", "http://www.mendeley.com/documents/?uuid=0b25d6ec-a1a7-4c6c-8580-274890f34d03" ] } ], "mendeley" : { "formattedCitation" : "(1977)", "plainTextFormattedCitation" : "(1977)", "previouslyFormattedCitation" : "(1977)" }, "properties" : { "noteIndex" : 0 }, "schema" : "https://github.com/citation-style-language/schema/raw/master/csl-citation.json" }</w:instrText>
      </w:r>
      <w:r w:rsidRPr="0008661E">
        <w:rPr>
          <w:rFonts w:ascii="Times New Roman" w:hAnsi="Times New Roman" w:cs="Times New Roman"/>
          <w:sz w:val="24"/>
          <w:szCs w:val="24"/>
        </w:rPr>
        <w:fldChar w:fldCharType="separate"/>
      </w:r>
      <w:r w:rsidRPr="0008661E">
        <w:rPr>
          <w:rFonts w:ascii="Times New Roman" w:hAnsi="Times New Roman" w:cs="Times New Roman"/>
          <w:noProof/>
          <w:sz w:val="24"/>
          <w:szCs w:val="24"/>
        </w:rPr>
        <w:t>(1977)</w:t>
      </w:r>
      <w:r w:rsidRPr="0008661E">
        <w:rPr>
          <w:rFonts w:ascii="Times New Roman" w:hAnsi="Times New Roman" w:cs="Times New Roman"/>
          <w:sz w:val="24"/>
          <w:szCs w:val="24"/>
        </w:rPr>
        <w:fldChar w:fldCharType="end"/>
      </w:r>
      <w:r w:rsidR="009B2FD2" w:rsidRPr="00330659">
        <w:rPr>
          <w:rStyle w:val="FootnoteReference"/>
        </w:rPr>
        <w:footnoteReference w:id="5"/>
      </w:r>
      <w:r w:rsidR="00044E6F">
        <w:rPr>
          <w:rFonts w:ascii="Times New Roman" w:hAnsi="Times New Roman" w:cs="Times New Roman"/>
          <w:sz w:val="24"/>
          <w:szCs w:val="24"/>
        </w:rPr>
        <w:t xml:space="preserve"> are among the most famous ones</w:t>
      </w:r>
      <w:r w:rsidR="002E0AD8">
        <w:rPr>
          <w:rFonts w:ascii="Times New Roman" w:hAnsi="Times New Roman" w:cs="Times New Roman"/>
          <w:sz w:val="24"/>
          <w:szCs w:val="24"/>
        </w:rPr>
        <w:t>.</w:t>
      </w:r>
      <w:r w:rsidRPr="0008661E">
        <w:rPr>
          <w:rFonts w:ascii="Times New Roman" w:hAnsi="Times New Roman" w:cs="Times New Roman"/>
          <w:sz w:val="24"/>
          <w:szCs w:val="24"/>
          <w:lang w:val="en-US" w:eastAsia="zh-CN"/>
        </w:rPr>
        <w:t xml:space="preserve"> </w:t>
      </w:r>
      <w:r w:rsidR="00CB6873">
        <w:rPr>
          <w:rFonts w:ascii="Times New Roman" w:hAnsi="Times New Roman" w:cs="Times New Roman"/>
          <w:sz w:val="24"/>
          <w:szCs w:val="24"/>
          <w:lang w:val="en-US" w:eastAsia="zh-CN"/>
        </w:rPr>
        <w:t>Thus, i</w:t>
      </w:r>
      <w:r w:rsidR="002210D4" w:rsidRPr="0008661E">
        <w:rPr>
          <w:rFonts w:ascii="Times New Roman" w:hAnsi="Times New Roman" w:cs="Times New Roman"/>
          <w:sz w:val="24"/>
          <w:szCs w:val="24"/>
          <w:lang w:val="en-US" w:eastAsia="zh-CN"/>
        </w:rPr>
        <w:t xml:space="preserve">t is not </w:t>
      </w:r>
      <w:r w:rsidR="0033269F" w:rsidRPr="0008661E">
        <w:rPr>
          <w:rFonts w:ascii="Times New Roman" w:hAnsi="Times New Roman" w:cs="Times New Roman"/>
          <w:sz w:val="24"/>
          <w:szCs w:val="24"/>
          <w:lang w:val="en-US" w:eastAsia="zh-CN"/>
        </w:rPr>
        <w:t xml:space="preserve">difficult to see how Kuhn’s novel proposal of the conception of paradigm revolutionised the philosophical analysis of </w:t>
      </w:r>
      <w:r w:rsidR="00C72F4B">
        <w:rPr>
          <w:rFonts w:ascii="Times New Roman" w:hAnsi="Times New Roman" w:cs="Times New Roman"/>
          <w:sz w:val="24"/>
          <w:szCs w:val="24"/>
          <w:lang w:val="en-US" w:eastAsia="zh-CN"/>
        </w:rPr>
        <w:t xml:space="preserve">scientific knowledge and </w:t>
      </w:r>
      <w:r w:rsidR="0033269F" w:rsidRPr="0008661E">
        <w:rPr>
          <w:rFonts w:ascii="Times New Roman" w:hAnsi="Times New Roman" w:cs="Times New Roman"/>
          <w:sz w:val="24"/>
          <w:szCs w:val="24"/>
          <w:lang w:val="en-US" w:eastAsia="zh-CN"/>
        </w:rPr>
        <w:t>the history of science in the 1960s and 1970s.</w:t>
      </w:r>
    </w:p>
    <w:p w14:paraId="4E6F7416" w14:textId="655DF6C0" w:rsidR="004925D8" w:rsidRPr="00F96B74" w:rsidRDefault="00814343" w:rsidP="00C5075C">
      <w:pPr>
        <w:pStyle w:val="NormalWeb"/>
        <w:spacing w:before="0" w:beforeAutospacing="0" w:after="0" w:afterAutospacing="0" w:line="480" w:lineRule="auto"/>
        <w:rPr>
          <w:sz w:val="24"/>
          <w:szCs w:val="24"/>
          <w:lang w:eastAsia="en-US"/>
        </w:rPr>
      </w:pPr>
      <w:r>
        <w:rPr>
          <w:rFonts w:ascii="Times New Roman" w:hAnsi="Times New Roman"/>
          <w:sz w:val="24"/>
          <w:szCs w:val="24"/>
        </w:rPr>
        <w:t>Some may challenge</w:t>
      </w:r>
      <w:r w:rsidR="007A565A">
        <w:rPr>
          <w:rFonts w:ascii="Times New Roman" w:hAnsi="Times New Roman"/>
          <w:sz w:val="24"/>
          <w:szCs w:val="24"/>
        </w:rPr>
        <w:t xml:space="preserve"> the view that Kuhn’s concept</w:t>
      </w:r>
      <w:r>
        <w:rPr>
          <w:rFonts w:ascii="Times New Roman" w:hAnsi="Times New Roman"/>
          <w:sz w:val="24"/>
          <w:szCs w:val="24"/>
        </w:rPr>
        <w:t xml:space="preserve"> of paradigm is r</w:t>
      </w:r>
      <w:r w:rsidR="003352E8">
        <w:rPr>
          <w:rFonts w:ascii="Times New Roman" w:hAnsi="Times New Roman"/>
          <w:sz w:val="24"/>
          <w:szCs w:val="24"/>
        </w:rPr>
        <w:t>eally novel. For example, Ludwik</w:t>
      </w:r>
      <w:r>
        <w:rPr>
          <w:rFonts w:ascii="Times New Roman" w:hAnsi="Times New Roman"/>
          <w:sz w:val="24"/>
          <w:szCs w:val="24"/>
        </w:rPr>
        <w:t xml:space="preserve"> Fleck </w:t>
      </w:r>
      <w:r w:rsidR="004D79C9">
        <w:rPr>
          <w:rFonts w:ascii="Times New Roman" w:hAnsi="Times New Roman"/>
          <w:sz w:val="24"/>
          <w:szCs w:val="24"/>
        </w:rPr>
        <w:fldChar w:fldCharType="begin" w:fldLock="1"/>
      </w:r>
      <w:r w:rsidR="000E4AE5">
        <w:rPr>
          <w:rFonts w:ascii="Times New Roman" w:hAnsi="Times New Roman"/>
          <w:sz w:val="24"/>
          <w:szCs w:val="24"/>
        </w:rPr>
        <w:instrText>ADDIN CSL_CITATION { "citationItems" : [ { "id" : "ITEM-1", "itemData" : { "author" : [ { "dropping-particle" : "", "family" : "Fleck", "given" : "Ludwik", "non-dropping-particle" : "", "parse-names" : false, "suffix" : "" } ], "id" : "ITEM-1", "issued" : { "date-parts" : [ [ "1935" ] ] }, "publisher" : "Benno Schwabe &amp; Co.", "publisher-place" : "Basel", "title" : "Entstehung und Entwicklung einer wissenschaftlichen Tatsache: Einf\u00fchrung in die Lehre vom Denkstil und Denkkollektiv", "type" : "book" }, "suppress-author" : 1, "uris" : [ "http://www.mendeley.com/documents/?uuid=2b28f63f-c385-4f20-bd2c-0dc762b7e5b8", "http://www.mendeley.com/documents/?uuid=adf63252-19cf-40d1-b7e3-84325da1a56a" ] } ], "mendeley" : { "formattedCitation" : "(1935)", "plainTextFormattedCitation" : "(1935)", "previouslyFormattedCitation" : "(1935)" }, "properties" : { "noteIndex" : 0 }, "schema" : "https://github.com/citation-style-language/schema/raw/master/csl-citation.json" }</w:instrText>
      </w:r>
      <w:r w:rsidR="004D79C9">
        <w:rPr>
          <w:rFonts w:ascii="Times New Roman" w:hAnsi="Times New Roman"/>
          <w:sz w:val="24"/>
          <w:szCs w:val="24"/>
        </w:rPr>
        <w:fldChar w:fldCharType="separate"/>
      </w:r>
      <w:r w:rsidR="004D79C9" w:rsidRPr="004D79C9">
        <w:rPr>
          <w:rFonts w:ascii="Times New Roman" w:hAnsi="Times New Roman"/>
          <w:noProof/>
          <w:sz w:val="24"/>
          <w:szCs w:val="24"/>
        </w:rPr>
        <w:t>(1935)</w:t>
      </w:r>
      <w:r w:rsidR="004D79C9">
        <w:rPr>
          <w:rFonts w:ascii="Times New Roman" w:hAnsi="Times New Roman"/>
          <w:sz w:val="24"/>
          <w:szCs w:val="24"/>
        </w:rPr>
        <w:fldChar w:fldCharType="end"/>
      </w:r>
      <w:r w:rsidR="004D79C9">
        <w:rPr>
          <w:rFonts w:ascii="Times New Roman" w:hAnsi="Times New Roman"/>
          <w:sz w:val="24"/>
          <w:szCs w:val="24"/>
        </w:rPr>
        <w:t xml:space="preserve"> introduced a </w:t>
      </w:r>
      <w:r w:rsidR="00AA2814">
        <w:rPr>
          <w:rFonts w:ascii="Times New Roman" w:hAnsi="Times New Roman"/>
          <w:sz w:val="24"/>
          <w:szCs w:val="24"/>
        </w:rPr>
        <w:t xml:space="preserve">similar </w:t>
      </w:r>
      <w:r w:rsidR="007A565A">
        <w:rPr>
          <w:rFonts w:ascii="Times New Roman" w:hAnsi="Times New Roman"/>
          <w:sz w:val="24"/>
          <w:szCs w:val="24"/>
        </w:rPr>
        <w:t>community-based concept, thought style,</w:t>
      </w:r>
      <w:r w:rsidR="004D79C9">
        <w:rPr>
          <w:rFonts w:ascii="Times New Roman" w:hAnsi="Times New Roman"/>
          <w:sz w:val="24"/>
          <w:szCs w:val="24"/>
        </w:rPr>
        <w:t xml:space="preserve"> to analyse the history of </w:t>
      </w:r>
      <w:r w:rsidR="00B16F69">
        <w:rPr>
          <w:rFonts w:ascii="Times New Roman" w:hAnsi="Times New Roman"/>
          <w:sz w:val="24"/>
          <w:szCs w:val="24"/>
        </w:rPr>
        <w:t>science</w:t>
      </w:r>
      <w:r w:rsidR="00910F73">
        <w:rPr>
          <w:rFonts w:ascii="Times New Roman" w:hAnsi="Times New Roman"/>
          <w:sz w:val="24"/>
          <w:szCs w:val="24"/>
        </w:rPr>
        <w:t xml:space="preserve">, and Kuhn himself </w:t>
      </w:r>
      <w:r w:rsidR="00015095">
        <w:rPr>
          <w:rFonts w:ascii="Times New Roman" w:hAnsi="Times New Roman"/>
          <w:sz w:val="24"/>
          <w:szCs w:val="24"/>
        </w:rPr>
        <w:fldChar w:fldCharType="begin" w:fldLock="1"/>
      </w:r>
      <w:r w:rsidR="00593750">
        <w:rPr>
          <w:rFonts w:ascii="Times New Roman" w:hAnsi="Times New Roman"/>
          <w:sz w:val="24"/>
          <w:szCs w:val="24"/>
        </w:rPr>
        <w:instrText>ADDIN CSL_CITATION { "citationItems" : [ { "id" : "ITEM-1", "itemData" : { "author" : [ { "dropping-particle" : "", "family" : "Kuhn", "given" : "Thomas Samuel", "non-dropping-particle" : "", "parse-names" : false, "suffix" : "" } ], "container-title" : "Genesis and Development of a Scientific Fact", "editor" : [ { "dropping-particle" : "", "family" : "Trenn", "given" : "Thaddeus J.", "non-dropping-particle" : "", "parse-names" : false, "suffix" : "" }, { "dropping-particle" : "", "family" : "Merton", "given" : "Robert K.", "non-dropping-particle" : "", "parse-names" : false, "suffix" : "" } ], "id" : "ITEM-1", "issued" : { "date-parts" : [ [ "1979" ] ] }, "page" : "vii-xii", "publisher" : "University of Chicago Press", "publisher-place" : "Chicago, IL", "title" : "Foreword", "type" : "chapter" }, "suppress-author" : 1, "uris" : [ "http://www.mendeley.com/documents/?uuid=1c8f29af-3b1b-4cf3-8eb0-e77da1d2a7cb", "http://www.mendeley.com/documents/?uuid=ada318c9-939f-43e7-aa0e-ca74805798b9" ] } ], "mendeley" : { "formattedCitation" : "(1979)", "plainTextFormattedCitation" : "(1979)", "previouslyFormattedCitation" : "(1979)" }, "properties" : { "noteIndex" : 0 }, "schema" : "https://github.com/citation-style-language/schema/raw/master/csl-citation.json" }</w:instrText>
      </w:r>
      <w:r w:rsidR="00015095">
        <w:rPr>
          <w:rFonts w:ascii="Times New Roman" w:hAnsi="Times New Roman"/>
          <w:sz w:val="24"/>
          <w:szCs w:val="24"/>
        </w:rPr>
        <w:fldChar w:fldCharType="separate"/>
      </w:r>
      <w:r w:rsidR="00015095" w:rsidRPr="00015095">
        <w:rPr>
          <w:rFonts w:ascii="Times New Roman" w:hAnsi="Times New Roman"/>
          <w:noProof/>
          <w:sz w:val="24"/>
          <w:szCs w:val="24"/>
        </w:rPr>
        <w:t>(1979)</w:t>
      </w:r>
      <w:r w:rsidR="00015095">
        <w:rPr>
          <w:rFonts w:ascii="Times New Roman" w:hAnsi="Times New Roman"/>
          <w:sz w:val="24"/>
          <w:szCs w:val="24"/>
        </w:rPr>
        <w:fldChar w:fldCharType="end"/>
      </w:r>
      <w:r w:rsidR="00015095">
        <w:rPr>
          <w:rFonts w:ascii="Times New Roman" w:hAnsi="Times New Roman"/>
          <w:sz w:val="24"/>
          <w:szCs w:val="24"/>
        </w:rPr>
        <w:t xml:space="preserve"> </w:t>
      </w:r>
      <w:r w:rsidR="00910F73">
        <w:rPr>
          <w:rFonts w:ascii="Times New Roman" w:hAnsi="Times New Roman"/>
          <w:sz w:val="24"/>
          <w:szCs w:val="24"/>
        </w:rPr>
        <w:t xml:space="preserve">also acknowledged that he knew Fleck’s work before </w:t>
      </w:r>
      <w:r w:rsidR="00910F73" w:rsidRPr="00910F73">
        <w:rPr>
          <w:rFonts w:ascii="Times New Roman" w:hAnsi="Times New Roman"/>
          <w:i/>
          <w:sz w:val="24"/>
          <w:szCs w:val="24"/>
        </w:rPr>
        <w:t>SSR</w:t>
      </w:r>
      <w:r w:rsidR="004D79C9">
        <w:rPr>
          <w:rFonts w:ascii="Times New Roman" w:hAnsi="Times New Roman"/>
          <w:sz w:val="24"/>
          <w:szCs w:val="24"/>
        </w:rPr>
        <w:t>. It has been debated</w:t>
      </w:r>
      <w:r w:rsidR="00EA19B5">
        <w:rPr>
          <w:rFonts w:ascii="Times New Roman" w:hAnsi="Times New Roman"/>
          <w:sz w:val="24"/>
          <w:szCs w:val="24"/>
        </w:rPr>
        <w:t xml:space="preserve"> </w:t>
      </w:r>
      <w:r w:rsidR="00EA19B5">
        <w:rPr>
          <w:rFonts w:ascii="Times New Roman" w:hAnsi="Times New Roman"/>
          <w:sz w:val="24"/>
          <w:szCs w:val="24"/>
        </w:rPr>
        <w:fldChar w:fldCharType="begin" w:fldLock="1"/>
      </w:r>
      <w:r w:rsidR="00783857">
        <w:rPr>
          <w:rFonts w:ascii="Times New Roman" w:hAnsi="Times New Roman"/>
          <w:sz w:val="24"/>
          <w:szCs w:val="24"/>
        </w:rPr>
        <w:instrText>ADDIN CSL_CITATION { "citationItems" : [ { "id" : "ITEM-1", "itemData" : { "author" : [ { "dropping-particle" : "", "family" : "Babich", "given" : "Babette E.", "non-dropping-particle" : "", "parse-names" : false, "suffix" : "" } ], "container-title" : "International Studies in the Philosophy of Science", "id" : "ITEM-1", "issue" : "1", "issued" : { "date-parts" : [ [ "2003" ] ] }, "page" : "75-92", "title" : "From Fleck's Denkstil to Kuhn's Paradigm: Conceptual Schemes and Incommensurability", "type" : "article-journal", "volume" : "17" }, "prefix" : "e.g. ", "uris" : [ "http://www.mendeley.com/documents/?uuid=fe5c399e-05dd-4f13-afeb-4eedf0d77f26", "http://www.mendeley.com/documents/?uuid=0322d9fb-4917-45ca-9aed-757605dfba37" ] }, { "id" : "ITEM-2", "itemData" : { "author" : [ { "dropping-particle" : "", "family" : "Knoblauch", "given" : "Hubert", "non-dropping-particle" : "", "parse-names" : false, "suffix" : "" } ], "id" : "ITEM-2", "issued" : { "date-parts" : [ [ "2010" ] ] }, "publisher" : "UTB", "publisher-place" : "Stuttgart", "title" : "Wissenssoziologie", "type" : "book" }, "uris" : [ "http://www.mendeley.com/documents/?uuid=b6f4bb5f-0cf6-4848-8d81-eb0fb6b547ce", "http://www.mendeley.com/documents/?uuid=b616c812-f2f6-4a41-94c1-81733ea7f5f9" ] } ], "mendeley" : { "formattedCitation" : "(e.g. Babich 2003; Knoblauch 2010)", "manualFormatting" : "(e.g., Babich 2003; Knoblauch 2010)", "plainTextFormattedCitation" : "(e.g. Babich 2003; Knoblauch 2010)", "previouslyFormattedCitation" : "(e.g. Babich 2003; Knoblauch 2010)" }, "properties" : { "noteIndex" : 0 }, "schema" : "https://github.com/citation-style-language/schema/raw/master/csl-citation.json" }</w:instrText>
      </w:r>
      <w:r w:rsidR="00EA19B5">
        <w:rPr>
          <w:rFonts w:ascii="Times New Roman" w:hAnsi="Times New Roman"/>
          <w:sz w:val="24"/>
          <w:szCs w:val="24"/>
        </w:rPr>
        <w:fldChar w:fldCharType="separate"/>
      </w:r>
      <w:r w:rsidR="00CD2D6A" w:rsidRPr="00CD2D6A">
        <w:rPr>
          <w:rFonts w:ascii="Times New Roman" w:hAnsi="Times New Roman"/>
          <w:noProof/>
          <w:sz w:val="24"/>
          <w:szCs w:val="24"/>
        </w:rPr>
        <w:t>(e.g.</w:t>
      </w:r>
      <w:r w:rsidR="007A565A">
        <w:rPr>
          <w:rFonts w:ascii="Times New Roman" w:hAnsi="Times New Roman"/>
          <w:noProof/>
          <w:sz w:val="24"/>
          <w:szCs w:val="24"/>
        </w:rPr>
        <w:t>,</w:t>
      </w:r>
      <w:r w:rsidR="00CD2D6A" w:rsidRPr="00CD2D6A">
        <w:rPr>
          <w:rFonts w:ascii="Times New Roman" w:hAnsi="Times New Roman"/>
          <w:noProof/>
          <w:sz w:val="24"/>
          <w:szCs w:val="24"/>
        </w:rPr>
        <w:t xml:space="preserve"> Babich 2003; Knoblauch 2010)</w:t>
      </w:r>
      <w:r w:rsidR="00EA19B5">
        <w:rPr>
          <w:rFonts w:ascii="Times New Roman" w:hAnsi="Times New Roman"/>
          <w:sz w:val="24"/>
          <w:szCs w:val="24"/>
        </w:rPr>
        <w:fldChar w:fldCharType="end"/>
      </w:r>
      <w:r w:rsidR="004D79C9">
        <w:rPr>
          <w:rFonts w:ascii="Times New Roman" w:hAnsi="Times New Roman"/>
          <w:sz w:val="24"/>
          <w:szCs w:val="24"/>
        </w:rPr>
        <w:t xml:space="preserve"> </w:t>
      </w:r>
      <w:r w:rsidR="00EA19B5">
        <w:rPr>
          <w:rFonts w:ascii="Times New Roman" w:hAnsi="Times New Roman"/>
          <w:sz w:val="24"/>
          <w:szCs w:val="24"/>
        </w:rPr>
        <w:t xml:space="preserve">to what extent Kuhn’s paradigm may have been influenced by Fleck’s thought style or thought collective. Despite the similarity between paradigm and thought style, I still contend that Kuhn’s </w:t>
      </w:r>
      <w:r w:rsidR="00BE5374">
        <w:rPr>
          <w:rFonts w:ascii="Times New Roman" w:hAnsi="Times New Roman"/>
          <w:sz w:val="24"/>
          <w:szCs w:val="24"/>
        </w:rPr>
        <w:t>introduction of</w:t>
      </w:r>
      <w:r w:rsidR="007A565A">
        <w:rPr>
          <w:rFonts w:ascii="Times New Roman" w:hAnsi="Times New Roman"/>
          <w:sz w:val="24"/>
          <w:szCs w:val="24"/>
        </w:rPr>
        <w:t xml:space="preserve"> the concept</w:t>
      </w:r>
      <w:r w:rsidR="00EA19B5" w:rsidRPr="0008661E">
        <w:rPr>
          <w:rFonts w:ascii="Times New Roman" w:hAnsi="Times New Roman"/>
          <w:sz w:val="24"/>
          <w:szCs w:val="24"/>
        </w:rPr>
        <w:t xml:space="preserve"> of paradigm</w:t>
      </w:r>
      <w:r w:rsidR="00EA19B5">
        <w:rPr>
          <w:rFonts w:ascii="Times New Roman" w:hAnsi="Times New Roman"/>
          <w:sz w:val="24"/>
          <w:szCs w:val="24"/>
        </w:rPr>
        <w:t xml:space="preserve"> is a</w:t>
      </w:r>
      <w:r w:rsidR="00EA19B5" w:rsidRPr="0008661E">
        <w:rPr>
          <w:rFonts w:ascii="Times New Roman" w:hAnsi="Times New Roman"/>
          <w:sz w:val="24"/>
          <w:szCs w:val="24"/>
        </w:rPr>
        <w:t xml:space="preserve"> novel</w:t>
      </w:r>
      <w:r w:rsidR="00EA19B5">
        <w:rPr>
          <w:rFonts w:ascii="Times New Roman" w:hAnsi="Times New Roman"/>
          <w:sz w:val="24"/>
          <w:szCs w:val="24"/>
        </w:rPr>
        <w:t xml:space="preserve"> contribution to </w:t>
      </w:r>
      <w:r w:rsidR="008178B1">
        <w:rPr>
          <w:rFonts w:ascii="Times New Roman" w:hAnsi="Times New Roman"/>
          <w:sz w:val="24"/>
          <w:szCs w:val="24"/>
        </w:rPr>
        <w:t xml:space="preserve">the </w:t>
      </w:r>
      <w:r w:rsidR="00EA19B5">
        <w:rPr>
          <w:rFonts w:ascii="Times New Roman" w:hAnsi="Times New Roman"/>
          <w:sz w:val="24"/>
          <w:szCs w:val="24"/>
        </w:rPr>
        <w:t xml:space="preserve">philosophy of </w:t>
      </w:r>
      <w:r w:rsidR="00EA19B5" w:rsidRPr="004165FC">
        <w:rPr>
          <w:rFonts w:ascii="Times New Roman" w:hAnsi="Times New Roman"/>
          <w:sz w:val="24"/>
          <w:szCs w:val="24"/>
        </w:rPr>
        <w:lastRenderedPageBreak/>
        <w:t>s</w:t>
      </w:r>
      <w:r w:rsidR="004165FC" w:rsidRPr="004165FC">
        <w:rPr>
          <w:rFonts w:ascii="Times New Roman" w:hAnsi="Times New Roman"/>
          <w:sz w:val="24"/>
          <w:szCs w:val="24"/>
        </w:rPr>
        <w:t xml:space="preserve">cience in the 1960s. </w:t>
      </w:r>
      <w:r w:rsidR="00EA19B5" w:rsidRPr="004165FC">
        <w:rPr>
          <w:rFonts w:ascii="Times New Roman" w:hAnsi="Times New Roman"/>
          <w:sz w:val="24"/>
          <w:szCs w:val="24"/>
        </w:rPr>
        <w:t xml:space="preserve">Nicola </w:t>
      </w:r>
      <w:r w:rsidR="00EA19B5" w:rsidRPr="004165FC">
        <w:rPr>
          <w:sz w:val="24"/>
          <w:szCs w:val="24"/>
          <w:lang w:eastAsia="en-US"/>
        </w:rPr>
        <w:t>Mößner</w:t>
      </w:r>
      <w:r w:rsidR="004165FC">
        <w:rPr>
          <w:sz w:val="24"/>
          <w:szCs w:val="24"/>
          <w:lang w:eastAsia="en-US"/>
        </w:rPr>
        <w:t xml:space="preserve"> </w:t>
      </w:r>
      <w:r w:rsidR="004165FC">
        <w:rPr>
          <w:sz w:val="24"/>
          <w:szCs w:val="24"/>
          <w:lang w:eastAsia="en-US"/>
        </w:rPr>
        <w:fldChar w:fldCharType="begin" w:fldLock="1"/>
      </w:r>
      <w:r w:rsidR="00384DA3">
        <w:rPr>
          <w:sz w:val="24"/>
          <w:szCs w:val="24"/>
          <w:lang w:eastAsia="en-US"/>
        </w:rPr>
        <w:instrText>ADDIN CSL_CITATION { "citationItems" : [ { "id" : "ITEM-1", "itemData" : { "author" : [ { "dropping-particle" : "", "family" : "M\u00f6\u00dfner", "given" : "Nicola", "non-dropping-particle" : "", "parse-names" : false, "suffix" : "" } ], "container-title" : "Studies in History and Philosophy of Science", "id" : "ITEM-1", "issue" : "2", "issued" : { "date-parts" : [ [ "2011" ] ] }, "page" : "362-371", "title" : "Thought Styles and Paradigms: A Comparative Study of Ludwik Fleck and Thomas S. Kuhn", "type" : "article-journal", "volume" : "42" }, "suppress-author" : 1, "uris" : [ "http://www.mendeley.com/documents/?uuid=c5e083af-0940-4709-b409-6c0110564eca", "http://www.mendeley.com/documents/?uuid=a029f423-5b3d-4e2c-98e5-8e26a3a95901" ] } ], "mendeley" : { "formattedCitation" : "(2011)", "plainTextFormattedCitation" : "(2011)", "previouslyFormattedCitation" : "(2011)" }, "properties" : { "noteIndex" : 0 }, "schema" : "https://github.com/citation-style-language/schema/raw/master/csl-citation.json" }</w:instrText>
      </w:r>
      <w:r w:rsidR="004165FC">
        <w:rPr>
          <w:sz w:val="24"/>
          <w:szCs w:val="24"/>
          <w:lang w:eastAsia="en-US"/>
        </w:rPr>
        <w:fldChar w:fldCharType="separate"/>
      </w:r>
      <w:r w:rsidR="004165FC" w:rsidRPr="004165FC">
        <w:rPr>
          <w:noProof/>
          <w:sz w:val="24"/>
          <w:szCs w:val="24"/>
          <w:lang w:eastAsia="en-US"/>
        </w:rPr>
        <w:t>(2011)</w:t>
      </w:r>
      <w:r w:rsidR="004165FC">
        <w:rPr>
          <w:sz w:val="24"/>
          <w:szCs w:val="24"/>
          <w:lang w:eastAsia="en-US"/>
        </w:rPr>
        <w:fldChar w:fldCharType="end"/>
      </w:r>
      <w:r w:rsidR="004165FC">
        <w:rPr>
          <w:sz w:val="24"/>
          <w:szCs w:val="24"/>
          <w:lang w:eastAsia="en-US"/>
        </w:rPr>
        <w:t xml:space="preserve"> has already shown that there are substantial differences between Kuhn’s paradigm and Fleck’s thought style.</w:t>
      </w:r>
      <w:r w:rsidR="00F96B74">
        <w:rPr>
          <w:sz w:val="24"/>
          <w:szCs w:val="24"/>
          <w:lang w:eastAsia="en-US"/>
        </w:rPr>
        <w:t xml:space="preserve"> In addition, I would like</w:t>
      </w:r>
      <w:r w:rsidR="00BE5374">
        <w:rPr>
          <w:sz w:val="24"/>
          <w:szCs w:val="24"/>
          <w:lang w:eastAsia="en-US"/>
        </w:rPr>
        <w:t xml:space="preserve"> to highlight that it is </w:t>
      </w:r>
      <w:r w:rsidR="00F96B74">
        <w:rPr>
          <w:sz w:val="24"/>
          <w:szCs w:val="24"/>
          <w:lang w:eastAsia="en-US"/>
        </w:rPr>
        <w:t xml:space="preserve">novel for </w:t>
      </w:r>
      <w:r w:rsidR="00EF333F" w:rsidRPr="0008661E">
        <w:rPr>
          <w:rFonts w:ascii="Times New Roman" w:hAnsi="Times New Roman"/>
          <w:sz w:val="24"/>
          <w:szCs w:val="24"/>
        </w:rPr>
        <w:t xml:space="preserve">Kuhn </w:t>
      </w:r>
      <w:r w:rsidR="00F96B74">
        <w:rPr>
          <w:rFonts w:ascii="Times New Roman" w:hAnsi="Times New Roman"/>
          <w:sz w:val="24"/>
          <w:szCs w:val="24"/>
        </w:rPr>
        <w:t xml:space="preserve">to </w:t>
      </w:r>
      <w:r w:rsidR="009E64C7" w:rsidRPr="0008661E">
        <w:rPr>
          <w:rFonts w:ascii="Times New Roman" w:hAnsi="Times New Roman"/>
          <w:sz w:val="24"/>
          <w:szCs w:val="24"/>
        </w:rPr>
        <w:t>distinguis</w:t>
      </w:r>
      <w:r w:rsidR="00015095">
        <w:rPr>
          <w:rFonts w:ascii="Times New Roman" w:hAnsi="Times New Roman"/>
          <w:sz w:val="24"/>
          <w:szCs w:val="24"/>
        </w:rPr>
        <w:t>h</w:t>
      </w:r>
      <w:r w:rsidR="006B51D6" w:rsidRPr="0008661E">
        <w:rPr>
          <w:rFonts w:ascii="Times New Roman" w:hAnsi="Times New Roman"/>
          <w:sz w:val="24"/>
          <w:szCs w:val="24"/>
        </w:rPr>
        <w:t xml:space="preserve"> two senses of paradigm</w:t>
      </w:r>
      <w:r w:rsidR="00B839DA" w:rsidRPr="00330659">
        <w:rPr>
          <w:rStyle w:val="FootnoteReference"/>
        </w:rPr>
        <w:footnoteReference w:id="6"/>
      </w:r>
      <w:r w:rsidR="006B51D6" w:rsidRPr="0008661E">
        <w:rPr>
          <w:rFonts w:ascii="Times New Roman" w:hAnsi="Times New Roman"/>
          <w:sz w:val="24"/>
          <w:szCs w:val="24"/>
        </w:rPr>
        <w:t>: paradigms as disciplinary matrices, and paradigms as exemplars. The broad sense of paradigm, also called disciplinary matrix, is a consensus among a community of scientist</w:t>
      </w:r>
      <w:r w:rsidR="009B42C2">
        <w:rPr>
          <w:rFonts w:ascii="Times New Roman" w:hAnsi="Times New Roman"/>
          <w:sz w:val="24"/>
          <w:szCs w:val="24"/>
        </w:rPr>
        <w:t xml:space="preserve">s, which consists of symbolic </w:t>
      </w:r>
      <w:r w:rsidR="00B25E16" w:rsidRPr="0008661E">
        <w:rPr>
          <w:rFonts w:ascii="Times New Roman" w:hAnsi="Times New Roman"/>
          <w:sz w:val="24"/>
          <w:szCs w:val="24"/>
        </w:rPr>
        <w:t>generalisations</w:t>
      </w:r>
      <w:r w:rsidR="009B42C2" w:rsidRPr="00330659">
        <w:rPr>
          <w:rStyle w:val="FootnoteReference"/>
        </w:rPr>
        <w:footnoteReference w:id="7"/>
      </w:r>
      <w:r w:rsidR="00B25E16" w:rsidRPr="0008661E">
        <w:rPr>
          <w:rFonts w:ascii="Times New Roman" w:hAnsi="Times New Roman"/>
          <w:sz w:val="24"/>
          <w:szCs w:val="24"/>
        </w:rPr>
        <w:t>, values</w:t>
      </w:r>
      <w:r w:rsidR="006E49A8" w:rsidRPr="00330659">
        <w:rPr>
          <w:rStyle w:val="FootnoteReference"/>
        </w:rPr>
        <w:footnoteReference w:id="8"/>
      </w:r>
      <w:r w:rsidR="00B25E16" w:rsidRPr="0008661E">
        <w:rPr>
          <w:rFonts w:ascii="Times New Roman" w:hAnsi="Times New Roman"/>
          <w:sz w:val="24"/>
          <w:szCs w:val="24"/>
        </w:rPr>
        <w:t>, mode</w:t>
      </w:r>
      <w:r w:rsidR="00620BE1">
        <w:rPr>
          <w:rFonts w:ascii="Times New Roman" w:hAnsi="Times New Roman"/>
          <w:sz w:val="24"/>
          <w:szCs w:val="24"/>
        </w:rPr>
        <w:t>l</w:t>
      </w:r>
      <w:r w:rsidR="006B51D6" w:rsidRPr="0008661E">
        <w:rPr>
          <w:rFonts w:ascii="Times New Roman" w:hAnsi="Times New Roman"/>
          <w:sz w:val="24"/>
          <w:szCs w:val="24"/>
        </w:rPr>
        <w:t>s</w:t>
      </w:r>
      <w:r w:rsidR="00620BE1" w:rsidRPr="00330659">
        <w:rPr>
          <w:rStyle w:val="FootnoteReference"/>
        </w:rPr>
        <w:footnoteReference w:id="9"/>
      </w:r>
      <w:r w:rsidR="00744CCF">
        <w:rPr>
          <w:rFonts w:ascii="Times New Roman" w:hAnsi="Times New Roman"/>
          <w:sz w:val="24"/>
          <w:szCs w:val="24"/>
        </w:rPr>
        <w:t>,</w:t>
      </w:r>
      <w:r w:rsidR="006B51D6" w:rsidRPr="0008661E">
        <w:rPr>
          <w:rFonts w:ascii="Times New Roman" w:hAnsi="Times New Roman"/>
          <w:sz w:val="24"/>
          <w:szCs w:val="24"/>
        </w:rPr>
        <w:t xml:space="preserve"> and exemplars.</w:t>
      </w:r>
      <w:r w:rsidR="00B25E16" w:rsidRPr="0008661E">
        <w:rPr>
          <w:rFonts w:ascii="Times New Roman" w:hAnsi="Times New Roman"/>
          <w:sz w:val="24"/>
          <w:szCs w:val="24"/>
        </w:rPr>
        <w:t xml:space="preserve"> The narrow sense of paradigm,</w:t>
      </w:r>
      <w:r w:rsidR="006B51D6" w:rsidRPr="0008661E">
        <w:rPr>
          <w:rFonts w:ascii="Times New Roman" w:hAnsi="Times New Roman"/>
          <w:sz w:val="24"/>
          <w:szCs w:val="24"/>
        </w:rPr>
        <w:t xml:space="preserve"> </w:t>
      </w:r>
      <w:r w:rsidR="00B25E16" w:rsidRPr="0008661E">
        <w:rPr>
          <w:rFonts w:ascii="Times New Roman" w:hAnsi="Times New Roman"/>
          <w:sz w:val="24"/>
          <w:szCs w:val="24"/>
        </w:rPr>
        <w:t xml:space="preserve">also called </w:t>
      </w:r>
      <w:r w:rsidR="006B51D6" w:rsidRPr="0008661E">
        <w:rPr>
          <w:rFonts w:ascii="Times New Roman" w:hAnsi="Times New Roman"/>
          <w:sz w:val="24"/>
          <w:szCs w:val="24"/>
        </w:rPr>
        <w:t>exemplar</w:t>
      </w:r>
      <w:r w:rsidR="003E5BF0">
        <w:rPr>
          <w:rFonts w:ascii="Times New Roman" w:hAnsi="Times New Roman"/>
          <w:sz w:val="24"/>
          <w:szCs w:val="24"/>
        </w:rPr>
        <w:t xml:space="preserve"> (an essential constituent of the disciplinary matrix)</w:t>
      </w:r>
      <w:r w:rsidR="00B25E16" w:rsidRPr="0008661E">
        <w:rPr>
          <w:rFonts w:ascii="Times New Roman" w:hAnsi="Times New Roman"/>
          <w:sz w:val="24"/>
          <w:szCs w:val="24"/>
        </w:rPr>
        <w:t>, refers to a problem solution</w:t>
      </w:r>
      <w:r w:rsidR="006B51D6" w:rsidRPr="0008661E">
        <w:rPr>
          <w:rFonts w:ascii="Times New Roman" w:hAnsi="Times New Roman"/>
          <w:sz w:val="24"/>
          <w:szCs w:val="24"/>
        </w:rPr>
        <w:t>.</w:t>
      </w:r>
      <w:r w:rsidR="009E274D" w:rsidRPr="0008661E">
        <w:rPr>
          <w:rFonts w:ascii="Times New Roman" w:hAnsi="Times New Roman"/>
          <w:sz w:val="24"/>
          <w:szCs w:val="24"/>
        </w:rPr>
        <w:t xml:space="preserve"> </w:t>
      </w:r>
      <w:r w:rsidR="001F6B2B" w:rsidRPr="0008661E">
        <w:rPr>
          <w:rFonts w:ascii="Times New Roman" w:hAnsi="Times New Roman"/>
          <w:sz w:val="24"/>
          <w:szCs w:val="24"/>
        </w:rPr>
        <w:t xml:space="preserve">Such a distinction is Kuhn’s attempt to articulate the nature and structure of a </w:t>
      </w:r>
      <w:r w:rsidR="00D91145" w:rsidRPr="0008661E">
        <w:rPr>
          <w:rFonts w:ascii="Times New Roman" w:hAnsi="Times New Roman"/>
          <w:sz w:val="24"/>
          <w:szCs w:val="24"/>
        </w:rPr>
        <w:t>paradigm</w:t>
      </w:r>
      <w:r w:rsidR="001F6B2B" w:rsidRPr="0008661E">
        <w:rPr>
          <w:rFonts w:ascii="Times New Roman" w:hAnsi="Times New Roman"/>
          <w:sz w:val="24"/>
          <w:szCs w:val="24"/>
        </w:rPr>
        <w:t xml:space="preserve">. </w:t>
      </w:r>
      <w:r w:rsidR="009E274D" w:rsidRPr="0008661E">
        <w:rPr>
          <w:rFonts w:ascii="Times New Roman" w:hAnsi="Times New Roman"/>
          <w:sz w:val="24"/>
          <w:szCs w:val="24"/>
        </w:rPr>
        <w:t>In particular, t</w:t>
      </w:r>
      <w:r w:rsidR="00461B77" w:rsidRPr="0008661E">
        <w:rPr>
          <w:rFonts w:ascii="Times New Roman" w:hAnsi="Times New Roman"/>
          <w:sz w:val="24"/>
          <w:szCs w:val="24"/>
        </w:rPr>
        <w:t>he narrow sense of paradigm</w:t>
      </w:r>
      <w:r w:rsidR="005D72F3" w:rsidRPr="0008661E">
        <w:rPr>
          <w:rFonts w:ascii="Times New Roman" w:hAnsi="Times New Roman"/>
          <w:sz w:val="24"/>
          <w:szCs w:val="24"/>
        </w:rPr>
        <w:t xml:space="preserve"> is </w:t>
      </w:r>
      <w:r w:rsidR="00FA010C" w:rsidRPr="0008661E">
        <w:rPr>
          <w:rFonts w:ascii="Times New Roman" w:hAnsi="Times New Roman"/>
          <w:sz w:val="24"/>
          <w:szCs w:val="24"/>
        </w:rPr>
        <w:t>really novel in the sense that by introducing “exemplar”, Kuhn tries to emphasise the s</w:t>
      </w:r>
      <w:r w:rsidR="00F06C2B" w:rsidRPr="0008661E">
        <w:rPr>
          <w:rFonts w:ascii="Times New Roman" w:hAnsi="Times New Roman"/>
          <w:sz w:val="24"/>
          <w:szCs w:val="24"/>
        </w:rPr>
        <w:t>ignificance of the problem</w:t>
      </w:r>
      <w:r w:rsidR="00E75972" w:rsidRPr="0008661E">
        <w:rPr>
          <w:rFonts w:ascii="Times New Roman" w:hAnsi="Times New Roman"/>
          <w:sz w:val="24"/>
          <w:szCs w:val="24"/>
        </w:rPr>
        <w:t>-solving</w:t>
      </w:r>
      <w:r w:rsidR="00F06C2B" w:rsidRPr="0008661E">
        <w:rPr>
          <w:rFonts w:ascii="Times New Roman" w:hAnsi="Times New Roman"/>
          <w:sz w:val="24"/>
          <w:szCs w:val="24"/>
        </w:rPr>
        <w:t xml:space="preserve">, </w:t>
      </w:r>
      <w:r w:rsidR="00FA010C" w:rsidRPr="0008661E">
        <w:rPr>
          <w:rFonts w:ascii="Times New Roman" w:hAnsi="Times New Roman"/>
          <w:sz w:val="24"/>
          <w:szCs w:val="24"/>
        </w:rPr>
        <w:t>problem-solution learning</w:t>
      </w:r>
      <w:r w:rsidR="00F06C2B" w:rsidRPr="0008661E">
        <w:rPr>
          <w:rFonts w:ascii="Times New Roman" w:hAnsi="Times New Roman"/>
          <w:sz w:val="24"/>
          <w:szCs w:val="24"/>
        </w:rPr>
        <w:t xml:space="preserve">, </w:t>
      </w:r>
      <w:r w:rsidR="00200189">
        <w:rPr>
          <w:rFonts w:ascii="Times New Roman" w:hAnsi="Times New Roman"/>
          <w:sz w:val="24"/>
          <w:szCs w:val="24"/>
        </w:rPr>
        <w:t>analogical reasoning</w:t>
      </w:r>
      <w:r w:rsidR="002F58A5">
        <w:rPr>
          <w:rFonts w:ascii="Times New Roman" w:hAnsi="Times New Roman"/>
          <w:sz w:val="24"/>
          <w:szCs w:val="24"/>
        </w:rPr>
        <w:t>, and tacit knowledge</w:t>
      </w:r>
      <w:r w:rsidR="00FA010C" w:rsidRPr="0008661E">
        <w:rPr>
          <w:rFonts w:ascii="Times New Roman" w:hAnsi="Times New Roman"/>
          <w:sz w:val="24"/>
          <w:szCs w:val="24"/>
        </w:rPr>
        <w:t xml:space="preserve"> in the practice of science.</w:t>
      </w:r>
      <w:r w:rsidR="00375C82" w:rsidRPr="0008661E">
        <w:rPr>
          <w:rFonts w:ascii="Times New Roman" w:hAnsi="Times New Roman"/>
          <w:sz w:val="24"/>
          <w:szCs w:val="24"/>
        </w:rPr>
        <w:t xml:space="preserve"> </w:t>
      </w:r>
      <w:r w:rsidR="00F06C2B" w:rsidRPr="0008661E">
        <w:rPr>
          <w:rFonts w:ascii="Times New Roman" w:hAnsi="Times New Roman"/>
          <w:sz w:val="24"/>
          <w:szCs w:val="24"/>
        </w:rPr>
        <w:t xml:space="preserve">All these were overlooked by </w:t>
      </w:r>
      <w:r w:rsidR="002F58A5">
        <w:rPr>
          <w:rFonts w:ascii="Times New Roman" w:hAnsi="Times New Roman"/>
          <w:sz w:val="24"/>
          <w:szCs w:val="24"/>
        </w:rPr>
        <w:t xml:space="preserve">most </w:t>
      </w:r>
      <w:r w:rsidR="00F06C2B" w:rsidRPr="0008661E">
        <w:rPr>
          <w:rFonts w:ascii="Times New Roman" w:hAnsi="Times New Roman"/>
          <w:sz w:val="24"/>
          <w:szCs w:val="24"/>
        </w:rPr>
        <w:t>philosophers of science in the 1960s</w:t>
      </w:r>
      <w:r w:rsidR="00527517" w:rsidRPr="00330659">
        <w:rPr>
          <w:rStyle w:val="FootnoteReference"/>
        </w:rPr>
        <w:footnoteReference w:id="10"/>
      </w:r>
      <w:r w:rsidR="00F06C2B" w:rsidRPr="0008661E">
        <w:rPr>
          <w:rFonts w:ascii="Times New Roman" w:hAnsi="Times New Roman"/>
          <w:sz w:val="24"/>
          <w:szCs w:val="24"/>
        </w:rPr>
        <w:t xml:space="preserve">. </w:t>
      </w:r>
      <w:r w:rsidR="004925D8" w:rsidRPr="0008661E">
        <w:rPr>
          <w:rFonts w:ascii="Times New Roman" w:hAnsi="Times New Roman"/>
          <w:sz w:val="24"/>
          <w:szCs w:val="24"/>
        </w:rPr>
        <w:t xml:space="preserve">Even Kuhn </w:t>
      </w:r>
      <w:r w:rsidR="00CB2317">
        <w:rPr>
          <w:rFonts w:ascii="Times New Roman" w:hAnsi="Times New Roman"/>
          <w:sz w:val="24"/>
          <w:szCs w:val="24"/>
        </w:rPr>
        <w:fldChar w:fldCharType="begin" w:fldLock="1"/>
      </w:r>
      <w:r w:rsidR="00384DA3">
        <w:rPr>
          <w:rFonts w:ascii="Times New Roman" w:hAnsi="Times New Roman"/>
          <w:sz w:val="24"/>
          <w:szCs w:val="24"/>
        </w:rPr>
        <w:instrText>ADDIN CSL_CITATION { "citationItems" : [ { "id" : "ITEM-1", "itemData" : { "author" : [ { "dropping-particle" : "", "family" : "Kuhn", "given" : "Thomas Samuel", "non-dropping-particle" : "", "parse-names" : false, "suffix" : "" } ], "edition" : "2nd", "id" : "ITEM-1", "issued" : { "date-parts" : [ [ "1970" ] ] }, "publisher" : "University of Chicago Press", "publisher-place" : "Chicago, IL", "title" : "The Structure of Scientific Revolutions", "type" : "book" }, "locator" : "187", "suppress-author" : 1, "uris" : [ "http://www.mendeley.com/documents/?uuid=bdadb4d5-5622-49a8-89f9-43f6b3b7e8aa", "http://www.mendeley.com/documents/?uuid=6f92ef14-2dc4-439d-96b3-44304c32cc59" ] } ], "mendeley" : { "formattedCitation" : "(1970, 187)", "plainTextFormattedCitation" : "(1970, 187)", "previouslyFormattedCitation" : "(1970, 187)" }, "properties" : { "noteIndex" : 0 }, "schema" : "https://github.com/citation-style-language/schema/raw/master/csl-citation.json" }</w:instrText>
      </w:r>
      <w:r w:rsidR="00CB2317">
        <w:rPr>
          <w:rFonts w:ascii="Times New Roman" w:hAnsi="Times New Roman"/>
          <w:sz w:val="24"/>
          <w:szCs w:val="24"/>
        </w:rPr>
        <w:fldChar w:fldCharType="separate"/>
      </w:r>
      <w:r w:rsidR="00593750" w:rsidRPr="00593750">
        <w:rPr>
          <w:rFonts w:ascii="Times New Roman" w:hAnsi="Times New Roman"/>
          <w:noProof/>
          <w:sz w:val="24"/>
          <w:szCs w:val="24"/>
        </w:rPr>
        <w:t>(1970, 187)</w:t>
      </w:r>
      <w:r w:rsidR="00CB2317">
        <w:rPr>
          <w:rFonts w:ascii="Times New Roman" w:hAnsi="Times New Roman"/>
          <w:sz w:val="24"/>
          <w:szCs w:val="24"/>
        </w:rPr>
        <w:fldChar w:fldCharType="end"/>
      </w:r>
      <w:r w:rsidR="00CB2317">
        <w:rPr>
          <w:rFonts w:ascii="Times New Roman" w:hAnsi="Times New Roman"/>
          <w:sz w:val="24"/>
          <w:szCs w:val="24"/>
        </w:rPr>
        <w:t xml:space="preserve"> </w:t>
      </w:r>
      <w:r w:rsidR="004925D8" w:rsidRPr="0008661E">
        <w:rPr>
          <w:rFonts w:ascii="Times New Roman" w:hAnsi="Times New Roman"/>
          <w:sz w:val="24"/>
          <w:szCs w:val="24"/>
        </w:rPr>
        <w:t xml:space="preserve">himself </w:t>
      </w:r>
      <w:r w:rsidR="00132DA3" w:rsidRPr="0008661E">
        <w:rPr>
          <w:rFonts w:ascii="Times New Roman" w:hAnsi="Times New Roman"/>
          <w:sz w:val="24"/>
          <w:szCs w:val="24"/>
        </w:rPr>
        <w:t xml:space="preserve">explicitly </w:t>
      </w:r>
      <w:r w:rsidR="00DC1948" w:rsidRPr="0008661E">
        <w:rPr>
          <w:rFonts w:ascii="Times New Roman" w:hAnsi="Times New Roman"/>
          <w:sz w:val="24"/>
          <w:szCs w:val="24"/>
        </w:rPr>
        <w:t xml:space="preserve">identifies “paradigm as exemplar” as the most novel aspect of </w:t>
      </w:r>
      <w:r w:rsidR="000A369C" w:rsidRPr="0008661E">
        <w:rPr>
          <w:rFonts w:ascii="Times New Roman" w:hAnsi="Times New Roman"/>
          <w:i/>
          <w:sz w:val="24"/>
          <w:szCs w:val="24"/>
        </w:rPr>
        <w:t>SSR</w:t>
      </w:r>
      <w:r w:rsidR="00EF0012">
        <w:rPr>
          <w:rFonts w:ascii="Times New Roman" w:hAnsi="Times New Roman"/>
          <w:sz w:val="24"/>
          <w:szCs w:val="24"/>
        </w:rPr>
        <w:t xml:space="preserve">. </w:t>
      </w:r>
      <w:r w:rsidR="00F96B74">
        <w:rPr>
          <w:rFonts w:ascii="Times New Roman" w:hAnsi="Times New Roman"/>
          <w:sz w:val="24"/>
          <w:szCs w:val="24"/>
        </w:rPr>
        <w:t>This narrow sense of paradigm</w:t>
      </w:r>
      <w:r w:rsidR="003B2B21">
        <w:rPr>
          <w:rFonts w:ascii="Times New Roman" w:hAnsi="Times New Roman"/>
          <w:sz w:val="24"/>
          <w:szCs w:val="24"/>
        </w:rPr>
        <w:t xml:space="preserve"> and its philosophical implication</w:t>
      </w:r>
      <w:r w:rsidR="00F96B74">
        <w:rPr>
          <w:rFonts w:ascii="Times New Roman" w:hAnsi="Times New Roman"/>
          <w:sz w:val="24"/>
          <w:szCs w:val="24"/>
        </w:rPr>
        <w:t xml:space="preserve"> is absent from Fleck’s conception of thought style. Therefore,</w:t>
      </w:r>
      <w:r w:rsidR="006427C2">
        <w:rPr>
          <w:rFonts w:ascii="Times New Roman" w:hAnsi="Times New Roman"/>
          <w:sz w:val="24"/>
          <w:szCs w:val="24"/>
        </w:rPr>
        <w:t xml:space="preserve"> the introduction of</w:t>
      </w:r>
      <w:r w:rsidR="00C21A3E">
        <w:rPr>
          <w:rFonts w:ascii="Times New Roman" w:hAnsi="Times New Roman"/>
          <w:sz w:val="24"/>
          <w:szCs w:val="24"/>
        </w:rPr>
        <w:t xml:space="preserve"> the concept</w:t>
      </w:r>
      <w:r w:rsidR="00CB5527">
        <w:rPr>
          <w:rFonts w:ascii="Times New Roman" w:hAnsi="Times New Roman"/>
          <w:sz w:val="24"/>
          <w:szCs w:val="24"/>
        </w:rPr>
        <w:t xml:space="preserve"> of paradigm as </w:t>
      </w:r>
      <w:r w:rsidR="00C21A3E">
        <w:rPr>
          <w:rFonts w:ascii="Times New Roman" w:hAnsi="Times New Roman"/>
          <w:sz w:val="24"/>
          <w:szCs w:val="24"/>
        </w:rPr>
        <w:t>a new unit of analysis to examine</w:t>
      </w:r>
      <w:r w:rsidR="00436F8C">
        <w:rPr>
          <w:rFonts w:ascii="Times New Roman" w:hAnsi="Times New Roman"/>
          <w:sz w:val="24"/>
          <w:szCs w:val="24"/>
        </w:rPr>
        <w:t xml:space="preserve"> the history </w:t>
      </w:r>
      <w:r w:rsidR="00116837">
        <w:rPr>
          <w:rFonts w:ascii="Times New Roman" w:hAnsi="Times New Roman"/>
          <w:sz w:val="24"/>
          <w:szCs w:val="24"/>
        </w:rPr>
        <w:t xml:space="preserve">and practice </w:t>
      </w:r>
      <w:r w:rsidR="00436F8C">
        <w:rPr>
          <w:rFonts w:ascii="Times New Roman" w:hAnsi="Times New Roman"/>
          <w:sz w:val="24"/>
          <w:szCs w:val="24"/>
        </w:rPr>
        <w:t>of science</w:t>
      </w:r>
      <w:r w:rsidR="00CB5527">
        <w:rPr>
          <w:rFonts w:ascii="Times New Roman" w:hAnsi="Times New Roman"/>
          <w:sz w:val="24"/>
          <w:szCs w:val="24"/>
        </w:rPr>
        <w:t xml:space="preserve"> is Kuhn’s one </w:t>
      </w:r>
      <w:r w:rsidR="006427C2">
        <w:rPr>
          <w:rFonts w:ascii="Times New Roman" w:hAnsi="Times New Roman"/>
          <w:sz w:val="24"/>
          <w:szCs w:val="24"/>
        </w:rPr>
        <w:t xml:space="preserve">significant </w:t>
      </w:r>
      <w:r w:rsidR="00CB5527">
        <w:rPr>
          <w:rFonts w:ascii="Times New Roman" w:hAnsi="Times New Roman"/>
          <w:sz w:val="24"/>
          <w:szCs w:val="24"/>
        </w:rPr>
        <w:t>novel contribution.</w:t>
      </w:r>
    </w:p>
    <w:p w14:paraId="5039AFCA" w14:textId="33D360A3" w:rsidR="00DC1948" w:rsidRPr="0008661E" w:rsidRDefault="00A82227" w:rsidP="00C5075C">
      <w:pPr>
        <w:spacing w:beforeLines="100" w:before="240" w:afterLines="100" w:after="240" w:line="480" w:lineRule="auto"/>
        <w:rPr>
          <w:rFonts w:ascii="Times New Roman" w:hAnsi="Times New Roman" w:cs="Times New Roman"/>
          <w:sz w:val="24"/>
          <w:szCs w:val="24"/>
        </w:rPr>
      </w:pPr>
      <w:r w:rsidRPr="0008661E">
        <w:rPr>
          <w:rFonts w:ascii="Times New Roman" w:hAnsi="Times New Roman" w:cs="Times New Roman"/>
          <w:sz w:val="24"/>
          <w:szCs w:val="24"/>
        </w:rPr>
        <w:lastRenderedPageBreak/>
        <w:t xml:space="preserve">In addition, </w:t>
      </w:r>
      <w:r w:rsidR="003F1A75">
        <w:rPr>
          <w:rFonts w:ascii="Times New Roman" w:hAnsi="Times New Roman" w:cs="Times New Roman"/>
          <w:sz w:val="24"/>
          <w:szCs w:val="24"/>
        </w:rPr>
        <w:t>the</w:t>
      </w:r>
      <w:r w:rsidR="00DC1948" w:rsidRPr="0008661E">
        <w:rPr>
          <w:rFonts w:ascii="Times New Roman" w:hAnsi="Times New Roman" w:cs="Times New Roman"/>
          <w:sz w:val="24"/>
          <w:szCs w:val="24"/>
        </w:rPr>
        <w:t xml:space="preserve"> incomm</w:t>
      </w:r>
      <w:r w:rsidR="00A37BC3" w:rsidRPr="0008661E">
        <w:rPr>
          <w:rFonts w:ascii="Times New Roman" w:hAnsi="Times New Roman" w:cs="Times New Roman"/>
          <w:sz w:val="24"/>
          <w:szCs w:val="24"/>
        </w:rPr>
        <w:t>ensurability thesis</w:t>
      </w:r>
      <w:r w:rsidR="00CD03A0" w:rsidRPr="00330659">
        <w:rPr>
          <w:rStyle w:val="FootnoteReference"/>
        </w:rPr>
        <w:footnoteReference w:id="11"/>
      </w:r>
      <w:r w:rsidR="00A37BC3" w:rsidRPr="0008661E">
        <w:rPr>
          <w:rFonts w:ascii="Times New Roman" w:hAnsi="Times New Roman" w:cs="Times New Roman"/>
          <w:sz w:val="24"/>
          <w:szCs w:val="24"/>
        </w:rPr>
        <w:t xml:space="preserve"> is</w:t>
      </w:r>
      <w:r w:rsidR="00DC1948" w:rsidRPr="0008661E">
        <w:rPr>
          <w:rFonts w:ascii="Times New Roman" w:hAnsi="Times New Roman" w:cs="Times New Roman"/>
          <w:sz w:val="24"/>
          <w:szCs w:val="24"/>
        </w:rPr>
        <w:t xml:space="preserve"> Kuhn’s </w:t>
      </w:r>
      <w:r w:rsidR="00F04261">
        <w:rPr>
          <w:rFonts w:ascii="Times New Roman" w:hAnsi="Times New Roman" w:cs="Times New Roman"/>
          <w:sz w:val="24"/>
          <w:szCs w:val="24"/>
        </w:rPr>
        <w:t>other</w:t>
      </w:r>
      <w:r w:rsidR="00A37BC3" w:rsidRPr="0008661E">
        <w:rPr>
          <w:rFonts w:ascii="Times New Roman" w:hAnsi="Times New Roman" w:cs="Times New Roman"/>
          <w:sz w:val="24"/>
          <w:szCs w:val="24"/>
        </w:rPr>
        <w:t xml:space="preserve"> novel contribution to the</w:t>
      </w:r>
      <w:r w:rsidR="006A5D8C">
        <w:rPr>
          <w:rFonts w:ascii="Times New Roman" w:hAnsi="Times New Roman" w:cs="Times New Roman"/>
          <w:sz w:val="24"/>
          <w:szCs w:val="24"/>
        </w:rPr>
        <w:t xml:space="preserve"> twentieth century’s</w:t>
      </w:r>
      <w:r w:rsidR="00A37BC3" w:rsidRPr="0008661E">
        <w:rPr>
          <w:rFonts w:ascii="Times New Roman" w:hAnsi="Times New Roman" w:cs="Times New Roman"/>
          <w:sz w:val="24"/>
          <w:szCs w:val="24"/>
        </w:rPr>
        <w:t xml:space="preserve"> </w:t>
      </w:r>
      <w:r w:rsidR="00DC1948" w:rsidRPr="0008661E">
        <w:rPr>
          <w:rFonts w:ascii="Times New Roman" w:hAnsi="Times New Roman" w:cs="Times New Roman"/>
          <w:sz w:val="24"/>
          <w:szCs w:val="24"/>
        </w:rPr>
        <w:t>philosophy of science.</w:t>
      </w:r>
      <w:r w:rsidR="00A37BC3" w:rsidRPr="0008661E">
        <w:rPr>
          <w:rFonts w:ascii="Times New Roman" w:hAnsi="Times New Roman" w:cs="Times New Roman"/>
          <w:sz w:val="24"/>
          <w:szCs w:val="24"/>
        </w:rPr>
        <w:t xml:space="preserve"> </w:t>
      </w:r>
      <w:r w:rsidR="00DD5448" w:rsidRPr="0008661E">
        <w:rPr>
          <w:rFonts w:ascii="Times New Roman" w:hAnsi="Times New Roman" w:cs="Times New Roman"/>
          <w:sz w:val="24"/>
          <w:szCs w:val="24"/>
        </w:rPr>
        <w:t>The basic idea of the incommensurability thesis is that there is a difficulty of comparing two successive paradigms as disciplinary matrices in the paradigm-shift.</w:t>
      </w:r>
      <w:r w:rsidR="000C0166" w:rsidRPr="00330659">
        <w:rPr>
          <w:rStyle w:val="FootnoteReference"/>
        </w:rPr>
        <w:footnoteReference w:id="12"/>
      </w:r>
      <w:r w:rsidR="005027F4">
        <w:rPr>
          <w:rFonts w:ascii="Times New Roman" w:hAnsi="Times New Roman" w:cs="Times New Roman"/>
          <w:sz w:val="24"/>
          <w:szCs w:val="24"/>
        </w:rPr>
        <w:t xml:space="preserve"> The shift from one paradigm from another cannot be simply explained by some universal standard of rationality</w:t>
      </w:r>
      <w:r w:rsidR="00120017">
        <w:rPr>
          <w:rFonts w:ascii="Times New Roman" w:hAnsi="Times New Roman" w:cs="Times New Roman"/>
          <w:sz w:val="24"/>
          <w:szCs w:val="24"/>
        </w:rPr>
        <w:t xml:space="preserve"> (e.g. Popper’s falsifiability criterion)</w:t>
      </w:r>
      <w:r w:rsidR="005027F4">
        <w:rPr>
          <w:rFonts w:ascii="Times New Roman" w:hAnsi="Times New Roman" w:cs="Times New Roman"/>
          <w:sz w:val="24"/>
          <w:szCs w:val="24"/>
        </w:rPr>
        <w:t>.</w:t>
      </w:r>
      <w:r w:rsidR="000D0DE5">
        <w:rPr>
          <w:rFonts w:ascii="Times New Roman" w:hAnsi="Times New Roman" w:cs="Times New Roman"/>
          <w:sz w:val="24"/>
          <w:szCs w:val="24"/>
        </w:rPr>
        <w:t xml:space="preserve"> In the 1960s, Kuhn’s</w:t>
      </w:r>
      <w:r w:rsidR="00A37BC3" w:rsidRPr="0008661E">
        <w:rPr>
          <w:rFonts w:ascii="Times New Roman" w:hAnsi="Times New Roman" w:cs="Times New Roman"/>
          <w:sz w:val="24"/>
          <w:szCs w:val="24"/>
        </w:rPr>
        <w:t xml:space="preserve"> in</w:t>
      </w:r>
      <w:r w:rsidR="00F04261">
        <w:rPr>
          <w:rFonts w:ascii="Times New Roman" w:hAnsi="Times New Roman" w:cs="Times New Roman"/>
          <w:sz w:val="24"/>
          <w:szCs w:val="24"/>
        </w:rPr>
        <w:t>commensurability thesis provided</w:t>
      </w:r>
      <w:r w:rsidR="00A37BC3" w:rsidRPr="0008661E">
        <w:rPr>
          <w:rFonts w:ascii="Times New Roman" w:hAnsi="Times New Roman" w:cs="Times New Roman"/>
          <w:sz w:val="24"/>
          <w:szCs w:val="24"/>
        </w:rPr>
        <w:t xml:space="preserve"> an alternative way to understand and</w:t>
      </w:r>
      <w:r w:rsidR="00120017">
        <w:rPr>
          <w:rFonts w:ascii="Times New Roman" w:hAnsi="Times New Roman" w:cs="Times New Roman"/>
          <w:sz w:val="24"/>
          <w:szCs w:val="24"/>
        </w:rPr>
        <w:t xml:space="preserve"> analyse </w:t>
      </w:r>
      <w:r w:rsidR="00463C5D" w:rsidRPr="0008661E">
        <w:rPr>
          <w:rFonts w:ascii="Times New Roman" w:hAnsi="Times New Roman" w:cs="Times New Roman"/>
          <w:sz w:val="24"/>
          <w:szCs w:val="24"/>
        </w:rPr>
        <w:t xml:space="preserve">scientific </w:t>
      </w:r>
      <w:r w:rsidR="0073133C" w:rsidRPr="0008661E">
        <w:rPr>
          <w:rFonts w:ascii="Times New Roman" w:hAnsi="Times New Roman" w:cs="Times New Roman"/>
          <w:sz w:val="24"/>
          <w:szCs w:val="24"/>
        </w:rPr>
        <w:t xml:space="preserve">progress and scientific </w:t>
      </w:r>
      <w:r w:rsidR="00896232" w:rsidRPr="0008661E">
        <w:rPr>
          <w:rFonts w:ascii="Times New Roman" w:hAnsi="Times New Roman" w:cs="Times New Roman"/>
          <w:sz w:val="24"/>
          <w:szCs w:val="24"/>
        </w:rPr>
        <w:t>change. Furthermore, it</w:t>
      </w:r>
      <w:r w:rsidR="00463C5D" w:rsidRPr="0008661E">
        <w:rPr>
          <w:rFonts w:ascii="Times New Roman" w:hAnsi="Times New Roman" w:cs="Times New Roman"/>
          <w:sz w:val="24"/>
          <w:szCs w:val="24"/>
        </w:rPr>
        <w:t xml:space="preserve"> </w:t>
      </w:r>
      <w:r w:rsidR="00F04261">
        <w:rPr>
          <w:rFonts w:ascii="Times New Roman" w:hAnsi="Times New Roman" w:cs="Times New Roman"/>
          <w:sz w:val="24"/>
          <w:szCs w:val="24"/>
        </w:rPr>
        <w:t>highlighted</w:t>
      </w:r>
      <w:r w:rsidR="00463C5D" w:rsidRPr="0008661E">
        <w:rPr>
          <w:rFonts w:ascii="Times New Roman" w:hAnsi="Times New Roman" w:cs="Times New Roman"/>
          <w:sz w:val="24"/>
          <w:szCs w:val="24"/>
        </w:rPr>
        <w:t xml:space="preserve"> the discontinuity </w:t>
      </w:r>
      <w:r w:rsidR="00896232" w:rsidRPr="0008661E">
        <w:rPr>
          <w:rFonts w:ascii="Times New Roman" w:hAnsi="Times New Roman" w:cs="Times New Roman"/>
          <w:sz w:val="24"/>
          <w:szCs w:val="24"/>
        </w:rPr>
        <w:t xml:space="preserve">of the history of science and the </w:t>
      </w:r>
      <w:r w:rsidR="000C0166">
        <w:rPr>
          <w:rFonts w:ascii="Times New Roman" w:hAnsi="Times New Roman" w:cs="Times New Roman"/>
          <w:sz w:val="24"/>
          <w:szCs w:val="24"/>
        </w:rPr>
        <w:t xml:space="preserve">complexity </w:t>
      </w:r>
      <w:r w:rsidR="00463C5D" w:rsidRPr="0008661E">
        <w:rPr>
          <w:rFonts w:ascii="Times New Roman" w:hAnsi="Times New Roman" w:cs="Times New Roman"/>
          <w:sz w:val="24"/>
          <w:szCs w:val="24"/>
        </w:rPr>
        <w:t xml:space="preserve">of </w:t>
      </w:r>
      <w:r w:rsidR="00896232" w:rsidRPr="0008661E">
        <w:rPr>
          <w:rFonts w:ascii="Times New Roman" w:hAnsi="Times New Roman" w:cs="Times New Roman"/>
          <w:sz w:val="24"/>
          <w:szCs w:val="24"/>
        </w:rPr>
        <w:t xml:space="preserve">the practice of </w:t>
      </w:r>
      <w:r w:rsidR="00463C5D" w:rsidRPr="0008661E">
        <w:rPr>
          <w:rFonts w:ascii="Times New Roman" w:hAnsi="Times New Roman" w:cs="Times New Roman"/>
          <w:sz w:val="24"/>
          <w:szCs w:val="24"/>
        </w:rPr>
        <w:t xml:space="preserve">science. </w:t>
      </w:r>
      <w:r w:rsidR="00A22B2E" w:rsidRPr="0008661E">
        <w:rPr>
          <w:rFonts w:ascii="Times New Roman" w:hAnsi="Times New Roman" w:cs="Times New Roman"/>
          <w:sz w:val="24"/>
          <w:szCs w:val="24"/>
        </w:rPr>
        <w:t xml:space="preserve">Traditional philosophical understandings of scientific change </w:t>
      </w:r>
      <w:r w:rsidR="002858C2">
        <w:rPr>
          <w:rFonts w:ascii="Times New Roman" w:hAnsi="Times New Roman" w:cs="Times New Roman"/>
          <w:sz w:val="24"/>
          <w:szCs w:val="24"/>
        </w:rPr>
        <w:t xml:space="preserve">and rationality </w:t>
      </w:r>
      <w:r w:rsidR="00A22B2E" w:rsidRPr="0008661E">
        <w:rPr>
          <w:rFonts w:ascii="Times New Roman" w:hAnsi="Times New Roman" w:cs="Times New Roman"/>
          <w:sz w:val="24"/>
          <w:szCs w:val="24"/>
        </w:rPr>
        <w:t xml:space="preserve">(e.g. </w:t>
      </w:r>
      <w:r w:rsidR="009D08D1" w:rsidRPr="0008661E">
        <w:rPr>
          <w:rFonts w:ascii="Times New Roman" w:hAnsi="Times New Roman" w:cs="Times New Roman"/>
          <w:sz w:val="24"/>
          <w:szCs w:val="24"/>
        </w:rPr>
        <w:t>the conventional progressive account and Popper’s falsificationist account</w:t>
      </w:r>
      <w:r w:rsidR="00A22B2E" w:rsidRPr="0008661E">
        <w:rPr>
          <w:rFonts w:ascii="Times New Roman" w:hAnsi="Times New Roman" w:cs="Times New Roman"/>
          <w:sz w:val="24"/>
          <w:szCs w:val="24"/>
        </w:rPr>
        <w:t>) wer</w:t>
      </w:r>
      <w:r w:rsidR="009D08D1" w:rsidRPr="0008661E">
        <w:rPr>
          <w:rFonts w:ascii="Times New Roman" w:hAnsi="Times New Roman" w:cs="Times New Roman"/>
          <w:sz w:val="24"/>
          <w:szCs w:val="24"/>
        </w:rPr>
        <w:t xml:space="preserve">e seriously challenged by </w:t>
      </w:r>
      <w:r w:rsidR="000D0DE5">
        <w:rPr>
          <w:rFonts w:ascii="Times New Roman" w:hAnsi="Times New Roman" w:cs="Times New Roman"/>
          <w:sz w:val="24"/>
          <w:szCs w:val="24"/>
        </w:rPr>
        <w:t>Kuhn’s</w:t>
      </w:r>
      <w:r w:rsidR="00016BA2" w:rsidRPr="0008661E">
        <w:rPr>
          <w:rFonts w:ascii="Times New Roman" w:hAnsi="Times New Roman" w:cs="Times New Roman"/>
          <w:sz w:val="24"/>
          <w:szCs w:val="24"/>
        </w:rPr>
        <w:t xml:space="preserve"> incommensurability t</w:t>
      </w:r>
      <w:r w:rsidR="00A22B2E" w:rsidRPr="0008661E">
        <w:rPr>
          <w:rFonts w:ascii="Times New Roman" w:hAnsi="Times New Roman" w:cs="Times New Roman"/>
          <w:sz w:val="24"/>
          <w:szCs w:val="24"/>
        </w:rPr>
        <w:t>hesis. Th</w:t>
      </w:r>
      <w:r w:rsidR="00AD4CE4">
        <w:rPr>
          <w:rFonts w:ascii="Times New Roman" w:hAnsi="Times New Roman" w:cs="Times New Roman"/>
          <w:sz w:val="24"/>
          <w:szCs w:val="24"/>
        </w:rPr>
        <w:t>us, I argue that th</w:t>
      </w:r>
      <w:r w:rsidR="00A22B2E" w:rsidRPr="0008661E">
        <w:rPr>
          <w:rFonts w:ascii="Times New Roman" w:hAnsi="Times New Roman" w:cs="Times New Roman"/>
          <w:sz w:val="24"/>
          <w:szCs w:val="24"/>
        </w:rPr>
        <w:t>is is another major novelty made by Kuhn in the 1960s.</w:t>
      </w:r>
    </w:p>
    <w:p w14:paraId="773E45E3" w14:textId="49787D29" w:rsidR="00F549BE" w:rsidRPr="0008661E" w:rsidRDefault="00A37BC3" w:rsidP="00C5075C">
      <w:pPr>
        <w:spacing w:beforeLines="100" w:before="240" w:afterLines="100" w:after="240" w:line="480" w:lineRule="auto"/>
        <w:rPr>
          <w:rFonts w:ascii="Times New Roman" w:hAnsi="Times New Roman" w:cs="Times New Roman"/>
          <w:sz w:val="24"/>
          <w:szCs w:val="24"/>
        </w:rPr>
      </w:pPr>
      <w:r w:rsidRPr="0008661E">
        <w:rPr>
          <w:rFonts w:ascii="Times New Roman" w:hAnsi="Times New Roman" w:cs="Times New Roman"/>
          <w:sz w:val="24"/>
          <w:szCs w:val="24"/>
        </w:rPr>
        <w:t xml:space="preserve">Of course, </w:t>
      </w:r>
      <w:r w:rsidR="00CC53D5">
        <w:rPr>
          <w:rFonts w:ascii="Times New Roman" w:hAnsi="Times New Roman" w:cs="Times New Roman"/>
          <w:sz w:val="24"/>
          <w:szCs w:val="24"/>
        </w:rPr>
        <w:t xml:space="preserve">it can be argued that </w:t>
      </w:r>
      <w:r w:rsidRPr="0008661E">
        <w:rPr>
          <w:rFonts w:ascii="Times New Roman" w:hAnsi="Times New Roman" w:cs="Times New Roman"/>
          <w:sz w:val="24"/>
          <w:szCs w:val="24"/>
        </w:rPr>
        <w:t xml:space="preserve">Kuhn’s novel contributions are more than these. </w:t>
      </w:r>
      <w:r w:rsidR="00BE7817" w:rsidRPr="0008661E">
        <w:rPr>
          <w:rFonts w:ascii="Times New Roman" w:hAnsi="Times New Roman" w:cs="Times New Roman"/>
          <w:sz w:val="24"/>
          <w:szCs w:val="24"/>
        </w:rPr>
        <w:t>For example, some may argue that Kuhn’s real novel contribution is to argue that the history of science is discontinuous</w:t>
      </w:r>
      <w:r w:rsidR="001C52EC" w:rsidRPr="0008661E">
        <w:rPr>
          <w:rFonts w:ascii="Times New Roman" w:hAnsi="Times New Roman" w:cs="Times New Roman"/>
          <w:sz w:val="24"/>
          <w:szCs w:val="24"/>
        </w:rPr>
        <w:t xml:space="preserve">, while other may identify Kuhn’s contribution as the </w:t>
      </w:r>
      <w:r w:rsidR="00CD4C4B">
        <w:rPr>
          <w:rFonts w:ascii="Times New Roman" w:hAnsi="Times New Roman" w:cs="Times New Roman"/>
          <w:sz w:val="24"/>
          <w:szCs w:val="24"/>
        </w:rPr>
        <w:t xml:space="preserve">identification of the </w:t>
      </w:r>
      <w:r w:rsidR="001C52EC" w:rsidRPr="0008661E">
        <w:rPr>
          <w:rFonts w:ascii="Times New Roman" w:hAnsi="Times New Roman" w:cs="Times New Roman"/>
          <w:sz w:val="24"/>
          <w:szCs w:val="24"/>
        </w:rPr>
        <w:t xml:space="preserve">social </w:t>
      </w:r>
      <w:r w:rsidR="00CD4C4B">
        <w:rPr>
          <w:rFonts w:ascii="Times New Roman" w:hAnsi="Times New Roman" w:cs="Times New Roman"/>
          <w:sz w:val="24"/>
          <w:szCs w:val="24"/>
        </w:rPr>
        <w:t>factor in the practice of science</w:t>
      </w:r>
      <w:r w:rsidR="00BE7817" w:rsidRPr="0008661E">
        <w:rPr>
          <w:rFonts w:ascii="Times New Roman" w:hAnsi="Times New Roman" w:cs="Times New Roman"/>
          <w:sz w:val="24"/>
          <w:szCs w:val="24"/>
        </w:rPr>
        <w:t xml:space="preserve">. </w:t>
      </w:r>
      <w:r w:rsidRPr="0008661E">
        <w:rPr>
          <w:rFonts w:ascii="Times New Roman" w:hAnsi="Times New Roman" w:cs="Times New Roman"/>
          <w:sz w:val="24"/>
          <w:szCs w:val="24"/>
        </w:rPr>
        <w:t xml:space="preserve">But </w:t>
      </w:r>
      <w:r w:rsidR="00BE7817" w:rsidRPr="0008661E">
        <w:rPr>
          <w:rFonts w:ascii="Times New Roman" w:hAnsi="Times New Roman" w:cs="Times New Roman"/>
          <w:sz w:val="24"/>
          <w:szCs w:val="24"/>
        </w:rPr>
        <w:t>I contend all these</w:t>
      </w:r>
      <w:r w:rsidR="00016BA2" w:rsidRPr="0008661E">
        <w:rPr>
          <w:rFonts w:ascii="Times New Roman" w:hAnsi="Times New Roman" w:cs="Times New Roman"/>
          <w:sz w:val="24"/>
          <w:szCs w:val="24"/>
        </w:rPr>
        <w:t xml:space="preserve"> contributions are dependent on the </w:t>
      </w:r>
      <w:r w:rsidR="00CA2ED4">
        <w:rPr>
          <w:rFonts w:ascii="Times New Roman" w:hAnsi="Times New Roman" w:cs="Times New Roman"/>
          <w:sz w:val="24"/>
          <w:szCs w:val="24"/>
        </w:rPr>
        <w:t>conceptions</w:t>
      </w:r>
      <w:r w:rsidR="00016BA2" w:rsidRPr="0008661E">
        <w:rPr>
          <w:rFonts w:ascii="Times New Roman" w:hAnsi="Times New Roman" w:cs="Times New Roman"/>
          <w:sz w:val="24"/>
          <w:szCs w:val="24"/>
        </w:rPr>
        <w:t xml:space="preserve"> of paradigm and incommensurability.</w:t>
      </w:r>
    </w:p>
    <w:p w14:paraId="03785629" w14:textId="3ED06184" w:rsidR="00DC1948" w:rsidRPr="0008661E" w:rsidRDefault="003D6B23" w:rsidP="00C5075C">
      <w:pPr>
        <w:spacing w:beforeLines="100" w:before="240" w:afterLines="100" w:after="240" w:line="480" w:lineRule="auto"/>
        <w:rPr>
          <w:rFonts w:ascii="Times New Roman" w:hAnsi="Times New Roman" w:cs="Times New Roman"/>
          <w:b/>
          <w:sz w:val="24"/>
          <w:szCs w:val="24"/>
        </w:rPr>
      </w:pPr>
      <w:r>
        <w:rPr>
          <w:rFonts w:ascii="Times New Roman" w:hAnsi="Times New Roman" w:cs="Times New Roman"/>
          <w:b/>
          <w:sz w:val="24"/>
          <w:szCs w:val="24"/>
        </w:rPr>
        <w:t>3</w:t>
      </w:r>
      <w:r w:rsidR="00C92C1A" w:rsidRPr="0008661E">
        <w:rPr>
          <w:rFonts w:ascii="Times New Roman" w:hAnsi="Times New Roman" w:cs="Times New Roman"/>
          <w:b/>
          <w:sz w:val="24"/>
          <w:szCs w:val="24"/>
        </w:rPr>
        <w:t xml:space="preserve">. </w:t>
      </w:r>
      <w:r w:rsidR="001C64AB" w:rsidRPr="0008661E">
        <w:rPr>
          <w:rFonts w:ascii="Times New Roman" w:hAnsi="Times New Roman" w:cs="Times New Roman"/>
          <w:b/>
          <w:sz w:val="24"/>
          <w:szCs w:val="24"/>
        </w:rPr>
        <w:t>K</w:t>
      </w:r>
      <w:r w:rsidR="007C76CE" w:rsidRPr="0008661E">
        <w:rPr>
          <w:rFonts w:ascii="Times New Roman" w:hAnsi="Times New Roman" w:cs="Times New Roman"/>
          <w:b/>
          <w:sz w:val="24"/>
          <w:szCs w:val="24"/>
        </w:rPr>
        <w:t xml:space="preserve">uhn’s </w:t>
      </w:r>
      <w:r>
        <w:rPr>
          <w:rFonts w:ascii="Times New Roman" w:hAnsi="Times New Roman" w:cs="Times New Roman"/>
          <w:b/>
          <w:sz w:val="24"/>
          <w:szCs w:val="24"/>
        </w:rPr>
        <w:t>Conceptual</w:t>
      </w:r>
      <w:r w:rsidR="00FD6343">
        <w:rPr>
          <w:rFonts w:ascii="Times New Roman" w:hAnsi="Times New Roman" w:cs="Times New Roman"/>
          <w:b/>
          <w:sz w:val="24"/>
          <w:szCs w:val="24"/>
        </w:rPr>
        <w:t>/Terminological</w:t>
      </w:r>
      <w:r>
        <w:rPr>
          <w:rFonts w:ascii="Times New Roman" w:hAnsi="Times New Roman" w:cs="Times New Roman"/>
          <w:b/>
          <w:sz w:val="24"/>
          <w:szCs w:val="24"/>
        </w:rPr>
        <w:t xml:space="preserve"> Turn</w:t>
      </w:r>
      <w:r w:rsidR="0066522D">
        <w:rPr>
          <w:rFonts w:ascii="Times New Roman" w:hAnsi="Times New Roman" w:cs="Times New Roman"/>
          <w:b/>
          <w:sz w:val="24"/>
          <w:szCs w:val="24"/>
        </w:rPr>
        <w:t xml:space="preserve"> and “Wrong Turning”</w:t>
      </w:r>
    </w:p>
    <w:p w14:paraId="3EA880A6" w14:textId="3A030838" w:rsidR="00392B33" w:rsidRPr="00C4371E" w:rsidRDefault="00892033" w:rsidP="00C5075C">
      <w:pPr>
        <w:spacing w:beforeLines="100" w:before="240" w:afterLines="100" w:after="240" w:line="480" w:lineRule="auto"/>
        <w:rPr>
          <w:rFonts w:ascii="Times New Roman" w:hAnsi="Times New Roman" w:cs="Times New Roman"/>
          <w:sz w:val="24"/>
          <w:szCs w:val="24"/>
          <w:lang w:val="en-US" w:eastAsia="zh-CN"/>
        </w:rPr>
      </w:pPr>
      <w:r>
        <w:rPr>
          <w:rFonts w:ascii="Times New Roman" w:hAnsi="Times New Roman" w:cs="Times New Roman"/>
          <w:sz w:val="24"/>
          <w:szCs w:val="24"/>
        </w:rPr>
        <w:t xml:space="preserve">However, Kuhn’s novel contributions, as Bird argues, are not as well developed as expected. </w:t>
      </w:r>
      <w:r w:rsidR="00645D69">
        <w:rPr>
          <w:rFonts w:ascii="Times New Roman" w:hAnsi="Times New Roman" w:cs="Times New Roman"/>
          <w:sz w:val="24"/>
          <w:szCs w:val="24"/>
        </w:rPr>
        <w:t>Neither p</w:t>
      </w:r>
      <w:r w:rsidR="005D705C">
        <w:rPr>
          <w:rFonts w:ascii="Times New Roman" w:hAnsi="Times New Roman" w:cs="Times New Roman"/>
          <w:sz w:val="24"/>
          <w:szCs w:val="24"/>
        </w:rPr>
        <w:t xml:space="preserve">aradigm as </w:t>
      </w:r>
      <w:r w:rsidR="00A46C1C">
        <w:rPr>
          <w:rFonts w:ascii="Times New Roman" w:hAnsi="Times New Roman" w:cs="Times New Roman"/>
          <w:sz w:val="24"/>
          <w:szCs w:val="24"/>
        </w:rPr>
        <w:t>exemplar</w:t>
      </w:r>
      <w:r w:rsidR="005D705C">
        <w:rPr>
          <w:rFonts w:ascii="Times New Roman" w:hAnsi="Times New Roman" w:cs="Times New Roman"/>
          <w:sz w:val="24"/>
          <w:szCs w:val="24"/>
        </w:rPr>
        <w:t xml:space="preserve"> nor paradigm as </w:t>
      </w:r>
      <w:r w:rsidR="00645D69">
        <w:rPr>
          <w:rFonts w:ascii="Times New Roman" w:hAnsi="Times New Roman" w:cs="Times New Roman"/>
          <w:sz w:val="24"/>
          <w:szCs w:val="24"/>
        </w:rPr>
        <w:t>disciplinary matrix has been serio</w:t>
      </w:r>
      <w:r w:rsidR="00F04261">
        <w:rPr>
          <w:rFonts w:ascii="Times New Roman" w:hAnsi="Times New Roman" w:cs="Times New Roman"/>
          <w:sz w:val="24"/>
          <w:szCs w:val="24"/>
        </w:rPr>
        <w:t>usly articulated further. Nor has</w:t>
      </w:r>
      <w:r w:rsidR="00A46C1C">
        <w:rPr>
          <w:rFonts w:ascii="Times New Roman" w:hAnsi="Times New Roman" w:cs="Times New Roman"/>
          <w:sz w:val="24"/>
          <w:szCs w:val="24"/>
        </w:rPr>
        <w:t xml:space="preserve"> </w:t>
      </w:r>
      <w:r w:rsidR="00645D69">
        <w:rPr>
          <w:rFonts w:ascii="Times New Roman" w:hAnsi="Times New Roman" w:cs="Times New Roman"/>
          <w:sz w:val="24"/>
          <w:szCs w:val="24"/>
        </w:rPr>
        <w:t xml:space="preserve">an exemplar-based account of scientific change or history of </w:t>
      </w:r>
      <w:r w:rsidR="00645D69">
        <w:rPr>
          <w:rFonts w:ascii="Times New Roman" w:hAnsi="Times New Roman" w:cs="Times New Roman"/>
          <w:sz w:val="24"/>
          <w:szCs w:val="24"/>
        </w:rPr>
        <w:lastRenderedPageBreak/>
        <w:t>science explored</w:t>
      </w:r>
      <w:r w:rsidR="00C50625">
        <w:rPr>
          <w:rFonts w:ascii="Times New Roman" w:hAnsi="Times New Roman" w:cs="Times New Roman"/>
          <w:sz w:val="24"/>
          <w:szCs w:val="24"/>
        </w:rPr>
        <w:t xml:space="preserve"> with a detailed historical case. Kuhn’s later interpretations of incommensurability are</w:t>
      </w:r>
      <w:r w:rsidR="00645D69">
        <w:rPr>
          <w:rFonts w:ascii="Times New Roman" w:hAnsi="Times New Roman" w:cs="Times New Roman"/>
          <w:sz w:val="24"/>
          <w:szCs w:val="24"/>
        </w:rPr>
        <w:t xml:space="preserve"> poorly received. </w:t>
      </w:r>
      <w:r w:rsidR="00C50625">
        <w:rPr>
          <w:rFonts w:ascii="Times New Roman" w:hAnsi="Times New Roman" w:cs="Times New Roman"/>
          <w:sz w:val="24"/>
          <w:szCs w:val="24"/>
        </w:rPr>
        <w:t xml:space="preserve">Why has the significance </w:t>
      </w:r>
      <w:r w:rsidR="00A82B30">
        <w:rPr>
          <w:rFonts w:ascii="Times New Roman" w:hAnsi="Times New Roman" w:cs="Times New Roman"/>
          <w:sz w:val="24"/>
          <w:szCs w:val="24"/>
        </w:rPr>
        <w:t xml:space="preserve">of </w:t>
      </w:r>
      <w:r w:rsidR="00C50625">
        <w:rPr>
          <w:rFonts w:ascii="Times New Roman" w:hAnsi="Times New Roman" w:cs="Times New Roman"/>
          <w:sz w:val="24"/>
          <w:szCs w:val="24"/>
        </w:rPr>
        <w:t xml:space="preserve">what Kuhn achieved in SSR </w:t>
      </w:r>
      <w:r w:rsidR="00DC2E3A">
        <w:rPr>
          <w:rFonts w:ascii="Times New Roman" w:hAnsi="Times New Roman" w:cs="Times New Roman"/>
          <w:sz w:val="24"/>
          <w:szCs w:val="24"/>
        </w:rPr>
        <w:t xml:space="preserve">not </w:t>
      </w:r>
      <w:r w:rsidR="00C50625">
        <w:rPr>
          <w:rFonts w:ascii="Times New Roman" w:hAnsi="Times New Roman" w:cs="Times New Roman"/>
          <w:sz w:val="24"/>
          <w:szCs w:val="24"/>
        </w:rPr>
        <w:t>been fully recognised? Before answering this</w:t>
      </w:r>
      <w:r w:rsidR="006C4144" w:rsidRPr="0008661E">
        <w:rPr>
          <w:rFonts w:ascii="Times New Roman" w:hAnsi="Times New Roman" w:cs="Times New Roman"/>
          <w:sz w:val="24"/>
          <w:szCs w:val="24"/>
        </w:rPr>
        <w:t xml:space="preserve"> question, I shall point out that</w:t>
      </w:r>
      <w:r w:rsidR="00E62D84" w:rsidRPr="0008661E">
        <w:rPr>
          <w:rFonts w:ascii="Times New Roman" w:hAnsi="Times New Roman" w:cs="Times New Roman"/>
          <w:sz w:val="24"/>
          <w:szCs w:val="24"/>
        </w:rPr>
        <w:t xml:space="preserve"> </w:t>
      </w:r>
      <w:r w:rsidR="001D152F">
        <w:rPr>
          <w:rFonts w:ascii="Times New Roman" w:hAnsi="Times New Roman" w:cs="Times New Roman"/>
          <w:sz w:val="24"/>
          <w:szCs w:val="24"/>
        </w:rPr>
        <w:t>there is a peculiar</w:t>
      </w:r>
      <w:r w:rsidR="00165163" w:rsidRPr="0008661E">
        <w:rPr>
          <w:rFonts w:ascii="Times New Roman" w:hAnsi="Times New Roman" w:cs="Times New Roman"/>
          <w:sz w:val="24"/>
          <w:szCs w:val="24"/>
        </w:rPr>
        <w:t xml:space="preserve"> phenomenon. </w:t>
      </w:r>
      <w:r w:rsidR="00F04261">
        <w:rPr>
          <w:rFonts w:ascii="Times New Roman" w:hAnsi="Times New Roman" w:cs="Times New Roman"/>
          <w:sz w:val="24"/>
          <w:szCs w:val="24"/>
        </w:rPr>
        <w:t>After</w:t>
      </w:r>
      <w:r w:rsidR="00BA3E09">
        <w:rPr>
          <w:rFonts w:ascii="Times New Roman" w:hAnsi="Times New Roman" w:cs="Times New Roman"/>
          <w:sz w:val="24"/>
          <w:szCs w:val="24"/>
        </w:rPr>
        <w:t xml:space="preserve"> </w:t>
      </w:r>
      <w:r w:rsidR="00F04261">
        <w:rPr>
          <w:rFonts w:ascii="Times New Roman" w:hAnsi="Times New Roman" w:cs="Times New Roman"/>
          <w:sz w:val="24"/>
          <w:szCs w:val="24"/>
        </w:rPr>
        <w:t xml:space="preserve">the </w:t>
      </w:r>
      <w:r w:rsidR="00E62D84" w:rsidRPr="0008661E">
        <w:rPr>
          <w:rFonts w:ascii="Times New Roman" w:hAnsi="Times New Roman" w:cs="Times New Roman"/>
          <w:sz w:val="24"/>
          <w:szCs w:val="24"/>
        </w:rPr>
        <w:t xml:space="preserve">1970s, Kuhn </w:t>
      </w:r>
      <w:r w:rsidR="00FE4662" w:rsidRPr="0008661E">
        <w:rPr>
          <w:rFonts w:ascii="Times New Roman" w:hAnsi="Times New Roman" w:cs="Times New Roman"/>
          <w:sz w:val="24"/>
          <w:szCs w:val="24"/>
        </w:rPr>
        <w:fldChar w:fldCharType="begin" w:fldLock="1"/>
      </w:r>
      <w:r w:rsidR="0092758B">
        <w:rPr>
          <w:rFonts w:ascii="Times New Roman" w:hAnsi="Times New Roman" w:cs="Times New Roman"/>
          <w:sz w:val="24"/>
          <w:szCs w:val="24"/>
        </w:rPr>
        <w:instrText>ADDIN CSL_CITATION { "citationItems" : [ { "id" : "ITEM-1", "itemData" : { "author" : [ { "dropping-particle" : "", "family" : "Kuhn", "given" : "Thomas Samuel", "non-dropping-particle" : "", "parse-names" : false, "suffix" : "" } ], "container-title" : "The Essential Tension: Selected Studies in Scientific Tradition and Change", "id" : "ITEM-1", "issued" : { "date-parts" : [ [ "1977" ] ] }, "page" : "320-339", "publisher" : "University of Chicago Press", "publisher-place" : "Chicago, IL", "title" : "Objectivity, Value Judgment, and Theory Choice", "type" : "chapter" }, "suppress-author" : 1, "uris" : [ "http://www.mendeley.com/documents/?uuid=a7c00225-bc27-407c-9a4a-375a1b7dc8c4", "http://www.mendeley.com/documents/?uuid=dd85a517-4a00-4cba-8106-854b5ac1f942" ] } ], "mendeley" : { "formattedCitation" : "(1977)", "plainTextFormattedCitation" : "(1977)", "previouslyFormattedCitation" : "(1977)" }, "properties" : { "noteIndex" : 0 }, "schema" : "https://github.com/citation-style-language/schema/raw/master/csl-citation.json" }</w:instrText>
      </w:r>
      <w:r w:rsidR="00FE4662" w:rsidRPr="0008661E">
        <w:rPr>
          <w:rFonts w:ascii="Times New Roman" w:hAnsi="Times New Roman" w:cs="Times New Roman"/>
          <w:sz w:val="24"/>
          <w:szCs w:val="24"/>
        </w:rPr>
        <w:fldChar w:fldCharType="separate"/>
      </w:r>
      <w:r w:rsidR="001B6E36" w:rsidRPr="001B6E36">
        <w:rPr>
          <w:rFonts w:ascii="Times New Roman" w:hAnsi="Times New Roman" w:cs="Times New Roman"/>
          <w:noProof/>
          <w:sz w:val="24"/>
          <w:szCs w:val="24"/>
        </w:rPr>
        <w:t>(1977)</w:t>
      </w:r>
      <w:r w:rsidR="00FE4662" w:rsidRPr="0008661E">
        <w:rPr>
          <w:rFonts w:ascii="Times New Roman" w:hAnsi="Times New Roman" w:cs="Times New Roman"/>
          <w:sz w:val="24"/>
          <w:szCs w:val="24"/>
        </w:rPr>
        <w:fldChar w:fldCharType="end"/>
      </w:r>
      <w:r w:rsidR="00C60055" w:rsidRPr="0008661E">
        <w:rPr>
          <w:rFonts w:ascii="Times New Roman" w:hAnsi="Times New Roman" w:cs="Times New Roman"/>
          <w:sz w:val="24"/>
          <w:szCs w:val="24"/>
        </w:rPr>
        <w:t xml:space="preserve">, </w:t>
      </w:r>
      <w:r w:rsidR="00E62D84" w:rsidRPr="0008661E">
        <w:rPr>
          <w:rFonts w:ascii="Times New Roman" w:hAnsi="Times New Roman" w:cs="Times New Roman"/>
          <w:sz w:val="24"/>
          <w:szCs w:val="24"/>
        </w:rPr>
        <w:t xml:space="preserve">like other philosophers at that time, began </w:t>
      </w:r>
      <w:r w:rsidR="00400155" w:rsidRPr="0008661E">
        <w:rPr>
          <w:rFonts w:ascii="Times New Roman" w:hAnsi="Times New Roman" w:cs="Times New Roman"/>
          <w:sz w:val="24"/>
          <w:szCs w:val="24"/>
        </w:rPr>
        <w:t>conflating</w:t>
      </w:r>
      <w:r w:rsidR="00E62D84" w:rsidRPr="0008661E">
        <w:rPr>
          <w:rFonts w:ascii="Times New Roman" w:hAnsi="Times New Roman" w:cs="Times New Roman"/>
          <w:sz w:val="24"/>
          <w:szCs w:val="24"/>
        </w:rPr>
        <w:t xml:space="preserve"> “theory” </w:t>
      </w:r>
      <w:r w:rsidR="00400155" w:rsidRPr="0008661E">
        <w:rPr>
          <w:rFonts w:ascii="Times New Roman" w:hAnsi="Times New Roman" w:cs="Times New Roman"/>
          <w:sz w:val="24"/>
          <w:szCs w:val="24"/>
        </w:rPr>
        <w:t xml:space="preserve">with </w:t>
      </w:r>
      <w:r w:rsidR="00AA1AF9" w:rsidRPr="0008661E">
        <w:rPr>
          <w:rFonts w:ascii="Times New Roman" w:hAnsi="Times New Roman" w:cs="Times New Roman"/>
          <w:sz w:val="24"/>
          <w:szCs w:val="24"/>
        </w:rPr>
        <w:t>“paradigm”</w:t>
      </w:r>
      <w:r w:rsidR="00594433" w:rsidRPr="0008661E">
        <w:rPr>
          <w:rFonts w:ascii="Times New Roman" w:hAnsi="Times New Roman" w:cs="Times New Roman"/>
          <w:sz w:val="24"/>
          <w:szCs w:val="24"/>
        </w:rPr>
        <w:t xml:space="preserve">, and </w:t>
      </w:r>
      <w:r w:rsidR="00F92A26">
        <w:rPr>
          <w:rFonts w:ascii="Times New Roman" w:hAnsi="Times New Roman" w:cs="Times New Roman"/>
          <w:sz w:val="24"/>
          <w:szCs w:val="24"/>
        </w:rPr>
        <w:t>he ended up</w:t>
      </w:r>
      <w:r w:rsidR="00594433" w:rsidRPr="0008661E">
        <w:rPr>
          <w:rFonts w:ascii="Times New Roman" w:hAnsi="Times New Roman" w:cs="Times New Roman"/>
          <w:sz w:val="24"/>
          <w:szCs w:val="24"/>
        </w:rPr>
        <w:t xml:space="preserve"> never </w:t>
      </w:r>
      <w:r w:rsidR="0027563E">
        <w:rPr>
          <w:rFonts w:ascii="Times New Roman" w:hAnsi="Times New Roman" w:cs="Times New Roman"/>
          <w:sz w:val="24"/>
          <w:szCs w:val="24"/>
        </w:rPr>
        <w:t>using</w:t>
      </w:r>
      <w:r w:rsidR="00594433" w:rsidRPr="0008661E">
        <w:rPr>
          <w:rFonts w:ascii="Times New Roman" w:hAnsi="Times New Roman" w:cs="Times New Roman"/>
          <w:sz w:val="24"/>
          <w:szCs w:val="24"/>
        </w:rPr>
        <w:t xml:space="preserve"> “paradigm” </w:t>
      </w:r>
      <w:r w:rsidR="00594433" w:rsidRPr="0008661E">
        <w:rPr>
          <w:rFonts w:ascii="Times New Roman" w:hAnsi="Times New Roman" w:cs="Times New Roman"/>
          <w:sz w:val="24"/>
          <w:szCs w:val="24"/>
        </w:rPr>
        <w:fldChar w:fldCharType="begin" w:fldLock="1"/>
      </w:r>
      <w:r w:rsidR="005944A4">
        <w:rPr>
          <w:rFonts w:ascii="Times New Roman" w:hAnsi="Times New Roman" w:cs="Times New Roman"/>
          <w:sz w:val="24"/>
          <w:szCs w:val="24"/>
        </w:rPr>
        <w:instrText>ADDIN CSL_CITATION { "citationItems" : [ { "id" : "ITEM-1", "itemData" : { "DOI" : "10.2307/192452", "ISSN" : "0270-8647", "abstract" : "The author's concept of incommensurability is explicated by elaborating the claim that some terms essential to the formulation of older theories defy translation into the language of more recent ones. Defense of this claim rests on the distinction between interpreting a theory in a later language and translating the theory into it. The former is both possible and essential, the latter neither. The interpretation/translation distinction is then applied to Kitcher's critique of incommensurability and Quine's conception of a translation manual, both of which take reference-preservation as the sole semantic criterion of translational adequacy. The paper concludes by enquiring about the additional criteria a successful translation must satisfy.", "author" : [ { "dropping-particle" : "", "family" : "Kuhn", "given" : "Thomas Samuel", "non-dropping-particle" : "", "parse-names" : false, "suffix" : "" } ], "container-title" : "PSA: Proceedings of the Biennial Meeting of the Philosophy of Science Association", "id" : "ITEM-1", "issued" : { "date-parts" : [ [ "1982" ] ] }, "page" : "669-688", "title" : "Commensurability, comparability, communicability", "type" : "article-journal" }, "prefix" : "e.g., ", "uris" : [ "http://www.mendeley.com/documents/?uuid=9de6c191-9ed8-4b09-90a6-111ef86cd6f1", "http://www.mendeley.com/documents/?uuid=de4f35b1-9049-4ae3-9149-f9ef76f10e35" ] }, { "id" : "ITEM-2", "itemData" : { "author" : [ { "dropping-particle" : "", "family" : "Kuhn", "given" : "Thomas Samuel", "non-dropping-particle" : "", "parse-names" : false, "suffix" : "" } ], "container-title" : "Journal of Philosophy", "id" : "ITEM-2", "issue" : "10", "issued" : { "date-parts" : [ [ "1983" ] ] }, "page" : "563-570", "publisher" : "Journal of Philosophy Inc", "title" : "Rationality and Theory Choice", "type" : "article-journal", "volume" : "80" }, "suppress-author" : 1, "uris" : [ "http://www.mendeley.com/documents/?uuid=baa2d156-fe5c-42b2-9e24-e32f36371765" ] }, { "id" : "ITEM-3", "itemData" : { "author" : [ { "dropping-particle" : "", "family" : "Kuhn", "given" : "Thomas Samuel", "non-dropping-particle" : "", "parse-names" : false, "suffix" : "" } ], "container-title" : "The Probabilistic Revolution", "editor" : [ { "dropping-particle" : "", "family" : "Kr\u00fcger", "given" : "L.", "non-dropping-particle" : "", "parse-names" : false, "suffix" : "" }, { "dropping-particle" : "", "family" : "Daston", "given" : "L.", "non-dropping-particle" : "", "parse-names" : false, "suffix" : "" }, { "dropping-particle" : "", "family" : "Heidelberger", "given" : "M.", "non-dropping-particle" : "", "parse-names" : false, "suffix" : "" } ], "id" : "ITEM-3", "issued" : { "date-parts" : [ [ "1987" ] ] }, "page" : "7-22", "publisher" : "Cambridge University Press", "publisher-place" : "Cambridge", "title" : "What are Scientific Revolutions?", "type" : "chapter" }, "suppress-author" : 1, "uris" : [ "http://www.mendeley.com/documents/?uuid=bf2109b5-c65b-4978-9929-f5595107c264", "http://www.mendeley.com/documents/?uuid=0a1f4ae3-d667-4992-a7f7-18166c7d097e" ] } ], "mendeley" : { "formattedCitation" : "(e.g., Kuhn 1982; 1983; 1987)", "plainTextFormattedCitation" : "(e.g., Kuhn 1982; 1983; 1987)", "previouslyFormattedCitation" : "(e.g., Kuhn 1982; 1983; 1987)" }, "properties" : { "noteIndex" : 0 }, "schema" : "https://github.com/citation-style-language/schema/raw/master/csl-citation.json" }</w:instrText>
      </w:r>
      <w:r w:rsidR="00594433" w:rsidRPr="0008661E">
        <w:rPr>
          <w:rFonts w:ascii="Times New Roman" w:hAnsi="Times New Roman" w:cs="Times New Roman"/>
          <w:sz w:val="24"/>
          <w:szCs w:val="24"/>
        </w:rPr>
        <w:fldChar w:fldCharType="separate"/>
      </w:r>
      <w:r w:rsidR="005944A4" w:rsidRPr="005944A4">
        <w:rPr>
          <w:rFonts w:ascii="Times New Roman" w:hAnsi="Times New Roman" w:cs="Times New Roman"/>
          <w:noProof/>
          <w:sz w:val="24"/>
          <w:szCs w:val="24"/>
        </w:rPr>
        <w:t>(e.g., Kuhn 1982; 1983; 1987)</w:t>
      </w:r>
      <w:r w:rsidR="00594433" w:rsidRPr="0008661E">
        <w:rPr>
          <w:rFonts w:ascii="Times New Roman" w:hAnsi="Times New Roman" w:cs="Times New Roman"/>
          <w:sz w:val="24"/>
          <w:szCs w:val="24"/>
        </w:rPr>
        <w:fldChar w:fldCharType="end"/>
      </w:r>
      <w:r w:rsidR="004B1A92">
        <w:rPr>
          <w:rFonts w:ascii="Times New Roman" w:hAnsi="Times New Roman" w:cs="Times New Roman"/>
          <w:sz w:val="24"/>
          <w:szCs w:val="24"/>
        </w:rPr>
        <w:t>.</w:t>
      </w:r>
      <w:r w:rsidR="00BB2823">
        <w:rPr>
          <w:rFonts w:ascii="Times New Roman" w:hAnsi="Times New Roman" w:cs="Times New Roman"/>
          <w:sz w:val="24"/>
          <w:szCs w:val="24"/>
        </w:rPr>
        <w:t xml:space="preserve"> In particular,</w:t>
      </w:r>
      <w:r w:rsidR="0060642F" w:rsidRPr="0008661E">
        <w:rPr>
          <w:rFonts w:ascii="Times New Roman" w:hAnsi="Times New Roman" w:cs="Times New Roman"/>
          <w:sz w:val="24"/>
          <w:szCs w:val="24"/>
        </w:rPr>
        <w:t xml:space="preserve"> </w:t>
      </w:r>
      <w:r w:rsidR="00DD3693">
        <w:rPr>
          <w:rFonts w:ascii="Times New Roman" w:hAnsi="Times New Roman" w:cs="Times New Roman"/>
          <w:sz w:val="24"/>
          <w:szCs w:val="24"/>
        </w:rPr>
        <w:t xml:space="preserve">after 1970 </w:t>
      </w:r>
      <w:r w:rsidR="0060642F" w:rsidRPr="0008661E">
        <w:rPr>
          <w:rFonts w:ascii="Times New Roman" w:hAnsi="Times New Roman" w:cs="Times New Roman"/>
          <w:sz w:val="24"/>
          <w:szCs w:val="24"/>
        </w:rPr>
        <w:t xml:space="preserve">Kuhn </w:t>
      </w:r>
      <w:r w:rsidR="005C2CB8">
        <w:rPr>
          <w:rFonts w:ascii="Times New Roman" w:hAnsi="Times New Roman" w:cs="Times New Roman"/>
          <w:sz w:val="24"/>
          <w:szCs w:val="24"/>
        </w:rPr>
        <w:t>seldom</w:t>
      </w:r>
      <w:r w:rsidR="00005A8B" w:rsidRPr="0008661E">
        <w:rPr>
          <w:rFonts w:ascii="Times New Roman" w:hAnsi="Times New Roman" w:cs="Times New Roman"/>
          <w:sz w:val="24"/>
          <w:szCs w:val="24"/>
        </w:rPr>
        <w:t xml:space="preserve"> use</w:t>
      </w:r>
      <w:r w:rsidR="005C2CB8">
        <w:rPr>
          <w:rFonts w:ascii="Times New Roman" w:hAnsi="Times New Roman" w:cs="Times New Roman"/>
          <w:sz w:val="24"/>
          <w:szCs w:val="24"/>
        </w:rPr>
        <w:t>d</w:t>
      </w:r>
      <w:r w:rsidR="009C21F5">
        <w:rPr>
          <w:rFonts w:ascii="Times New Roman" w:hAnsi="Times New Roman" w:cs="Times New Roman"/>
          <w:sz w:val="24"/>
          <w:szCs w:val="24"/>
        </w:rPr>
        <w:t xml:space="preserve"> the concept of paradigm or exemplar</w:t>
      </w:r>
      <w:r w:rsidR="00005A8B" w:rsidRPr="0008661E">
        <w:rPr>
          <w:rFonts w:ascii="Times New Roman" w:hAnsi="Times New Roman" w:cs="Times New Roman"/>
          <w:sz w:val="24"/>
          <w:szCs w:val="24"/>
        </w:rPr>
        <w:t xml:space="preserve"> to analyse the history of science and scientific change.</w:t>
      </w:r>
      <w:r w:rsidR="00981F35" w:rsidRPr="00330659">
        <w:rPr>
          <w:rStyle w:val="FootnoteReference"/>
        </w:rPr>
        <w:footnoteReference w:id="13"/>
      </w:r>
      <w:r w:rsidR="00005A8B" w:rsidRPr="0008661E">
        <w:rPr>
          <w:rFonts w:ascii="Times New Roman" w:hAnsi="Times New Roman" w:cs="Times New Roman"/>
          <w:sz w:val="24"/>
          <w:szCs w:val="24"/>
        </w:rPr>
        <w:t xml:space="preserve"> </w:t>
      </w:r>
      <w:r w:rsidR="00706A8D" w:rsidRPr="0008661E">
        <w:rPr>
          <w:rFonts w:ascii="Times New Roman" w:hAnsi="Times New Roman" w:cs="Times New Roman"/>
          <w:sz w:val="24"/>
          <w:szCs w:val="24"/>
        </w:rPr>
        <w:t xml:space="preserve">It is surprising that Kuhn, who once strongly opposed </w:t>
      </w:r>
      <w:r w:rsidR="008B3050">
        <w:rPr>
          <w:rFonts w:ascii="Times New Roman" w:hAnsi="Times New Roman" w:cs="Times New Roman"/>
          <w:sz w:val="24"/>
          <w:szCs w:val="24"/>
        </w:rPr>
        <w:t>the</w:t>
      </w:r>
      <w:r w:rsidR="00706A8D" w:rsidRPr="0008661E">
        <w:rPr>
          <w:rFonts w:ascii="Times New Roman" w:hAnsi="Times New Roman" w:cs="Times New Roman"/>
          <w:sz w:val="24"/>
          <w:szCs w:val="24"/>
        </w:rPr>
        <w:t xml:space="preserve"> use </w:t>
      </w:r>
      <w:r w:rsidR="008B3050">
        <w:rPr>
          <w:rFonts w:ascii="Times New Roman" w:hAnsi="Times New Roman" w:cs="Times New Roman"/>
          <w:sz w:val="24"/>
          <w:szCs w:val="24"/>
        </w:rPr>
        <w:t xml:space="preserve">of </w:t>
      </w:r>
      <w:r w:rsidR="00706A8D" w:rsidRPr="0008661E">
        <w:rPr>
          <w:rFonts w:ascii="Times New Roman" w:hAnsi="Times New Roman" w:cs="Times New Roman"/>
          <w:sz w:val="24"/>
          <w:szCs w:val="24"/>
        </w:rPr>
        <w:t xml:space="preserve">the </w:t>
      </w:r>
      <w:r w:rsidR="00E22F56" w:rsidRPr="0008661E">
        <w:rPr>
          <w:rFonts w:ascii="Times New Roman" w:hAnsi="Times New Roman" w:cs="Times New Roman"/>
          <w:sz w:val="24"/>
          <w:szCs w:val="24"/>
        </w:rPr>
        <w:t>concept</w:t>
      </w:r>
      <w:r w:rsidR="00706A8D" w:rsidRPr="0008661E">
        <w:rPr>
          <w:rFonts w:ascii="Times New Roman" w:hAnsi="Times New Roman" w:cs="Times New Roman"/>
          <w:sz w:val="24"/>
          <w:szCs w:val="24"/>
        </w:rPr>
        <w:t xml:space="preserve"> “theory” to analyse the practice and history of science </w:t>
      </w:r>
      <w:r w:rsidR="00706A8D" w:rsidRPr="0008661E">
        <w:rPr>
          <w:rFonts w:ascii="Times New Roman" w:hAnsi="Times New Roman" w:cs="Times New Roman"/>
          <w:sz w:val="24"/>
          <w:szCs w:val="24"/>
        </w:rPr>
        <w:fldChar w:fldCharType="begin" w:fldLock="1"/>
      </w:r>
      <w:r w:rsidR="00384DA3">
        <w:rPr>
          <w:rFonts w:ascii="Times New Roman" w:hAnsi="Times New Roman" w:cs="Times New Roman"/>
          <w:sz w:val="24"/>
          <w:szCs w:val="24"/>
        </w:rPr>
        <w:instrText>ADDIN CSL_CITATION { "citationItems" : [ { "id" : "ITEM-1", "itemData" : { "author" : [ { "dropping-particle" : "", "family" : "Kuhn", "given" : "Thomas Samuel", "non-dropping-particle" : "", "parse-names" : false, "suffix" : "" } ], "edition" : "1st", "id" : "ITEM-1", "issued" : { "date-parts" : [ [ "1962" ] ] }, "publisher" : "University of Chicago Press", "publisher-place" : "Chicago, IL", "title" : "The Structure of Scientific Revolutions", "type" : "book" }, "uris" : [ "http://www.mendeley.com/documents/?uuid=84b98a26-ed9c-46e6-9f86-62c6fef9cb83", "http://www.mendeley.com/documents/?uuid=c25d90fb-8490-4232-9978-ce6037be6ac5" ] }, { "id" : "ITEM-2", "itemData" : { "author" : [ { "dropping-particle" : "", "family" : "Kuhn", "given" : "Thomas Samuel", "non-dropping-particle" : "", "parse-names" : false, "suffix" : "" } ], "edition" : "2nd", "id" : "ITEM-2", "issued" : { "date-parts" : [ [ "1970" ] ] }, "publisher" : "University of Chicago Press", "publisher-place" : "Chicago, IL", "title" : "The Structure of Scientific Revolutions", "type" : "book" }, "suppress-author" : 1, "uris" : [ "http://www.mendeley.com/documents/?uuid=bdadb4d5-5622-49a8-89f9-43f6b3b7e8aa" ] } ], "mendeley" : { "formattedCitation" : "(Kuhn 1962; 1970)", "plainTextFormattedCitation" : "(Kuhn 1962; 1970)", "previouslyFormattedCitation" : "(Kuhn 1962; 1970)" }, "properties" : { "noteIndex" : 0 }, "schema" : "https://github.com/citation-style-language/schema/raw/master/csl-citation.json" }</w:instrText>
      </w:r>
      <w:r w:rsidR="00706A8D" w:rsidRPr="0008661E">
        <w:rPr>
          <w:rFonts w:ascii="Times New Roman" w:hAnsi="Times New Roman" w:cs="Times New Roman"/>
          <w:sz w:val="24"/>
          <w:szCs w:val="24"/>
        </w:rPr>
        <w:fldChar w:fldCharType="separate"/>
      </w:r>
      <w:r w:rsidR="00384DA3" w:rsidRPr="00384DA3">
        <w:rPr>
          <w:rFonts w:ascii="Times New Roman" w:hAnsi="Times New Roman" w:cs="Times New Roman"/>
          <w:noProof/>
          <w:sz w:val="24"/>
          <w:szCs w:val="24"/>
        </w:rPr>
        <w:t>(Kuhn 1962; 1970)</w:t>
      </w:r>
      <w:r w:rsidR="00706A8D" w:rsidRPr="0008661E">
        <w:rPr>
          <w:rFonts w:ascii="Times New Roman" w:hAnsi="Times New Roman" w:cs="Times New Roman"/>
          <w:sz w:val="24"/>
          <w:szCs w:val="24"/>
        </w:rPr>
        <w:fldChar w:fldCharType="end"/>
      </w:r>
      <w:r w:rsidR="00706A8D" w:rsidRPr="0008661E">
        <w:rPr>
          <w:rFonts w:ascii="Times New Roman" w:hAnsi="Times New Roman" w:cs="Times New Roman"/>
          <w:sz w:val="24"/>
          <w:szCs w:val="24"/>
        </w:rPr>
        <w:t xml:space="preserve">, </w:t>
      </w:r>
      <w:r w:rsidR="008F2765" w:rsidRPr="0008661E">
        <w:rPr>
          <w:rFonts w:ascii="Times New Roman" w:hAnsi="Times New Roman" w:cs="Times New Roman"/>
          <w:sz w:val="24"/>
          <w:szCs w:val="24"/>
        </w:rPr>
        <w:t>ignored</w:t>
      </w:r>
      <w:r w:rsidR="00706A8D" w:rsidRPr="0008661E">
        <w:rPr>
          <w:rFonts w:ascii="Times New Roman" w:hAnsi="Times New Roman" w:cs="Times New Roman"/>
          <w:sz w:val="24"/>
          <w:szCs w:val="24"/>
        </w:rPr>
        <w:t xml:space="preserve"> the substantial difference between paradigm and theory identified by himself.</w:t>
      </w:r>
      <w:r w:rsidR="00392B33">
        <w:rPr>
          <w:rFonts w:ascii="Times New Roman" w:hAnsi="Times New Roman" w:cs="Times New Roman"/>
          <w:sz w:val="24"/>
          <w:szCs w:val="24"/>
        </w:rPr>
        <w:t xml:space="preserve"> </w:t>
      </w:r>
      <w:r w:rsidR="007B1A9D" w:rsidRPr="0008661E">
        <w:rPr>
          <w:rFonts w:ascii="Times New Roman" w:hAnsi="Times New Roman" w:cs="Times New Roman"/>
          <w:sz w:val="24"/>
          <w:szCs w:val="24"/>
          <w:lang w:val="en-US" w:eastAsia="zh-CN"/>
        </w:rPr>
        <w:t xml:space="preserve">It is </w:t>
      </w:r>
      <w:r w:rsidR="00706A8D" w:rsidRPr="0008661E">
        <w:rPr>
          <w:rFonts w:ascii="Times New Roman" w:hAnsi="Times New Roman" w:cs="Times New Roman"/>
          <w:sz w:val="24"/>
          <w:szCs w:val="24"/>
          <w:lang w:val="en-US" w:eastAsia="zh-CN"/>
        </w:rPr>
        <w:t xml:space="preserve">also </w:t>
      </w:r>
      <w:r w:rsidR="00330659">
        <w:rPr>
          <w:rFonts w:ascii="Times New Roman" w:hAnsi="Times New Roman" w:cs="Times New Roman"/>
          <w:sz w:val="24"/>
          <w:szCs w:val="24"/>
          <w:lang w:val="en-US" w:eastAsia="zh-CN"/>
        </w:rPr>
        <w:t>extraordinary</w:t>
      </w:r>
      <w:r w:rsidR="00330659" w:rsidRPr="0008661E">
        <w:rPr>
          <w:rFonts w:ascii="Times New Roman" w:hAnsi="Times New Roman" w:cs="Times New Roman"/>
          <w:sz w:val="24"/>
          <w:szCs w:val="24"/>
          <w:lang w:val="en-US" w:eastAsia="zh-CN"/>
        </w:rPr>
        <w:t xml:space="preserve"> </w:t>
      </w:r>
      <w:r w:rsidR="007B1A9D" w:rsidRPr="0008661E">
        <w:rPr>
          <w:rFonts w:ascii="Times New Roman" w:hAnsi="Times New Roman" w:cs="Times New Roman"/>
          <w:sz w:val="24"/>
          <w:szCs w:val="24"/>
          <w:lang w:val="en-US" w:eastAsia="zh-CN"/>
        </w:rPr>
        <w:t xml:space="preserve">that </w:t>
      </w:r>
      <w:r w:rsidR="00A01F31">
        <w:rPr>
          <w:rFonts w:ascii="Times New Roman" w:hAnsi="Times New Roman" w:cs="Times New Roman"/>
          <w:sz w:val="24"/>
          <w:szCs w:val="24"/>
          <w:lang w:val="en-US" w:eastAsia="zh-CN"/>
        </w:rPr>
        <w:t xml:space="preserve">neither </w:t>
      </w:r>
      <w:r w:rsidR="00F26143">
        <w:rPr>
          <w:rFonts w:ascii="Times New Roman" w:hAnsi="Times New Roman" w:cs="Times New Roman"/>
          <w:sz w:val="24"/>
          <w:szCs w:val="24"/>
          <w:lang w:val="en-US" w:eastAsia="zh-CN"/>
        </w:rPr>
        <w:t xml:space="preserve">paradigm as </w:t>
      </w:r>
      <w:r w:rsidR="0092758B">
        <w:rPr>
          <w:rFonts w:ascii="Times New Roman" w:hAnsi="Times New Roman" w:cs="Times New Roman"/>
          <w:sz w:val="24"/>
          <w:szCs w:val="24"/>
          <w:lang w:val="en-US" w:eastAsia="zh-CN"/>
        </w:rPr>
        <w:t xml:space="preserve">exemplar as </w:t>
      </w:r>
      <w:r w:rsidR="007B1A9D" w:rsidRPr="0008661E">
        <w:rPr>
          <w:rFonts w:ascii="Times New Roman" w:hAnsi="Times New Roman" w:cs="Times New Roman"/>
          <w:sz w:val="24"/>
          <w:szCs w:val="24"/>
          <w:lang w:val="en-US" w:eastAsia="zh-CN"/>
        </w:rPr>
        <w:t>“the central element of what [</w:t>
      </w:r>
      <w:r w:rsidR="007026D2">
        <w:rPr>
          <w:rFonts w:ascii="Times New Roman" w:hAnsi="Times New Roman" w:cs="Times New Roman"/>
          <w:sz w:val="24"/>
          <w:szCs w:val="24"/>
          <w:lang w:val="en-US" w:eastAsia="zh-CN"/>
        </w:rPr>
        <w:t>I</w:t>
      </w:r>
      <w:r w:rsidR="007B1A9D" w:rsidRPr="0008661E">
        <w:rPr>
          <w:rFonts w:ascii="Times New Roman" w:hAnsi="Times New Roman" w:cs="Times New Roman"/>
          <w:sz w:val="24"/>
          <w:szCs w:val="24"/>
          <w:lang w:val="en-US" w:eastAsia="zh-CN"/>
        </w:rPr>
        <w:t xml:space="preserve">] now [take] to be the most novel and least understood aspect of [SSR]” </w:t>
      </w:r>
      <w:r w:rsidR="007B1A9D" w:rsidRPr="0008661E">
        <w:rPr>
          <w:rFonts w:ascii="Times New Roman" w:hAnsi="Times New Roman" w:cs="Times New Roman"/>
          <w:sz w:val="24"/>
          <w:szCs w:val="24"/>
          <w:lang w:val="en-US" w:eastAsia="zh-CN"/>
        </w:rPr>
        <w:fldChar w:fldCharType="begin" w:fldLock="1"/>
      </w:r>
      <w:r w:rsidR="00384DA3">
        <w:rPr>
          <w:rFonts w:ascii="Times New Roman" w:hAnsi="Times New Roman" w:cs="Times New Roman"/>
          <w:sz w:val="24"/>
          <w:szCs w:val="24"/>
          <w:lang w:val="en-US" w:eastAsia="zh-CN"/>
        </w:rPr>
        <w:instrText>ADDIN CSL_CITATION { "citationItems" : [ { "id" : "ITEM-1", "itemData" : { "author" : [ { "dropping-particle" : "", "family" : "Kuhn", "given" : "Thomas Samuel", "non-dropping-particle" : "", "parse-names" : false, "suffix" : "" } ], "edition" : "2nd", "id" : "ITEM-1", "issued" : { "date-parts" : [ [ "1970" ] ] }, "publisher" : "University of Chicago Press", "publisher-place" : "Chicago, IL", "title" : "The Structure of Scientific Revolutions", "type" : "book" }, "locator" : "187", "uris" : [ "http://www.mendeley.com/documents/?uuid=bdadb4d5-5622-49a8-89f9-43f6b3b7e8aa", "http://www.mendeley.com/documents/?uuid=6f92ef14-2dc4-439d-96b3-44304c32cc59" ] } ], "mendeley" : { "formattedCitation" : "(Kuhn 1970, 187)", "plainTextFormattedCitation" : "(Kuhn 1970, 187)", "previouslyFormattedCitation" : "(Kuhn 1970, 187)" }, "properties" : { "noteIndex" : 0 }, "schema" : "https://github.com/citation-style-language/schema/raw/master/csl-citation.json" }</w:instrText>
      </w:r>
      <w:r w:rsidR="007B1A9D" w:rsidRPr="0008661E">
        <w:rPr>
          <w:rFonts w:ascii="Times New Roman" w:hAnsi="Times New Roman" w:cs="Times New Roman"/>
          <w:sz w:val="24"/>
          <w:szCs w:val="24"/>
          <w:lang w:val="en-US" w:eastAsia="zh-CN"/>
        </w:rPr>
        <w:fldChar w:fldCharType="separate"/>
      </w:r>
      <w:r w:rsidR="00384DA3" w:rsidRPr="00384DA3">
        <w:rPr>
          <w:rFonts w:ascii="Times New Roman" w:hAnsi="Times New Roman" w:cs="Times New Roman"/>
          <w:noProof/>
          <w:sz w:val="24"/>
          <w:szCs w:val="24"/>
          <w:lang w:val="en-US" w:eastAsia="zh-CN"/>
        </w:rPr>
        <w:t>(Kuhn 1970, 187)</w:t>
      </w:r>
      <w:r w:rsidR="007B1A9D" w:rsidRPr="0008661E">
        <w:rPr>
          <w:rFonts w:ascii="Times New Roman" w:hAnsi="Times New Roman" w:cs="Times New Roman"/>
          <w:sz w:val="24"/>
          <w:szCs w:val="24"/>
          <w:lang w:val="en-US" w:eastAsia="zh-CN"/>
        </w:rPr>
        <w:fldChar w:fldCharType="end"/>
      </w:r>
      <w:r w:rsidR="0092758B" w:rsidRPr="0008661E">
        <w:rPr>
          <w:rFonts w:ascii="Times New Roman" w:hAnsi="Times New Roman" w:cs="Times New Roman"/>
          <w:sz w:val="24"/>
          <w:szCs w:val="24"/>
          <w:lang w:val="en-US" w:eastAsia="zh-CN"/>
        </w:rPr>
        <w:t xml:space="preserve">, </w:t>
      </w:r>
      <w:r w:rsidR="00F26143">
        <w:rPr>
          <w:rFonts w:ascii="Times New Roman" w:hAnsi="Times New Roman" w:cs="Times New Roman"/>
          <w:sz w:val="24"/>
          <w:szCs w:val="24"/>
          <w:lang w:val="en-US" w:eastAsia="zh-CN"/>
        </w:rPr>
        <w:t xml:space="preserve"> nor paradigm as </w:t>
      </w:r>
      <w:r w:rsidR="00A01F31">
        <w:rPr>
          <w:rFonts w:ascii="Times New Roman" w:hAnsi="Times New Roman" w:cs="Times New Roman"/>
          <w:sz w:val="24"/>
          <w:szCs w:val="24"/>
          <w:lang w:val="en-US" w:eastAsia="zh-CN"/>
        </w:rPr>
        <w:t>disciplinary matrix</w:t>
      </w:r>
      <w:r w:rsidR="007B1A9D" w:rsidRPr="0008661E">
        <w:rPr>
          <w:rFonts w:ascii="Times New Roman" w:hAnsi="Times New Roman" w:cs="Times New Roman"/>
          <w:sz w:val="24"/>
          <w:szCs w:val="24"/>
          <w:lang w:val="en-US" w:eastAsia="zh-CN"/>
        </w:rPr>
        <w:t xml:space="preserve"> </w:t>
      </w:r>
      <w:r w:rsidR="00583B32">
        <w:rPr>
          <w:rFonts w:ascii="Times New Roman" w:hAnsi="Times New Roman" w:cs="Times New Roman"/>
          <w:sz w:val="24"/>
          <w:szCs w:val="24"/>
          <w:lang w:val="en-US" w:eastAsia="zh-CN"/>
        </w:rPr>
        <w:t xml:space="preserve">as </w:t>
      </w:r>
      <w:r w:rsidR="007B1A9D" w:rsidRPr="0008661E">
        <w:rPr>
          <w:rFonts w:ascii="Times New Roman" w:hAnsi="Times New Roman" w:cs="Times New Roman"/>
          <w:sz w:val="24"/>
          <w:szCs w:val="24"/>
          <w:lang w:val="en-US" w:eastAsia="zh-CN"/>
        </w:rPr>
        <w:t>“the one that [</w:t>
      </w:r>
      <w:r w:rsidR="007026D2">
        <w:rPr>
          <w:rFonts w:ascii="Times New Roman" w:hAnsi="Times New Roman" w:cs="Times New Roman"/>
          <w:sz w:val="24"/>
          <w:szCs w:val="24"/>
          <w:lang w:val="en-US" w:eastAsia="zh-CN"/>
        </w:rPr>
        <w:t>I</w:t>
      </w:r>
      <w:r w:rsidR="007B1A9D" w:rsidRPr="0008661E">
        <w:rPr>
          <w:rFonts w:ascii="Times New Roman" w:hAnsi="Times New Roman" w:cs="Times New Roman"/>
          <w:sz w:val="24"/>
          <w:szCs w:val="24"/>
          <w:lang w:val="en-US" w:eastAsia="zh-CN"/>
        </w:rPr>
        <w:t xml:space="preserve"> believe] most urgently needs philosophical attention” </w:t>
      </w:r>
      <w:r w:rsidR="007B1A9D" w:rsidRPr="0008661E">
        <w:rPr>
          <w:rFonts w:ascii="Times New Roman" w:hAnsi="Times New Roman" w:cs="Times New Roman"/>
          <w:sz w:val="24"/>
          <w:szCs w:val="24"/>
          <w:lang w:val="en-US" w:eastAsia="zh-CN"/>
        </w:rPr>
        <w:fldChar w:fldCharType="begin" w:fldLock="1"/>
      </w:r>
      <w:r w:rsidR="00384DA3">
        <w:rPr>
          <w:rFonts w:ascii="Times New Roman" w:hAnsi="Times New Roman" w:cs="Times New Roman"/>
          <w:sz w:val="24"/>
          <w:szCs w:val="24"/>
          <w:lang w:val="en-US" w:eastAsia="zh-CN"/>
        </w:rPr>
        <w:instrText>ADDIN CSL_CITATION { "citationItems" : [ { "id" : "ITEM-1", "itemData" : { "author" : [ { "dropping-particle" : "", "family" : "Kuhn", "given" : "Thomas Samuel", "non-dropping-particle" : "", "parse-names" : false, "suffix" : "" } ], "container-title" : "The Structure of Scientific Theories", "edition" : "1", "editor" : [ { "dropping-particle" : "", "family" : "Suppe", "given" : "Frederick", "non-dropping-particle" : "", "parse-names" : false, "suffix" : "" } ], "id" : "ITEM-1", "issued" : { "date-parts" : [ [ "1974" ] ] }, "page" : "459-482", "publisher" : "University of Illinois Press", "publisher-place" : "Urbana, IL", "title" : "Second Thoughts on Paradigms", "type" : "chapter" }, "locator" : "460", "uris" : [ "http://www.mendeley.com/documents/?uuid=8a18757f-80cd-433d-8026-03b559e6e6a4", "http://www.mendeley.com/documents/?uuid=dee358fe-84f6-49bf-b287-e5d09021f82d" ] } ], "mendeley" : { "formattedCitation" : "(Kuhn 1974, 460)", "plainTextFormattedCitation" : "(Kuhn 1974, 460)", "previouslyFormattedCitation" : "(Kuhn 1974, 460)" }, "properties" : { "noteIndex" : 0 }, "schema" : "https://github.com/citation-style-language/schema/raw/master/csl-citation.json" }</w:instrText>
      </w:r>
      <w:r w:rsidR="007B1A9D" w:rsidRPr="0008661E">
        <w:rPr>
          <w:rFonts w:ascii="Times New Roman" w:hAnsi="Times New Roman" w:cs="Times New Roman"/>
          <w:sz w:val="24"/>
          <w:szCs w:val="24"/>
          <w:lang w:val="en-US" w:eastAsia="zh-CN"/>
        </w:rPr>
        <w:fldChar w:fldCharType="separate"/>
      </w:r>
      <w:r w:rsidR="00384DA3" w:rsidRPr="00384DA3">
        <w:rPr>
          <w:rFonts w:ascii="Times New Roman" w:hAnsi="Times New Roman" w:cs="Times New Roman"/>
          <w:noProof/>
          <w:sz w:val="24"/>
          <w:szCs w:val="24"/>
          <w:lang w:val="en-US" w:eastAsia="zh-CN"/>
        </w:rPr>
        <w:t>(Kuhn 1974, 460)</w:t>
      </w:r>
      <w:r w:rsidR="007B1A9D" w:rsidRPr="0008661E">
        <w:rPr>
          <w:rFonts w:ascii="Times New Roman" w:hAnsi="Times New Roman" w:cs="Times New Roman"/>
          <w:sz w:val="24"/>
          <w:szCs w:val="24"/>
          <w:lang w:val="en-US" w:eastAsia="zh-CN"/>
        </w:rPr>
        <w:fldChar w:fldCharType="end"/>
      </w:r>
      <w:r w:rsidR="007B1A9D" w:rsidRPr="0008661E">
        <w:rPr>
          <w:rFonts w:ascii="Times New Roman" w:hAnsi="Times New Roman" w:cs="Times New Roman"/>
          <w:sz w:val="24"/>
          <w:szCs w:val="24"/>
          <w:lang w:val="en-US" w:eastAsia="zh-CN"/>
        </w:rPr>
        <w:t xml:space="preserve"> has n</w:t>
      </w:r>
      <w:r w:rsidR="00583B32">
        <w:rPr>
          <w:rFonts w:ascii="Times New Roman" w:hAnsi="Times New Roman" w:cs="Times New Roman"/>
          <w:sz w:val="24"/>
          <w:szCs w:val="24"/>
          <w:lang w:val="en-US" w:eastAsia="zh-CN"/>
        </w:rPr>
        <w:t xml:space="preserve">ever been further articulated, </w:t>
      </w:r>
      <w:r w:rsidR="007B1A9D" w:rsidRPr="0008661E">
        <w:rPr>
          <w:rFonts w:ascii="Times New Roman" w:hAnsi="Times New Roman" w:cs="Times New Roman"/>
          <w:sz w:val="24"/>
          <w:szCs w:val="24"/>
          <w:lang w:val="en-US" w:eastAsia="zh-CN"/>
        </w:rPr>
        <w:t>or even mentioned again</w:t>
      </w:r>
      <w:r w:rsidR="008B7572">
        <w:rPr>
          <w:rFonts w:ascii="Times New Roman" w:hAnsi="Times New Roman" w:cs="Times New Roman"/>
          <w:sz w:val="24"/>
          <w:szCs w:val="24"/>
          <w:lang w:val="en-US" w:eastAsia="zh-CN"/>
        </w:rPr>
        <w:t xml:space="preserve">, even by himself, </w:t>
      </w:r>
      <w:r w:rsidR="007B1A9D" w:rsidRPr="0008661E">
        <w:rPr>
          <w:rFonts w:ascii="Times New Roman" w:hAnsi="Times New Roman" w:cs="Times New Roman"/>
          <w:sz w:val="24"/>
          <w:szCs w:val="24"/>
          <w:lang w:val="en-US" w:eastAsia="zh-CN"/>
        </w:rPr>
        <w:t xml:space="preserve">since 1974. </w:t>
      </w:r>
      <w:r w:rsidR="00783857">
        <w:rPr>
          <w:rFonts w:ascii="Times New Roman" w:hAnsi="Times New Roman" w:cs="Times New Roman"/>
          <w:sz w:val="24"/>
          <w:szCs w:val="24"/>
          <w:lang w:val="en-US" w:eastAsia="zh-CN"/>
        </w:rPr>
        <w:t xml:space="preserve">Instead, Kuhn begins examining the history and practice of science in terms of theory. Kuhn articulates the characteristics of a good </w:t>
      </w:r>
      <w:r w:rsidR="00B22BB5">
        <w:rPr>
          <w:rFonts w:ascii="Times New Roman" w:hAnsi="Times New Roman" w:cs="Times New Roman"/>
          <w:sz w:val="24"/>
          <w:szCs w:val="24"/>
          <w:lang w:val="en-US" w:eastAsia="zh-CN"/>
        </w:rPr>
        <w:t>“</w:t>
      </w:r>
      <w:r w:rsidR="00783857">
        <w:rPr>
          <w:rFonts w:ascii="Times New Roman" w:hAnsi="Times New Roman" w:cs="Times New Roman"/>
          <w:sz w:val="24"/>
          <w:szCs w:val="24"/>
          <w:lang w:val="en-US" w:eastAsia="zh-CN"/>
        </w:rPr>
        <w:t>the</w:t>
      </w:r>
      <w:r w:rsidR="00C4371E">
        <w:rPr>
          <w:rFonts w:ascii="Times New Roman" w:hAnsi="Times New Roman" w:cs="Times New Roman"/>
          <w:sz w:val="24"/>
          <w:szCs w:val="24"/>
          <w:lang w:val="en-US" w:eastAsia="zh-CN"/>
        </w:rPr>
        <w:t>ory</w:t>
      </w:r>
      <w:r w:rsidR="00B22BB5">
        <w:rPr>
          <w:rFonts w:ascii="Times New Roman" w:hAnsi="Times New Roman" w:cs="Times New Roman"/>
          <w:sz w:val="24"/>
          <w:szCs w:val="24"/>
          <w:lang w:val="en-US" w:eastAsia="zh-CN"/>
        </w:rPr>
        <w:t>”</w:t>
      </w:r>
      <w:r w:rsidR="00C4371E">
        <w:rPr>
          <w:rFonts w:ascii="Times New Roman" w:hAnsi="Times New Roman" w:cs="Times New Roman"/>
          <w:sz w:val="24"/>
          <w:szCs w:val="24"/>
          <w:lang w:val="en-US" w:eastAsia="zh-CN"/>
        </w:rPr>
        <w:t xml:space="preserve"> rather than a good paradigm </w:t>
      </w:r>
      <w:r w:rsidR="00C4371E">
        <w:rPr>
          <w:rFonts w:ascii="Times New Roman" w:hAnsi="Times New Roman" w:cs="Times New Roman"/>
          <w:sz w:val="24"/>
          <w:szCs w:val="24"/>
          <w:lang w:val="en-US" w:eastAsia="zh-CN"/>
        </w:rPr>
        <w:fldChar w:fldCharType="begin" w:fldLock="1"/>
      </w:r>
      <w:r w:rsidR="00C4371E">
        <w:rPr>
          <w:rFonts w:ascii="Times New Roman" w:hAnsi="Times New Roman" w:cs="Times New Roman"/>
          <w:sz w:val="24"/>
          <w:szCs w:val="24"/>
          <w:lang w:val="en-US" w:eastAsia="zh-CN"/>
        </w:rPr>
        <w:instrText>ADDIN CSL_CITATION { "citationItems" : [ { "id" : "ITEM-1", "itemData" : { "author" : [ { "dropping-particle" : "", "family" : "Kuhn", "given" : "Thomas Samuel", "non-dropping-particle" : "", "parse-names" : false, "suffix" : "" } ], "container-title" : "The Essential Tension: Selected Studies in Scientific Tradition and Change", "id" : "ITEM-1", "issued" : { "date-parts" : [ [ "1977" ] ] }, "page" : "320-339", "publisher" : "University of Chicago Press", "publisher-place" : "Chicago, IL", "title" : "Objectivity, Value Judgment, and Theory Choice", "type" : "chapter" }, "suppress-author" : 1, "uris" : [ "http://www.mendeley.com/documents/?uuid=dd85a517-4a00-4cba-8106-854b5ac1f942" ] } ], "mendeley" : { "formattedCitation" : "(1977)", "plainTextFormattedCitation" : "(1977)", "previouslyFormattedCitation" : "(1977)" }, "properties" : { "noteIndex" : 0 }, "schema" : "https://github.com/citation-style-language/schema/raw/master/csl-citation.json" }</w:instrText>
      </w:r>
      <w:r w:rsidR="00C4371E">
        <w:rPr>
          <w:rFonts w:ascii="Times New Roman" w:hAnsi="Times New Roman" w:cs="Times New Roman"/>
          <w:sz w:val="24"/>
          <w:szCs w:val="24"/>
          <w:lang w:val="en-US" w:eastAsia="zh-CN"/>
        </w:rPr>
        <w:fldChar w:fldCharType="separate"/>
      </w:r>
      <w:r w:rsidR="00C4371E" w:rsidRPr="00783857">
        <w:rPr>
          <w:rFonts w:ascii="Times New Roman" w:hAnsi="Times New Roman" w:cs="Times New Roman"/>
          <w:noProof/>
          <w:sz w:val="24"/>
          <w:szCs w:val="24"/>
          <w:lang w:val="en-US" w:eastAsia="zh-CN"/>
        </w:rPr>
        <w:t>(1977)</w:t>
      </w:r>
      <w:r w:rsidR="00C4371E">
        <w:rPr>
          <w:rFonts w:ascii="Times New Roman" w:hAnsi="Times New Roman" w:cs="Times New Roman"/>
          <w:sz w:val="24"/>
          <w:szCs w:val="24"/>
          <w:lang w:val="en-US" w:eastAsia="zh-CN"/>
        </w:rPr>
        <w:fldChar w:fldCharType="end"/>
      </w:r>
      <w:r w:rsidR="00C4371E">
        <w:rPr>
          <w:rFonts w:ascii="Times New Roman" w:hAnsi="Times New Roman" w:cs="Times New Roman"/>
          <w:sz w:val="24"/>
          <w:szCs w:val="24"/>
          <w:lang w:val="en-US" w:eastAsia="zh-CN"/>
        </w:rPr>
        <w:t xml:space="preserve">, talks of </w:t>
      </w:r>
      <w:r w:rsidR="00B22BB5">
        <w:rPr>
          <w:rFonts w:ascii="Times New Roman" w:hAnsi="Times New Roman" w:cs="Times New Roman"/>
          <w:sz w:val="24"/>
          <w:szCs w:val="24"/>
          <w:lang w:val="en-US" w:eastAsia="zh-CN"/>
        </w:rPr>
        <w:t>“</w:t>
      </w:r>
      <w:r w:rsidR="00C4371E">
        <w:rPr>
          <w:rFonts w:ascii="Times New Roman" w:hAnsi="Times New Roman" w:cs="Times New Roman"/>
          <w:sz w:val="24"/>
          <w:szCs w:val="24"/>
          <w:lang w:val="en-US" w:eastAsia="zh-CN"/>
        </w:rPr>
        <w:t>theory-choice</w:t>
      </w:r>
      <w:r w:rsidR="00B22BB5">
        <w:rPr>
          <w:rFonts w:ascii="Times New Roman" w:hAnsi="Times New Roman" w:cs="Times New Roman"/>
          <w:sz w:val="24"/>
          <w:szCs w:val="24"/>
          <w:lang w:val="en-US" w:eastAsia="zh-CN"/>
        </w:rPr>
        <w:t>”</w:t>
      </w:r>
      <w:r w:rsidR="00C4371E">
        <w:rPr>
          <w:rFonts w:ascii="Times New Roman" w:hAnsi="Times New Roman" w:cs="Times New Roman"/>
          <w:sz w:val="24"/>
          <w:szCs w:val="24"/>
          <w:lang w:val="en-US" w:eastAsia="zh-CN"/>
        </w:rPr>
        <w:t xml:space="preserve"> rather than </w:t>
      </w:r>
      <w:r w:rsidR="00B22BB5">
        <w:rPr>
          <w:rFonts w:ascii="Times New Roman" w:hAnsi="Times New Roman" w:cs="Times New Roman"/>
          <w:sz w:val="24"/>
          <w:szCs w:val="24"/>
          <w:lang w:val="en-US" w:eastAsia="zh-CN"/>
        </w:rPr>
        <w:t>“</w:t>
      </w:r>
      <w:r w:rsidR="00C4371E">
        <w:rPr>
          <w:rFonts w:ascii="Times New Roman" w:hAnsi="Times New Roman" w:cs="Times New Roman"/>
          <w:sz w:val="24"/>
          <w:szCs w:val="24"/>
          <w:lang w:val="en-US" w:eastAsia="zh-CN"/>
        </w:rPr>
        <w:t>paradigm-choice</w:t>
      </w:r>
      <w:r w:rsidR="003D2D0F">
        <w:rPr>
          <w:rFonts w:ascii="Times New Roman" w:hAnsi="Times New Roman" w:cs="Times New Roman"/>
          <w:sz w:val="24"/>
          <w:szCs w:val="24"/>
          <w:lang w:val="en-US" w:eastAsia="zh-CN"/>
        </w:rPr>
        <w:t>”</w:t>
      </w:r>
      <w:r w:rsidR="00C4371E">
        <w:rPr>
          <w:rFonts w:ascii="Times New Roman" w:hAnsi="Times New Roman" w:cs="Times New Roman"/>
          <w:sz w:val="24"/>
          <w:szCs w:val="24"/>
          <w:lang w:val="en-US" w:eastAsia="zh-CN"/>
        </w:rPr>
        <w:t xml:space="preserve"> </w:t>
      </w:r>
      <w:r w:rsidR="00C4371E">
        <w:rPr>
          <w:rFonts w:ascii="Times New Roman" w:hAnsi="Times New Roman" w:cs="Times New Roman"/>
          <w:sz w:val="24"/>
          <w:szCs w:val="24"/>
          <w:lang w:val="en-US" w:eastAsia="zh-CN"/>
        </w:rPr>
        <w:fldChar w:fldCharType="begin" w:fldLock="1"/>
      </w:r>
      <w:r w:rsidR="00166055">
        <w:rPr>
          <w:rFonts w:ascii="Times New Roman" w:hAnsi="Times New Roman" w:cs="Times New Roman"/>
          <w:sz w:val="24"/>
          <w:szCs w:val="24"/>
          <w:lang w:val="en-US" w:eastAsia="zh-CN"/>
        </w:rPr>
        <w:instrText>ADDIN CSL_CITATION { "citationItems" : [ { "id" : "ITEM-1", "itemData" : { "author" : [ { "dropping-particle" : "", "family" : "Kuhn", "given" : "Thomas Samuel", "non-dropping-particle" : "", "parse-names" : false, "suffix" : "" } ], "container-title" : "Journal of Philosophy", "id" : "ITEM-1", "issue" : "10", "issued" : { "date-parts" : [ [ "1983" ] ] }, "page" : "563-570", "publisher" : "Journal of Philosophy Inc", "title" : "Rationality and Theory Choice", "type" : "article-journal", "volume" : "80" }, "suppress-author" : 1, "uris" : [ "http://www.mendeley.com/documents/?uuid=baa2d156-fe5c-42b2-9e24-e32f36371765" ] } ], "mendeley" : { "formattedCitation" : "(1983)", "plainTextFormattedCitation" : "(1983)", "previouslyFormattedCitation" : "(1983)" }, "properties" : { "noteIndex" : 0 }, "schema" : "https://github.com/citation-style-language/schema/raw/master/csl-citation.json" }</w:instrText>
      </w:r>
      <w:r w:rsidR="00C4371E">
        <w:rPr>
          <w:rFonts w:ascii="Times New Roman" w:hAnsi="Times New Roman" w:cs="Times New Roman"/>
          <w:sz w:val="24"/>
          <w:szCs w:val="24"/>
          <w:lang w:val="en-US" w:eastAsia="zh-CN"/>
        </w:rPr>
        <w:fldChar w:fldCharType="separate"/>
      </w:r>
      <w:r w:rsidR="00C4371E" w:rsidRPr="00C4371E">
        <w:rPr>
          <w:rFonts w:ascii="Times New Roman" w:hAnsi="Times New Roman" w:cs="Times New Roman"/>
          <w:noProof/>
          <w:sz w:val="24"/>
          <w:szCs w:val="24"/>
          <w:lang w:val="en-US" w:eastAsia="zh-CN"/>
        </w:rPr>
        <w:t>(1983)</w:t>
      </w:r>
      <w:r w:rsidR="00C4371E">
        <w:rPr>
          <w:rFonts w:ascii="Times New Roman" w:hAnsi="Times New Roman" w:cs="Times New Roman"/>
          <w:sz w:val="24"/>
          <w:szCs w:val="24"/>
          <w:lang w:val="en-US" w:eastAsia="zh-CN"/>
        </w:rPr>
        <w:fldChar w:fldCharType="end"/>
      </w:r>
      <w:r w:rsidR="00166055">
        <w:rPr>
          <w:rFonts w:ascii="Times New Roman" w:hAnsi="Times New Roman" w:cs="Times New Roman"/>
          <w:sz w:val="24"/>
          <w:szCs w:val="24"/>
          <w:lang w:val="en-US" w:eastAsia="zh-CN"/>
        </w:rPr>
        <w:t xml:space="preserve">, and reinterprets the incommensurability thesis in terms of theory </w:t>
      </w:r>
      <w:r w:rsidR="00166055">
        <w:rPr>
          <w:rFonts w:ascii="Times New Roman" w:hAnsi="Times New Roman" w:cs="Times New Roman"/>
          <w:sz w:val="24"/>
          <w:szCs w:val="24"/>
          <w:lang w:val="en-US" w:eastAsia="zh-CN"/>
        </w:rPr>
        <w:fldChar w:fldCharType="begin" w:fldLock="1"/>
      </w:r>
      <w:r w:rsidR="00166055">
        <w:rPr>
          <w:rFonts w:ascii="Times New Roman" w:hAnsi="Times New Roman" w:cs="Times New Roman"/>
          <w:sz w:val="24"/>
          <w:szCs w:val="24"/>
          <w:lang w:val="en-US" w:eastAsia="zh-CN"/>
        </w:rPr>
        <w:instrText>ADDIN CSL_CITATION { "citationItems" : [ { "id" : "ITEM-1", "itemData" : { "author" : [ { "dropping-particle" : "", "family" : "Kuhn", "given" : "Thomas Samuel", "non-dropping-particle" : "", "parse-names" : false, "suffix" : "" } ], "container-title" : "Possible Worlds in Humanities, Arts and Sciences", "editor" : [ { "dropping-particle" : "", "family" : "Allen", "given" : "S.", "non-dropping-particle" : "", "parse-names" : false, "suffix" : "" } ], "id" : "ITEM-1", "issued" : { "date-parts" : [ [ "1989" ] ] }, "page" : "9-32", "publisher" : "de Gruyter", "publisher-place" : "Berlin", "title" : "Possible Worlds in History of Science", "type" : "chapter" }, "suppress-author" : 1, "uris" : [ "http://www.mendeley.com/documents/?uuid=cee3b5d5-d7b6-49ab-8a42-9be25b2d83a2" ] } ], "mendeley" : { "formattedCitation" : "(1989)", "plainTextFormattedCitation" : "(1989)" }, "properties" : { "noteIndex" : 0 }, "schema" : "https://github.com/citation-style-language/schema/raw/master/csl-citation.json" }</w:instrText>
      </w:r>
      <w:r w:rsidR="00166055">
        <w:rPr>
          <w:rFonts w:ascii="Times New Roman" w:hAnsi="Times New Roman" w:cs="Times New Roman"/>
          <w:sz w:val="24"/>
          <w:szCs w:val="24"/>
          <w:lang w:val="en-US" w:eastAsia="zh-CN"/>
        </w:rPr>
        <w:fldChar w:fldCharType="separate"/>
      </w:r>
      <w:r w:rsidR="00166055" w:rsidRPr="00166055">
        <w:rPr>
          <w:rFonts w:ascii="Times New Roman" w:hAnsi="Times New Roman" w:cs="Times New Roman"/>
          <w:noProof/>
          <w:sz w:val="24"/>
          <w:szCs w:val="24"/>
          <w:lang w:val="en-US" w:eastAsia="zh-CN"/>
        </w:rPr>
        <w:t>(1989)</w:t>
      </w:r>
      <w:r w:rsidR="00166055">
        <w:rPr>
          <w:rFonts w:ascii="Times New Roman" w:hAnsi="Times New Roman" w:cs="Times New Roman"/>
          <w:sz w:val="24"/>
          <w:szCs w:val="24"/>
          <w:lang w:val="en-US" w:eastAsia="zh-CN"/>
        </w:rPr>
        <w:fldChar w:fldCharType="end"/>
      </w:r>
      <w:r w:rsidR="00C4371E">
        <w:rPr>
          <w:rFonts w:ascii="Times New Roman" w:hAnsi="Times New Roman" w:cs="Times New Roman"/>
          <w:sz w:val="24"/>
          <w:szCs w:val="24"/>
          <w:lang w:val="en-US" w:eastAsia="zh-CN"/>
        </w:rPr>
        <w:t xml:space="preserve">. </w:t>
      </w:r>
      <w:r w:rsidR="00CD2D6A">
        <w:rPr>
          <w:rFonts w:ascii="Times New Roman" w:hAnsi="Times New Roman" w:cs="Times New Roman"/>
          <w:sz w:val="24"/>
          <w:szCs w:val="24"/>
          <w:lang w:val="en-US" w:eastAsia="zh-CN"/>
        </w:rPr>
        <w:t>Th</w:t>
      </w:r>
      <w:r w:rsidR="002A0593">
        <w:rPr>
          <w:rFonts w:ascii="Times New Roman" w:hAnsi="Times New Roman" w:cs="Times New Roman"/>
          <w:sz w:val="24"/>
          <w:szCs w:val="24"/>
          <w:lang w:val="en-US" w:eastAsia="zh-CN"/>
        </w:rPr>
        <w:t>us, I argue that th</w:t>
      </w:r>
      <w:r w:rsidR="00CD2D6A">
        <w:rPr>
          <w:rFonts w:ascii="Times New Roman" w:hAnsi="Times New Roman" w:cs="Times New Roman"/>
          <w:sz w:val="24"/>
          <w:szCs w:val="24"/>
          <w:lang w:val="en-US" w:eastAsia="zh-CN"/>
        </w:rPr>
        <w:t>is conceptual</w:t>
      </w:r>
      <w:r w:rsidR="00583B32">
        <w:rPr>
          <w:rFonts w:ascii="Times New Roman" w:hAnsi="Times New Roman" w:cs="Times New Roman"/>
          <w:sz w:val="24"/>
          <w:szCs w:val="24"/>
          <w:lang w:val="en-US" w:eastAsia="zh-CN"/>
        </w:rPr>
        <w:t>/terminological</w:t>
      </w:r>
      <w:r w:rsidR="00CD2D6A">
        <w:rPr>
          <w:rFonts w:ascii="Times New Roman" w:hAnsi="Times New Roman" w:cs="Times New Roman"/>
          <w:sz w:val="24"/>
          <w:szCs w:val="24"/>
          <w:lang w:val="en-US" w:eastAsia="zh-CN"/>
        </w:rPr>
        <w:t xml:space="preserve"> turn</w:t>
      </w:r>
      <w:r w:rsidR="00FE64A0">
        <w:rPr>
          <w:rFonts w:ascii="Times New Roman" w:hAnsi="Times New Roman" w:cs="Times New Roman"/>
          <w:sz w:val="24"/>
          <w:szCs w:val="24"/>
          <w:lang w:val="en-US" w:eastAsia="zh-CN"/>
        </w:rPr>
        <w:t xml:space="preserve"> (from paradigm to theory)</w:t>
      </w:r>
      <w:r w:rsidR="00CD2D6A">
        <w:rPr>
          <w:rFonts w:ascii="Times New Roman" w:hAnsi="Times New Roman" w:cs="Times New Roman"/>
          <w:sz w:val="24"/>
          <w:szCs w:val="24"/>
          <w:lang w:val="en-US" w:eastAsia="zh-CN"/>
        </w:rPr>
        <w:t xml:space="preserve"> is another important change in Kuhn’s philosophy of science, in addition to the methodological turn. </w:t>
      </w:r>
      <w:r w:rsidR="0080051A">
        <w:rPr>
          <w:rFonts w:ascii="Times New Roman" w:hAnsi="Times New Roman" w:cs="Times New Roman"/>
          <w:sz w:val="24"/>
          <w:szCs w:val="24"/>
          <w:lang w:val="en-US" w:eastAsia="zh-CN"/>
        </w:rPr>
        <w:t xml:space="preserve">Note that the conceptual/terminological turn is much more than a linguistic issue. </w:t>
      </w:r>
      <w:r w:rsidR="00EE0199">
        <w:rPr>
          <w:rFonts w:ascii="Times New Roman" w:hAnsi="Times New Roman" w:cs="Times New Roman"/>
          <w:sz w:val="24"/>
          <w:szCs w:val="24"/>
          <w:lang w:val="en-US" w:eastAsia="zh-CN"/>
        </w:rPr>
        <w:t xml:space="preserve">It </w:t>
      </w:r>
      <w:r w:rsidR="0080051A">
        <w:rPr>
          <w:rFonts w:ascii="Times New Roman" w:hAnsi="Times New Roman" w:cs="Times New Roman"/>
          <w:sz w:val="24"/>
          <w:szCs w:val="24"/>
          <w:lang w:val="en-US" w:eastAsia="zh-CN"/>
        </w:rPr>
        <w:t xml:space="preserve">impedes the further development of the concept of paradigm, and thus </w:t>
      </w:r>
      <w:r w:rsidR="005C2CB8">
        <w:rPr>
          <w:rFonts w:ascii="Times New Roman" w:hAnsi="Times New Roman" w:cs="Times New Roman"/>
          <w:sz w:val="24"/>
          <w:szCs w:val="24"/>
          <w:lang w:val="en-US" w:eastAsia="zh-CN"/>
        </w:rPr>
        <w:t>undermine</w:t>
      </w:r>
      <w:r w:rsidR="00EE0199">
        <w:rPr>
          <w:rFonts w:ascii="Times New Roman" w:hAnsi="Times New Roman" w:cs="Times New Roman"/>
          <w:sz w:val="24"/>
          <w:szCs w:val="24"/>
          <w:lang w:val="en-US" w:eastAsia="zh-CN"/>
        </w:rPr>
        <w:t>s Kuhn’s contribution as the proposal of the conce</w:t>
      </w:r>
      <w:r w:rsidR="004A00C2">
        <w:rPr>
          <w:rFonts w:ascii="Times New Roman" w:hAnsi="Times New Roman" w:cs="Times New Roman"/>
          <w:sz w:val="24"/>
          <w:szCs w:val="24"/>
          <w:lang w:val="en-US" w:eastAsia="zh-CN"/>
        </w:rPr>
        <w:t>pt</w:t>
      </w:r>
      <w:r w:rsidR="00EE0199">
        <w:rPr>
          <w:rFonts w:ascii="Times New Roman" w:hAnsi="Times New Roman" w:cs="Times New Roman"/>
          <w:sz w:val="24"/>
          <w:szCs w:val="24"/>
          <w:lang w:val="en-US" w:eastAsia="zh-CN"/>
        </w:rPr>
        <w:t xml:space="preserve"> of paradigm. </w:t>
      </w:r>
    </w:p>
    <w:p w14:paraId="7B6929F6" w14:textId="5AF522FC" w:rsidR="004F22B7" w:rsidRDefault="00EE0199" w:rsidP="004F22B7">
      <w:pPr>
        <w:spacing w:after="200" w:line="480" w:lineRule="auto"/>
        <w:rPr>
          <w:rFonts w:ascii="Times New Roman" w:hAnsi="Times New Roman" w:cs="Times New Roman"/>
          <w:sz w:val="24"/>
          <w:szCs w:val="24"/>
        </w:rPr>
      </w:pPr>
      <w:r>
        <w:rPr>
          <w:rFonts w:ascii="Times New Roman" w:hAnsi="Times New Roman" w:cs="Times New Roman"/>
          <w:sz w:val="24"/>
          <w:szCs w:val="24"/>
          <w:lang w:val="en-US" w:eastAsia="zh-CN"/>
        </w:rPr>
        <w:lastRenderedPageBreak/>
        <w:t>Moreover, I shall argue that Kuhn’s conceptual</w:t>
      </w:r>
      <w:r w:rsidR="0048744F">
        <w:rPr>
          <w:rFonts w:ascii="Times New Roman" w:hAnsi="Times New Roman" w:cs="Times New Roman"/>
          <w:sz w:val="24"/>
          <w:szCs w:val="24"/>
          <w:lang w:val="en-US" w:eastAsia="zh-CN"/>
        </w:rPr>
        <w:t>/terminological</w:t>
      </w:r>
      <w:r>
        <w:rPr>
          <w:rFonts w:ascii="Times New Roman" w:hAnsi="Times New Roman" w:cs="Times New Roman"/>
          <w:sz w:val="24"/>
          <w:szCs w:val="24"/>
          <w:lang w:val="en-US" w:eastAsia="zh-CN"/>
        </w:rPr>
        <w:t xml:space="preserve"> turn also indirectly leads to </w:t>
      </w:r>
      <w:r w:rsidR="005C2CB8">
        <w:rPr>
          <w:rFonts w:ascii="Times New Roman" w:hAnsi="Times New Roman" w:cs="Times New Roman"/>
          <w:sz w:val="24"/>
          <w:szCs w:val="24"/>
          <w:lang w:val="en-US" w:eastAsia="zh-CN"/>
        </w:rPr>
        <w:t>undermine</w:t>
      </w:r>
      <w:r>
        <w:rPr>
          <w:rFonts w:ascii="Times New Roman" w:hAnsi="Times New Roman" w:cs="Times New Roman"/>
          <w:sz w:val="24"/>
          <w:szCs w:val="24"/>
          <w:lang w:val="en-US" w:eastAsia="zh-CN"/>
        </w:rPr>
        <w:t xml:space="preserve"> </w:t>
      </w:r>
      <w:r w:rsidR="00F04261">
        <w:rPr>
          <w:rFonts w:ascii="Times New Roman" w:hAnsi="Times New Roman" w:cs="Times New Roman"/>
          <w:sz w:val="24"/>
          <w:szCs w:val="24"/>
          <w:lang w:val="en-US" w:eastAsia="zh-CN"/>
        </w:rPr>
        <w:t>other</w:t>
      </w:r>
      <w:r>
        <w:rPr>
          <w:rFonts w:ascii="Times New Roman" w:hAnsi="Times New Roman" w:cs="Times New Roman"/>
          <w:sz w:val="24"/>
          <w:szCs w:val="24"/>
          <w:lang w:val="en-US" w:eastAsia="zh-CN"/>
        </w:rPr>
        <w:t xml:space="preserve"> con</w:t>
      </w:r>
      <w:r w:rsidR="00C3009B">
        <w:rPr>
          <w:rFonts w:ascii="Times New Roman" w:hAnsi="Times New Roman" w:cs="Times New Roman"/>
          <w:sz w:val="24"/>
          <w:szCs w:val="24"/>
          <w:lang w:val="en-US" w:eastAsia="zh-CN"/>
        </w:rPr>
        <w:t xml:space="preserve">tribution </w:t>
      </w:r>
      <w:r w:rsidR="005E334F">
        <w:rPr>
          <w:rFonts w:ascii="Times New Roman" w:hAnsi="Times New Roman" w:cs="Times New Roman"/>
          <w:sz w:val="24"/>
          <w:szCs w:val="24"/>
          <w:lang w:val="en-US" w:eastAsia="zh-CN"/>
        </w:rPr>
        <w:t>of his, namely</w:t>
      </w:r>
      <w:r w:rsidR="00C3009B">
        <w:rPr>
          <w:rFonts w:ascii="Times New Roman" w:hAnsi="Times New Roman" w:cs="Times New Roman"/>
          <w:sz w:val="24"/>
          <w:szCs w:val="24"/>
          <w:lang w:val="en-US" w:eastAsia="zh-CN"/>
        </w:rPr>
        <w:t xml:space="preserve"> the introduction of</w:t>
      </w:r>
      <w:r>
        <w:rPr>
          <w:rFonts w:ascii="Times New Roman" w:hAnsi="Times New Roman" w:cs="Times New Roman"/>
          <w:sz w:val="24"/>
          <w:szCs w:val="24"/>
          <w:lang w:val="en-US" w:eastAsia="zh-CN"/>
        </w:rPr>
        <w:t xml:space="preserve"> the </w:t>
      </w:r>
      <w:r w:rsidRPr="00E51FF9">
        <w:rPr>
          <w:rFonts w:ascii="Times New Roman" w:hAnsi="Times New Roman" w:cs="Times New Roman"/>
          <w:sz w:val="24"/>
          <w:szCs w:val="24"/>
          <w:lang w:val="en-US" w:eastAsia="zh-CN"/>
        </w:rPr>
        <w:t xml:space="preserve">incommensurability thesis. </w:t>
      </w:r>
      <w:r w:rsidRPr="00E51FF9">
        <w:rPr>
          <w:rFonts w:ascii="Times New Roman" w:hAnsi="Times New Roman" w:cs="Times New Roman"/>
          <w:sz w:val="24"/>
          <w:szCs w:val="24"/>
        </w:rPr>
        <w:t>Initially</w:t>
      </w:r>
      <w:r w:rsidR="00E51FF9">
        <w:rPr>
          <w:rFonts w:ascii="Times New Roman" w:hAnsi="Times New Roman" w:cs="Times New Roman"/>
          <w:sz w:val="24"/>
          <w:szCs w:val="24"/>
        </w:rPr>
        <w:t>,</w:t>
      </w:r>
      <w:r w:rsidRPr="00E51FF9">
        <w:rPr>
          <w:rFonts w:ascii="Times New Roman" w:hAnsi="Times New Roman" w:cs="Times New Roman"/>
          <w:sz w:val="24"/>
          <w:szCs w:val="24"/>
        </w:rPr>
        <w:t xml:space="preserve"> Kuhn </w:t>
      </w:r>
      <w:r w:rsidRPr="00E51FF9">
        <w:rPr>
          <w:rFonts w:ascii="Times New Roman" w:hAnsi="Times New Roman" w:cs="Times New Roman"/>
          <w:sz w:val="24"/>
          <w:szCs w:val="24"/>
        </w:rPr>
        <w:fldChar w:fldCharType="begin" w:fldLock="1"/>
      </w:r>
      <w:r w:rsidR="00384DA3">
        <w:rPr>
          <w:rFonts w:ascii="Times New Roman" w:hAnsi="Times New Roman" w:cs="Times New Roman"/>
          <w:sz w:val="24"/>
          <w:szCs w:val="24"/>
        </w:rPr>
        <w:instrText>ADDIN CSL_CITATION { "citationItems" : [ { "id" : "ITEM-1", "itemData" : { "author" : [ { "dropping-particle" : "", "family" : "Kuhn", "given" : "Thomas Samuel", "non-dropping-particle" : "", "parse-names" : false, "suffix" : "" } ], "edition" : "1st", "id" : "ITEM-1", "issued" : { "date-parts" : [ [ "1962" ] ] }, "publisher" : "University of Chicago Press", "publisher-place" : "Chicago, IL", "title" : "The Structure of Scientific Revolutions", "type" : "book" }, "suppress-author" : 1, "uris" : [ "http://www.mendeley.com/documents/?uuid=84b98a26-ed9c-46e6-9f86-62c6fef9cb83", "http://www.mendeley.com/documents/?uuid=c25d90fb-8490-4232-9978-ce6037be6ac5" ] } ], "mendeley" : { "formattedCitation" : "(1962)", "plainTextFormattedCitation" : "(1962)", "previouslyFormattedCitation" : "(1962)" }, "properties" : { "noteIndex" : 0 }, "schema" : "https://github.com/citation-style-language/schema/raw/master/csl-citation.json" }</w:instrText>
      </w:r>
      <w:r w:rsidRPr="00E51FF9">
        <w:rPr>
          <w:rFonts w:ascii="Times New Roman" w:hAnsi="Times New Roman" w:cs="Times New Roman"/>
          <w:sz w:val="24"/>
          <w:szCs w:val="24"/>
        </w:rPr>
        <w:fldChar w:fldCharType="separate"/>
      </w:r>
      <w:r w:rsidR="00864BB2" w:rsidRPr="00864BB2">
        <w:rPr>
          <w:rFonts w:ascii="Times New Roman" w:hAnsi="Times New Roman" w:cs="Times New Roman"/>
          <w:noProof/>
          <w:sz w:val="24"/>
          <w:szCs w:val="24"/>
        </w:rPr>
        <w:t>(1962)</w:t>
      </w:r>
      <w:r w:rsidRPr="00E51FF9">
        <w:rPr>
          <w:rFonts w:ascii="Times New Roman" w:hAnsi="Times New Roman" w:cs="Times New Roman"/>
          <w:sz w:val="24"/>
          <w:szCs w:val="24"/>
        </w:rPr>
        <w:fldChar w:fldCharType="end"/>
      </w:r>
      <w:r w:rsidR="00E51FF9">
        <w:rPr>
          <w:rFonts w:ascii="Times New Roman" w:hAnsi="Times New Roman" w:cs="Times New Roman"/>
          <w:sz w:val="24"/>
          <w:szCs w:val="24"/>
        </w:rPr>
        <w:t xml:space="preserve"> implicitly characterised</w:t>
      </w:r>
      <w:r w:rsidRPr="00E51FF9">
        <w:rPr>
          <w:rFonts w:ascii="Times New Roman" w:hAnsi="Times New Roman" w:cs="Times New Roman"/>
          <w:sz w:val="24"/>
          <w:szCs w:val="24"/>
        </w:rPr>
        <w:t xml:space="preserve"> the incommensurability thesis in three ways, namely methodological, semantic, and </w:t>
      </w:r>
      <w:r w:rsidR="001D35AE">
        <w:rPr>
          <w:rFonts w:ascii="Times New Roman" w:hAnsi="Times New Roman" w:cs="Times New Roman"/>
          <w:sz w:val="24"/>
          <w:szCs w:val="24"/>
        </w:rPr>
        <w:t>cognitive</w:t>
      </w:r>
      <w:r w:rsidRPr="00E51FF9">
        <w:rPr>
          <w:rFonts w:ascii="Times New Roman" w:hAnsi="Times New Roman" w:cs="Times New Roman"/>
          <w:sz w:val="24"/>
          <w:szCs w:val="24"/>
        </w:rPr>
        <w:t>.</w:t>
      </w:r>
      <w:r w:rsidR="004F22B7" w:rsidRPr="00330659">
        <w:rPr>
          <w:rStyle w:val="FootnoteReference"/>
        </w:rPr>
        <w:footnoteReference w:id="14"/>
      </w:r>
      <w:r w:rsidRPr="00E51FF9">
        <w:rPr>
          <w:rFonts w:ascii="Times New Roman" w:hAnsi="Times New Roman" w:cs="Times New Roman"/>
          <w:sz w:val="24"/>
          <w:szCs w:val="24"/>
        </w:rPr>
        <w:t xml:space="preserve"> However, since 1970, Kuhn began focusing on the semantic aspect of the incommensurability thesis. He attempted to interpret incommensurability in terms of untranslatability, non-overlapping lexicons, and so on. </w:t>
      </w:r>
      <w:r w:rsidRPr="00E51FF9">
        <w:rPr>
          <w:rFonts w:ascii="Times New Roman" w:hAnsi="Times New Roman" w:cs="Times New Roman"/>
          <w:sz w:val="24"/>
          <w:szCs w:val="24"/>
          <w:lang w:val="en-US" w:eastAsia="zh-CN"/>
        </w:rPr>
        <w:t>As Kuhn</w:t>
      </w:r>
      <w:r w:rsidR="00BC57C3">
        <w:rPr>
          <w:rFonts w:ascii="Times New Roman" w:hAnsi="Times New Roman" w:cs="Times New Roman"/>
          <w:sz w:val="24"/>
          <w:szCs w:val="24"/>
          <w:lang w:val="en-US" w:eastAsia="zh-CN"/>
        </w:rPr>
        <w:t xml:space="preserve"> </w:t>
      </w:r>
      <w:r w:rsidR="00BC57C3">
        <w:rPr>
          <w:rFonts w:ascii="Times New Roman" w:hAnsi="Times New Roman" w:cs="Times New Roman"/>
          <w:sz w:val="24"/>
          <w:szCs w:val="24"/>
          <w:lang w:val="en-US" w:eastAsia="zh-CN"/>
        </w:rPr>
        <w:fldChar w:fldCharType="begin" w:fldLock="1"/>
      </w:r>
      <w:r w:rsidR="00593750">
        <w:rPr>
          <w:rFonts w:ascii="Times New Roman" w:hAnsi="Times New Roman" w:cs="Times New Roman"/>
          <w:sz w:val="24"/>
          <w:szCs w:val="24"/>
          <w:lang w:val="en-US" w:eastAsia="zh-CN"/>
        </w:rPr>
        <w:instrText>ADDIN CSL_CITATION { "citationItems" : [ { "id" : "ITEM-1", "itemData" : { "DOI" : "10.2307/192452", "ISSN" : "0270-8647", "abstract" : "The author's concept of incommensurability is explicated by elaborating the claim that some terms essential to the formulation of older theories defy translation into the language of more recent ones. Defense of this claim rests on the distinction between interpreting a theory in a later language and translating the theory into it. The former is both possible and essential, the latter neither. The interpretation/translation distinction is then applied to Kitcher's critique of incommensurability and Quine's conception of a translation manual, both of which take reference-preservation as the sole semantic criterion of translational adequacy. The paper concludes by enquiring about the additional criteria a successful translation must satisfy.", "author" : [ { "dropping-particle" : "", "family" : "Kuhn", "given" : "Thomas Samuel", "non-dropping-particle" : "", "parse-names" : false, "suffix" : "" } ], "container-title" : "PSA: Proceedings of the Biennial Meeting of the Philosophy of Science Association", "id" : "ITEM-1", "issued" : { "date-parts" : [ [ "1982" ] ] }, "page" : "669-688", "title" : "Commensurability, comparability, communicability", "type" : "article-journal" }, "locator" : "684n3", "suppress-author" : 1, "uris" : [ "http://www.mendeley.com/documents/?uuid=de4f35b1-9049-4ae3-9149-f9ef76f10e35" ] } ], "mendeley" : { "formattedCitation" : "(1982, 684n3)", "plainTextFormattedCitation" : "(1982, 684n3)", "previouslyFormattedCitation" : "(1982, 684n3)" }, "properties" : { "noteIndex" : 0 }, "schema" : "https://github.com/citation-style-language/schema/raw/master/csl-citation.json" }</w:instrText>
      </w:r>
      <w:r w:rsidR="00BC57C3">
        <w:rPr>
          <w:rFonts w:ascii="Times New Roman" w:hAnsi="Times New Roman" w:cs="Times New Roman"/>
          <w:sz w:val="24"/>
          <w:szCs w:val="24"/>
          <w:lang w:val="en-US" w:eastAsia="zh-CN"/>
        </w:rPr>
        <w:fldChar w:fldCharType="separate"/>
      </w:r>
      <w:r w:rsidR="00593750" w:rsidRPr="00593750">
        <w:rPr>
          <w:rFonts w:ascii="Times New Roman" w:hAnsi="Times New Roman" w:cs="Times New Roman"/>
          <w:noProof/>
          <w:sz w:val="24"/>
          <w:szCs w:val="24"/>
          <w:lang w:val="en-US" w:eastAsia="zh-CN"/>
        </w:rPr>
        <w:t>(1982, 684n3)</w:t>
      </w:r>
      <w:r w:rsidR="00BC57C3">
        <w:rPr>
          <w:rFonts w:ascii="Times New Roman" w:hAnsi="Times New Roman" w:cs="Times New Roman"/>
          <w:sz w:val="24"/>
          <w:szCs w:val="24"/>
          <w:lang w:val="en-US" w:eastAsia="zh-CN"/>
        </w:rPr>
        <w:fldChar w:fldCharType="end"/>
      </w:r>
      <w:r w:rsidRPr="00E51FF9">
        <w:rPr>
          <w:rFonts w:ascii="Times New Roman" w:hAnsi="Times New Roman" w:cs="Times New Roman"/>
          <w:sz w:val="24"/>
          <w:szCs w:val="24"/>
          <w:lang w:val="en-US" w:eastAsia="zh-CN"/>
        </w:rPr>
        <w:t xml:space="preserve"> admitted, “I would no longer [speak of the methodological incommensurability]</w:t>
      </w:r>
      <w:r w:rsidR="00CA3C50" w:rsidRPr="00330659">
        <w:rPr>
          <w:rStyle w:val="FootnoteReference"/>
        </w:rPr>
        <w:footnoteReference w:id="15"/>
      </w:r>
      <w:r w:rsidRPr="00E51FF9">
        <w:rPr>
          <w:rFonts w:ascii="Times New Roman" w:hAnsi="Times New Roman" w:cs="Times New Roman"/>
          <w:sz w:val="24"/>
          <w:szCs w:val="24"/>
          <w:lang w:val="en-US" w:eastAsia="zh-CN"/>
        </w:rPr>
        <w:t xml:space="preserve"> except to the considerable extent that the [methodological </w:t>
      </w:r>
      <w:r w:rsidR="00CA3C50">
        <w:rPr>
          <w:rFonts w:ascii="Times New Roman" w:hAnsi="Times New Roman" w:cs="Times New Roman"/>
          <w:sz w:val="24"/>
          <w:szCs w:val="24"/>
          <w:lang w:val="en-US" w:eastAsia="zh-CN"/>
        </w:rPr>
        <w:t>aspect</w:t>
      </w:r>
      <w:r w:rsidR="00BB73C1">
        <w:rPr>
          <w:rFonts w:ascii="Times New Roman" w:hAnsi="Times New Roman" w:cs="Times New Roman"/>
          <w:sz w:val="24"/>
          <w:szCs w:val="24"/>
          <w:lang w:val="en-US" w:eastAsia="zh-CN"/>
        </w:rPr>
        <w:t xml:space="preserve"> of incommensurability</w:t>
      </w:r>
      <w:r w:rsidR="005116A9">
        <w:rPr>
          <w:rFonts w:ascii="Times New Roman" w:hAnsi="Times New Roman" w:cs="Times New Roman"/>
          <w:sz w:val="24"/>
          <w:szCs w:val="24"/>
          <w:lang w:val="en-US" w:eastAsia="zh-CN"/>
        </w:rPr>
        <w:t xml:space="preserve"> is a</w:t>
      </w:r>
      <w:r w:rsidR="00BB73C1">
        <w:rPr>
          <w:rFonts w:ascii="Times New Roman" w:hAnsi="Times New Roman" w:cs="Times New Roman"/>
          <w:sz w:val="24"/>
          <w:szCs w:val="24"/>
          <w:lang w:val="en-US" w:eastAsia="zh-CN"/>
        </w:rPr>
        <w:t xml:space="preserve">] </w:t>
      </w:r>
      <w:r w:rsidRPr="00E51FF9">
        <w:rPr>
          <w:rFonts w:ascii="Times New Roman" w:hAnsi="Times New Roman" w:cs="Times New Roman"/>
          <w:sz w:val="24"/>
          <w:szCs w:val="24"/>
          <w:lang w:val="en-US" w:eastAsia="zh-CN"/>
        </w:rPr>
        <w:t xml:space="preserve">necessary consequence of the language-learning process”. </w:t>
      </w:r>
      <w:r w:rsidR="00E51FF9">
        <w:rPr>
          <w:rFonts w:ascii="Times New Roman" w:hAnsi="Times New Roman" w:cs="Times New Roman"/>
          <w:sz w:val="24"/>
          <w:szCs w:val="24"/>
          <w:lang w:val="en-US" w:eastAsia="zh-CN"/>
        </w:rPr>
        <w:t xml:space="preserve">However, this move </w:t>
      </w:r>
      <w:r w:rsidR="00E445F2">
        <w:rPr>
          <w:rFonts w:ascii="Times New Roman" w:hAnsi="Times New Roman" w:cs="Times New Roman"/>
          <w:sz w:val="24"/>
          <w:szCs w:val="24"/>
          <w:lang w:val="en-US" w:eastAsia="zh-CN"/>
        </w:rPr>
        <w:t xml:space="preserve">is characterised as </w:t>
      </w:r>
      <w:r w:rsidR="007F7415">
        <w:rPr>
          <w:rFonts w:ascii="Times New Roman" w:hAnsi="Times New Roman" w:cs="Times New Roman"/>
          <w:sz w:val="24"/>
          <w:szCs w:val="24"/>
          <w:lang w:val="en-US" w:eastAsia="zh-CN"/>
        </w:rPr>
        <w:t xml:space="preserve">the </w:t>
      </w:r>
      <w:r w:rsidR="00E445F2">
        <w:rPr>
          <w:rFonts w:ascii="Times New Roman" w:hAnsi="Times New Roman" w:cs="Times New Roman"/>
          <w:sz w:val="24"/>
          <w:szCs w:val="24"/>
          <w:lang w:val="en-US" w:eastAsia="zh-CN"/>
        </w:rPr>
        <w:t>“</w:t>
      </w:r>
      <w:r w:rsidR="007F7415">
        <w:rPr>
          <w:rFonts w:ascii="Times New Roman" w:hAnsi="Times New Roman" w:cs="Times New Roman"/>
          <w:sz w:val="24"/>
          <w:szCs w:val="24"/>
          <w:lang w:val="en-US" w:eastAsia="zh-CN"/>
        </w:rPr>
        <w:t xml:space="preserve">journey up </w:t>
      </w:r>
      <w:r w:rsidR="00330659">
        <w:rPr>
          <w:rFonts w:ascii="Times New Roman" w:hAnsi="Times New Roman" w:cs="Times New Roman"/>
          <w:sz w:val="24"/>
          <w:szCs w:val="24"/>
          <w:lang w:val="en-US" w:eastAsia="zh-CN"/>
        </w:rPr>
        <w:t xml:space="preserve">[a] </w:t>
      </w:r>
      <w:r w:rsidR="007F7415">
        <w:rPr>
          <w:rFonts w:ascii="Times New Roman" w:hAnsi="Times New Roman" w:cs="Times New Roman"/>
          <w:sz w:val="24"/>
          <w:szCs w:val="24"/>
          <w:lang w:val="en-US" w:eastAsia="zh-CN"/>
        </w:rPr>
        <w:t>dead end</w:t>
      </w:r>
      <w:r w:rsidR="00C926FA">
        <w:rPr>
          <w:rFonts w:ascii="Times New Roman" w:hAnsi="Times New Roman" w:cs="Times New Roman"/>
          <w:sz w:val="24"/>
          <w:szCs w:val="24"/>
          <w:lang w:val="en-US" w:eastAsia="zh-CN"/>
        </w:rPr>
        <w:t>” by Bird</w:t>
      </w:r>
      <w:r w:rsidR="00725A72">
        <w:rPr>
          <w:rFonts w:ascii="Times New Roman" w:hAnsi="Times New Roman" w:cs="Times New Roman"/>
          <w:sz w:val="24"/>
          <w:szCs w:val="24"/>
          <w:lang w:val="en-US" w:eastAsia="zh-CN"/>
        </w:rPr>
        <w:t xml:space="preserve"> </w:t>
      </w:r>
      <w:r w:rsidR="00725A72">
        <w:rPr>
          <w:rFonts w:ascii="Times New Roman" w:hAnsi="Times New Roman" w:cs="Times New Roman"/>
          <w:sz w:val="24"/>
          <w:szCs w:val="24"/>
          <w:lang w:val="en-US" w:eastAsia="zh-CN"/>
        </w:rPr>
        <w:fldChar w:fldCharType="begin" w:fldLock="1"/>
      </w:r>
      <w:r w:rsidR="00593750">
        <w:rPr>
          <w:rFonts w:ascii="Times New Roman" w:hAnsi="Times New Roman" w:cs="Times New Roman"/>
          <w:sz w:val="24"/>
          <w:szCs w:val="24"/>
          <w:lang w:val="en-US" w:eastAsia="zh-CN"/>
        </w:rPr>
        <w:instrText>ADDIN CSL_CITATION { "citationItems" : [ { "id" : "ITEM-1", "itemData" : { "author" : [ { "dropping-particle" : "", "family" : "Bird", "given" : "Alexander", "non-dropping-particle" : "", "parse-names" : false, "suffix" : "" } ], "container-title" : "Studies in History and Philosophy of Science", "id" : "ITEM-1", "issue" : "3", "issued" : { "date-parts" : [ [ "2002" ] ] }, "page" : "443-463", "title" : "Kuhn's Wrong Turning", "type" : "article-journal", "volume" : "33" }, "locator" : "463", "suppress-author" : 1, "uris" : [ "http://www.mendeley.com/documents/?uuid=d6292e77-253a-41dd-9845-dd6a92a0919a", "http://www.mendeley.com/documents/?uuid=020c0979-4b7d-43c2-8cc0-545a15bef4d9" ] } ], "mendeley" : { "formattedCitation" : "(2002, 463)", "plainTextFormattedCitation" : "(2002, 463)", "previouslyFormattedCitation" : "(2002, 463)" }, "properties" : { "noteIndex" : 0 }, "schema" : "https://github.com/citation-style-language/schema/raw/master/csl-citation.json" }</w:instrText>
      </w:r>
      <w:r w:rsidR="00725A72">
        <w:rPr>
          <w:rFonts w:ascii="Times New Roman" w:hAnsi="Times New Roman" w:cs="Times New Roman"/>
          <w:sz w:val="24"/>
          <w:szCs w:val="24"/>
          <w:lang w:val="en-US" w:eastAsia="zh-CN"/>
        </w:rPr>
        <w:fldChar w:fldCharType="separate"/>
      </w:r>
      <w:r w:rsidR="00593750" w:rsidRPr="00593750">
        <w:rPr>
          <w:rFonts w:ascii="Times New Roman" w:hAnsi="Times New Roman" w:cs="Times New Roman"/>
          <w:noProof/>
          <w:sz w:val="24"/>
          <w:szCs w:val="24"/>
          <w:lang w:val="en-US" w:eastAsia="zh-CN"/>
        </w:rPr>
        <w:t>(2002, 463)</w:t>
      </w:r>
      <w:r w:rsidR="00725A72">
        <w:rPr>
          <w:rFonts w:ascii="Times New Roman" w:hAnsi="Times New Roman" w:cs="Times New Roman"/>
          <w:sz w:val="24"/>
          <w:szCs w:val="24"/>
          <w:lang w:val="en-US" w:eastAsia="zh-CN"/>
        </w:rPr>
        <w:fldChar w:fldCharType="end"/>
      </w:r>
      <w:r w:rsidR="00C926FA">
        <w:rPr>
          <w:rFonts w:ascii="Times New Roman" w:hAnsi="Times New Roman" w:cs="Times New Roman"/>
          <w:sz w:val="24"/>
          <w:szCs w:val="24"/>
          <w:lang w:val="en-US" w:eastAsia="zh-CN"/>
        </w:rPr>
        <w:t>.</w:t>
      </w:r>
      <w:r w:rsidR="007F7415">
        <w:rPr>
          <w:rFonts w:ascii="Times New Roman" w:hAnsi="Times New Roman" w:cs="Times New Roman"/>
          <w:sz w:val="24"/>
          <w:szCs w:val="24"/>
          <w:lang w:val="en-US" w:eastAsia="zh-CN"/>
        </w:rPr>
        <w:t xml:space="preserve"> </w:t>
      </w:r>
      <w:r w:rsidR="00E51FF9">
        <w:rPr>
          <w:rFonts w:ascii="Times New Roman" w:hAnsi="Times New Roman" w:cs="Times New Roman"/>
          <w:sz w:val="24"/>
          <w:szCs w:val="24"/>
          <w:lang w:val="en-US" w:eastAsia="zh-CN"/>
        </w:rPr>
        <w:t>I shall argu</w:t>
      </w:r>
      <w:r w:rsidR="007F7415">
        <w:rPr>
          <w:rFonts w:ascii="Times New Roman" w:hAnsi="Times New Roman" w:cs="Times New Roman"/>
          <w:sz w:val="24"/>
          <w:szCs w:val="24"/>
          <w:lang w:val="en-US" w:eastAsia="zh-CN"/>
        </w:rPr>
        <w:t>e</w:t>
      </w:r>
      <w:r w:rsidR="005C2CB8">
        <w:rPr>
          <w:rFonts w:ascii="Times New Roman" w:hAnsi="Times New Roman" w:cs="Times New Roman"/>
          <w:sz w:val="24"/>
          <w:szCs w:val="24"/>
          <w:lang w:val="en-US" w:eastAsia="zh-CN"/>
        </w:rPr>
        <w:t xml:space="preserve"> </w:t>
      </w:r>
      <w:r w:rsidR="007F7415">
        <w:rPr>
          <w:rFonts w:ascii="Times New Roman" w:hAnsi="Times New Roman" w:cs="Times New Roman"/>
          <w:sz w:val="24"/>
          <w:szCs w:val="24"/>
          <w:lang w:val="en-US" w:eastAsia="zh-CN"/>
        </w:rPr>
        <w:t>that Kuhn’s conceptual</w:t>
      </w:r>
      <w:r w:rsidR="00BD3E84">
        <w:rPr>
          <w:rFonts w:ascii="Times New Roman" w:hAnsi="Times New Roman" w:cs="Times New Roman"/>
          <w:sz w:val="24"/>
          <w:szCs w:val="24"/>
          <w:lang w:val="en-US" w:eastAsia="zh-CN"/>
        </w:rPr>
        <w:t>/terminological</w:t>
      </w:r>
      <w:r w:rsidR="007F7415">
        <w:rPr>
          <w:rFonts w:ascii="Times New Roman" w:hAnsi="Times New Roman" w:cs="Times New Roman"/>
          <w:sz w:val="24"/>
          <w:szCs w:val="24"/>
          <w:lang w:val="en-US" w:eastAsia="zh-CN"/>
        </w:rPr>
        <w:t xml:space="preserve"> turn underlies this move. </w:t>
      </w:r>
      <w:r w:rsidR="00CC7327">
        <w:rPr>
          <w:rFonts w:ascii="Times New Roman" w:hAnsi="Times New Roman" w:cs="Times New Roman"/>
          <w:sz w:val="24"/>
          <w:szCs w:val="24"/>
          <w:lang w:val="en-US" w:eastAsia="zh-CN"/>
        </w:rPr>
        <w:t>As</w:t>
      </w:r>
      <w:r w:rsidR="008A282A">
        <w:rPr>
          <w:rFonts w:ascii="Times New Roman" w:hAnsi="Times New Roman" w:cs="Times New Roman"/>
          <w:sz w:val="24"/>
          <w:szCs w:val="24"/>
          <w:lang w:val="en-US" w:eastAsia="zh-CN"/>
        </w:rPr>
        <w:t xml:space="preserve"> Kuhn</w:t>
      </w:r>
      <w:r w:rsidR="008A282A">
        <w:rPr>
          <w:rFonts w:ascii="Times New Roman" w:hAnsi="Times New Roman" w:cs="Times New Roman"/>
          <w:sz w:val="24"/>
          <w:szCs w:val="24"/>
        </w:rPr>
        <w:t xml:space="preserve"> made the conceptual/terminological turn from paradigm to theo</w:t>
      </w:r>
      <w:r w:rsidR="00E3122A">
        <w:rPr>
          <w:rFonts w:ascii="Times New Roman" w:hAnsi="Times New Roman" w:cs="Times New Roman"/>
          <w:sz w:val="24"/>
          <w:szCs w:val="24"/>
        </w:rPr>
        <w:t>ry, he began analys</w:t>
      </w:r>
      <w:r w:rsidR="008A282A">
        <w:rPr>
          <w:rFonts w:ascii="Times New Roman" w:hAnsi="Times New Roman" w:cs="Times New Roman"/>
          <w:sz w:val="24"/>
          <w:szCs w:val="24"/>
        </w:rPr>
        <w:t>ing</w:t>
      </w:r>
      <w:r w:rsidR="004F22B7" w:rsidRPr="00D142C1">
        <w:rPr>
          <w:rFonts w:ascii="Times New Roman" w:hAnsi="Times New Roman" w:cs="Times New Roman"/>
          <w:sz w:val="24"/>
          <w:szCs w:val="24"/>
        </w:rPr>
        <w:t xml:space="preserve"> the history and practice of sci</w:t>
      </w:r>
      <w:r w:rsidR="008A282A">
        <w:rPr>
          <w:rFonts w:ascii="Times New Roman" w:hAnsi="Times New Roman" w:cs="Times New Roman"/>
          <w:sz w:val="24"/>
          <w:szCs w:val="24"/>
        </w:rPr>
        <w:t>ence in terms of theory.</w:t>
      </w:r>
      <w:r w:rsidR="004F22B7" w:rsidRPr="00D142C1">
        <w:rPr>
          <w:rFonts w:ascii="Times New Roman" w:hAnsi="Times New Roman" w:cs="Times New Roman"/>
          <w:sz w:val="24"/>
          <w:szCs w:val="24"/>
        </w:rPr>
        <w:t xml:space="preserve"> </w:t>
      </w:r>
      <w:r w:rsidR="008A282A">
        <w:rPr>
          <w:rFonts w:ascii="Times New Roman" w:hAnsi="Times New Roman" w:cs="Times New Roman"/>
          <w:sz w:val="24"/>
          <w:szCs w:val="24"/>
        </w:rPr>
        <w:t xml:space="preserve">Thus, </w:t>
      </w:r>
      <w:r w:rsidR="004F22B7" w:rsidRPr="00D142C1">
        <w:rPr>
          <w:rFonts w:ascii="Times New Roman" w:hAnsi="Times New Roman" w:cs="Times New Roman"/>
          <w:sz w:val="24"/>
          <w:szCs w:val="24"/>
        </w:rPr>
        <w:t xml:space="preserve">the incommensurability thesis immediately becomes narrowly </w:t>
      </w:r>
      <w:r w:rsidR="004F22B7">
        <w:rPr>
          <w:rFonts w:ascii="Times New Roman" w:hAnsi="Times New Roman" w:cs="Times New Roman"/>
          <w:sz w:val="24"/>
          <w:szCs w:val="24"/>
        </w:rPr>
        <w:t>scope</w:t>
      </w:r>
      <w:r w:rsidR="004F22B7" w:rsidRPr="00D142C1">
        <w:rPr>
          <w:rFonts w:ascii="Times New Roman" w:hAnsi="Times New Roman" w:cs="Times New Roman"/>
          <w:sz w:val="24"/>
          <w:szCs w:val="24"/>
        </w:rPr>
        <w:t>d.</w:t>
      </w:r>
      <w:r w:rsidR="004F22B7">
        <w:rPr>
          <w:rFonts w:ascii="Times New Roman" w:hAnsi="Times New Roman" w:cs="Times New Roman"/>
          <w:sz w:val="24"/>
          <w:szCs w:val="24"/>
        </w:rPr>
        <w:t xml:space="preserve"> </w:t>
      </w:r>
      <w:r w:rsidR="00FE66DE">
        <w:rPr>
          <w:rFonts w:ascii="Times New Roman" w:hAnsi="Times New Roman" w:cs="Times New Roman"/>
          <w:sz w:val="24"/>
          <w:szCs w:val="24"/>
        </w:rPr>
        <w:t>If the incommensurability thesis were to be arti</w:t>
      </w:r>
      <w:r w:rsidR="005D705C">
        <w:rPr>
          <w:rFonts w:ascii="Times New Roman" w:hAnsi="Times New Roman" w:cs="Times New Roman"/>
          <w:sz w:val="24"/>
          <w:szCs w:val="24"/>
        </w:rPr>
        <w:t xml:space="preserve">culated in terms of paradigm as </w:t>
      </w:r>
      <w:r w:rsidR="00FE66DE">
        <w:rPr>
          <w:rFonts w:ascii="Times New Roman" w:hAnsi="Times New Roman" w:cs="Times New Roman"/>
          <w:sz w:val="24"/>
          <w:szCs w:val="24"/>
        </w:rPr>
        <w:t>disciplinary m</w:t>
      </w:r>
      <w:r w:rsidR="004B3E42">
        <w:rPr>
          <w:rFonts w:ascii="Times New Roman" w:hAnsi="Times New Roman" w:cs="Times New Roman"/>
          <w:sz w:val="24"/>
          <w:szCs w:val="24"/>
        </w:rPr>
        <w:t>atrix, it would be analysed by examining</w:t>
      </w:r>
      <w:r w:rsidR="00FE66DE">
        <w:rPr>
          <w:rFonts w:ascii="Times New Roman" w:hAnsi="Times New Roman" w:cs="Times New Roman"/>
          <w:sz w:val="24"/>
          <w:szCs w:val="24"/>
        </w:rPr>
        <w:t xml:space="preserve"> the differences in the symbolic generalisations,</w:t>
      </w:r>
      <w:r w:rsidR="002E7516">
        <w:rPr>
          <w:rFonts w:ascii="Times New Roman" w:hAnsi="Times New Roman" w:cs="Times New Roman"/>
          <w:sz w:val="24"/>
          <w:szCs w:val="24"/>
        </w:rPr>
        <w:t xml:space="preserve"> models, values, and exemplars.</w:t>
      </w:r>
      <w:r w:rsidR="00FE66DE">
        <w:rPr>
          <w:rFonts w:ascii="Times New Roman" w:hAnsi="Times New Roman" w:cs="Times New Roman"/>
          <w:sz w:val="24"/>
          <w:szCs w:val="24"/>
        </w:rPr>
        <w:t xml:space="preserve"> </w:t>
      </w:r>
      <w:r w:rsidR="00A93F7B">
        <w:rPr>
          <w:rFonts w:ascii="Times New Roman" w:hAnsi="Times New Roman" w:cs="Times New Roman"/>
          <w:sz w:val="24"/>
          <w:szCs w:val="24"/>
        </w:rPr>
        <w:t>If the incommensurability thesis were to be a</w:t>
      </w:r>
      <w:r w:rsidR="005F0AA3">
        <w:rPr>
          <w:rFonts w:ascii="Times New Roman" w:hAnsi="Times New Roman" w:cs="Times New Roman"/>
          <w:sz w:val="24"/>
          <w:szCs w:val="24"/>
        </w:rPr>
        <w:t xml:space="preserve">rticulated in terms of paradigm as </w:t>
      </w:r>
      <w:r w:rsidR="00A93F7B">
        <w:rPr>
          <w:rFonts w:ascii="Times New Roman" w:hAnsi="Times New Roman" w:cs="Times New Roman"/>
          <w:sz w:val="24"/>
          <w:szCs w:val="24"/>
        </w:rPr>
        <w:t xml:space="preserve">exemplar, it would be analysed by examining the differences in the problems to be investigated and the corresponding solutions. </w:t>
      </w:r>
      <w:r w:rsidR="00F77E2A">
        <w:rPr>
          <w:rFonts w:ascii="Times New Roman" w:hAnsi="Times New Roman" w:cs="Times New Roman"/>
          <w:sz w:val="24"/>
          <w:szCs w:val="24"/>
        </w:rPr>
        <w:t xml:space="preserve">Either way </w:t>
      </w:r>
      <w:r w:rsidR="00D44B72">
        <w:rPr>
          <w:rFonts w:ascii="Times New Roman" w:hAnsi="Times New Roman" w:cs="Times New Roman"/>
          <w:sz w:val="24"/>
          <w:szCs w:val="24"/>
        </w:rPr>
        <w:t xml:space="preserve">it </w:t>
      </w:r>
      <w:r w:rsidR="00F77E2A">
        <w:rPr>
          <w:rFonts w:ascii="Times New Roman" w:hAnsi="Times New Roman" w:cs="Times New Roman"/>
          <w:sz w:val="24"/>
          <w:szCs w:val="24"/>
        </w:rPr>
        <w:t>seems promising to investigate</w:t>
      </w:r>
      <w:r w:rsidR="002E7516">
        <w:rPr>
          <w:rFonts w:ascii="Times New Roman" w:hAnsi="Times New Roman" w:cs="Times New Roman"/>
          <w:sz w:val="24"/>
          <w:szCs w:val="24"/>
        </w:rPr>
        <w:t xml:space="preserve"> a</w:t>
      </w:r>
      <w:r w:rsidR="009F51FE">
        <w:rPr>
          <w:rFonts w:ascii="Times New Roman" w:hAnsi="Times New Roman" w:cs="Times New Roman"/>
          <w:sz w:val="24"/>
          <w:szCs w:val="24"/>
        </w:rPr>
        <w:t>ll of the methodol</w:t>
      </w:r>
      <w:r w:rsidR="002E7516">
        <w:rPr>
          <w:rFonts w:ascii="Times New Roman" w:hAnsi="Times New Roman" w:cs="Times New Roman"/>
          <w:sz w:val="24"/>
          <w:szCs w:val="24"/>
        </w:rPr>
        <w:t>ogical, semantic, and cognitive aspects</w:t>
      </w:r>
      <w:r w:rsidR="009F51FE">
        <w:rPr>
          <w:rFonts w:ascii="Times New Roman" w:hAnsi="Times New Roman" w:cs="Times New Roman"/>
          <w:sz w:val="24"/>
          <w:szCs w:val="24"/>
        </w:rPr>
        <w:t xml:space="preserve"> of th</w:t>
      </w:r>
      <w:r w:rsidR="002E7516">
        <w:rPr>
          <w:rFonts w:ascii="Times New Roman" w:hAnsi="Times New Roman" w:cs="Times New Roman"/>
          <w:sz w:val="24"/>
          <w:szCs w:val="24"/>
        </w:rPr>
        <w:t>e i</w:t>
      </w:r>
      <w:r w:rsidR="00F77E2A">
        <w:rPr>
          <w:rFonts w:ascii="Times New Roman" w:hAnsi="Times New Roman" w:cs="Times New Roman"/>
          <w:sz w:val="24"/>
          <w:szCs w:val="24"/>
        </w:rPr>
        <w:t>ncommensurability</w:t>
      </w:r>
      <w:r w:rsidR="00BB2345">
        <w:rPr>
          <w:rFonts w:ascii="Times New Roman" w:hAnsi="Times New Roman" w:cs="Times New Roman"/>
          <w:sz w:val="24"/>
          <w:szCs w:val="24"/>
        </w:rPr>
        <w:t xml:space="preserve"> thesis</w:t>
      </w:r>
      <w:r w:rsidR="00F77E2A">
        <w:rPr>
          <w:rFonts w:ascii="Times New Roman" w:hAnsi="Times New Roman" w:cs="Times New Roman"/>
          <w:sz w:val="24"/>
          <w:szCs w:val="24"/>
        </w:rPr>
        <w:t xml:space="preserve">. However, </w:t>
      </w:r>
      <w:r w:rsidR="007C7266">
        <w:rPr>
          <w:rFonts w:ascii="Times New Roman" w:hAnsi="Times New Roman" w:cs="Times New Roman"/>
          <w:sz w:val="24"/>
          <w:szCs w:val="24"/>
        </w:rPr>
        <w:t xml:space="preserve">if the incommensurability thesis were to be articulated in terms of theory as Kuhn did, it would </w:t>
      </w:r>
      <w:r w:rsidR="00014C31">
        <w:rPr>
          <w:rFonts w:ascii="Times New Roman" w:hAnsi="Times New Roman" w:cs="Times New Roman"/>
          <w:sz w:val="24"/>
          <w:szCs w:val="24"/>
        </w:rPr>
        <w:t xml:space="preserve">be </w:t>
      </w:r>
      <w:r w:rsidR="007C7266">
        <w:rPr>
          <w:rFonts w:ascii="Times New Roman" w:hAnsi="Times New Roman" w:cs="Times New Roman"/>
          <w:sz w:val="24"/>
          <w:szCs w:val="24"/>
        </w:rPr>
        <w:t xml:space="preserve">difficult to see how two theories could be compared methodologically or cognitively. </w:t>
      </w:r>
      <w:r w:rsidR="004F22B7" w:rsidRPr="00D142C1">
        <w:rPr>
          <w:rFonts w:ascii="Times New Roman" w:hAnsi="Times New Roman" w:cs="Times New Roman"/>
          <w:sz w:val="24"/>
          <w:szCs w:val="24"/>
        </w:rPr>
        <w:t xml:space="preserve">The only aspect </w:t>
      </w:r>
      <w:r w:rsidR="00014C31">
        <w:rPr>
          <w:rFonts w:ascii="Times New Roman" w:hAnsi="Times New Roman" w:cs="Times New Roman"/>
          <w:sz w:val="24"/>
          <w:szCs w:val="24"/>
        </w:rPr>
        <w:t>that</w:t>
      </w:r>
      <w:r w:rsidR="004F22B7">
        <w:rPr>
          <w:rFonts w:ascii="Times New Roman" w:hAnsi="Times New Roman" w:cs="Times New Roman"/>
          <w:sz w:val="24"/>
          <w:szCs w:val="24"/>
        </w:rPr>
        <w:t xml:space="preserve"> </w:t>
      </w:r>
      <w:r w:rsidR="004F22B7" w:rsidRPr="00D142C1">
        <w:rPr>
          <w:rFonts w:ascii="Times New Roman" w:hAnsi="Times New Roman" w:cs="Times New Roman"/>
          <w:sz w:val="24"/>
          <w:szCs w:val="24"/>
        </w:rPr>
        <w:t>matte</w:t>
      </w:r>
      <w:r w:rsidR="004F22B7">
        <w:rPr>
          <w:rFonts w:ascii="Times New Roman" w:hAnsi="Times New Roman" w:cs="Times New Roman"/>
          <w:sz w:val="24"/>
          <w:szCs w:val="24"/>
        </w:rPr>
        <w:t>r</w:t>
      </w:r>
      <w:r w:rsidR="00CC7327">
        <w:rPr>
          <w:rFonts w:ascii="Times New Roman" w:hAnsi="Times New Roman" w:cs="Times New Roman"/>
          <w:sz w:val="24"/>
          <w:szCs w:val="24"/>
        </w:rPr>
        <w:t>s</w:t>
      </w:r>
      <w:r w:rsidR="004F22B7">
        <w:rPr>
          <w:rFonts w:ascii="Times New Roman" w:hAnsi="Times New Roman" w:cs="Times New Roman"/>
          <w:sz w:val="24"/>
          <w:szCs w:val="24"/>
        </w:rPr>
        <w:t xml:space="preserve"> here is the </w:t>
      </w:r>
      <w:r w:rsidR="004F22B7">
        <w:rPr>
          <w:rFonts w:ascii="Times New Roman" w:hAnsi="Times New Roman" w:cs="Times New Roman"/>
          <w:sz w:val="24"/>
          <w:szCs w:val="24"/>
        </w:rPr>
        <w:lastRenderedPageBreak/>
        <w:t>semantic one. So, i</w:t>
      </w:r>
      <w:r w:rsidR="004F22B7" w:rsidRPr="00D142C1">
        <w:rPr>
          <w:rFonts w:ascii="Times New Roman" w:hAnsi="Times New Roman" w:cs="Times New Roman"/>
          <w:sz w:val="24"/>
          <w:szCs w:val="24"/>
        </w:rPr>
        <w:t xml:space="preserve">t is not surprising that Kuhn shifted his focus onto semantic incommensurability </w:t>
      </w:r>
      <w:r w:rsidR="005B3913">
        <w:rPr>
          <w:rFonts w:ascii="Times New Roman" w:hAnsi="Times New Roman" w:cs="Times New Roman"/>
          <w:sz w:val="24"/>
          <w:szCs w:val="24"/>
        </w:rPr>
        <w:t>from the</w:t>
      </w:r>
      <w:r w:rsidR="009858ED">
        <w:rPr>
          <w:rFonts w:ascii="Times New Roman" w:hAnsi="Times New Roman" w:cs="Times New Roman"/>
          <w:sz w:val="24"/>
          <w:szCs w:val="24"/>
        </w:rPr>
        <w:t xml:space="preserve"> </w:t>
      </w:r>
      <w:r w:rsidR="004F22B7" w:rsidRPr="00D142C1">
        <w:rPr>
          <w:rFonts w:ascii="Times New Roman" w:hAnsi="Times New Roman" w:cs="Times New Roman"/>
          <w:sz w:val="24"/>
          <w:szCs w:val="24"/>
        </w:rPr>
        <w:t>1970</w:t>
      </w:r>
      <w:r w:rsidR="004F22B7">
        <w:rPr>
          <w:rFonts w:ascii="Times New Roman" w:hAnsi="Times New Roman" w:cs="Times New Roman"/>
          <w:sz w:val="24"/>
          <w:szCs w:val="24"/>
        </w:rPr>
        <w:t>s</w:t>
      </w:r>
      <w:r w:rsidR="005B3913">
        <w:rPr>
          <w:rFonts w:ascii="Times New Roman" w:hAnsi="Times New Roman" w:cs="Times New Roman"/>
          <w:sz w:val="24"/>
          <w:szCs w:val="24"/>
        </w:rPr>
        <w:t>.</w:t>
      </w:r>
      <w:r w:rsidR="004F22B7" w:rsidRPr="00D142C1">
        <w:rPr>
          <w:rFonts w:ascii="Times New Roman" w:hAnsi="Times New Roman" w:cs="Times New Roman"/>
          <w:sz w:val="24"/>
          <w:szCs w:val="24"/>
        </w:rPr>
        <w:t xml:space="preserve"> </w:t>
      </w:r>
      <w:r w:rsidR="005B3913">
        <w:rPr>
          <w:rFonts w:ascii="Times New Roman" w:hAnsi="Times New Roman" w:cs="Times New Roman"/>
          <w:sz w:val="24"/>
          <w:szCs w:val="24"/>
        </w:rPr>
        <w:t>I</w:t>
      </w:r>
      <w:r w:rsidR="004F22B7" w:rsidRPr="00D142C1">
        <w:rPr>
          <w:rFonts w:ascii="Times New Roman" w:hAnsi="Times New Roman" w:cs="Times New Roman"/>
          <w:sz w:val="24"/>
          <w:szCs w:val="24"/>
        </w:rPr>
        <w:t xml:space="preserve">t is a natural consequence of his </w:t>
      </w:r>
      <w:r w:rsidR="004F22B7">
        <w:rPr>
          <w:rFonts w:ascii="Times New Roman" w:hAnsi="Times New Roman" w:cs="Times New Roman"/>
          <w:sz w:val="24"/>
          <w:szCs w:val="24"/>
        </w:rPr>
        <w:t>conceptual</w:t>
      </w:r>
      <w:r w:rsidR="00CC7327">
        <w:rPr>
          <w:rFonts w:ascii="Times New Roman" w:hAnsi="Times New Roman" w:cs="Times New Roman"/>
          <w:sz w:val="24"/>
          <w:szCs w:val="24"/>
        </w:rPr>
        <w:t>/terminological</w:t>
      </w:r>
      <w:r w:rsidR="004F22B7" w:rsidRPr="00D142C1">
        <w:rPr>
          <w:rFonts w:ascii="Times New Roman" w:hAnsi="Times New Roman" w:cs="Times New Roman"/>
          <w:sz w:val="24"/>
          <w:szCs w:val="24"/>
        </w:rPr>
        <w:t xml:space="preserve"> turn. </w:t>
      </w:r>
      <w:r w:rsidR="00490BEB">
        <w:rPr>
          <w:rFonts w:ascii="Times New Roman" w:hAnsi="Times New Roman" w:cs="Times New Roman"/>
          <w:sz w:val="24"/>
          <w:szCs w:val="24"/>
        </w:rPr>
        <w:t>In short</w:t>
      </w:r>
      <w:r w:rsidR="004F22B7" w:rsidRPr="00D142C1">
        <w:rPr>
          <w:rFonts w:ascii="Times New Roman" w:hAnsi="Times New Roman" w:cs="Times New Roman"/>
          <w:sz w:val="24"/>
          <w:szCs w:val="24"/>
        </w:rPr>
        <w:t>, because Kuhn did not talk of paradigm, nor articulate the</w:t>
      </w:r>
      <w:r w:rsidR="004F22B7">
        <w:rPr>
          <w:rFonts w:ascii="Times New Roman" w:hAnsi="Times New Roman" w:cs="Times New Roman"/>
          <w:sz w:val="24"/>
          <w:szCs w:val="24"/>
        </w:rPr>
        <w:t xml:space="preserve"> concept paradigm, it seems natural for him to shift his</w:t>
      </w:r>
      <w:r w:rsidR="004F22B7" w:rsidRPr="00D142C1">
        <w:rPr>
          <w:rFonts w:ascii="Times New Roman" w:hAnsi="Times New Roman" w:cs="Times New Roman"/>
          <w:sz w:val="24"/>
          <w:szCs w:val="24"/>
        </w:rPr>
        <w:t xml:space="preserve"> attention to the semantic aspect of incommensurability, and </w:t>
      </w:r>
      <w:r w:rsidR="00E47949">
        <w:rPr>
          <w:rFonts w:ascii="Times New Roman" w:hAnsi="Times New Roman" w:cs="Times New Roman"/>
          <w:sz w:val="24"/>
          <w:szCs w:val="24"/>
        </w:rPr>
        <w:t>prevents him from</w:t>
      </w:r>
      <w:r w:rsidR="004F22B7" w:rsidRPr="00D142C1">
        <w:rPr>
          <w:rFonts w:ascii="Times New Roman" w:hAnsi="Times New Roman" w:cs="Times New Roman"/>
          <w:sz w:val="24"/>
          <w:szCs w:val="24"/>
        </w:rPr>
        <w:t xml:space="preserve"> develop</w:t>
      </w:r>
      <w:r w:rsidR="00E47949">
        <w:rPr>
          <w:rFonts w:ascii="Times New Roman" w:hAnsi="Times New Roman" w:cs="Times New Roman"/>
          <w:sz w:val="24"/>
          <w:szCs w:val="24"/>
        </w:rPr>
        <w:t>ing</w:t>
      </w:r>
      <w:r w:rsidR="004F22B7" w:rsidRPr="00D142C1">
        <w:rPr>
          <w:rFonts w:ascii="Times New Roman" w:hAnsi="Times New Roman" w:cs="Times New Roman"/>
          <w:sz w:val="24"/>
          <w:szCs w:val="24"/>
        </w:rPr>
        <w:t xml:space="preserve"> the methodological or cognitive aspects</w:t>
      </w:r>
      <w:r w:rsidR="00E47949" w:rsidRPr="00E47949">
        <w:rPr>
          <w:rFonts w:ascii="Times New Roman" w:hAnsi="Times New Roman" w:cs="Times New Roman"/>
          <w:sz w:val="24"/>
          <w:szCs w:val="24"/>
        </w:rPr>
        <w:t xml:space="preserve"> </w:t>
      </w:r>
      <w:r w:rsidR="00E47949" w:rsidRPr="00D142C1">
        <w:rPr>
          <w:rFonts w:ascii="Times New Roman" w:hAnsi="Times New Roman" w:cs="Times New Roman"/>
          <w:sz w:val="24"/>
          <w:szCs w:val="24"/>
        </w:rPr>
        <w:t>further</w:t>
      </w:r>
      <w:r w:rsidR="004F22B7" w:rsidRPr="00D142C1">
        <w:rPr>
          <w:rFonts w:ascii="Times New Roman" w:hAnsi="Times New Roman" w:cs="Times New Roman"/>
          <w:sz w:val="24"/>
          <w:szCs w:val="24"/>
        </w:rPr>
        <w:t>.</w:t>
      </w:r>
      <w:r w:rsidR="004F22B7">
        <w:rPr>
          <w:rFonts w:ascii="Times New Roman" w:hAnsi="Times New Roman" w:cs="Times New Roman"/>
          <w:sz w:val="24"/>
          <w:szCs w:val="24"/>
        </w:rPr>
        <w:t xml:space="preserve"> Therefore, the incommensurability thesis became less fruitful and promising</w:t>
      </w:r>
      <w:r w:rsidR="00D44C02">
        <w:rPr>
          <w:rFonts w:ascii="Times New Roman" w:hAnsi="Times New Roman" w:cs="Times New Roman"/>
          <w:sz w:val="24"/>
          <w:szCs w:val="24"/>
        </w:rPr>
        <w:t xml:space="preserve"> as a result of Kuhn’s conceptual/terminological turn</w:t>
      </w:r>
      <w:r w:rsidR="004F22B7">
        <w:rPr>
          <w:rFonts w:ascii="Times New Roman" w:hAnsi="Times New Roman" w:cs="Times New Roman"/>
          <w:sz w:val="24"/>
          <w:szCs w:val="24"/>
        </w:rPr>
        <w:t>.</w:t>
      </w:r>
      <w:r w:rsidR="008A282A" w:rsidRPr="008A282A">
        <w:rPr>
          <w:rFonts w:ascii="Times New Roman" w:hAnsi="Times New Roman" w:cs="Times New Roman"/>
          <w:sz w:val="24"/>
          <w:szCs w:val="24"/>
          <w:lang w:val="en-US" w:eastAsia="zh-CN"/>
        </w:rPr>
        <w:t xml:space="preserve"> </w:t>
      </w:r>
      <w:r w:rsidR="008A282A">
        <w:rPr>
          <w:rFonts w:ascii="Times New Roman" w:hAnsi="Times New Roman" w:cs="Times New Roman"/>
          <w:sz w:val="24"/>
          <w:szCs w:val="24"/>
          <w:lang w:val="en-US" w:eastAsia="zh-CN"/>
        </w:rPr>
        <w:t xml:space="preserve">Bird’s naturalised account of incommensurability </w:t>
      </w:r>
      <w:r w:rsidR="008A282A">
        <w:rPr>
          <w:rFonts w:ascii="Times New Roman" w:hAnsi="Times New Roman" w:cs="Times New Roman"/>
          <w:sz w:val="24"/>
          <w:szCs w:val="24"/>
          <w:lang w:val="en-US" w:eastAsia="zh-CN"/>
        </w:rPr>
        <w:fldChar w:fldCharType="begin" w:fldLock="1"/>
      </w:r>
      <w:r w:rsidR="005411BA">
        <w:rPr>
          <w:rFonts w:ascii="Times New Roman" w:hAnsi="Times New Roman" w:cs="Times New Roman"/>
          <w:sz w:val="24"/>
          <w:szCs w:val="24"/>
          <w:lang w:val="en-US" w:eastAsia="zh-CN"/>
        </w:rPr>
        <w:instrText>ADDIN CSL_CITATION { "citationItems" : [ { "id" : "ITEM-1", "itemData" : { "author" : [ { "dropping-particle" : "", "family" : "Bird", "given" : "Alexander", "non-dropping-particle" : "", "parse-names" : false, "suffix" : "" } ], "container-title" : "Studies in History and Philosophy of Science", "id" : "ITEM-1", "issue" : "3", "issued" : { "date-parts" : [ [ "2002" ] ] }, "page" : "443-463", "title" : "Kuhn's Wrong Turning", "type" : "article-journal", "volume" : "33" }, "suppress-author" : 1, "uris" : [ "http://www.mendeley.com/documents/?uuid=d6292e77-253a-41dd-9845-dd6a92a0919a" ] }, { "id" : "ITEM-2", "itemData" : { "DOI" : "10.1111/j.1467-9264.2004.00166.x", "ISSN" : "0066-7374", "abstract" : "I argue that the naturalism of Thomas Kuhn's \"The Structure of Scientific Revolutions,\" which he himself later ignored, is worthy of rehabilitation. A naturalistic conception of paradigms is ripe for development with the tools of cognitive science. As a consequence a naturalistic understanding of world-change and incommensurability is also viable", "author" : [ { "dropping-particle" : "", "family" : "Bird", "given" : "Alexander", "non-dropping-particle" : "", "parse-names" : false, "suffix" : "" } ], "container-title" : "Proceedings of the Aristotelian Society", "id" : "ITEM-2", "issue" : "1", "issued" : { "date-parts" : [ [ "2005" ] ] }, "page" : "99-117", "title" : "Naturalizing Kuhn", "type" : "article-journal", "volume" : "105" }, "suppress-author" : 1, "uris" : [ "http://www.mendeley.com/documents/?uuid=913c1b0c-d5d3-4339-819d-323df0a599f1" ] }, { "id" : "ITEM-3", "itemData" : { "author" : [ { "dropping-particle" : "", "family" : "Bird", "given" : "Alexander", "non-dropping-particle" : "", "parse-names" : false, "suffix" : "" } ], "container-title" : "Rethinking Scientific Change and Theory Comparison: Stabilities, Ruptures, Incommensurabilities? (Boston Studies in the Philosophy and History of Science)", "editor" : [ { "dropping-particle" : "", "family" : "Soler", "given" : "L\u00e9na", "non-dropping-particle" : "", "parse-names" : false, "suffix" : "" }, { "dropping-particle" : "", "family" : "Sankey", "given" : "Howard", "non-dropping-particle" : "", "parse-names" : false, "suffix" : "" }, { "dropping-particle" : "", "family" : "Hoyningen-Huene", "given" : "Paul", "non-dropping-particle" : "", "parse-names" : false, "suffix" : "" } ], "id" : "ITEM-3", "issue" : "i", "issued" : { "date-parts" : [ [ "2008" ] ] }, "page" : "21-39", "publisher" : "Springer", "publisher-place" : "Dordrecht", "title" : "Incommensurability Naturalized", "type" : "chapter" }, "suppress-author" : 1, "uris" : [ "http://www.mendeley.com/documents/?uuid=a69a58b8-629b-4bf3-8ba2-4e0774c61ceb" ] } ], "mendeley" : { "formattedCitation" : "(2002; 2005; 2008)", "plainTextFormattedCitation" : "(2002; 2005; 2008)", "previouslyFormattedCitation" : "(2002; 2005; 2008)" }, "properties" : { "noteIndex" : 0 }, "schema" : "https://github.com/citation-style-language/schema/raw/master/csl-citation.json" }</w:instrText>
      </w:r>
      <w:r w:rsidR="008A282A">
        <w:rPr>
          <w:rFonts w:ascii="Times New Roman" w:hAnsi="Times New Roman" w:cs="Times New Roman"/>
          <w:sz w:val="24"/>
          <w:szCs w:val="24"/>
          <w:lang w:val="en-US" w:eastAsia="zh-CN"/>
        </w:rPr>
        <w:fldChar w:fldCharType="separate"/>
      </w:r>
      <w:r w:rsidR="008A282A" w:rsidRPr="008A282A">
        <w:rPr>
          <w:rFonts w:ascii="Times New Roman" w:hAnsi="Times New Roman" w:cs="Times New Roman"/>
          <w:noProof/>
          <w:sz w:val="24"/>
          <w:szCs w:val="24"/>
          <w:lang w:val="en-US" w:eastAsia="zh-CN"/>
        </w:rPr>
        <w:t>(2002; 2005; 2008)</w:t>
      </w:r>
      <w:r w:rsidR="008A282A">
        <w:rPr>
          <w:rFonts w:ascii="Times New Roman" w:hAnsi="Times New Roman" w:cs="Times New Roman"/>
          <w:sz w:val="24"/>
          <w:szCs w:val="24"/>
          <w:lang w:val="en-US" w:eastAsia="zh-CN"/>
        </w:rPr>
        <w:fldChar w:fldCharType="end"/>
      </w:r>
      <w:r w:rsidR="008A282A">
        <w:rPr>
          <w:rFonts w:ascii="Times New Roman" w:hAnsi="Times New Roman" w:cs="Times New Roman"/>
          <w:sz w:val="24"/>
          <w:szCs w:val="24"/>
          <w:lang w:val="en-US" w:eastAsia="zh-CN"/>
        </w:rPr>
        <w:t xml:space="preserve"> </w:t>
      </w:r>
      <w:r w:rsidR="00BA0B9D">
        <w:rPr>
          <w:rFonts w:ascii="Times New Roman" w:hAnsi="Times New Roman" w:cs="Times New Roman"/>
          <w:sz w:val="24"/>
          <w:szCs w:val="24"/>
          <w:lang w:val="en-US" w:eastAsia="zh-CN"/>
        </w:rPr>
        <w:t>has already successfully showed</w:t>
      </w:r>
      <w:r w:rsidR="008A282A">
        <w:rPr>
          <w:rFonts w:ascii="Times New Roman" w:hAnsi="Times New Roman" w:cs="Times New Roman"/>
          <w:sz w:val="24"/>
          <w:szCs w:val="24"/>
          <w:lang w:val="en-US" w:eastAsia="zh-CN"/>
        </w:rPr>
        <w:t xml:space="preserve"> how the cognitive aspect of the incommensurability thesis can be developed in terms of exemplar rather than</w:t>
      </w:r>
      <w:r w:rsidR="00BA0B9D">
        <w:rPr>
          <w:rFonts w:ascii="Times New Roman" w:hAnsi="Times New Roman" w:cs="Times New Roman"/>
          <w:sz w:val="24"/>
          <w:szCs w:val="24"/>
          <w:lang w:val="en-US" w:eastAsia="zh-CN"/>
        </w:rPr>
        <w:t xml:space="preserve"> theory</w:t>
      </w:r>
      <w:r w:rsidR="008A282A">
        <w:rPr>
          <w:rFonts w:ascii="Times New Roman" w:hAnsi="Times New Roman" w:cs="Times New Roman"/>
          <w:sz w:val="24"/>
          <w:szCs w:val="24"/>
          <w:lang w:val="en-US" w:eastAsia="zh-CN"/>
        </w:rPr>
        <w:t>.</w:t>
      </w:r>
    </w:p>
    <w:p w14:paraId="3344C61B" w14:textId="0B66E685" w:rsidR="008A4773" w:rsidRPr="00392B33" w:rsidRDefault="008A4773" w:rsidP="00C5075C">
      <w:pPr>
        <w:spacing w:beforeLines="100" w:before="240" w:afterLines="100" w:after="240" w:line="480" w:lineRule="auto"/>
        <w:rPr>
          <w:rFonts w:ascii="Times New Roman" w:hAnsi="Times New Roman" w:cs="Times New Roman"/>
          <w:sz w:val="24"/>
          <w:szCs w:val="24"/>
        </w:rPr>
      </w:pPr>
      <w:r w:rsidRPr="0008661E">
        <w:rPr>
          <w:rFonts w:ascii="Times New Roman" w:hAnsi="Times New Roman" w:cs="Times New Roman"/>
          <w:sz w:val="24"/>
          <w:szCs w:val="24"/>
        </w:rPr>
        <w:t xml:space="preserve">Thus, </w:t>
      </w:r>
      <w:r w:rsidR="00EE0199">
        <w:rPr>
          <w:rFonts w:ascii="Times New Roman" w:hAnsi="Times New Roman" w:cs="Times New Roman"/>
          <w:sz w:val="24"/>
          <w:szCs w:val="24"/>
        </w:rPr>
        <w:t xml:space="preserve">my explanation of </w:t>
      </w:r>
      <w:r w:rsidR="00EF1A2E">
        <w:rPr>
          <w:rFonts w:ascii="Times New Roman" w:hAnsi="Times New Roman" w:cs="Times New Roman"/>
          <w:sz w:val="24"/>
          <w:szCs w:val="24"/>
        </w:rPr>
        <w:t xml:space="preserve">the </w:t>
      </w:r>
      <w:r w:rsidR="00EE0199">
        <w:rPr>
          <w:rFonts w:ascii="Times New Roman" w:hAnsi="Times New Roman" w:cs="Times New Roman"/>
          <w:sz w:val="24"/>
          <w:szCs w:val="24"/>
        </w:rPr>
        <w:t xml:space="preserve">paradox </w:t>
      </w:r>
      <w:r w:rsidR="00EF1A2E">
        <w:rPr>
          <w:rFonts w:ascii="Times New Roman" w:hAnsi="Times New Roman" w:cs="Times New Roman"/>
          <w:sz w:val="24"/>
          <w:szCs w:val="24"/>
        </w:rPr>
        <w:t xml:space="preserve">of Kuhn’s legacy </w:t>
      </w:r>
      <w:r w:rsidR="00EE0199">
        <w:rPr>
          <w:rFonts w:ascii="Times New Roman" w:hAnsi="Times New Roman" w:cs="Times New Roman"/>
          <w:sz w:val="24"/>
          <w:szCs w:val="24"/>
        </w:rPr>
        <w:t>is as follows</w:t>
      </w:r>
      <w:r w:rsidRPr="0008661E">
        <w:rPr>
          <w:rFonts w:ascii="Times New Roman" w:hAnsi="Times New Roman" w:cs="Times New Roman"/>
          <w:sz w:val="24"/>
          <w:szCs w:val="24"/>
        </w:rPr>
        <w:t>.</w:t>
      </w:r>
    </w:p>
    <w:p w14:paraId="7070C40F" w14:textId="5FCCC114" w:rsidR="008A4773" w:rsidRPr="0008661E" w:rsidRDefault="008A4773" w:rsidP="00C5075C">
      <w:pPr>
        <w:pStyle w:val="ListParagraph"/>
        <w:numPr>
          <w:ilvl w:val="0"/>
          <w:numId w:val="10"/>
        </w:numPr>
        <w:spacing w:beforeLines="100" w:before="240" w:afterLines="100" w:after="240" w:line="480" w:lineRule="auto"/>
        <w:ind w:firstLineChars="0"/>
        <w:rPr>
          <w:rFonts w:ascii="Times New Roman" w:hAnsi="Times New Roman" w:cs="Times New Roman"/>
          <w:sz w:val="24"/>
          <w:szCs w:val="24"/>
        </w:rPr>
      </w:pPr>
      <w:r w:rsidRPr="0008661E">
        <w:rPr>
          <w:rFonts w:ascii="Times New Roman" w:hAnsi="Times New Roman" w:cs="Times New Roman"/>
          <w:sz w:val="24"/>
          <w:szCs w:val="24"/>
        </w:rPr>
        <w:t>Kuhn’s two major novel contributions to the twentieth-century philosophy of sci</w:t>
      </w:r>
      <w:r w:rsidR="001C413D">
        <w:rPr>
          <w:rFonts w:ascii="Times New Roman" w:hAnsi="Times New Roman" w:cs="Times New Roman"/>
          <w:sz w:val="24"/>
          <w:szCs w:val="24"/>
        </w:rPr>
        <w:t>ence are (1) the introduction of</w:t>
      </w:r>
      <w:r w:rsidR="009B0BC8">
        <w:rPr>
          <w:rFonts w:ascii="Times New Roman" w:hAnsi="Times New Roman" w:cs="Times New Roman"/>
          <w:sz w:val="24"/>
          <w:szCs w:val="24"/>
        </w:rPr>
        <w:t xml:space="preserve"> the concept of paradigm </w:t>
      </w:r>
      <w:r w:rsidR="005D705C">
        <w:rPr>
          <w:rFonts w:ascii="Times New Roman" w:hAnsi="Times New Roman" w:cs="Times New Roman"/>
          <w:sz w:val="24"/>
          <w:szCs w:val="24"/>
        </w:rPr>
        <w:t>as an alternative to theory</w:t>
      </w:r>
      <w:r w:rsidRPr="0008661E">
        <w:rPr>
          <w:rFonts w:ascii="Times New Roman" w:hAnsi="Times New Roman" w:cs="Times New Roman"/>
          <w:sz w:val="24"/>
          <w:szCs w:val="24"/>
        </w:rPr>
        <w:t xml:space="preserve"> to analyse the practice and history of scienc</w:t>
      </w:r>
      <w:r w:rsidR="001C413D">
        <w:rPr>
          <w:rFonts w:ascii="Times New Roman" w:hAnsi="Times New Roman" w:cs="Times New Roman"/>
          <w:sz w:val="24"/>
          <w:szCs w:val="24"/>
        </w:rPr>
        <w:t>e; (2) and the proposal of the i</w:t>
      </w:r>
      <w:r w:rsidRPr="0008661E">
        <w:rPr>
          <w:rFonts w:ascii="Times New Roman" w:hAnsi="Times New Roman" w:cs="Times New Roman"/>
          <w:sz w:val="24"/>
          <w:szCs w:val="24"/>
        </w:rPr>
        <w:t xml:space="preserve">ncommensurability thesis as a </w:t>
      </w:r>
      <w:r w:rsidR="00397D5B">
        <w:rPr>
          <w:rFonts w:ascii="Times New Roman" w:hAnsi="Times New Roman" w:cs="Times New Roman"/>
          <w:sz w:val="24"/>
          <w:szCs w:val="24"/>
        </w:rPr>
        <w:t xml:space="preserve">new account of </w:t>
      </w:r>
      <w:r w:rsidRPr="0008661E">
        <w:rPr>
          <w:rFonts w:ascii="Times New Roman" w:hAnsi="Times New Roman" w:cs="Times New Roman"/>
          <w:sz w:val="24"/>
          <w:szCs w:val="24"/>
        </w:rPr>
        <w:t>scientific change.</w:t>
      </w:r>
    </w:p>
    <w:p w14:paraId="311E73E1" w14:textId="22231E68" w:rsidR="008A4773" w:rsidRPr="0008661E" w:rsidRDefault="00EE0199" w:rsidP="00C5075C">
      <w:pPr>
        <w:pStyle w:val="ListParagraph"/>
        <w:numPr>
          <w:ilvl w:val="0"/>
          <w:numId w:val="10"/>
        </w:numPr>
        <w:spacing w:beforeLines="100" w:before="240" w:afterLines="100" w:after="240" w:line="480" w:lineRule="auto"/>
        <w:ind w:firstLineChars="0"/>
        <w:rPr>
          <w:rFonts w:ascii="Times New Roman" w:hAnsi="Times New Roman" w:cs="Times New Roman"/>
          <w:sz w:val="24"/>
          <w:szCs w:val="24"/>
        </w:rPr>
      </w:pPr>
      <w:r>
        <w:rPr>
          <w:rFonts w:ascii="Times New Roman" w:hAnsi="Times New Roman" w:cs="Times New Roman"/>
          <w:sz w:val="24"/>
          <w:szCs w:val="24"/>
        </w:rPr>
        <w:t>Kuhn made a conceptual</w:t>
      </w:r>
      <w:r w:rsidR="00D44C02">
        <w:rPr>
          <w:rFonts w:ascii="Times New Roman" w:hAnsi="Times New Roman" w:cs="Times New Roman"/>
          <w:sz w:val="24"/>
          <w:szCs w:val="24"/>
        </w:rPr>
        <w:t>/terminological</w:t>
      </w:r>
      <w:r w:rsidR="008A4773" w:rsidRPr="0008661E">
        <w:rPr>
          <w:rFonts w:ascii="Times New Roman" w:hAnsi="Times New Roman" w:cs="Times New Roman"/>
          <w:sz w:val="24"/>
          <w:szCs w:val="24"/>
        </w:rPr>
        <w:t xml:space="preserve"> turn in the 1970s</w:t>
      </w:r>
      <w:r w:rsidR="007534E1">
        <w:rPr>
          <w:rFonts w:ascii="Times New Roman" w:hAnsi="Times New Roman" w:cs="Times New Roman"/>
          <w:sz w:val="24"/>
          <w:szCs w:val="24"/>
        </w:rPr>
        <w:t>, which withdr</w:t>
      </w:r>
      <w:r w:rsidR="004D62FF">
        <w:rPr>
          <w:rFonts w:ascii="Times New Roman" w:hAnsi="Times New Roman" w:cs="Times New Roman"/>
          <w:sz w:val="24"/>
          <w:szCs w:val="24"/>
        </w:rPr>
        <w:t>ew</w:t>
      </w:r>
      <w:r w:rsidR="007534E1">
        <w:rPr>
          <w:rFonts w:ascii="Times New Roman" w:hAnsi="Times New Roman" w:cs="Times New Roman"/>
          <w:sz w:val="24"/>
          <w:szCs w:val="24"/>
        </w:rPr>
        <w:t xml:space="preserve"> his novel contribution</w:t>
      </w:r>
      <w:r w:rsidR="008A4773" w:rsidRPr="0008661E">
        <w:rPr>
          <w:rFonts w:ascii="Times New Roman" w:hAnsi="Times New Roman" w:cs="Times New Roman"/>
          <w:sz w:val="24"/>
          <w:szCs w:val="24"/>
        </w:rPr>
        <w:t xml:space="preserve"> (1).</w:t>
      </w:r>
    </w:p>
    <w:p w14:paraId="78503F19" w14:textId="38D6E512" w:rsidR="008A4773" w:rsidRPr="0008661E" w:rsidRDefault="008A4773" w:rsidP="00C5075C">
      <w:pPr>
        <w:pStyle w:val="ListParagraph"/>
        <w:numPr>
          <w:ilvl w:val="0"/>
          <w:numId w:val="10"/>
        </w:numPr>
        <w:spacing w:beforeLines="100" w:before="240" w:afterLines="100" w:after="240" w:line="480" w:lineRule="auto"/>
        <w:ind w:firstLineChars="0"/>
        <w:rPr>
          <w:rFonts w:ascii="Times New Roman" w:hAnsi="Times New Roman" w:cs="Times New Roman"/>
          <w:sz w:val="24"/>
          <w:szCs w:val="24"/>
        </w:rPr>
      </w:pPr>
      <w:r w:rsidRPr="0008661E">
        <w:rPr>
          <w:rFonts w:ascii="Times New Roman" w:hAnsi="Times New Roman" w:cs="Times New Roman"/>
          <w:sz w:val="24"/>
          <w:szCs w:val="24"/>
        </w:rPr>
        <w:t xml:space="preserve">Kuhn’s </w:t>
      </w:r>
      <w:r w:rsidR="005C2CB8">
        <w:rPr>
          <w:rFonts w:ascii="Times New Roman" w:hAnsi="Times New Roman" w:cs="Times New Roman"/>
          <w:sz w:val="24"/>
          <w:szCs w:val="24"/>
        </w:rPr>
        <w:t>conceptual</w:t>
      </w:r>
      <w:r w:rsidR="002A5EE2">
        <w:rPr>
          <w:rFonts w:ascii="Times New Roman" w:hAnsi="Times New Roman" w:cs="Times New Roman"/>
          <w:sz w:val="24"/>
          <w:szCs w:val="24"/>
        </w:rPr>
        <w:t>/terminological</w:t>
      </w:r>
      <w:r w:rsidR="00EE0199">
        <w:rPr>
          <w:rFonts w:ascii="Times New Roman" w:hAnsi="Times New Roman" w:cs="Times New Roman"/>
          <w:sz w:val="24"/>
          <w:szCs w:val="24"/>
        </w:rPr>
        <w:t xml:space="preserve"> turn underlies </w:t>
      </w:r>
      <w:r w:rsidRPr="0008661E">
        <w:rPr>
          <w:rFonts w:ascii="Times New Roman" w:hAnsi="Times New Roman" w:cs="Times New Roman"/>
          <w:sz w:val="24"/>
          <w:szCs w:val="24"/>
        </w:rPr>
        <w:t xml:space="preserve">his </w:t>
      </w:r>
      <w:r w:rsidR="00FE3D06">
        <w:rPr>
          <w:rFonts w:ascii="Times New Roman" w:hAnsi="Times New Roman" w:cs="Times New Roman"/>
          <w:sz w:val="24"/>
          <w:szCs w:val="24"/>
        </w:rPr>
        <w:t>focussing</w:t>
      </w:r>
      <w:r w:rsidR="002A5EE2">
        <w:rPr>
          <w:rFonts w:ascii="Times New Roman" w:hAnsi="Times New Roman" w:cs="Times New Roman"/>
          <w:sz w:val="24"/>
          <w:szCs w:val="24"/>
        </w:rPr>
        <w:t xml:space="preserve"> attention </w:t>
      </w:r>
      <w:r w:rsidR="00FE3D06">
        <w:rPr>
          <w:rFonts w:ascii="Times New Roman" w:hAnsi="Times New Roman" w:cs="Times New Roman"/>
          <w:sz w:val="24"/>
          <w:szCs w:val="24"/>
        </w:rPr>
        <w:t>upon</w:t>
      </w:r>
      <w:r w:rsidR="002A5EE2">
        <w:rPr>
          <w:rFonts w:ascii="Times New Roman" w:hAnsi="Times New Roman" w:cs="Times New Roman"/>
          <w:sz w:val="24"/>
          <w:szCs w:val="24"/>
        </w:rPr>
        <w:t xml:space="preserve"> </w:t>
      </w:r>
      <w:r w:rsidR="007F7415">
        <w:rPr>
          <w:rFonts w:ascii="Times New Roman" w:hAnsi="Times New Roman" w:cs="Times New Roman"/>
          <w:sz w:val="24"/>
          <w:szCs w:val="24"/>
        </w:rPr>
        <w:t>the</w:t>
      </w:r>
      <w:r w:rsidR="002A5EE2">
        <w:rPr>
          <w:rFonts w:ascii="Times New Roman" w:hAnsi="Times New Roman" w:cs="Times New Roman"/>
          <w:sz w:val="24"/>
          <w:szCs w:val="24"/>
        </w:rPr>
        <w:t xml:space="preserve"> semantic incommensurability</w:t>
      </w:r>
      <w:r w:rsidR="000A3D78">
        <w:rPr>
          <w:rFonts w:ascii="Times New Roman" w:hAnsi="Times New Roman" w:cs="Times New Roman"/>
          <w:sz w:val="24"/>
          <w:szCs w:val="24"/>
        </w:rPr>
        <w:t>, to the d</w:t>
      </w:r>
      <w:r w:rsidR="00FF3E1B">
        <w:rPr>
          <w:rFonts w:ascii="Times New Roman" w:hAnsi="Times New Roman" w:cs="Times New Roman"/>
          <w:sz w:val="24"/>
          <w:szCs w:val="24"/>
        </w:rPr>
        <w:t>etriment of the methodological and cognitive aspects.</w:t>
      </w:r>
    </w:p>
    <w:p w14:paraId="3991A369" w14:textId="2DF52ECA" w:rsidR="008A4773" w:rsidRPr="0008661E" w:rsidRDefault="008A4773" w:rsidP="00C5075C">
      <w:pPr>
        <w:pStyle w:val="ListParagraph"/>
        <w:numPr>
          <w:ilvl w:val="0"/>
          <w:numId w:val="10"/>
        </w:numPr>
        <w:spacing w:beforeLines="100" w:before="240" w:afterLines="100" w:after="240" w:line="480" w:lineRule="auto"/>
        <w:ind w:firstLineChars="0"/>
        <w:rPr>
          <w:rFonts w:ascii="Times New Roman" w:hAnsi="Times New Roman" w:cs="Times New Roman"/>
          <w:sz w:val="24"/>
          <w:szCs w:val="24"/>
        </w:rPr>
      </w:pPr>
      <w:r w:rsidRPr="0008661E">
        <w:rPr>
          <w:rFonts w:ascii="Times New Roman" w:hAnsi="Times New Roman" w:cs="Times New Roman"/>
          <w:sz w:val="24"/>
          <w:szCs w:val="24"/>
        </w:rPr>
        <w:t xml:space="preserve">From (b) and (c), we can conclude that it is Kuhn’s failure </w:t>
      </w:r>
      <w:r w:rsidR="007372C7">
        <w:rPr>
          <w:rFonts w:ascii="Times New Roman" w:hAnsi="Times New Roman" w:cs="Times New Roman"/>
          <w:sz w:val="24"/>
          <w:szCs w:val="24"/>
        </w:rPr>
        <w:t>to</w:t>
      </w:r>
      <w:r w:rsidRPr="0008661E">
        <w:rPr>
          <w:rFonts w:ascii="Times New Roman" w:hAnsi="Times New Roman" w:cs="Times New Roman"/>
          <w:sz w:val="24"/>
          <w:szCs w:val="24"/>
        </w:rPr>
        <w:t xml:space="preserve"> explor</w:t>
      </w:r>
      <w:r w:rsidR="007372C7">
        <w:rPr>
          <w:rFonts w:ascii="Times New Roman" w:hAnsi="Times New Roman" w:cs="Times New Roman"/>
          <w:sz w:val="24"/>
          <w:szCs w:val="24"/>
        </w:rPr>
        <w:t>e</w:t>
      </w:r>
      <w:r w:rsidRPr="0008661E">
        <w:rPr>
          <w:rFonts w:ascii="Times New Roman" w:hAnsi="Times New Roman" w:cs="Times New Roman"/>
          <w:sz w:val="24"/>
          <w:szCs w:val="24"/>
        </w:rPr>
        <w:t xml:space="preserve"> and </w:t>
      </w:r>
      <w:r w:rsidR="009B0BC8">
        <w:rPr>
          <w:rFonts w:ascii="Times New Roman" w:hAnsi="Times New Roman" w:cs="Times New Roman"/>
          <w:sz w:val="24"/>
          <w:szCs w:val="24"/>
        </w:rPr>
        <w:t>articulat</w:t>
      </w:r>
      <w:r w:rsidR="007372C7">
        <w:rPr>
          <w:rFonts w:ascii="Times New Roman" w:hAnsi="Times New Roman" w:cs="Times New Roman"/>
          <w:sz w:val="24"/>
          <w:szCs w:val="24"/>
        </w:rPr>
        <w:t>e</w:t>
      </w:r>
      <w:r w:rsidR="009B0BC8">
        <w:rPr>
          <w:rFonts w:ascii="Times New Roman" w:hAnsi="Times New Roman" w:cs="Times New Roman"/>
          <w:sz w:val="24"/>
          <w:szCs w:val="24"/>
        </w:rPr>
        <w:t xml:space="preserve"> his novel concept of paradigm</w:t>
      </w:r>
      <w:r w:rsidRPr="0008661E">
        <w:rPr>
          <w:rFonts w:ascii="Times New Roman" w:hAnsi="Times New Roman" w:cs="Times New Roman"/>
          <w:sz w:val="24"/>
          <w:szCs w:val="24"/>
        </w:rPr>
        <w:t xml:space="preserve"> as exemplar </w:t>
      </w:r>
      <w:r w:rsidR="00154FF9">
        <w:rPr>
          <w:rFonts w:ascii="Times New Roman" w:hAnsi="Times New Roman" w:cs="Times New Roman"/>
          <w:sz w:val="24"/>
          <w:szCs w:val="24"/>
        </w:rPr>
        <w:t xml:space="preserve">that </w:t>
      </w:r>
      <w:r w:rsidRPr="0008661E">
        <w:rPr>
          <w:rFonts w:ascii="Times New Roman" w:hAnsi="Times New Roman" w:cs="Times New Roman"/>
          <w:sz w:val="24"/>
          <w:szCs w:val="24"/>
        </w:rPr>
        <w:t>makes the incommensurability thesis less fruitful and plausible,</w:t>
      </w:r>
      <w:r w:rsidR="007534E1">
        <w:rPr>
          <w:rFonts w:ascii="Times New Roman" w:hAnsi="Times New Roman" w:cs="Times New Roman"/>
          <w:sz w:val="24"/>
          <w:szCs w:val="24"/>
        </w:rPr>
        <w:t xml:space="preserve"> which means that his novel contribution</w:t>
      </w:r>
      <w:r w:rsidRPr="0008661E">
        <w:rPr>
          <w:rFonts w:ascii="Times New Roman" w:hAnsi="Times New Roman" w:cs="Times New Roman"/>
          <w:sz w:val="24"/>
          <w:szCs w:val="24"/>
        </w:rPr>
        <w:t xml:space="preserve"> (2) is undermined.</w:t>
      </w:r>
    </w:p>
    <w:p w14:paraId="2336BA67" w14:textId="2D8FC954" w:rsidR="008A4773" w:rsidRPr="0008661E" w:rsidRDefault="008A4773" w:rsidP="00C5075C">
      <w:pPr>
        <w:pStyle w:val="ListParagraph"/>
        <w:numPr>
          <w:ilvl w:val="0"/>
          <w:numId w:val="10"/>
        </w:numPr>
        <w:spacing w:beforeLines="100" w:before="240" w:afterLines="100" w:after="240" w:line="480" w:lineRule="auto"/>
        <w:ind w:firstLineChars="0"/>
        <w:rPr>
          <w:rFonts w:ascii="Times New Roman" w:hAnsi="Times New Roman" w:cs="Times New Roman"/>
          <w:sz w:val="24"/>
          <w:szCs w:val="24"/>
        </w:rPr>
      </w:pPr>
      <w:r w:rsidRPr="0008661E">
        <w:rPr>
          <w:rFonts w:ascii="Times New Roman" w:hAnsi="Times New Roman" w:cs="Times New Roman"/>
          <w:sz w:val="24"/>
          <w:szCs w:val="24"/>
        </w:rPr>
        <w:lastRenderedPageBreak/>
        <w:t xml:space="preserve">Therefore, from (b) and (d), Kuhn’s failure </w:t>
      </w:r>
      <w:r w:rsidR="00435885">
        <w:rPr>
          <w:rFonts w:ascii="Times New Roman" w:hAnsi="Times New Roman" w:cs="Times New Roman"/>
          <w:sz w:val="24"/>
          <w:szCs w:val="24"/>
        </w:rPr>
        <w:t>to</w:t>
      </w:r>
      <w:r w:rsidRPr="0008661E">
        <w:rPr>
          <w:rFonts w:ascii="Times New Roman" w:hAnsi="Times New Roman" w:cs="Times New Roman"/>
          <w:sz w:val="24"/>
          <w:szCs w:val="24"/>
        </w:rPr>
        <w:t xml:space="preserve"> explor</w:t>
      </w:r>
      <w:r w:rsidR="00435885">
        <w:rPr>
          <w:rFonts w:ascii="Times New Roman" w:hAnsi="Times New Roman" w:cs="Times New Roman"/>
          <w:sz w:val="24"/>
          <w:szCs w:val="24"/>
        </w:rPr>
        <w:t>e</w:t>
      </w:r>
      <w:r w:rsidRPr="0008661E">
        <w:rPr>
          <w:rFonts w:ascii="Times New Roman" w:hAnsi="Times New Roman" w:cs="Times New Roman"/>
          <w:sz w:val="24"/>
          <w:szCs w:val="24"/>
        </w:rPr>
        <w:t xml:space="preserve"> and art</w:t>
      </w:r>
      <w:r w:rsidR="009B0BC8">
        <w:rPr>
          <w:rFonts w:ascii="Times New Roman" w:hAnsi="Times New Roman" w:cs="Times New Roman"/>
          <w:sz w:val="24"/>
          <w:szCs w:val="24"/>
        </w:rPr>
        <w:t>iculat</w:t>
      </w:r>
      <w:r w:rsidR="00435885">
        <w:rPr>
          <w:rFonts w:ascii="Times New Roman" w:hAnsi="Times New Roman" w:cs="Times New Roman"/>
          <w:sz w:val="24"/>
          <w:szCs w:val="24"/>
        </w:rPr>
        <w:t>e</w:t>
      </w:r>
      <w:r w:rsidR="009B0BC8">
        <w:rPr>
          <w:rFonts w:ascii="Times New Roman" w:hAnsi="Times New Roman" w:cs="Times New Roman"/>
          <w:sz w:val="24"/>
          <w:szCs w:val="24"/>
        </w:rPr>
        <w:t xml:space="preserve"> his novel concept of paradigm</w:t>
      </w:r>
      <w:r w:rsidRPr="0008661E">
        <w:rPr>
          <w:rFonts w:ascii="Times New Roman" w:hAnsi="Times New Roman" w:cs="Times New Roman"/>
          <w:sz w:val="24"/>
          <w:szCs w:val="24"/>
        </w:rPr>
        <w:t xml:space="preserve"> as exemplar well explains the paradox of Kuhn’s legacy.</w:t>
      </w:r>
    </w:p>
    <w:p w14:paraId="3353A329" w14:textId="002B6806" w:rsidR="00DC7F3E" w:rsidRPr="00DC7F3E" w:rsidRDefault="00DC7F3E" w:rsidP="007662A8">
      <w:pPr>
        <w:spacing w:after="200" w:line="480" w:lineRule="auto"/>
        <w:rPr>
          <w:rFonts w:ascii="Times New Roman" w:hAnsi="Times New Roman" w:cs="Times New Roman"/>
          <w:sz w:val="24"/>
          <w:szCs w:val="24"/>
        </w:rPr>
      </w:pPr>
      <w:r>
        <w:rPr>
          <w:rFonts w:ascii="Times New Roman" w:hAnsi="Times New Roman" w:cs="Times New Roman"/>
          <w:sz w:val="24"/>
          <w:szCs w:val="24"/>
        </w:rPr>
        <w:t>It should be noted that Bird</w:t>
      </w:r>
      <w:r w:rsidR="004D0AA8">
        <w:rPr>
          <w:rFonts w:ascii="Times New Roman" w:hAnsi="Times New Roman" w:cs="Times New Roman"/>
          <w:sz w:val="24"/>
          <w:szCs w:val="24"/>
        </w:rPr>
        <w:t xml:space="preserve"> </w:t>
      </w:r>
      <w:r w:rsidR="004D0AA8">
        <w:rPr>
          <w:rFonts w:ascii="Times New Roman" w:hAnsi="Times New Roman" w:cs="Times New Roman"/>
          <w:sz w:val="24"/>
          <w:szCs w:val="24"/>
        </w:rPr>
        <w:fldChar w:fldCharType="begin" w:fldLock="1"/>
      </w:r>
      <w:r w:rsidR="00F22540">
        <w:rPr>
          <w:rFonts w:ascii="Times New Roman" w:hAnsi="Times New Roman" w:cs="Times New Roman"/>
          <w:sz w:val="24"/>
          <w:szCs w:val="24"/>
        </w:rPr>
        <w:instrText>ADDIN CSL_CITATION { "citationItems" : [ { "id" : "ITEM-1", "itemData" : { "author" : [ { "dropping-particle" : "", "family" : "Bird", "given" : "Alexander", "non-dropping-particle" : "", "parse-names" : false, "suffix" : "" } ], "container-title" : "Studies in History and Philosophy of Science", "id" : "ITEM-1", "issue" : "3", "issued" : { "date-parts" : [ [ "2002" ] ] }, "page" : "443-463", "title" : "Kuhn's Wrong Turning", "type" : "article-journal", "volume" : "33" }, "locator" : "461", "suppress-author" : 1, "uris" : [ "http://www.mendeley.com/documents/?uuid=d6292e77-253a-41dd-9845-dd6a92a0919a" ] }, { "id" : "ITEM-2", "itemData" : { "DOI" : "10.1111/j.1467-9264.2004.00166.x", "ISSN" : "0066-7374", "abstract" : "I argue that the naturalism of Thomas Kuhn's \"The Structure of Scientific Revolutions,\" which he himself later ignored, is worthy of rehabilitation. A naturalistic conception of paradigms is ripe for development with the tools of cognitive science. As a consequence a naturalistic understanding of world-change and incommensurability is also viable", "author" : [ { "dropping-particle" : "", "family" : "Bird", "given" : "Alexander", "non-dropping-particle" : "", "parse-names" : false, "suffix" : "" } ], "container-title" : "Proceedings of the Aristotelian Society", "id" : "ITEM-2", "issue" : "1", "issued" : { "date-parts" : [ [ "2005" ] ] }, "page" : "99-117", "title" : "Naturalizing Kuhn", "type" : "article-journal", "volume" : "105" }, "locator" : "114", "suppress-author" : 1, "uris" : [ "http://www.mendeley.com/documents/?uuid=913c1b0c-d5d3-4339-819d-323df0a599f1" ] } ], "mendeley" : { "formattedCitation" : "(2002, 461; 2005, 114)", "plainTextFormattedCitation" : "(2002, 461; 2005, 114)", "previouslyFormattedCitation" : "(2002, 461; 2005, 114)" }, "properties" : { "noteIndex" : 0 }, "schema" : "https://github.com/citation-style-language/schema/raw/master/csl-citation.json" }</w:instrText>
      </w:r>
      <w:r w:rsidR="004D0AA8">
        <w:rPr>
          <w:rFonts w:ascii="Times New Roman" w:hAnsi="Times New Roman" w:cs="Times New Roman"/>
          <w:sz w:val="24"/>
          <w:szCs w:val="24"/>
        </w:rPr>
        <w:fldChar w:fldCharType="separate"/>
      </w:r>
      <w:r w:rsidR="004D0AA8" w:rsidRPr="004D0AA8">
        <w:rPr>
          <w:rFonts w:ascii="Times New Roman" w:hAnsi="Times New Roman" w:cs="Times New Roman"/>
          <w:noProof/>
          <w:sz w:val="24"/>
          <w:szCs w:val="24"/>
        </w:rPr>
        <w:t>(2002, 461; 2005, 114)</w:t>
      </w:r>
      <w:r w:rsidR="004D0AA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E032F">
        <w:rPr>
          <w:rFonts w:ascii="Times New Roman" w:hAnsi="Times New Roman" w:cs="Times New Roman"/>
          <w:sz w:val="24"/>
          <w:szCs w:val="24"/>
        </w:rPr>
        <w:t>seems to recognise</w:t>
      </w:r>
      <w:r>
        <w:rPr>
          <w:rFonts w:ascii="Times New Roman" w:hAnsi="Times New Roman" w:cs="Times New Roman"/>
          <w:sz w:val="24"/>
          <w:szCs w:val="24"/>
        </w:rPr>
        <w:t xml:space="preserve"> Kuhn’s conceptual/terminological turn. However, Bird fails to appreciate its significance</w:t>
      </w:r>
      <w:r w:rsidR="005770C9">
        <w:rPr>
          <w:rFonts w:ascii="Times New Roman" w:hAnsi="Times New Roman" w:cs="Times New Roman"/>
          <w:sz w:val="24"/>
          <w:szCs w:val="24"/>
        </w:rPr>
        <w:t xml:space="preserve"> fully</w:t>
      </w:r>
      <w:r>
        <w:rPr>
          <w:rFonts w:ascii="Times New Roman" w:hAnsi="Times New Roman" w:cs="Times New Roman"/>
          <w:sz w:val="24"/>
          <w:szCs w:val="24"/>
        </w:rPr>
        <w:t xml:space="preserve">. On the one hand, the conceptual/terminological turn is </w:t>
      </w:r>
      <w:r w:rsidR="009E032F">
        <w:rPr>
          <w:rFonts w:ascii="Times New Roman" w:hAnsi="Times New Roman" w:cs="Times New Roman"/>
          <w:sz w:val="24"/>
          <w:szCs w:val="24"/>
        </w:rPr>
        <w:t xml:space="preserve">just </w:t>
      </w:r>
      <w:r>
        <w:rPr>
          <w:rFonts w:ascii="Times New Roman" w:hAnsi="Times New Roman" w:cs="Times New Roman"/>
          <w:sz w:val="24"/>
          <w:szCs w:val="24"/>
        </w:rPr>
        <w:t>implicit</w:t>
      </w:r>
      <w:r w:rsidR="009E032F">
        <w:rPr>
          <w:rFonts w:ascii="Times New Roman" w:hAnsi="Times New Roman" w:cs="Times New Roman"/>
          <w:sz w:val="24"/>
          <w:szCs w:val="24"/>
        </w:rPr>
        <w:t>ly</w:t>
      </w:r>
      <w:r>
        <w:rPr>
          <w:rFonts w:ascii="Times New Roman" w:hAnsi="Times New Roman" w:cs="Times New Roman"/>
          <w:sz w:val="24"/>
          <w:szCs w:val="24"/>
        </w:rPr>
        <w:t xml:space="preserve"> </w:t>
      </w:r>
      <w:r w:rsidR="009E032F">
        <w:rPr>
          <w:rFonts w:ascii="Times New Roman" w:hAnsi="Times New Roman" w:cs="Times New Roman"/>
          <w:sz w:val="24"/>
          <w:szCs w:val="24"/>
        </w:rPr>
        <w:t xml:space="preserve">mentioned </w:t>
      </w:r>
      <w:r>
        <w:rPr>
          <w:rFonts w:ascii="Times New Roman" w:hAnsi="Times New Roman" w:cs="Times New Roman"/>
          <w:sz w:val="24"/>
          <w:szCs w:val="24"/>
        </w:rPr>
        <w:t xml:space="preserve">in Bird’s analysis. </w:t>
      </w:r>
      <w:r w:rsidR="0005489A">
        <w:rPr>
          <w:rFonts w:ascii="Times New Roman" w:hAnsi="Times New Roman" w:cs="Times New Roman"/>
          <w:sz w:val="24"/>
          <w:szCs w:val="24"/>
        </w:rPr>
        <w:t xml:space="preserve">It is in this sense that I find Bird’s diagnosis incomplete. </w:t>
      </w:r>
      <w:r>
        <w:rPr>
          <w:rFonts w:ascii="Times New Roman" w:hAnsi="Times New Roman" w:cs="Times New Roman"/>
          <w:sz w:val="24"/>
          <w:szCs w:val="24"/>
        </w:rPr>
        <w:t xml:space="preserve">On the other hand, Bird regards the conceptual/terminological turn as a consequence of </w:t>
      </w:r>
      <w:r w:rsidR="005770C9">
        <w:rPr>
          <w:rFonts w:ascii="Times New Roman" w:hAnsi="Times New Roman" w:cs="Times New Roman"/>
          <w:sz w:val="24"/>
          <w:szCs w:val="24"/>
        </w:rPr>
        <w:t>the methodological turn.</w:t>
      </w:r>
      <w:r w:rsidR="00732473">
        <w:rPr>
          <w:rFonts w:ascii="Times New Roman" w:hAnsi="Times New Roman" w:cs="Times New Roman"/>
          <w:sz w:val="24"/>
          <w:szCs w:val="24"/>
        </w:rPr>
        <w:t xml:space="preserve"> In contrast, </w:t>
      </w:r>
      <w:r w:rsidR="007662A8">
        <w:rPr>
          <w:rFonts w:ascii="Times New Roman" w:hAnsi="Times New Roman" w:cs="Times New Roman"/>
          <w:sz w:val="24"/>
          <w:szCs w:val="24"/>
        </w:rPr>
        <w:t xml:space="preserve">I argue that even if the conceptual/terminological turn does not necessarily imply the methodological </w:t>
      </w:r>
      <w:r w:rsidR="00A12F30">
        <w:rPr>
          <w:rFonts w:ascii="Times New Roman" w:hAnsi="Times New Roman" w:cs="Times New Roman"/>
          <w:sz w:val="24"/>
          <w:szCs w:val="24"/>
        </w:rPr>
        <w:t>turn, the former</w:t>
      </w:r>
      <w:r w:rsidR="007662A8">
        <w:rPr>
          <w:rFonts w:ascii="Times New Roman" w:hAnsi="Times New Roman" w:cs="Times New Roman"/>
          <w:sz w:val="24"/>
          <w:szCs w:val="24"/>
        </w:rPr>
        <w:t xml:space="preserve"> is at least as fundamental</w:t>
      </w:r>
      <w:r w:rsidR="00A12F30">
        <w:rPr>
          <w:rFonts w:ascii="Times New Roman" w:hAnsi="Times New Roman" w:cs="Times New Roman"/>
          <w:sz w:val="24"/>
          <w:szCs w:val="24"/>
        </w:rPr>
        <w:t xml:space="preserve"> as the latter</w:t>
      </w:r>
      <w:r w:rsidR="007662A8">
        <w:rPr>
          <w:rFonts w:ascii="Times New Roman" w:hAnsi="Times New Roman" w:cs="Times New Roman"/>
          <w:sz w:val="24"/>
          <w:szCs w:val="24"/>
        </w:rPr>
        <w:t xml:space="preserve">. </w:t>
      </w:r>
      <w:r w:rsidR="00A12F30">
        <w:rPr>
          <w:rFonts w:ascii="Times New Roman" w:hAnsi="Times New Roman" w:cs="Times New Roman"/>
          <w:sz w:val="24"/>
          <w:szCs w:val="24"/>
        </w:rPr>
        <w:t>They</w:t>
      </w:r>
      <w:r w:rsidR="00372AC5">
        <w:rPr>
          <w:rFonts w:ascii="Times New Roman" w:hAnsi="Times New Roman" w:cs="Times New Roman"/>
          <w:sz w:val="24"/>
          <w:szCs w:val="24"/>
        </w:rPr>
        <w:t xml:space="preserve"> </w:t>
      </w:r>
      <w:r w:rsidR="00B71DBD">
        <w:rPr>
          <w:rFonts w:ascii="Times New Roman" w:hAnsi="Times New Roman" w:cs="Times New Roman"/>
          <w:sz w:val="24"/>
          <w:szCs w:val="24"/>
        </w:rPr>
        <w:t xml:space="preserve">are </w:t>
      </w:r>
      <w:r w:rsidR="00A12F30">
        <w:rPr>
          <w:rFonts w:ascii="Times New Roman" w:hAnsi="Times New Roman" w:cs="Times New Roman"/>
          <w:sz w:val="24"/>
          <w:szCs w:val="24"/>
        </w:rPr>
        <w:t xml:space="preserve">mutually connected </w:t>
      </w:r>
      <w:r w:rsidR="008B1592">
        <w:rPr>
          <w:rFonts w:ascii="Times New Roman" w:hAnsi="Times New Roman" w:cs="Times New Roman"/>
          <w:sz w:val="24"/>
          <w:szCs w:val="24"/>
        </w:rPr>
        <w:t>and together</w:t>
      </w:r>
      <w:r w:rsidR="00A12F30">
        <w:rPr>
          <w:rFonts w:ascii="Times New Roman" w:hAnsi="Times New Roman" w:cs="Times New Roman"/>
          <w:sz w:val="24"/>
          <w:szCs w:val="24"/>
        </w:rPr>
        <w:t xml:space="preserve"> consist in</w:t>
      </w:r>
      <w:r w:rsidR="00372AC5">
        <w:rPr>
          <w:rFonts w:ascii="Times New Roman" w:hAnsi="Times New Roman" w:cs="Times New Roman"/>
          <w:sz w:val="24"/>
          <w:szCs w:val="24"/>
        </w:rPr>
        <w:t xml:space="preserve"> Kuhn’s “wrong turning” in the 1970s.</w:t>
      </w:r>
    </w:p>
    <w:p w14:paraId="579C8740" w14:textId="3AE9EB3A" w:rsidR="001449D8" w:rsidRPr="001449D8" w:rsidRDefault="00AD24DB" w:rsidP="00C5075C">
      <w:pPr>
        <w:spacing w:after="200" w:line="480" w:lineRule="auto"/>
        <w:rPr>
          <w:rFonts w:ascii="Times New Roman" w:hAnsi="Times New Roman" w:cs="Times New Roman"/>
          <w:b/>
          <w:sz w:val="24"/>
          <w:szCs w:val="24"/>
        </w:rPr>
      </w:pPr>
      <w:r>
        <w:rPr>
          <w:rFonts w:ascii="Times New Roman" w:hAnsi="Times New Roman" w:cs="Times New Roman"/>
          <w:b/>
          <w:sz w:val="24"/>
          <w:szCs w:val="24"/>
        </w:rPr>
        <w:t>4</w:t>
      </w:r>
      <w:r w:rsidR="001449D8" w:rsidRPr="001449D8">
        <w:rPr>
          <w:rFonts w:ascii="Times New Roman" w:hAnsi="Times New Roman" w:cs="Times New Roman"/>
          <w:b/>
          <w:sz w:val="24"/>
          <w:szCs w:val="24"/>
        </w:rPr>
        <w:t xml:space="preserve">. </w:t>
      </w:r>
      <w:r w:rsidR="00226E56">
        <w:rPr>
          <w:rFonts w:ascii="Times New Roman" w:hAnsi="Times New Roman" w:cs="Times New Roman"/>
          <w:b/>
          <w:sz w:val="24"/>
          <w:szCs w:val="24"/>
        </w:rPr>
        <w:t>A</w:t>
      </w:r>
      <w:r>
        <w:rPr>
          <w:rFonts w:ascii="Times New Roman" w:hAnsi="Times New Roman" w:cs="Times New Roman"/>
          <w:b/>
          <w:sz w:val="24"/>
          <w:szCs w:val="24"/>
        </w:rPr>
        <w:t xml:space="preserve"> New Interpretation of </w:t>
      </w:r>
      <w:r w:rsidR="005C4E5C">
        <w:rPr>
          <w:rFonts w:ascii="Times New Roman" w:hAnsi="Times New Roman" w:cs="Times New Roman"/>
          <w:b/>
          <w:sz w:val="24"/>
          <w:szCs w:val="24"/>
        </w:rPr>
        <w:t>Exemp</w:t>
      </w:r>
      <w:r>
        <w:rPr>
          <w:rFonts w:ascii="Times New Roman" w:hAnsi="Times New Roman" w:cs="Times New Roman"/>
          <w:b/>
          <w:sz w:val="24"/>
          <w:szCs w:val="24"/>
        </w:rPr>
        <w:t>lar</w:t>
      </w:r>
      <w:r w:rsidR="00226E56">
        <w:rPr>
          <w:rFonts w:ascii="Times New Roman" w:hAnsi="Times New Roman" w:cs="Times New Roman"/>
          <w:b/>
          <w:sz w:val="24"/>
          <w:szCs w:val="24"/>
        </w:rPr>
        <w:t xml:space="preserve"> and the Exemplar-Based Approach</w:t>
      </w:r>
    </w:p>
    <w:p w14:paraId="51F42BE6" w14:textId="0FF2DD7D" w:rsidR="006E1D1B" w:rsidRDefault="004D0AA8" w:rsidP="00C5075C">
      <w:pPr>
        <w:spacing w:after="200" w:line="480" w:lineRule="auto"/>
        <w:rPr>
          <w:rFonts w:ascii="Times New Roman" w:hAnsi="Times New Roman" w:cs="Times New Roman"/>
          <w:sz w:val="24"/>
          <w:szCs w:val="24"/>
        </w:rPr>
      </w:pPr>
      <w:r>
        <w:rPr>
          <w:rFonts w:ascii="Times New Roman" w:hAnsi="Times New Roman" w:cs="Times New Roman"/>
          <w:sz w:val="24"/>
          <w:szCs w:val="24"/>
        </w:rPr>
        <w:t>Al</w:t>
      </w:r>
      <w:r w:rsidR="00461BC8">
        <w:rPr>
          <w:rFonts w:ascii="Times New Roman" w:hAnsi="Times New Roman" w:cs="Times New Roman"/>
          <w:sz w:val="24"/>
          <w:szCs w:val="24"/>
        </w:rPr>
        <w:t xml:space="preserve">though both Bird and I argue that Kuhn’s </w:t>
      </w:r>
      <w:r w:rsidR="00461BC8" w:rsidRPr="0008661E">
        <w:rPr>
          <w:rFonts w:ascii="Times New Roman" w:hAnsi="Times New Roman" w:cs="Times New Roman"/>
          <w:sz w:val="24"/>
          <w:szCs w:val="24"/>
        </w:rPr>
        <w:t xml:space="preserve">failure of exploring and </w:t>
      </w:r>
      <w:r w:rsidR="009B0BC8">
        <w:rPr>
          <w:rFonts w:ascii="Times New Roman" w:hAnsi="Times New Roman" w:cs="Times New Roman"/>
          <w:sz w:val="24"/>
          <w:szCs w:val="24"/>
        </w:rPr>
        <w:t>articulating his novel concept of paradigm</w:t>
      </w:r>
      <w:r w:rsidR="00461BC8" w:rsidRPr="0008661E">
        <w:rPr>
          <w:rFonts w:ascii="Times New Roman" w:hAnsi="Times New Roman" w:cs="Times New Roman"/>
          <w:sz w:val="24"/>
          <w:szCs w:val="24"/>
        </w:rPr>
        <w:t xml:space="preserve"> as exemplar</w:t>
      </w:r>
      <w:r w:rsidR="00461BC8">
        <w:rPr>
          <w:rFonts w:ascii="Times New Roman" w:hAnsi="Times New Roman" w:cs="Times New Roman"/>
          <w:sz w:val="24"/>
          <w:szCs w:val="24"/>
        </w:rPr>
        <w:t xml:space="preserve"> is key to the explanation of </w:t>
      </w:r>
      <w:r w:rsidR="007A7FB5">
        <w:rPr>
          <w:rFonts w:ascii="Times New Roman" w:hAnsi="Times New Roman" w:cs="Times New Roman"/>
          <w:sz w:val="24"/>
          <w:szCs w:val="24"/>
        </w:rPr>
        <w:t xml:space="preserve">the </w:t>
      </w:r>
      <w:r w:rsidR="00461BC8">
        <w:rPr>
          <w:rFonts w:ascii="Times New Roman" w:hAnsi="Times New Roman" w:cs="Times New Roman"/>
          <w:sz w:val="24"/>
          <w:szCs w:val="24"/>
        </w:rPr>
        <w:t>paradox</w:t>
      </w:r>
      <w:r w:rsidR="007A7FB5">
        <w:rPr>
          <w:rFonts w:ascii="Times New Roman" w:hAnsi="Times New Roman" w:cs="Times New Roman"/>
          <w:sz w:val="24"/>
          <w:szCs w:val="24"/>
        </w:rPr>
        <w:t xml:space="preserve"> of Kuhn’s legacy</w:t>
      </w:r>
      <w:r w:rsidR="00461BC8">
        <w:rPr>
          <w:rFonts w:ascii="Times New Roman" w:hAnsi="Times New Roman" w:cs="Times New Roman"/>
          <w:sz w:val="24"/>
          <w:szCs w:val="24"/>
        </w:rPr>
        <w:t xml:space="preserve">, there is a crucial difference between Bird’s and my diagnosis. For Bird, </w:t>
      </w:r>
      <w:r w:rsidR="00EA189E">
        <w:rPr>
          <w:rFonts w:ascii="Times New Roman" w:hAnsi="Times New Roman" w:cs="Times New Roman"/>
          <w:sz w:val="24"/>
          <w:szCs w:val="24"/>
        </w:rPr>
        <w:t xml:space="preserve">the nature of Kuhn’s wrong turning is methodological, while I insist that it is </w:t>
      </w:r>
      <w:r w:rsidR="00342657">
        <w:rPr>
          <w:rFonts w:ascii="Times New Roman" w:hAnsi="Times New Roman" w:cs="Times New Roman"/>
          <w:sz w:val="24"/>
          <w:szCs w:val="24"/>
        </w:rPr>
        <w:t>much more complicated</w:t>
      </w:r>
      <w:r w:rsidR="00EA189E">
        <w:rPr>
          <w:rFonts w:ascii="Times New Roman" w:hAnsi="Times New Roman" w:cs="Times New Roman"/>
          <w:sz w:val="24"/>
          <w:szCs w:val="24"/>
        </w:rPr>
        <w:t xml:space="preserve">. </w:t>
      </w:r>
      <w:r w:rsidR="00DC7B9E">
        <w:rPr>
          <w:rFonts w:ascii="Times New Roman" w:hAnsi="Times New Roman" w:cs="Times New Roman"/>
          <w:sz w:val="24"/>
          <w:szCs w:val="24"/>
        </w:rPr>
        <w:t xml:space="preserve">Firstly, </w:t>
      </w:r>
      <w:r w:rsidR="006E1D1B">
        <w:rPr>
          <w:rFonts w:ascii="Times New Roman" w:hAnsi="Times New Roman" w:cs="Times New Roman"/>
          <w:sz w:val="24"/>
          <w:szCs w:val="24"/>
        </w:rPr>
        <w:t>though I agree wit</w:t>
      </w:r>
      <w:r w:rsidR="00F013B9">
        <w:rPr>
          <w:rFonts w:ascii="Times New Roman" w:hAnsi="Times New Roman" w:cs="Times New Roman"/>
          <w:sz w:val="24"/>
          <w:szCs w:val="24"/>
        </w:rPr>
        <w:t>h Bird on the point that there wa</w:t>
      </w:r>
      <w:r w:rsidR="006E1D1B">
        <w:rPr>
          <w:rFonts w:ascii="Times New Roman" w:hAnsi="Times New Roman" w:cs="Times New Roman"/>
          <w:sz w:val="24"/>
          <w:szCs w:val="24"/>
        </w:rPr>
        <w:t>s a methodological turn in Kuhn’s philosophy of science</w:t>
      </w:r>
      <w:r w:rsidR="00F013B9">
        <w:rPr>
          <w:rFonts w:ascii="Times New Roman" w:hAnsi="Times New Roman" w:cs="Times New Roman"/>
          <w:sz w:val="24"/>
          <w:szCs w:val="24"/>
        </w:rPr>
        <w:t xml:space="preserve">, </w:t>
      </w:r>
      <w:r w:rsidR="00784243">
        <w:rPr>
          <w:rFonts w:ascii="Times New Roman" w:hAnsi="Times New Roman" w:cs="Times New Roman"/>
          <w:sz w:val="24"/>
          <w:szCs w:val="24"/>
        </w:rPr>
        <w:t xml:space="preserve">it was not the only change. </w:t>
      </w:r>
      <w:r w:rsidR="00793545">
        <w:rPr>
          <w:rFonts w:ascii="Times New Roman" w:hAnsi="Times New Roman" w:cs="Times New Roman"/>
          <w:sz w:val="24"/>
          <w:szCs w:val="24"/>
        </w:rPr>
        <w:t>Even Bird</w:t>
      </w:r>
      <w:r w:rsidR="00307BCD">
        <w:rPr>
          <w:rFonts w:ascii="Times New Roman" w:hAnsi="Times New Roman" w:cs="Times New Roman"/>
          <w:sz w:val="24"/>
          <w:szCs w:val="24"/>
        </w:rPr>
        <w:t xml:space="preserve"> </w:t>
      </w:r>
      <w:r w:rsidR="00307BCD">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"author" : [ { "dropping-particle" : "", "family" : "Bird", "given" : "Alexander", "non-dropping-particle" : "", "parse-names" : false, "suffix" : "" } ], "container-title" : "Studies in History and Philosophy of Science", "id" : "ITEM-1", "issue" : "3", "issued" : { "date-parts" : [ [ "2002" ] ] }, "page" : "443-463", "title" : "Kuhn's Wrong Turning", "type" : "article-journal", "volume" : "33" }, "locator" : "461", "suppress-author" : 1, "uris" : [ "http://www.mendeley.com/documents/?uuid=d6292e77-253a-41dd-9845-dd6a92a0919a", "http://www.mendeley.com/documents/?uuid=020c0979-4b7d-43c2-8cc0-545a15bef4d9" ] } ], "mendeley" : { "formattedCitation" : "(2002, 461)", "plainTextFormattedCitation" : "(2002, 461)", "previouslyFormattedCitation" : "(2002, 461)" }, "properties" : { "noteIndex" : 0 }, "schema" : "https://github.com/citation-style-language/schema/raw/master/csl-citation.json" }</w:instrText>
      </w:r>
      <w:r w:rsidR="00307BCD">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(2002, 461)</w:t>
      </w:r>
      <w:r w:rsidR="00307BCD">
        <w:rPr>
          <w:rFonts w:ascii="Times New Roman" w:hAnsi="Times New Roman" w:cs="Times New Roman"/>
          <w:sz w:val="24"/>
          <w:szCs w:val="24"/>
        </w:rPr>
        <w:fldChar w:fldCharType="end"/>
      </w:r>
      <w:r w:rsidR="00793545">
        <w:rPr>
          <w:rFonts w:ascii="Times New Roman" w:hAnsi="Times New Roman" w:cs="Times New Roman"/>
          <w:sz w:val="24"/>
          <w:szCs w:val="24"/>
        </w:rPr>
        <w:t xml:space="preserve"> also admits that Kuhn shifted his </w:t>
      </w:r>
      <w:r w:rsidR="007F4842">
        <w:rPr>
          <w:rFonts w:ascii="Times New Roman" w:hAnsi="Times New Roman" w:cs="Times New Roman"/>
          <w:sz w:val="24"/>
          <w:szCs w:val="24"/>
        </w:rPr>
        <w:t xml:space="preserve">philosophical </w:t>
      </w:r>
      <w:r w:rsidR="00793545">
        <w:rPr>
          <w:rFonts w:ascii="Times New Roman" w:hAnsi="Times New Roman" w:cs="Times New Roman"/>
          <w:sz w:val="24"/>
          <w:szCs w:val="24"/>
        </w:rPr>
        <w:t xml:space="preserve">focus from a paradigm-based account of history of science to the reinterpretation of the incommensurability thesis. </w:t>
      </w:r>
      <w:r w:rsidR="00A96702">
        <w:rPr>
          <w:rFonts w:ascii="Times New Roman" w:hAnsi="Times New Roman" w:cs="Times New Roman"/>
          <w:sz w:val="24"/>
          <w:szCs w:val="24"/>
        </w:rPr>
        <w:t xml:space="preserve">However, Bird argues that this </w:t>
      </w:r>
      <w:r w:rsidR="00E110E4">
        <w:rPr>
          <w:rFonts w:ascii="Times New Roman" w:hAnsi="Times New Roman" w:cs="Times New Roman"/>
          <w:sz w:val="24"/>
          <w:szCs w:val="24"/>
        </w:rPr>
        <w:t>focus</w:t>
      </w:r>
      <w:r w:rsidR="008B09DB">
        <w:rPr>
          <w:rFonts w:ascii="Times New Roman" w:hAnsi="Times New Roman" w:cs="Times New Roman"/>
          <w:sz w:val="24"/>
          <w:szCs w:val="24"/>
        </w:rPr>
        <w:t>-</w:t>
      </w:r>
      <w:r w:rsidR="00FE5E47">
        <w:rPr>
          <w:rFonts w:ascii="Times New Roman" w:hAnsi="Times New Roman" w:cs="Times New Roman"/>
          <w:sz w:val="24"/>
          <w:szCs w:val="24"/>
        </w:rPr>
        <w:t>shift is a result of Kuhn’s</w:t>
      </w:r>
      <w:r w:rsidR="00A96702">
        <w:rPr>
          <w:rFonts w:ascii="Times New Roman" w:hAnsi="Times New Roman" w:cs="Times New Roman"/>
          <w:sz w:val="24"/>
          <w:szCs w:val="24"/>
        </w:rPr>
        <w:t xml:space="preserve"> methodological turn, while I argue that </w:t>
      </w:r>
      <w:r w:rsidR="00FE5E47">
        <w:rPr>
          <w:rFonts w:ascii="Times New Roman" w:hAnsi="Times New Roman" w:cs="Times New Roman"/>
          <w:sz w:val="24"/>
          <w:szCs w:val="24"/>
        </w:rPr>
        <w:t>Kuhn’s methodological turn, conceptual</w:t>
      </w:r>
      <w:r w:rsidR="006F4069">
        <w:rPr>
          <w:rFonts w:ascii="Times New Roman" w:hAnsi="Times New Roman" w:cs="Times New Roman"/>
          <w:sz w:val="24"/>
          <w:szCs w:val="24"/>
        </w:rPr>
        <w:t>/terminological</w:t>
      </w:r>
      <w:r w:rsidR="00FE5E47">
        <w:rPr>
          <w:rFonts w:ascii="Times New Roman" w:hAnsi="Times New Roman" w:cs="Times New Roman"/>
          <w:sz w:val="24"/>
          <w:szCs w:val="24"/>
        </w:rPr>
        <w:t xml:space="preserve"> turn, and </w:t>
      </w:r>
      <w:r w:rsidR="00E110E4">
        <w:rPr>
          <w:rFonts w:ascii="Times New Roman" w:hAnsi="Times New Roman" w:cs="Times New Roman"/>
          <w:sz w:val="24"/>
          <w:szCs w:val="24"/>
        </w:rPr>
        <w:t>focus</w:t>
      </w:r>
      <w:r w:rsidR="00CC5F64">
        <w:rPr>
          <w:rFonts w:ascii="Times New Roman" w:hAnsi="Times New Roman" w:cs="Times New Roman"/>
          <w:sz w:val="24"/>
          <w:szCs w:val="24"/>
        </w:rPr>
        <w:t>-shift are mutually influenc</w:t>
      </w:r>
      <w:r w:rsidR="00FE5E47">
        <w:rPr>
          <w:rFonts w:ascii="Times New Roman" w:hAnsi="Times New Roman" w:cs="Times New Roman"/>
          <w:sz w:val="24"/>
          <w:szCs w:val="24"/>
        </w:rPr>
        <w:t>ed in a complex</w:t>
      </w:r>
      <w:r w:rsidR="00EC2798">
        <w:rPr>
          <w:rFonts w:ascii="Times New Roman" w:hAnsi="Times New Roman" w:cs="Times New Roman"/>
          <w:sz w:val="24"/>
          <w:szCs w:val="24"/>
        </w:rPr>
        <w:t xml:space="preserve"> way</w:t>
      </w:r>
      <w:r w:rsidR="00FE5E47">
        <w:rPr>
          <w:rFonts w:ascii="Times New Roman" w:hAnsi="Times New Roman" w:cs="Times New Roman"/>
          <w:sz w:val="24"/>
          <w:szCs w:val="24"/>
        </w:rPr>
        <w:t xml:space="preserve">. </w:t>
      </w:r>
      <w:r w:rsidR="00E55C2D">
        <w:rPr>
          <w:rFonts w:ascii="Times New Roman" w:hAnsi="Times New Roman" w:cs="Times New Roman"/>
          <w:sz w:val="24"/>
          <w:szCs w:val="24"/>
        </w:rPr>
        <w:t>To some extent it</w:t>
      </w:r>
      <w:r w:rsidR="00186DD1">
        <w:rPr>
          <w:rFonts w:ascii="Times New Roman" w:hAnsi="Times New Roman" w:cs="Times New Roman"/>
          <w:sz w:val="24"/>
          <w:szCs w:val="24"/>
        </w:rPr>
        <w:t xml:space="preserve"> can also be argued that </w:t>
      </w:r>
      <w:r w:rsidR="00E55C2D">
        <w:rPr>
          <w:rFonts w:ascii="Times New Roman" w:hAnsi="Times New Roman" w:cs="Times New Roman"/>
          <w:sz w:val="24"/>
          <w:szCs w:val="24"/>
        </w:rPr>
        <w:t>Kuhn’s methodological turn, conceptual</w:t>
      </w:r>
      <w:r w:rsidR="007937D0">
        <w:rPr>
          <w:rFonts w:ascii="Times New Roman" w:hAnsi="Times New Roman" w:cs="Times New Roman"/>
          <w:sz w:val="24"/>
          <w:szCs w:val="24"/>
        </w:rPr>
        <w:t>/terminological</w:t>
      </w:r>
      <w:r w:rsidR="00E55C2D">
        <w:rPr>
          <w:rFonts w:ascii="Times New Roman" w:hAnsi="Times New Roman" w:cs="Times New Roman"/>
          <w:sz w:val="24"/>
          <w:szCs w:val="24"/>
        </w:rPr>
        <w:t xml:space="preserve"> turn</w:t>
      </w:r>
      <w:r w:rsidR="00186DD1">
        <w:rPr>
          <w:rFonts w:ascii="Times New Roman" w:hAnsi="Times New Roman" w:cs="Times New Roman"/>
          <w:sz w:val="24"/>
          <w:szCs w:val="24"/>
        </w:rPr>
        <w:t xml:space="preserve">, and </w:t>
      </w:r>
      <w:r w:rsidR="00E110E4">
        <w:rPr>
          <w:rFonts w:ascii="Times New Roman" w:hAnsi="Times New Roman" w:cs="Times New Roman"/>
          <w:sz w:val="24"/>
          <w:szCs w:val="24"/>
        </w:rPr>
        <w:t>focus</w:t>
      </w:r>
      <w:r w:rsidR="00186DD1">
        <w:rPr>
          <w:rFonts w:ascii="Times New Roman" w:hAnsi="Times New Roman" w:cs="Times New Roman"/>
          <w:sz w:val="24"/>
          <w:szCs w:val="24"/>
        </w:rPr>
        <w:t>-shift reflect</w:t>
      </w:r>
      <w:r w:rsidR="00E55C2D">
        <w:rPr>
          <w:rFonts w:ascii="Times New Roman" w:hAnsi="Times New Roman" w:cs="Times New Roman"/>
          <w:sz w:val="24"/>
          <w:szCs w:val="24"/>
        </w:rPr>
        <w:t xml:space="preserve"> </w:t>
      </w:r>
      <w:r w:rsidR="00186DD1">
        <w:rPr>
          <w:rFonts w:ascii="Times New Roman" w:hAnsi="Times New Roman" w:cs="Times New Roman"/>
          <w:sz w:val="24"/>
          <w:szCs w:val="24"/>
        </w:rPr>
        <w:t xml:space="preserve">the </w:t>
      </w:r>
      <w:r w:rsidR="00E55C2D">
        <w:rPr>
          <w:rFonts w:ascii="Times New Roman" w:hAnsi="Times New Roman" w:cs="Times New Roman"/>
          <w:sz w:val="24"/>
          <w:szCs w:val="24"/>
        </w:rPr>
        <w:t xml:space="preserve">different aspects of </w:t>
      </w:r>
      <w:r w:rsidR="00004F70">
        <w:rPr>
          <w:rFonts w:ascii="Times New Roman" w:hAnsi="Times New Roman" w:cs="Times New Roman"/>
          <w:sz w:val="24"/>
          <w:szCs w:val="24"/>
        </w:rPr>
        <w:t>a deeper</w:t>
      </w:r>
      <w:r w:rsidR="00E55C2D">
        <w:rPr>
          <w:rFonts w:ascii="Times New Roman" w:hAnsi="Times New Roman" w:cs="Times New Roman"/>
          <w:sz w:val="24"/>
          <w:szCs w:val="24"/>
        </w:rPr>
        <w:t xml:space="preserve"> shift in Kuhn’s philosophy of science</w:t>
      </w:r>
      <w:r w:rsidR="00186DD1">
        <w:rPr>
          <w:rFonts w:ascii="Times New Roman" w:hAnsi="Times New Roman" w:cs="Times New Roman"/>
          <w:sz w:val="24"/>
          <w:szCs w:val="24"/>
        </w:rPr>
        <w:t xml:space="preserve"> since </w:t>
      </w:r>
      <w:r w:rsidR="009858ED">
        <w:rPr>
          <w:rFonts w:ascii="Times New Roman" w:hAnsi="Times New Roman" w:cs="Times New Roman"/>
          <w:sz w:val="24"/>
          <w:szCs w:val="24"/>
        </w:rPr>
        <w:t xml:space="preserve">the </w:t>
      </w:r>
      <w:r w:rsidR="00186DD1">
        <w:rPr>
          <w:rFonts w:ascii="Times New Roman" w:hAnsi="Times New Roman" w:cs="Times New Roman"/>
          <w:sz w:val="24"/>
          <w:szCs w:val="24"/>
        </w:rPr>
        <w:t>1970s</w:t>
      </w:r>
      <w:r w:rsidR="00E55C2D">
        <w:rPr>
          <w:rFonts w:ascii="Times New Roman" w:hAnsi="Times New Roman" w:cs="Times New Roman"/>
          <w:sz w:val="24"/>
          <w:szCs w:val="24"/>
        </w:rPr>
        <w:t>.</w:t>
      </w:r>
    </w:p>
    <w:p w14:paraId="5CBBDFA9" w14:textId="70040B4B" w:rsidR="001E7561" w:rsidRDefault="00DC7B9E" w:rsidP="00C5075C">
      <w:p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Secondly</w:t>
      </w:r>
      <w:r w:rsidR="00186DD1">
        <w:rPr>
          <w:rFonts w:ascii="Times New Roman" w:hAnsi="Times New Roman" w:cs="Times New Roman"/>
          <w:sz w:val="24"/>
          <w:szCs w:val="24"/>
        </w:rPr>
        <w:t xml:space="preserve">, </w:t>
      </w:r>
      <w:r w:rsidR="00EA189E">
        <w:rPr>
          <w:rFonts w:ascii="Times New Roman" w:hAnsi="Times New Roman" w:cs="Times New Roman"/>
          <w:sz w:val="24"/>
          <w:szCs w:val="24"/>
        </w:rPr>
        <w:t xml:space="preserve">though I </w:t>
      </w:r>
      <w:r w:rsidR="00186DD1">
        <w:rPr>
          <w:rFonts w:ascii="Times New Roman" w:hAnsi="Times New Roman" w:cs="Times New Roman"/>
          <w:sz w:val="24"/>
          <w:szCs w:val="24"/>
        </w:rPr>
        <w:t xml:space="preserve">also </w:t>
      </w:r>
      <w:r w:rsidR="00EA189E">
        <w:rPr>
          <w:rFonts w:ascii="Times New Roman" w:hAnsi="Times New Roman" w:cs="Times New Roman"/>
          <w:sz w:val="24"/>
          <w:szCs w:val="24"/>
        </w:rPr>
        <w:t xml:space="preserve">agree with Bird on the point that Kuhn’s early naturalistic approach is significant and promising, </w:t>
      </w:r>
      <w:r w:rsidR="00B474C5">
        <w:rPr>
          <w:rFonts w:ascii="Times New Roman" w:hAnsi="Times New Roman" w:cs="Times New Roman"/>
          <w:sz w:val="24"/>
          <w:szCs w:val="24"/>
        </w:rPr>
        <w:t xml:space="preserve">I think that </w:t>
      </w:r>
      <w:r w:rsidR="00EA189E">
        <w:rPr>
          <w:rFonts w:ascii="Times New Roman" w:hAnsi="Times New Roman" w:cs="Times New Roman"/>
          <w:sz w:val="24"/>
          <w:szCs w:val="24"/>
        </w:rPr>
        <w:t xml:space="preserve">it is not the only significant and promising element in </w:t>
      </w:r>
      <w:r w:rsidR="00EA189E" w:rsidRPr="00EA189E">
        <w:rPr>
          <w:rFonts w:ascii="Times New Roman" w:hAnsi="Times New Roman" w:cs="Times New Roman"/>
          <w:i/>
          <w:sz w:val="24"/>
          <w:szCs w:val="24"/>
        </w:rPr>
        <w:t>SSR</w:t>
      </w:r>
      <w:r w:rsidR="00EA189E">
        <w:rPr>
          <w:rFonts w:ascii="Times New Roman" w:hAnsi="Times New Roman" w:cs="Times New Roman"/>
          <w:sz w:val="24"/>
          <w:szCs w:val="24"/>
        </w:rPr>
        <w:t>. Nor am</w:t>
      </w:r>
      <w:r w:rsidR="00437945">
        <w:rPr>
          <w:rFonts w:ascii="Times New Roman" w:hAnsi="Times New Roman" w:cs="Times New Roman"/>
          <w:sz w:val="24"/>
          <w:szCs w:val="24"/>
        </w:rPr>
        <w:t xml:space="preserve"> I convinced that a naturalistic</w:t>
      </w:r>
      <w:r w:rsidR="00EA189E">
        <w:rPr>
          <w:rFonts w:ascii="Times New Roman" w:hAnsi="Times New Roman" w:cs="Times New Roman"/>
          <w:sz w:val="24"/>
          <w:szCs w:val="24"/>
        </w:rPr>
        <w:t xml:space="preserve"> </w:t>
      </w:r>
      <w:r w:rsidR="00437945">
        <w:rPr>
          <w:rFonts w:ascii="Times New Roman" w:hAnsi="Times New Roman" w:cs="Times New Roman"/>
          <w:sz w:val="24"/>
          <w:szCs w:val="24"/>
        </w:rPr>
        <w:t>approach to</w:t>
      </w:r>
      <w:r w:rsidR="00EA189E">
        <w:rPr>
          <w:rFonts w:ascii="Times New Roman" w:hAnsi="Times New Roman" w:cs="Times New Roman"/>
          <w:sz w:val="24"/>
          <w:szCs w:val="24"/>
        </w:rPr>
        <w:t xml:space="preserve"> exemplar and incommensurability thesis is the only promisi</w:t>
      </w:r>
      <w:r w:rsidR="00437945">
        <w:rPr>
          <w:rFonts w:ascii="Times New Roman" w:hAnsi="Times New Roman" w:cs="Times New Roman"/>
          <w:sz w:val="24"/>
          <w:szCs w:val="24"/>
        </w:rPr>
        <w:t>ng way to develop the concept</w:t>
      </w:r>
      <w:r w:rsidR="00EA189E">
        <w:rPr>
          <w:rFonts w:ascii="Times New Roman" w:hAnsi="Times New Roman" w:cs="Times New Roman"/>
          <w:sz w:val="24"/>
          <w:szCs w:val="24"/>
        </w:rPr>
        <w:t xml:space="preserve"> of exemplar and the incommensurability thesis. </w:t>
      </w:r>
      <w:r w:rsidR="00186DD1">
        <w:rPr>
          <w:rFonts w:ascii="Times New Roman" w:hAnsi="Times New Roman" w:cs="Times New Roman"/>
          <w:sz w:val="24"/>
          <w:szCs w:val="24"/>
        </w:rPr>
        <w:t>In contrast, Kuhn’s incommensurability thesis can be developed pluralistically, as his original version suggests.</w:t>
      </w:r>
      <w:r w:rsidR="00F22540">
        <w:rPr>
          <w:rFonts w:ascii="Times New Roman" w:hAnsi="Times New Roman" w:cs="Times New Roman"/>
          <w:sz w:val="24"/>
          <w:szCs w:val="24"/>
        </w:rPr>
        <w:t xml:space="preserve"> Hasok Chang </w:t>
      </w:r>
      <w:r w:rsidR="00F22540">
        <w:rPr>
          <w:rFonts w:ascii="Times New Roman" w:hAnsi="Times New Roman" w:cs="Times New Roman"/>
          <w:sz w:val="24"/>
          <w:szCs w:val="24"/>
        </w:rPr>
        <w:fldChar w:fldCharType="begin" w:fldLock="1"/>
      </w:r>
      <w:r w:rsidR="003B2ED3">
        <w:rPr>
          <w:rFonts w:ascii="Times New Roman" w:hAnsi="Times New Roman" w:cs="Times New Roman"/>
          <w:sz w:val="24"/>
          <w:szCs w:val="24"/>
        </w:rPr>
        <w:instrText>ADDIN CSL_CITATION { "citationItems" : [ { "id" : "ITEM-1", "itemData" : { "author" : [ { "dropping-particle" : "", "family" : "Chang", "given" : "Hasok", "non-dropping-particle" : "", "parse-names" : false, "suffix" : "" } ], "chapter-number" : "8", "container-title" : "Kuhn's The Structure of Scientific Revolutions Revisited", "editor" : [ { "dropping-particle" : "", "family" : "Kindi", "given" : "Vasso", "non-dropping-particle" : "", "parse-names" : false, "suffix" : "" }, { "dropping-particle" : "", "family" : "Arabatzis", "given" : "Theodore", "non-dropping-particle" : "", "parse-names" : false, "suffix" : "" } ], "id" : "ITEM-1", "issued" : { "date-parts" : [ [ "2012" ] ] }, "page" : "153-176", "publisher" : "Routledge", "publisher-place" : "New York and London", "title" : "Incommensurability: Revisiting the Chemical Revolution", "type" : "chapter" }, "suppress-author" : 1, "uris" : [ "http://www.mendeley.com/documents/?uuid=ddf506e0-c467-42a2-ba6b-1e87b65dd67a" ] } ], "mendeley" : { "formattedCitation" : "(2012)", "plainTextFormattedCitation" : "(2012)", "previouslyFormattedCitation" : "(2012)" }, "properties" : { "noteIndex" : 0 }, "schema" : "https://github.com/citation-style-language/schema/raw/master/csl-citation.json" }</w:instrText>
      </w:r>
      <w:r w:rsidR="00F22540">
        <w:rPr>
          <w:rFonts w:ascii="Times New Roman" w:hAnsi="Times New Roman" w:cs="Times New Roman"/>
          <w:sz w:val="24"/>
          <w:szCs w:val="24"/>
        </w:rPr>
        <w:fldChar w:fldCharType="separate"/>
      </w:r>
      <w:r w:rsidR="00F22540" w:rsidRPr="00F22540">
        <w:rPr>
          <w:rFonts w:ascii="Times New Roman" w:hAnsi="Times New Roman" w:cs="Times New Roman"/>
          <w:noProof/>
          <w:sz w:val="24"/>
          <w:szCs w:val="24"/>
        </w:rPr>
        <w:t>(2012)</w:t>
      </w:r>
      <w:r w:rsidR="00F22540">
        <w:rPr>
          <w:rFonts w:ascii="Times New Roman" w:hAnsi="Times New Roman" w:cs="Times New Roman"/>
          <w:sz w:val="24"/>
          <w:szCs w:val="24"/>
        </w:rPr>
        <w:fldChar w:fldCharType="end"/>
      </w:r>
      <w:r w:rsidR="00F22540">
        <w:rPr>
          <w:rFonts w:ascii="Times New Roman" w:hAnsi="Times New Roman" w:cs="Times New Roman"/>
          <w:sz w:val="24"/>
          <w:szCs w:val="24"/>
        </w:rPr>
        <w:t xml:space="preserve">, for example, develops a methodological incommensurability thesis </w:t>
      </w:r>
      <w:r w:rsidR="001759D4">
        <w:rPr>
          <w:rFonts w:ascii="Times New Roman" w:hAnsi="Times New Roman" w:cs="Times New Roman"/>
          <w:sz w:val="24"/>
          <w:szCs w:val="24"/>
        </w:rPr>
        <w:t>to illustrate</w:t>
      </w:r>
      <w:r w:rsidR="00F22540">
        <w:rPr>
          <w:rFonts w:ascii="Times New Roman" w:hAnsi="Times New Roman" w:cs="Times New Roman"/>
          <w:sz w:val="24"/>
          <w:szCs w:val="24"/>
        </w:rPr>
        <w:t xml:space="preserve"> the chemical revolution.</w:t>
      </w:r>
      <w:r w:rsidR="00186DD1">
        <w:rPr>
          <w:rFonts w:ascii="Times New Roman" w:hAnsi="Times New Roman" w:cs="Times New Roman"/>
          <w:sz w:val="24"/>
          <w:szCs w:val="24"/>
        </w:rPr>
        <w:t xml:space="preserve"> </w:t>
      </w:r>
    </w:p>
    <w:p w14:paraId="66DE32DC" w14:textId="40B9265D" w:rsidR="00F0360B" w:rsidRPr="003433E2" w:rsidRDefault="00400856" w:rsidP="003433E2">
      <w:pPr>
        <w:pStyle w:val="NormalWeb"/>
        <w:spacing w:before="0" w:beforeAutospacing="0" w:after="200" w:afterAutospacing="0" w:line="480" w:lineRule="auto"/>
        <w:rPr>
          <w:lang w:eastAsia="en-US"/>
        </w:rPr>
      </w:pPr>
      <w:r>
        <w:rPr>
          <w:rFonts w:ascii="Times New Roman" w:hAnsi="Times New Roman"/>
          <w:sz w:val="24"/>
          <w:szCs w:val="24"/>
        </w:rPr>
        <w:t xml:space="preserve">Moreover, I </w:t>
      </w:r>
      <w:r w:rsidR="008B09DB">
        <w:rPr>
          <w:rFonts w:ascii="Times New Roman" w:hAnsi="Times New Roman"/>
          <w:sz w:val="24"/>
          <w:szCs w:val="24"/>
        </w:rPr>
        <w:t>shall argue that</w:t>
      </w:r>
      <w:r w:rsidR="00C31AB2">
        <w:rPr>
          <w:rFonts w:ascii="Times New Roman" w:hAnsi="Times New Roman"/>
          <w:sz w:val="24"/>
          <w:szCs w:val="24"/>
        </w:rPr>
        <w:t xml:space="preserve"> there are many o</w:t>
      </w:r>
      <w:r w:rsidR="00DC7B9E">
        <w:rPr>
          <w:rFonts w:ascii="Times New Roman" w:hAnsi="Times New Roman"/>
          <w:sz w:val="24"/>
          <w:szCs w:val="24"/>
        </w:rPr>
        <w:t>ther aspects of Kuhn’s conception of exemplar</w:t>
      </w:r>
      <w:r w:rsidR="00C31AB2">
        <w:rPr>
          <w:rFonts w:ascii="Times New Roman" w:hAnsi="Times New Roman"/>
          <w:sz w:val="24"/>
          <w:szCs w:val="24"/>
        </w:rPr>
        <w:t xml:space="preserve"> to be explored.</w:t>
      </w:r>
      <w:r w:rsidR="00DC7B9E">
        <w:rPr>
          <w:rFonts w:ascii="Times New Roman" w:hAnsi="Times New Roman"/>
          <w:sz w:val="24"/>
          <w:szCs w:val="24"/>
        </w:rPr>
        <w:t xml:space="preserve"> For example</w:t>
      </w:r>
      <w:r w:rsidR="00A41AAD" w:rsidRPr="00AA51D0">
        <w:rPr>
          <w:rFonts w:ascii="Times New Roman" w:hAnsi="Times New Roman"/>
          <w:sz w:val="24"/>
          <w:szCs w:val="24"/>
        </w:rPr>
        <w:t xml:space="preserve">, </w:t>
      </w:r>
      <w:r w:rsidR="00AA51D0" w:rsidRPr="00AA51D0">
        <w:rPr>
          <w:rFonts w:ascii="Times New Roman" w:hAnsi="Times New Roman"/>
          <w:sz w:val="24"/>
          <w:szCs w:val="24"/>
        </w:rPr>
        <w:t>though it is never expl</w:t>
      </w:r>
      <w:r w:rsidR="00457C9A">
        <w:rPr>
          <w:rFonts w:ascii="Times New Roman" w:hAnsi="Times New Roman"/>
          <w:sz w:val="24"/>
          <w:szCs w:val="24"/>
        </w:rPr>
        <w:t>icitly stated, Kuhn’s concept</w:t>
      </w:r>
      <w:r w:rsidR="00AA51D0" w:rsidRPr="00AA51D0">
        <w:rPr>
          <w:rFonts w:ascii="Times New Roman" w:hAnsi="Times New Roman"/>
          <w:sz w:val="24"/>
          <w:szCs w:val="24"/>
        </w:rPr>
        <w:t xml:space="preserve"> of paradigm suggests a </w:t>
      </w:r>
      <w:r w:rsidR="00DB73A3" w:rsidRPr="00AA51D0">
        <w:rPr>
          <w:rFonts w:ascii="Times New Roman" w:hAnsi="Times New Roman"/>
          <w:sz w:val="24"/>
          <w:szCs w:val="24"/>
        </w:rPr>
        <w:t>practice-oriented</w:t>
      </w:r>
      <w:r w:rsidR="00AA51D0" w:rsidRPr="00AA51D0">
        <w:rPr>
          <w:rFonts w:ascii="Times New Roman" w:hAnsi="Times New Roman"/>
          <w:sz w:val="24"/>
          <w:szCs w:val="24"/>
        </w:rPr>
        <w:t xml:space="preserve"> philosophy of science, which is eventually echoed by the recent practical turn in philosophy of science. For many philosophers </w:t>
      </w:r>
      <w:r w:rsidR="00AA51D0" w:rsidRPr="00AA51D0">
        <w:rPr>
          <w:rFonts w:ascii="Times New Roman" w:hAnsi="Times New Roman"/>
          <w:sz w:val="24"/>
          <w:szCs w:val="24"/>
        </w:rPr>
        <w:fldChar w:fldCharType="begin" w:fldLock="1"/>
      </w:r>
      <w:r w:rsidR="00FC604E">
        <w:rPr>
          <w:rFonts w:ascii="Times New Roman" w:hAnsi="Times New Roman"/>
          <w:sz w:val="24"/>
          <w:szCs w:val="24"/>
        </w:rPr>
        <w:instrText>ADDIN CSL_CITATION { "citationItems" : [ { "id" : "ITEM-1", "itemData" : { "DOI" : "10.4324/9781315857985", "ISBN" : "9780415722957", "author" : [ { "dropping-particle" : "", "family" : "Chang", "given" : "Hasok", "non-dropping-particle" : "", "parse-names" : false, "suffix" : "" } ], "chapter-number" : "2", "container-title" : "Science after the practice turn in the philosophy, history and social studies of science", "editor" : [ { "dropping-particle" : "", "family" : "Soler", "given" : "L\u00e9na", "non-dropping-particle" : "", "parse-names" : false, "suffix" : "" }, { "dropping-particle" : "", "family" : "Zwart", "given" : "Sjoerd", "non-dropping-particle" : "", "parse-names" : false, "suffix" : "" }, { "dropping-particle" : "", "family" : "Lynch", "given" : "Michael", "non-dropping-particle" : "", "parse-names" : false, "suffix" : "" }, { "dropping-particle" : "", "family" : "Israel-Jost", "given" : "Vincent", "non-dropping-particle" : "", "parse-names" : false, "suffix" : "" } ], "id" : "ITEM-1", "issued" : { "date-parts" : [ [ "2014" ] ] }, "page" : "67-79", "publisher" : "Rodopi", "publisher-place" : "New York and London", "title" : "Epistemic Activities and Systems of Practice: Units of Analysis in Philosophy of Science after the Practical Turn", "type" : "chapter" }, "locator" : "67", "prefix" : "e.g., ", "uris" : [ "http://www.mendeley.com/documents/?uuid=734179a6-e0f5-4d71-8cb6-02ee379e213d", "http://www.mendeley.com/documents/?uuid=fdbc58f9-05fb-4d02-b856-ecb5ae621b5b" ] }, { "id" : "ITEM-2", "itemData" : { "author" : [ { "dropping-particle" : "", "family" : "Soler", "given" : "L\u00e9na", "non-dropping-particle" : "", "parse-names" : false, "suffix" : "" }, { "dropping-particle" : "", "family" : "Zwart", "given" : "Sjoerd", "non-dropping-particle" : "", "parse-names" : false, "suffix" : "" }, { "dropping-particle" : "", "family" : "Lynch", "given" : "Michael", "non-dropping-particle" : "", "parse-names" : false, "suffix" : "" }, { "dropping-particle" : "", "family" : "Israel-Jost", "given" : "Vincent", "non-dropping-particle" : "", "parse-names" : false, "suffix" : "" } ], "container-title" : "Science after the practice turn in the philosophy, history and social studies of science", "editor" : [ { "dropping-particle" : "", "family" : "Soler", "given" : "L\u00e9na", "non-dropping-particle" : "", "parse-names" : false, "suffix" : "" }, { "dropping-particle" : "", "family" : "Zwart", "given" : "Sjoerd", "non-dropping-particle" : "", "parse-names" : false, "suffix" : "" }, { "dropping-particle" : "", "family" : "Lynch", "given" : "Michael", "non-dropping-particle" : "", "parse-names" : false, "suffix" : "" }, { "dropping-particle" : "", "family" : "Israel-Jost", "given" : "Vincent", "non-dropping-particle" : "", "parse-names" : false, "suffix" : "" } ], "id" : "ITEM-2", "issued" : { "date-parts" : [ [ "2014" ] ] }, "page" : "1-43", "publisher" : "Routledge", "publisher-place" : "New York", "title" : "Introduction", "type" : "chapter" }, "locator" : "21-22", "uris" : [ "http://www.mendeley.com/documents/?uuid=46c8ab84-f6e5-416a-a572-6ea1150ed401", "http://www.mendeley.com/documents/?uuid=a13afff7-27a2-4a64-b671-a86ff6b830f0" ] }, { "id" : "ITEM-3", "itemData" : { "author" : [ { "dropping-particle" : "", "family" : "Waters", "given" : "C. Kenneth", "non-dropping-particle" : "", "parse-names" : false, "suffix" : "" } ], "container-title" : "New Directions in the Philosophy of Science", "editor" : [ { "dropping-particle" : "", "family" : "Galavotti", "given" : "Maria Carla", "non-dropping-particle" : "", "parse-names" : false, "suffix" : "" }, { "dropping-particle" : "", "family" : "Dieks", "given" : "Dennis", "non-dropping-particle" : "", "parse-names" : false, "suffix" : "" }, { "dropping-particle" : "", "family" : "Gonzalez", "given" : "Wenceslao J.", "non-dropping-particle" : "", "parse-names" : false, "suffix" : "" }, { "dropping-particle" : "", "family" : "Hartmann", "given" : "Stephan", "non-dropping-particle" : "", "parse-names" : false, "suffix" : "" }, { "dropping-particle" : "", "family" : "Uebel", "given" : "Thomas", "non-dropping-particle" : "", "parse-names" : false, "suffix" : "" }, { "dropping-particle" : "", "family" : "Weber", "given" : "Marcel", "non-dropping-particle" : "", "parse-names" : false, "suffix" : "" } ], "id" : "ITEM-3", "issued" : { "date-parts" : [ [ "2014" ] ] }, "page" : "121-139", "publisher" : "Springer", "publisher-place" : "Dordrecht", "title" : "Shifting Attention from Theory to Practice in Philosophy of Biology", "type" : "chapter" }, "locator" : "121", "uris" : [ "http://www.mendeley.com/documents/?uuid=b880c5a0-3db9-4d76-8f9b-b9274117c30b", "http://www.mendeley.com/documents/?uuid=2332cb2c-90ff-49e9-9323-32a8057486ff" ] }, { "id" : "ITEM-4", "itemData" : { "author" : [ { "dropping-particle" : "", "family" : "Giere", "given" : "Donald", "non-dropping-particle" : "", "parse-names" : false, "suffix" : "" } ], "chapter-number" : "5", "container-title" : "Integrating History and Philosophy of Science: Problems and Prospects", "editor" : [ { "dropping-particle" : "", "family" : "Mauskopf", "given" : "Seymour", "non-dropping-particle" : "", "parse-names" : false, "suffix" : "" }, { "dropping-particle" : "", "family" : "Schmaltz", "given" : "Tad", "non-dropping-particle" : "", "parse-names" : false, "suffix" : "" } ], "id" : "ITEM-4", "issued" : { "date-parts" : [ [ "2011" ] ] }, "page" : "59-65", "publisher" : "Springer", "publisher-place" : "Dordrecht", "title" : "History and Philosophy of Science: Thirty-Five Years Later", "type" : "chapter" }, "locator" : "61", "uris" : [ "http://www.mendeley.com/documents/?uuid=acea31bb-8be0-4ff6-b226-c995a0524290", "http://www.mendeley.com/documents/?uuid=d4b9478c-f53f-4f02-a4a6-1e66ec20e3b3" ] } ], "mendeley" : { "formattedCitation" : "(e.g., Chang 2014, 67; Soler et al. 2014, 21\u201322; Waters 2014, 121; Giere 2011, 61)", "plainTextFormattedCitation" : "(e.g., Chang 2014, 67; Soler et al. 2014, 21\u201322; Waters 2014, 121; Giere 2011, 61)", "previouslyFormattedCitation" : "(e.g., Chang 2014, 67; Soler et al. 2014, 21\u201322; Waters 2014, 121; Giere 2011, 61)" }, "properties" : { "noteIndex" : 0 }, "schema" : "https://github.com/citation-style-language/schema/raw/master/csl-citation.json" }</w:instrText>
      </w:r>
      <w:r w:rsidR="00AA51D0" w:rsidRPr="00AA51D0">
        <w:rPr>
          <w:rFonts w:ascii="Times New Roman" w:hAnsi="Times New Roman"/>
          <w:sz w:val="24"/>
          <w:szCs w:val="24"/>
        </w:rPr>
        <w:fldChar w:fldCharType="separate"/>
      </w:r>
      <w:r w:rsidR="007136DE" w:rsidRPr="007136DE">
        <w:rPr>
          <w:rFonts w:ascii="Times New Roman" w:hAnsi="Times New Roman"/>
          <w:noProof/>
          <w:sz w:val="24"/>
          <w:szCs w:val="24"/>
        </w:rPr>
        <w:t>(e.g., Chang 2014, 67; Soler et al. 2014, 21–22; Waters 2014, 121; Giere 2011, 61)</w:t>
      </w:r>
      <w:r w:rsidR="00AA51D0" w:rsidRPr="00AA51D0">
        <w:rPr>
          <w:rFonts w:ascii="Times New Roman" w:hAnsi="Times New Roman"/>
          <w:sz w:val="24"/>
          <w:szCs w:val="24"/>
        </w:rPr>
        <w:fldChar w:fldCharType="end"/>
      </w:r>
      <w:r w:rsidR="00AA51D0" w:rsidRPr="00AA51D0">
        <w:rPr>
          <w:rFonts w:ascii="Times New Roman" w:hAnsi="Times New Roman"/>
          <w:sz w:val="24"/>
          <w:szCs w:val="24"/>
        </w:rPr>
        <w:t xml:space="preserve">, the central issue in contemporary philosophy of science should and has gradually shifted from what scientists find out to how </w:t>
      </w:r>
      <w:r w:rsidR="00C0579D">
        <w:rPr>
          <w:rFonts w:ascii="Times New Roman" w:hAnsi="Times New Roman"/>
          <w:sz w:val="24"/>
          <w:szCs w:val="24"/>
        </w:rPr>
        <w:t xml:space="preserve">scientists find out, and from scientific </w:t>
      </w:r>
      <w:r w:rsidR="00DC7B9E">
        <w:rPr>
          <w:rFonts w:ascii="Times New Roman" w:hAnsi="Times New Roman"/>
          <w:sz w:val="24"/>
          <w:szCs w:val="24"/>
        </w:rPr>
        <w:t>(</w:t>
      </w:r>
      <w:r w:rsidR="00C0579D">
        <w:rPr>
          <w:rFonts w:ascii="Times New Roman" w:hAnsi="Times New Roman"/>
          <w:sz w:val="24"/>
          <w:szCs w:val="24"/>
        </w:rPr>
        <w:t>theoretical</w:t>
      </w:r>
      <w:r w:rsidR="00DC7B9E">
        <w:rPr>
          <w:rFonts w:ascii="Times New Roman" w:hAnsi="Times New Roman"/>
          <w:sz w:val="24"/>
          <w:szCs w:val="24"/>
        </w:rPr>
        <w:t>)</w:t>
      </w:r>
      <w:r w:rsidR="00C0579D">
        <w:rPr>
          <w:rFonts w:ascii="Times New Roman" w:hAnsi="Times New Roman"/>
          <w:sz w:val="24"/>
          <w:szCs w:val="24"/>
        </w:rPr>
        <w:t xml:space="preserve"> knowledge to scientific </w:t>
      </w:r>
      <w:r w:rsidR="004F176F">
        <w:rPr>
          <w:rFonts w:ascii="Times New Roman" w:hAnsi="Times New Roman"/>
          <w:sz w:val="24"/>
          <w:szCs w:val="24"/>
        </w:rPr>
        <w:t>practice</w:t>
      </w:r>
      <w:r w:rsidR="00DC7B9E">
        <w:rPr>
          <w:rFonts w:ascii="Times New Roman" w:hAnsi="Times New Roman"/>
          <w:sz w:val="24"/>
          <w:szCs w:val="24"/>
        </w:rPr>
        <w:t xml:space="preserve">. </w:t>
      </w:r>
      <w:r w:rsidR="001A4E22">
        <w:rPr>
          <w:rFonts w:ascii="Times New Roman" w:hAnsi="Times New Roman"/>
          <w:sz w:val="24"/>
          <w:szCs w:val="24"/>
        </w:rPr>
        <w:t>Kuhn’s ver</w:t>
      </w:r>
      <w:r w:rsidR="00F0360B">
        <w:rPr>
          <w:rFonts w:ascii="Times New Roman" w:hAnsi="Times New Roman"/>
          <w:sz w:val="24"/>
          <w:szCs w:val="24"/>
        </w:rPr>
        <w:t xml:space="preserve">y first definition of paradigm </w:t>
      </w:r>
      <w:r w:rsidR="001A4E22">
        <w:rPr>
          <w:rFonts w:ascii="Times New Roman" w:hAnsi="Times New Roman"/>
          <w:sz w:val="24"/>
          <w:szCs w:val="24"/>
        </w:rPr>
        <w:t>was practice-oriented</w:t>
      </w:r>
      <w:r w:rsidR="00991BFF">
        <w:rPr>
          <w:rFonts w:ascii="Times New Roman" w:hAnsi="Times New Roman"/>
          <w:sz w:val="24"/>
          <w:szCs w:val="24"/>
        </w:rPr>
        <w:t xml:space="preserve"> </w:t>
      </w:r>
      <w:r w:rsidR="00991BFF">
        <w:rPr>
          <w:rFonts w:ascii="Times New Roman" w:hAnsi="Times New Roman"/>
          <w:sz w:val="24"/>
          <w:szCs w:val="24"/>
        </w:rPr>
        <w:fldChar w:fldCharType="begin" w:fldLock="1"/>
      </w:r>
      <w:r w:rsidR="00384DA3">
        <w:rPr>
          <w:rFonts w:ascii="Times New Roman" w:hAnsi="Times New Roman"/>
          <w:sz w:val="24"/>
          <w:szCs w:val="24"/>
        </w:rPr>
        <w:instrText>ADDIN CSL_CITATION { "citationItems" : [ { "id" : "ITEM-1", "itemData" : { "author" : [ { "dropping-particle" : "", "family" : "Kuhn", "given" : "Thomas Samuel", "non-dropping-particle" : "", "parse-names" : false, "suffix" : "" } ], "edition" : "2nd", "id" : "ITEM-1", "issued" : { "date-parts" : [ [ "1970" ] ] }, "publisher" : "University of Chicago Press", "publisher-place" : "Chicago, IL", "title" : "The Structure of Scientific Revolutions", "type" : "book" }, "locator" : "10", "suppress-author" : 1, "uris" : [ "http://www.mendeley.com/documents/?uuid=bdadb4d5-5622-49a8-89f9-43f6b3b7e8aa", "http://www.mendeley.com/documents/?uuid=6f92ef14-2dc4-439d-96b3-44304c32cc59" ] } ], "mendeley" : { "formattedCitation" : "(1970, 10)", "plainTextFormattedCitation" : "(1970, 10)", "previouslyFormattedCitation" : "(1970, 10)" }, "properties" : { "noteIndex" : 0 }, "schema" : "https://github.com/citation-style-language/schema/raw/master/csl-citation.json" }</w:instrText>
      </w:r>
      <w:r w:rsidR="00991BFF">
        <w:rPr>
          <w:rFonts w:ascii="Times New Roman" w:hAnsi="Times New Roman"/>
          <w:sz w:val="24"/>
          <w:szCs w:val="24"/>
        </w:rPr>
        <w:fldChar w:fldCharType="separate"/>
      </w:r>
      <w:r w:rsidR="00593750" w:rsidRPr="00593750">
        <w:rPr>
          <w:rFonts w:ascii="Times New Roman" w:hAnsi="Times New Roman"/>
          <w:noProof/>
          <w:sz w:val="24"/>
          <w:szCs w:val="24"/>
        </w:rPr>
        <w:t>(1970, 10)</w:t>
      </w:r>
      <w:r w:rsidR="00991BFF">
        <w:rPr>
          <w:rFonts w:ascii="Times New Roman" w:hAnsi="Times New Roman"/>
          <w:sz w:val="24"/>
          <w:szCs w:val="24"/>
        </w:rPr>
        <w:fldChar w:fldCharType="end"/>
      </w:r>
      <w:r w:rsidR="00C0579D">
        <w:rPr>
          <w:rFonts w:ascii="Times New Roman" w:hAnsi="Times New Roman"/>
          <w:sz w:val="24"/>
          <w:szCs w:val="24"/>
        </w:rPr>
        <w:t>: P</w:t>
      </w:r>
      <w:r w:rsidR="001A4E22">
        <w:rPr>
          <w:rFonts w:ascii="Times New Roman" w:hAnsi="Times New Roman"/>
          <w:sz w:val="24"/>
          <w:szCs w:val="24"/>
        </w:rPr>
        <w:t>aradigms are “some accepted examples of actual scientific practice – examples which include law, theory, application, and instrumentation together –</w:t>
      </w:r>
      <w:r w:rsidR="00C0579D">
        <w:rPr>
          <w:rFonts w:ascii="Times New Roman" w:hAnsi="Times New Roman"/>
          <w:sz w:val="24"/>
          <w:szCs w:val="24"/>
        </w:rPr>
        <w:t xml:space="preserve"> [which]</w:t>
      </w:r>
      <w:r w:rsidR="001A4E22">
        <w:rPr>
          <w:rFonts w:ascii="Times New Roman" w:hAnsi="Times New Roman"/>
          <w:sz w:val="24"/>
          <w:szCs w:val="24"/>
        </w:rPr>
        <w:t xml:space="preserve"> provide models from which spring particular coherent traditions of scientific research.” </w:t>
      </w:r>
      <w:r w:rsidR="008F0834">
        <w:rPr>
          <w:rFonts w:ascii="Times New Roman" w:hAnsi="Times New Roman"/>
          <w:sz w:val="24"/>
          <w:szCs w:val="24"/>
        </w:rPr>
        <w:t>In addition, the</w:t>
      </w:r>
      <w:r w:rsidR="00C0579D">
        <w:rPr>
          <w:rFonts w:ascii="Times New Roman" w:hAnsi="Times New Roman"/>
          <w:sz w:val="24"/>
          <w:szCs w:val="24"/>
        </w:rPr>
        <w:t xml:space="preserve"> </w:t>
      </w:r>
      <w:r w:rsidR="004A32B5">
        <w:rPr>
          <w:rFonts w:ascii="Times New Roman" w:hAnsi="Times New Roman"/>
          <w:sz w:val="24"/>
          <w:szCs w:val="24"/>
        </w:rPr>
        <w:t>prac</w:t>
      </w:r>
      <w:r w:rsidR="008F0834">
        <w:rPr>
          <w:rFonts w:ascii="Times New Roman" w:hAnsi="Times New Roman"/>
          <w:sz w:val="24"/>
          <w:szCs w:val="24"/>
        </w:rPr>
        <w:t xml:space="preserve">tice-oriented implication of Kuhn’s philosophy is also reflected in his </w:t>
      </w:r>
      <w:r w:rsidR="00014C31">
        <w:rPr>
          <w:rFonts w:ascii="Times New Roman" w:hAnsi="Times New Roman"/>
          <w:sz w:val="24"/>
          <w:szCs w:val="24"/>
        </w:rPr>
        <w:t>emphasis</w:t>
      </w:r>
      <w:r w:rsidR="00C0579D">
        <w:rPr>
          <w:rFonts w:ascii="Times New Roman" w:hAnsi="Times New Roman"/>
          <w:sz w:val="24"/>
          <w:szCs w:val="24"/>
        </w:rPr>
        <w:t xml:space="preserve"> on the significance of the activities</w:t>
      </w:r>
      <w:r w:rsidR="004A32B5">
        <w:rPr>
          <w:rFonts w:ascii="Times New Roman" w:hAnsi="Times New Roman"/>
          <w:sz w:val="24"/>
          <w:szCs w:val="24"/>
        </w:rPr>
        <w:t xml:space="preserve"> of puzzle-solving in the history of science</w:t>
      </w:r>
      <w:r w:rsidR="008F0834">
        <w:rPr>
          <w:rFonts w:ascii="Times New Roman" w:hAnsi="Times New Roman"/>
          <w:sz w:val="24"/>
          <w:szCs w:val="24"/>
        </w:rPr>
        <w:t xml:space="preserve">. </w:t>
      </w:r>
      <w:r w:rsidR="009B48C9">
        <w:rPr>
          <w:rFonts w:ascii="Times New Roman" w:hAnsi="Times New Roman"/>
          <w:sz w:val="24"/>
          <w:szCs w:val="24"/>
        </w:rPr>
        <w:t>Some</w:t>
      </w:r>
      <w:r w:rsidR="00E17DCE">
        <w:rPr>
          <w:rFonts w:ascii="Times New Roman" w:hAnsi="Times New Roman"/>
          <w:sz w:val="24"/>
          <w:szCs w:val="24"/>
        </w:rPr>
        <w:t xml:space="preserve"> </w:t>
      </w:r>
      <w:r w:rsidR="00E17DCE">
        <w:rPr>
          <w:rFonts w:ascii="Times New Roman" w:hAnsi="Times New Roman"/>
          <w:sz w:val="24"/>
          <w:szCs w:val="24"/>
        </w:rPr>
        <w:fldChar w:fldCharType="begin" w:fldLock="1"/>
      </w:r>
      <w:r w:rsidR="005944A4">
        <w:rPr>
          <w:rFonts w:ascii="Times New Roman" w:hAnsi="Times New Roman"/>
          <w:sz w:val="24"/>
          <w:szCs w:val="24"/>
        </w:rPr>
        <w:instrText>ADDIN CSL_CITATION { "citationItems" : [ { "id" : "ITEM-1", "itemData" : { "author" : [ { "dropping-particle" : "", "family" : "Nickles", "given" : "Thomas", "non-dropping-particle" : "", "parse-names" : false, "suffix" : "" } ], "chapter-number" : "6", "container-title" : "Thomas Kuhn", "editor" : [ { "dropping-particle" : "", "family" : "Nickles", "given" : "Thomas", "non-dropping-particle" : "", "parse-names" : false, "suffix" : "" } ], "id" : "ITEM-1", "issued" : { "date-parts" : [ [ "2003" ] ] }, "page" : "142-177", "publisher" : "Cambridge University Press", "publisher-place" : "Cambridge", "title" : "Normal Science: From Logic to Case-Based and Model-Based Reasoning", "type" : "chapter" }, "prefix" : "e.g., ", "uris" : [ "http://www.mendeley.com/documents/?uuid=d9c504cd-a817-4e79-92cf-3ee9ee99b124" ] }, { "id" : "ITEM-2", "itemData" : { "ISBN" : "0521792061 9780521792066 0521796482 9780521796484 ST - Kuhn's philosophy of scientific practice", "abstract" : "KUHN'S PHILOSOPHY OF SCIENTIFIC PRACTICE1 Joseph Rouse Wesleyan University The opening sentence of The Structure of Scientific Revolutions is often thought to be prophetic. Kuhn proclaimed that \u201chistory of science... could produce a decisive ... \\n", "author" : [ { "dropping-particle" : "", "family" : "Rouse", "given" : "J", "non-dropping-particle" : "", "parse-names" : false, "suffix" : "" } ], "container-title" : "Thomas Kuhn", "editor" : [ { "dropping-particle" : "", "family" : "Nickles", "given" : "Thomas", "non-dropping-particle" : "", "parse-names" : false, "suffix" : "" } ], "id" : "ITEM-2", "issued" : { "date-parts" : [ [ "2003" ] ] }, "page" : "101-121", "publisher" : "Cambridge University Press", "publisher-place" : "Cambridge", "title" : "Kuhn\u2019s Philosophy of Scientific Practice", "type" : "chapter" }, "uris" : [ "http://www.mendeley.com/documents/?uuid=4c0300c0-c074-4f0e-9a5b-3d9f0080e1ab" ] } ], "mendeley" : { "formattedCitation" : "(e.g., Nickles 2003; Rouse 2003)", "plainTextFormattedCitation" : "(e.g., Nickles 2003; Rouse 2003)", "previouslyFormattedCitation" : "(e.g., Nickles 2003; Rouse 2003)" }, "properties" : { "noteIndex" : 0 }, "schema" : "https://github.com/citation-style-language/schema/raw/master/csl-citation.json" }</w:instrText>
      </w:r>
      <w:r w:rsidR="00E17DCE">
        <w:rPr>
          <w:rFonts w:ascii="Times New Roman" w:hAnsi="Times New Roman"/>
          <w:sz w:val="24"/>
          <w:szCs w:val="24"/>
        </w:rPr>
        <w:fldChar w:fldCharType="separate"/>
      </w:r>
      <w:r w:rsidR="005944A4" w:rsidRPr="005944A4">
        <w:rPr>
          <w:rFonts w:ascii="Times New Roman" w:hAnsi="Times New Roman"/>
          <w:noProof/>
          <w:sz w:val="24"/>
          <w:szCs w:val="24"/>
        </w:rPr>
        <w:t>(e.g., Nickles 2003; Rouse 2003)</w:t>
      </w:r>
      <w:r w:rsidR="00E17DCE">
        <w:rPr>
          <w:rFonts w:ascii="Times New Roman" w:hAnsi="Times New Roman"/>
          <w:sz w:val="24"/>
          <w:szCs w:val="24"/>
        </w:rPr>
        <w:fldChar w:fldCharType="end"/>
      </w:r>
      <w:r w:rsidR="00E17DCE">
        <w:rPr>
          <w:rFonts w:ascii="Times New Roman" w:hAnsi="Times New Roman"/>
          <w:sz w:val="24"/>
          <w:szCs w:val="24"/>
        </w:rPr>
        <w:t xml:space="preserve"> have already </w:t>
      </w:r>
      <w:r w:rsidR="00451558">
        <w:rPr>
          <w:rFonts w:ascii="Times New Roman" w:hAnsi="Times New Roman"/>
          <w:sz w:val="24"/>
          <w:szCs w:val="24"/>
        </w:rPr>
        <w:t>recognised the significance of</w:t>
      </w:r>
      <w:r w:rsidR="00E17DCE">
        <w:rPr>
          <w:rFonts w:ascii="Times New Roman" w:hAnsi="Times New Roman"/>
          <w:sz w:val="24"/>
          <w:szCs w:val="24"/>
        </w:rPr>
        <w:t xml:space="preserve"> the practical aspect of exemplar</w:t>
      </w:r>
      <w:r w:rsidR="00C34D9D">
        <w:rPr>
          <w:rFonts w:ascii="Times New Roman" w:hAnsi="Times New Roman"/>
          <w:sz w:val="24"/>
          <w:szCs w:val="24"/>
        </w:rPr>
        <w:t xml:space="preserve">. </w:t>
      </w:r>
      <w:r w:rsidR="009B4ED5">
        <w:rPr>
          <w:rFonts w:ascii="Times New Roman" w:hAnsi="Times New Roman"/>
          <w:sz w:val="24"/>
          <w:szCs w:val="24"/>
        </w:rPr>
        <w:t xml:space="preserve">For instance, </w:t>
      </w:r>
      <w:r w:rsidR="00F04261">
        <w:rPr>
          <w:rFonts w:ascii="Times New Roman" w:hAnsi="Times New Roman"/>
          <w:sz w:val="24"/>
          <w:szCs w:val="24"/>
        </w:rPr>
        <w:t xml:space="preserve">as Joseph Rouse </w:t>
      </w:r>
      <w:r w:rsidR="00F04261">
        <w:rPr>
          <w:rFonts w:ascii="Times New Roman" w:hAnsi="Times New Roman"/>
          <w:sz w:val="24"/>
          <w:szCs w:val="24"/>
        </w:rPr>
        <w:fldChar w:fldCharType="begin" w:fldLock="1"/>
      </w:r>
      <w:r w:rsidR="00F04261">
        <w:rPr>
          <w:rFonts w:ascii="Times New Roman" w:hAnsi="Times New Roman"/>
          <w:sz w:val="24"/>
          <w:szCs w:val="24"/>
        </w:rPr>
        <w:instrText>ADDIN CSL_CITATION { "citationItems" : [ { "id" : "ITEM-1", "itemData" : { "ISBN" : "0521792061 9780521792066 0521796482 9780521796484 ST - Kuhn's philosophy of scientific practice", "abstract" : "KUHN'S PHILOSOPHY OF SCIENTIFIC PRACTICE1 Joseph Rouse Wesleyan University The opening sentence of The Structure of Scientific Revolutions is often thought to be prophetic. Kuhn proclaimed that \u201chistory of science... could produce a decisive ... \\n", "author" : [ { "dropping-particle" : "", "family" : "Rouse", "given" : "J", "non-dropping-particle" : "", "parse-names" : false, "suffix" : "" } ], "container-title" : "Thomas Kuhn", "editor" : [ { "dropping-particle" : "", "family" : "Nickles", "given" : "Thomas", "non-dropping-particle" : "", "parse-names" : false, "suffix" : "" } ], "id" : "ITEM-1", "issued" : { "date-parts" : [ [ "2003" ] ] }, "page" : "101-121", "publisher" : "Cambridge University Press", "publisher-place" : "Cambridge", "title" : "Kuhn\u2019s Philosophy of Scientific Practice", "type" : "chapter" }, "locator" : "107", "suppress-author" : 1, "uris" : [ "http://www.mendeley.com/documents/?uuid=4c0300c0-c074-4f0e-9a5b-3d9f0080e1ab" ] } ], "mendeley" : { "formattedCitation" : "(2003, 107)", "plainTextFormattedCitation" : "(2003, 107)", "previouslyFormattedCitation" : "(2003, 107)" }, "properties" : { "noteIndex" : 0 }, "schema" : "https://github.com/citation-style-language/schema/raw/master/csl-citation.json" }</w:instrText>
      </w:r>
      <w:r w:rsidR="00F04261">
        <w:rPr>
          <w:rFonts w:ascii="Times New Roman" w:hAnsi="Times New Roman"/>
          <w:sz w:val="24"/>
          <w:szCs w:val="24"/>
        </w:rPr>
        <w:fldChar w:fldCharType="separate"/>
      </w:r>
      <w:r w:rsidR="00F04261" w:rsidRPr="00593750">
        <w:rPr>
          <w:rFonts w:ascii="Times New Roman" w:hAnsi="Times New Roman"/>
          <w:noProof/>
          <w:sz w:val="24"/>
          <w:szCs w:val="24"/>
        </w:rPr>
        <w:t>(2003, 107)</w:t>
      </w:r>
      <w:r w:rsidR="00F04261">
        <w:rPr>
          <w:rFonts w:ascii="Times New Roman" w:hAnsi="Times New Roman"/>
          <w:sz w:val="24"/>
          <w:szCs w:val="24"/>
        </w:rPr>
        <w:fldChar w:fldCharType="end"/>
      </w:r>
      <w:r w:rsidR="00F04261">
        <w:rPr>
          <w:rFonts w:ascii="Times New Roman" w:hAnsi="Times New Roman"/>
          <w:sz w:val="24"/>
          <w:szCs w:val="24"/>
        </w:rPr>
        <w:t xml:space="preserve"> suggests, </w:t>
      </w:r>
      <w:r w:rsidR="009B4ED5">
        <w:rPr>
          <w:rFonts w:ascii="Times New Roman" w:hAnsi="Times New Roman"/>
          <w:sz w:val="24"/>
          <w:szCs w:val="24"/>
        </w:rPr>
        <w:t>p</w:t>
      </w:r>
      <w:r w:rsidR="006D188A">
        <w:rPr>
          <w:rFonts w:ascii="Times New Roman" w:hAnsi="Times New Roman"/>
          <w:sz w:val="24"/>
          <w:szCs w:val="24"/>
        </w:rPr>
        <w:t>aradigms as exemplars can be understoo</w:t>
      </w:r>
      <w:r w:rsidR="00004F70">
        <w:rPr>
          <w:rFonts w:ascii="Times New Roman" w:hAnsi="Times New Roman"/>
          <w:sz w:val="24"/>
          <w:szCs w:val="24"/>
        </w:rPr>
        <w:t>d</w:t>
      </w:r>
      <w:r w:rsidR="00F04261">
        <w:rPr>
          <w:rFonts w:ascii="Times New Roman" w:hAnsi="Times New Roman"/>
          <w:sz w:val="24"/>
          <w:szCs w:val="24"/>
        </w:rPr>
        <w:t xml:space="preserve"> as</w:t>
      </w:r>
      <w:r w:rsidR="00C34D9D">
        <w:rPr>
          <w:rFonts w:ascii="Times New Roman" w:hAnsi="Times New Roman"/>
          <w:sz w:val="24"/>
          <w:szCs w:val="24"/>
        </w:rPr>
        <w:t xml:space="preserve"> </w:t>
      </w:r>
      <w:r w:rsidR="006D188A">
        <w:rPr>
          <w:rFonts w:ascii="Times New Roman" w:hAnsi="Times New Roman"/>
          <w:sz w:val="24"/>
          <w:szCs w:val="24"/>
        </w:rPr>
        <w:t>“</w:t>
      </w:r>
      <w:r w:rsidR="006D188A" w:rsidRPr="006D188A">
        <w:rPr>
          <w:rFonts w:ascii="Times New Roman" w:hAnsi="Times New Roman"/>
          <w:sz w:val="24"/>
          <w:szCs w:val="24"/>
          <w:lang w:eastAsia="en-US"/>
        </w:rPr>
        <w:t>exemplary ways of conceptualizing and interv</w:t>
      </w:r>
      <w:r w:rsidR="006D188A">
        <w:rPr>
          <w:rFonts w:ascii="Times New Roman" w:hAnsi="Times New Roman"/>
          <w:sz w:val="24"/>
          <w:szCs w:val="24"/>
          <w:lang w:eastAsia="en-US"/>
        </w:rPr>
        <w:t>ening in particular situations.</w:t>
      </w:r>
      <w:r w:rsidR="006D188A">
        <w:rPr>
          <w:rFonts w:ascii="Times New Roman" w:hAnsi="Times New Roman"/>
          <w:sz w:val="24"/>
          <w:szCs w:val="24"/>
        </w:rPr>
        <w:t xml:space="preserve">” </w:t>
      </w:r>
      <w:r w:rsidR="008F0834">
        <w:rPr>
          <w:rFonts w:ascii="Times New Roman" w:hAnsi="Times New Roman"/>
          <w:sz w:val="24"/>
          <w:szCs w:val="24"/>
        </w:rPr>
        <w:t xml:space="preserve">Thus, </w:t>
      </w:r>
      <w:r w:rsidR="00823A82">
        <w:rPr>
          <w:rFonts w:ascii="Times New Roman" w:hAnsi="Times New Roman"/>
          <w:sz w:val="24"/>
          <w:szCs w:val="24"/>
        </w:rPr>
        <w:t xml:space="preserve">along with Rouse, </w:t>
      </w:r>
      <w:r w:rsidR="008F0834">
        <w:rPr>
          <w:rFonts w:ascii="Times New Roman" w:hAnsi="Times New Roman"/>
          <w:sz w:val="24"/>
          <w:szCs w:val="24"/>
        </w:rPr>
        <w:t>I argue that a</w:t>
      </w:r>
      <w:r w:rsidR="006F760B">
        <w:rPr>
          <w:rFonts w:ascii="Times New Roman" w:hAnsi="Times New Roman"/>
          <w:sz w:val="24"/>
          <w:szCs w:val="24"/>
        </w:rPr>
        <w:t xml:space="preserve"> more rigorous</w:t>
      </w:r>
      <w:r w:rsidR="00C0579D">
        <w:rPr>
          <w:rFonts w:ascii="Times New Roman" w:hAnsi="Times New Roman"/>
          <w:sz w:val="24"/>
          <w:szCs w:val="24"/>
        </w:rPr>
        <w:t xml:space="preserve"> practice-</w:t>
      </w:r>
      <w:r w:rsidR="006F760B">
        <w:rPr>
          <w:rFonts w:ascii="Times New Roman" w:hAnsi="Times New Roman"/>
          <w:sz w:val="24"/>
          <w:szCs w:val="24"/>
        </w:rPr>
        <w:t>based</w:t>
      </w:r>
      <w:r w:rsidR="00C0579D">
        <w:rPr>
          <w:rFonts w:ascii="Times New Roman" w:hAnsi="Times New Roman"/>
          <w:sz w:val="24"/>
          <w:szCs w:val="24"/>
        </w:rPr>
        <w:t xml:space="preserve"> articulation of exemplar will contribute to </w:t>
      </w:r>
      <w:r w:rsidR="00004F70">
        <w:rPr>
          <w:rFonts w:ascii="Times New Roman" w:hAnsi="Times New Roman"/>
          <w:sz w:val="24"/>
          <w:szCs w:val="24"/>
        </w:rPr>
        <w:t>the ongoing movement term</w:t>
      </w:r>
      <w:r w:rsidR="008F0834">
        <w:rPr>
          <w:rFonts w:ascii="Times New Roman" w:hAnsi="Times New Roman"/>
          <w:sz w:val="24"/>
          <w:szCs w:val="24"/>
        </w:rPr>
        <w:t>ed philosophy of science in practice.</w:t>
      </w:r>
      <w:r w:rsidR="006F760B">
        <w:rPr>
          <w:rFonts w:ascii="Times New Roman" w:hAnsi="Times New Roman"/>
          <w:sz w:val="24"/>
          <w:szCs w:val="24"/>
        </w:rPr>
        <w:t xml:space="preserve"> </w:t>
      </w:r>
      <w:r w:rsidR="00FF0C1C">
        <w:rPr>
          <w:rFonts w:ascii="Times New Roman" w:hAnsi="Times New Roman"/>
          <w:sz w:val="24"/>
          <w:szCs w:val="24"/>
        </w:rPr>
        <w:t xml:space="preserve">More </w:t>
      </w:r>
      <w:r w:rsidR="00FF0C1C">
        <w:rPr>
          <w:rFonts w:ascii="Times New Roman" w:hAnsi="Times New Roman"/>
          <w:sz w:val="24"/>
          <w:szCs w:val="24"/>
        </w:rPr>
        <w:lastRenderedPageBreak/>
        <w:t>specifically</w:t>
      </w:r>
      <w:r w:rsidR="00DB73A3">
        <w:rPr>
          <w:rFonts w:ascii="Times New Roman" w:hAnsi="Times New Roman"/>
          <w:sz w:val="24"/>
          <w:szCs w:val="24"/>
        </w:rPr>
        <w:t xml:space="preserve">, </w:t>
      </w:r>
      <w:r w:rsidR="00FF0C1C">
        <w:rPr>
          <w:rFonts w:ascii="Times New Roman" w:hAnsi="Times New Roman"/>
          <w:sz w:val="24"/>
          <w:szCs w:val="24"/>
        </w:rPr>
        <w:t xml:space="preserve">I contend that </w:t>
      </w:r>
      <w:r w:rsidR="00AF4298">
        <w:rPr>
          <w:rFonts w:ascii="Times New Roman" w:hAnsi="Times New Roman"/>
          <w:sz w:val="24"/>
          <w:szCs w:val="24"/>
        </w:rPr>
        <w:t xml:space="preserve">a better articulation of exemplar will provide a useful tool to analyse the history and practice of science. </w:t>
      </w:r>
      <w:r w:rsidR="00F0360B">
        <w:rPr>
          <w:rFonts w:ascii="Times New Roman" w:hAnsi="Times New Roman"/>
          <w:sz w:val="24"/>
          <w:szCs w:val="24"/>
        </w:rPr>
        <w:t>In the rest of this section, I will propose a new interpretation of exemplar</w:t>
      </w:r>
      <w:r w:rsidR="0021324F">
        <w:rPr>
          <w:rFonts w:ascii="Times New Roman" w:hAnsi="Times New Roman"/>
          <w:sz w:val="24"/>
          <w:szCs w:val="24"/>
        </w:rPr>
        <w:t xml:space="preserve"> and correspondingly an exemplar-based approach to analysing</w:t>
      </w:r>
      <w:r w:rsidR="00FD160E">
        <w:rPr>
          <w:rFonts w:ascii="Times New Roman" w:hAnsi="Times New Roman"/>
          <w:sz w:val="24"/>
          <w:szCs w:val="24"/>
        </w:rPr>
        <w:t xml:space="preserve"> the development of scientific practice</w:t>
      </w:r>
      <w:r w:rsidR="00F0360B">
        <w:rPr>
          <w:rFonts w:ascii="Times New Roman" w:hAnsi="Times New Roman"/>
          <w:sz w:val="24"/>
          <w:szCs w:val="24"/>
        </w:rPr>
        <w:t xml:space="preserve">. </w:t>
      </w:r>
    </w:p>
    <w:p w14:paraId="58FCD105" w14:textId="47B00FE6" w:rsidR="00AE2BCD" w:rsidRPr="003B100E" w:rsidRDefault="003B100E" w:rsidP="003B100E">
      <w:pPr>
        <w:spacing w:after="200" w:line="480" w:lineRule="auto"/>
        <w:rPr>
          <w:rFonts w:ascii="Times New Roman" w:hAnsi="Times New Roman" w:cs="Times New Roman"/>
          <w:sz w:val="24"/>
          <w:szCs w:val="24"/>
        </w:rPr>
      </w:pPr>
      <w:r w:rsidRPr="003B100E">
        <w:rPr>
          <w:rFonts w:ascii="Times New Roman" w:hAnsi="Times New Roman" w:cs="Times New Roman"/>
          <w:sz w:val="24"/>
          <w:szCs w:val="24"/>
        </w:rPr>
        <w:t xml:space="preserve">For Kuhn, </w:t>
      </w:r>
      <w:r w:rsidR="00AE2BCD" w:rsidRPr="003B100E">
        <w:rPr>
          <w:rFonts w:ascii="Times New Roman" w:hAnsi="Times New Roman" w:cs="Times New Roman"/>
          <w:sz w:val="24"/>
          <w:szCs w:val="24"/>
        </w:rPr>
        <w:t xml:space="preserve">exemplars as problem-solutions play an indispensable role in the practice of puzzle-solving. It is Kuhn’s novel contribution to </w:t>
      </w:r>
      <w:r w:rsidR="002769B3">
        <w:rPr>
          <w:rFonts w:ascii="Times New Roman" w:hAnsi="Times New Roman" w:cs="Times New Roman"/>
          <w:sz w:val="24"/>
          <w:szCs w:val="24"/>
        </w:rPr>
        <w:t xml:space="preserve">introduce </w:t>
      </w:r>
      <w:r w:rsidR="00AE2BCD" w:rsidRPr="003B100E">
        <w:rPr>
          <w:rFonts w:ascii="Times New Roman" w:hAnsi="Times New Roman" w:cs="Times New Roman"/>
          <w:sz w:val="24"/>
          <w:szCs w:val="24"/>
        </w:rPr>
        <w:t>the significance of puzzle-solving in the scientific practice into the philosophy of science community.</w:t>
      </w:r>
      <w:r w:rsidR="001E3B39">
        <w:rPr>
          <w:rFonts w:ascii="Times New Roman" w:hAnsi="Times New Roman" w:cs="Times New Roman"/>
          <w:sz w:val="24"/>
          <w:szCs w:val="24"/>
        </w:rPr>
        <w:t xml:space="preserve"> However, Kuhn's concept</w:t>
      </w:r>
      <w:r w:rsidR="00B5434A">
        <w:rPr>
          <w:rFonts w:ascii="Times New Roman" w:hAnsi="Times New Roman" w:cs="Times New Roman"/>
          <w:sz w:val="24"/>
          <w:szCs w:val="24"/>
        </w:rPr>
        <w:t xml:space="preserve"> of exemplar</w:t>
      </w:r>
      <w:r w:rsidR="00004F70">
        <w:rPr>
          <w:rFonts w:ascii="Times New Roman" w:hAnsi="Times New Roman" w:cs="Times New Roman"/>
          <w:sz w:val="24"/>
          <w:szCs w:val="24"/>
        </w:rPr>
        <w:t xml:space="preserve"> still lacks</w:t>
      </w:r>
      <w:r w:rsidR="00AE2BCD" w:rsidRPr="003B100E">
        <w:rPr>
          <w:rFonts w:ascii="Times New Roman" w:hAnsi="Times New Roman" w:cs="Times New Roman"/>
          <w:sz w:val="24"/>
          <w:szCs w:val="24"/>
        </w:rPr>
        <w:t xml:space="preserve"> a full</w:t>
      </w:r>
      <w:r w:rsidR="00EA1D47">
        <w:rPr>
          <w:rFonts w:ascii="Times New Roman" w:hAnsi="Times New Roman" w:cs="Times New Roman"/>
          <w:sz w:val="24"/>
          <w:szCs w:val="24"/>
        </w:rPr>
        <w:t>er</w:t>
      </w:r>
      <w:r w:rsidR="00AE2BCD" w:rsidRPr="003B100E">
        <w:rPr>
          <w:rFonts w:ascii="Times New Roman" w:hAnsi="Times New Roman" w:cs="Times New Roman"/>
          <w:sz w:val="24"/>
          <w:szCs w:val="24"/>
        </w:rPr>
        <w:t xml:space="preserve"> articulation. </w:t>
      </w:r>
      <w:r w:rsidR="00991BFF">
        <w:rPr>
          <w:rFonts w:ascii="Times New Roman" w:hAnsi="Times New Roman" w:cs="Times New Roman"/>
          <w:sz w:val="24"/>
          <w:szCs w:val="24"/>
        </w:rPr>
        <w:t>In other word</w:t>
      </w:r>
      <w:r w:rsidR="00E110E4">
        <w:rPr>
          <w:rFonts w:ascii="Times New Roman" w:hAnsi="Times New Roman" w:cs="Times New Roman"/>
          <w:sz w:val="24"/>
          <w:szCs w:val="24"/>
        </w:rPr>
        <w:t>s</w:t>
      </w:r>
      <w:r w:rsidR="00AE2BCD" w:rsidRPr="003B100E">
        <w:rPr>
          <w:rFonts w:ascii="Times New Roman" w:hAnsi="Times New Roman" w:cs="Times New Roman"/>
          <w:sz w:val="24"/>
          <w:szCs w:val="24"/>
        </w:rPr>
        <w:t xml:space="preserve">, Kuhn’s own definition of exemplar is too thin and premature. Many significant problems concerning exemplars are yet to be explored. Firstly, Kuhn says little on how an exemplar is first established or </w:t>
      </w:r>
      <w:r w:rsidR="00E7285D">
        <w:rPr>
          <w:rFonts w:ascii="Times New Roman" w:hAnsi="Times New Roman" w:cs="Times New Roman"/>
          <w:sz w:val="24"/>
          <w:szCs w:val="24"/>
        </w:rPr>
        <w:t xml:space="preserve">constructed further. As Thomas Nickles </w:t>
      </w:r>
      <w:r w:rsidR="00302671">
        <w:rPr>
          <w:rFonts w:ascii="Times New Roman" w:hAnsi="Times New Roman" w:cs="Times New Roman"/>
          <w:sz w:val="24"/>
          <w:szCs w:val="24"/>
        </w:rPr>
        <w:fldChar w:fldCharType="begin" w:fldLock="1"/>
      </w:r>
      <w:r w:rsidR="00135D4B">
        <w:rPr>
          <w:rFonts w:ascii="Times New Roman" w:hAnsi="Times New Roman" w:cs="Times New Roman"/>
          <w:sz w:val="24"/>
          <w:szCs w:val="24"/>
        </w:rPr>
        <w:instrText>ADDIN CSL_CITATION { "citationItems" : [ { "id" : "ITEM-1", "itemData" : { "author" : [ { "dropping-particle" : "", "family" : "Nickles", "given" : "Thomas", "non-dropping-particle" : "", "parse-names" : false, "suffix" : "" } ], "chapter-number" : "6", "container-title" : "Kuhn's The Structure of Scientific Revolutions", "editor" : [ { "dropping-particle" : "", "family" : "Kindi", "given" : "Vasso", "non-dropping-particle" : "", "parse-names" : false, "suffix" : "" }, { "dropping-particle" : "", "family" : "Arabatzis", "given" : "Theodore", "non-dropping-particle" : "", "parse-names" : false, "suffix" : "" } ], "id" : "ITEM-1", "issued" : { "date-parts" : [ [ "2012" ] ] }, "page" : "112-133", "publisher" : "Routledge", "publisher-place" : "London and New York", "title" : "Some Puzzles about Kuhn's Exemplars", "type" : "chapter" }, "locator" : "120", "suppress-author" : 1, "uris" : [ "http://www.mendeley.com/documents/?uuid=c1b5ccbd-4353-4c9a-9154-457a4b930ab5" ] } ], "mendeley" : { "formattedCitation" : "(2012, 120)", "plainTextFormattedCitation" : "(2012, 120)", "previouslyFormattedCitation" : "(2012, 120)" }, "properties" : { "noteIndex" : 0 }, "schema" : "https://github.com/citation-style-language/schema/raw/master/csl-citation.json" }</w:instrText>
      </w:r>
      <w:r w:rsidR="00302671">
        <w:rPr>
          <w:rFonts w:ascii="Times New Roman" w:hAnsi="Times New Roman" w:cs="Times New Roman"/>
          <w:sz w:val="24"/>
          <w:szCs w:val="24"/>
        </w:rPr>
        <w:fldChar w:fldCharType="separate"/>
      </w:r>
      <w:r w:rsidR="00302671" w:rsidRPr="00302671">
        <w:rPr>
          <w:rFonts w:ascii="Times New Roman" w:hAnsi="Times New Roman" w:cs="Times New Roman"/>
          <w:noProof/>
          <w:sz w:val="24"/>
          <w:szCs w:val="24"/>
        </w:rPr>
        <w:t>(2012, 120)</w:t>
      </w:r>
      <w:r w:rsidR="00302671">
        <w:rPr>
          <w:rFonts w:ascii="Times New Roman" w:hAnsi="Times New Roman" w:cs="Times New Roman"/>
          <w:sz w:val="24"/>
          <w:szCs w:val="24"/>
        </w:rPr>
        <w:fldChar w:fldCharType="end"/>
      </w:r>
      <w:r w:rsidR="00E7285D">
        <w:rPr>
          <w:rFonts w:ascii="Times New Roman" w:hAnsi="Times New Roman" w:cs="Times New Roman"/>
          <w:sz w:val="24"/>
          <w:szCs w:val="24"/>
        </w:rPr>
        <w:t xml:space="preserve"> asks, “Where do [ex</w:t>
      </w:r>
      <w:r w:rsidR="00302671">
        <w:rPr>
          <w:rFonts w:ascii="Times New Roman" w:hAnsi="Times New Roman" w:cs="Times New Roman"/>
          <w:sz w:val="24"/>
          <w:szCs w:val="24"/>
        </w:rPr>
        <w:t>emplars] initially come from?”</w:t>
      </w:r>
      <w:r w:rsidR="00663971" w:rsidRPr="00330659">
        <w:rPr>
          <w:rStyle w:val="FootnoteReference"/>
        </w:rPr>
        <w:footnoteReference w:id="16"/>
      </w:r>
      <w:r w:rsidR="00302671">
        <w:rPr>
          <w:rFonts w:ascii="Times New Roman" w:hAnsi="Times New Roman" w:cs="Times New Roman"/>
          <w:sz w:val="24"/>
          <w:szCs w:val="24"/>
        </w:rPr>
        <w:t xml:space="preserve"> </w:t>
      </w:r>
      <w:r w:rsidR="00E7285D">
        <w:rPr>
          <w:rFonts w:ascii="Times New Roman" w:hAnsi="Times New Roman" w:cs="Times New Roman"/>
          <w:sz w:val="24"/>
          <w:szCs w:val="24"/>
        </w:rPr>
        <w:t>Although Kuhn</w:t>
      </w:r>
      <w:r w:rsidR="00AE2BCD" w:rsidRPr="003B100E">
        <w:rPr>
          <w:rFonts w:ascii="Times New Roman" w:hAnsi="Times New Roman" w:cs="Times New Roman"/>
          <w:sz w:val="24"/>
          <w:szCs w:val="24"/>
        </w:rPr>
        <w:t xml:space="preserve"> is famous for his rejection of the sharp distinction between the context of discovery and of justification and accusing philosophers of ignoring the “temporal development of a theory”, Kuhn does not provide a sophisticated account of the construction and temporal development of an exemplar. Secondly,</w:t>
      </w:r>
      <w:r w:rsidR="001E3B39">
        <w:rPr>
          <w:rFonts w:ascii="Times New Roman" w:hAnsi="Times New Roman" w:cs="Times New Roman"/>
          <w:sz w:val="24"/>
          <w:szCs w:val="24"/>
        </w:rPr>
        <w:t xml:space="preserve"> in his elaboration, Kuhn’s exemplar</w:t>
      </w:r>
      <w:r w:rsidR="00AE2BCD" w:rsidRPr="003B100E">
        <w:rPr>
          <w:rFonts w:ascii="Times New Roman" w:hAnsi="Times New Roman" w:cs="Times New Roman"/>
          <w:sz w:val="24"/>
          <w:szCs w:val="24"/>
        </w:rPr>
        <w:t xml:space="preserve"> is simply exemplified by the examples in the textbooks, lectures, and laboratory exercises. </w:t>
      </w:r>
      <w:r w:rsidR="000A6677">
        <w:rPr>
          <w:rFonts w:ascii="Times New Roman" w:hAnsi="Times New Roman" w:cs="Times New Roman"/>
          <w:sz w:val="24"/>
          <w:szCs w:val="24"/>
        </w:rPr>
        <w:t xml:space="preserve">These examples are helpful to provide a rough idea of the application of the exemplars. </w:t>
      </w:r>
      <w:r w:rsidR="00A525E2">
        <w:rPr>
          <w:rFonts w:ascii="Times New Roman" w:hAnsi="Times New Roman" w:cs="Times New Roman"/>
          <w:sz w:val="24"/>
          <w:szCs w:val="24"/>
        </w:rPr>
        <w:t>However, t</w:t>
      </w:r>
      <w:r w:rsidR="00AE2BCD" w:rsidRPr="003B100E">
        <w:rPr>
          <w:rFonts w:ascii="Times New Roman" w:hAnsi="Times New Roman" w:cs="Times New Roman"/>
          <w:sz w:val="24"/>
          <w:szCs w:val="24"/>
        </w:rPr>
        <w:t>he constituents of an exemplar are never explicitly explicated. Nor is a historical example of an exemplar articulated in an explicit way.</w:t>
      </w:r>
      <w:r w:rsidR="00991BFF" w:rsidRPr="00330659">
        <w:rPr>
          <w:rStyle w:val="FootnoteReference"/>
        </w:rPr>
        <w:footnoteReference w:id="17"/>
      </w:r>
      <w:r w:rsidR="001E3B39">
        <w:rPr>
          <w:rFonts w:ascii="Times New Roman" w:hAnsi="Times New Roman" w:cs="Times New Roman"/>
          <w:sz w:val="24"/>
          <w:szCs w:val="24"/>
        </w:rPr>
        <w:t xml:space="preserve"> Thirdly, Kuhn’s exemplar</w:t>
      </w:r>
      <w:r w:rsidR="00AE2BCD" w:rsidRPr="003B100E">
        <w:rPr>
          <w:rFonts w:ascii="Times New Roman" w:hAnsi="Times New Roman" w:cs="Times New Roman"/>
          <w:sz w:val="24"/>
          <w:szCs w:val="24"/>
        </w:rPr>
        <w:t xml:space="preserve"> (as a problem-solution) implicitly assumes some pre-existing problems. But where are these pre-existing problems from? Although </w:t>
      </w:r>
      <w:r w:rsidR="005F0B64">
        <w:rPr>
          <w:rFonts w:ascii="Times New Roman" w:hAnsi="Times New Roman" w:cs="Times New Roman"/>
          <w:sz w:val="24"/>
          <w:szCs w:val="24"/>
        </w:rPr>
        <w:t xml:space="preserve">Kuhn </w:t>
      </w:r>
      <w:r w:rsidR="005F0B64" w:rsidRPr="003B100E">
        <w:rPr>
          <w:rFonts w:ascii="Times New Roman" w:hAnsi="Times New Roman" w:cs="Times New Roman"/>
          <w:sz w:val="24"/>
          <w:szCs w:val="24"/>
        </w:rPr>
        <w:fldChar w:fldCharType="begin" w:fldLock="1"/>
      </w:r>
      <w:r w:rsidR="00384DA3">
        <w:rPr>
          <w:rFonts w:ascii="Times New Roman" w:hAnsi="Times New Roman" w:cs="Times New Roman"/>
          <w:sz w:val="24"/>
          <w:szCs w:val="24"/>
        </w:rPr>
        <w:instrText>ADDIN CSL_CITATION { "citationItems" : [ { "id" : "ITEM-1", "itemData" : { "author" : [ { "dropping-particle" : "", "family" : "Kuhn", "given" : "Thomas Samuel", "non-dropping-particle" : "", "parse-names" : false, "suffix" : "" } ], "edition" : "2nd", "id" : "ITEM-1", "issued" : { "date-parts" : [ [ "1970" ] ] }, "publisher" : "University of Chicago Press", "publisher-place" : "Chicago, IL", "title" : "The Structure of Scientific Revolutions", "type" : "book" }, "locator" : "103", "suppress-author" : 1, "uris" : [ "http://www.mendeley.com/documents/?uuid=bdadb4d5-5622-49a8-89f9-43f6b3b7e8aa", "http://www.mendeley.com/documents/?uuid=6f92ef14-2dc4-439d-96b3-44304c32cc59" ] } ], "mendeley" : { "formattedCitation" : "(1970, 103)", "plainTextFormattedCitation" : "(1970, 103)", "previouslyFormattedCitation" : "(1970, 103)" }, "properties" : { "noteIndex" : 0 }, "schema" : "https://github.com/citation-style-language/schema/raw/master/csl-citation.json" }</w:instrText>
      </w:r>
      <w:r w:rsidR="005F0B64" w:rsidRPr="003B100E">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(1970, 103)</w:t>
      </w:r>
      <w:r w:rsidR="005F0B64" w:rsidRPr="003B100E">
        <w:rPr>
          <w:rFonts w:ascii="Times New Roman" w:hAnsi="Times New Roman" w:cs="Times New Roman"/>
          <w:sz w:val="24"/>
          <w:szCs w:val="24"/>
        </w:rPr>
        <w:fldChar w:fldCharType="end"/>
      </w:r>
      <w:r w:rsidR="005F0B64">
        <w:rPr>
          <w:rFonts w:ascii="Times New Roman" w:hAnsi="Times New Roman" w:cs="Times New Roman"/>
          <w:sz w:val="24"/>
          <w:szCs w:val="24"/>
        </w:rPr>
        <w:t xml:space="preserve"> contends</w:t>
      </w:r>
      <w:r w:rsidR="00AE2BCD" w:rsidRPr="003B100E">
        <w:rPr>
          <w:rFonts w:ascii="Times New Roman" w:hAnsi="Times New Roman" w:cs="Times New Roman"/>
          <w:sz w:val="24"/>
          <w:szCs w:val="24"/>
        </w:rPr>
        <w:t xml:space="preserve"> that the shift of accepted exemplars in a scientific revolution necessitates the redefinition of research problems, he says </w:t>
      </w:r>
      <w:r w:rsidR="00AE2BCD" w:rsidRPr="003B100E">
        <w:rPr>
          <w:rFonts w:ascii="Times New Roman" w:hAnsi="Times New Roman" w:cs="Times New Roman"/>
          <w:sz w:val="24"/>
          <w:szCs w:val="24"/>
        </w:rPr>
        <w:lastRenderedPageBreak/>
        <w:t>little on how the research problems are defined</w:t>
      </w:r>
      <w:r w:rsidR="00634401">
        <w:rPr>
          <w:rFonts w:ascii="Times New Roman" w:hAnsi="Times New Roman" w:cs="Times New Roman"/>
          <w:sz w:val="24"/>
          <w:szCs w:val="24"/>
        </w:rPr>
        <w:t xml:space="preserve"> or redefined</w:t>
      </w:r>
      <w:r w:rsidR="00AE2BCD" w:rsidRPr="003B100E">
        <w:rPr>
          <w:rFonts w:ascii="Times New Roman" w:hAnsi="Times New Roman" w:cs="Times New Roman"/>
          <w:sz w:val="24"/>
          <w:szCs w:val="24"/>
        </w:rPr>
        <w:t>. Nor is</w:t>
      </w:r>
      <w:r w:rsidR="00014C31">
        <w:rPr>
          <w:rFonts w:ascii="Times New Roman" w:hAnsi="Times New Roman" w:cs="Times New Roman"/>
          <w:sz w:val="24"/>
          <w:szCs w:val="24"/>
        </w:rPr>
        <w:t xml:space="preserve"> it clear whether</w:t>
      </w:r>
      <w:r w:rsidR="00004F70">
        <w:rPr>
          <w:rFonts w:ascii="Times New Roman" w:hAnsi="Times New Roman" w:cs="Times New Roman"/>
          <w:sz w:val="24"/>
          <w:szCs w:val="24"/>
        </w:rPr>
        <w:t xml:space="preserve"> problem-defining is a task involving</w:t>
      </w:r>
      <w:r w:rsidR="00AE2BCD" w:rsidRPr="003B100E">
        <w:rPr>
          <w:rFonts w:ascii="Times New Roman" w:hAnsi="Times New Roman" w:cs="Times New Roman"/>
          <w:sz w:val="24"/>
          <w:szCs w:val="24"/>
        </w:rPr>
        <w:t xml:space="preserve"> the construction of an exemplar. The significance of proble</w:t>
      </w:r>
      <w:r w:rsidR="005C2EE0">
        <w:rPr>
          <w:rFonts w:ascii="Times New Roman" w:hAnsi="Times New Roman" w:cs="Times New Roman"/>
          <w:sz w:val="24"/>
          <w:szCs w:val="24"/>
        </w:rPr>
        <w:t>m-defining seems not to be fully recognised</w:t>
      </w:r>
      <w:r w:rsidR="00AE2BCD" w:rsidRPr="003B100E">
        <w:rPr>
          <w:rFonts w:ascii="Times New Roman" w:hAnsi="Times New Roman" w:cs="Times New Roman"/>
          <w:sz w:val="24"/>
          <w:szCs w:val="24"/>
        </w:rPr>
        <w:t xml:space="preserve"> by Kuhn. Fourthly, Kuhn fails to explore the characteristics of a good exemplar.</w:t>
      </w:r>
      <w:r w:rsidR="00135D4B" w:rsidRPr="00330659">
        <w:rPr>
          <w:rStyle w:val="FootnoteReference"/>
        </w:rPr>
        <w:footnoteReference w:id="18"/>
      </w:r>
      <w:r w:rsidR="00AE2BCD" w:rsidRPr="003B100E">
        <w:rPr>
          <w:rFonts w:ascii="Times New Roman" w:hAnsi="Times New Roman" w:cs="Times New Roman"/>
          <w:sz w:val="24"/>
          <w:szCs w:val="24"/>
        </w:rPr>
        <w:t xml:space="preserve"> It is unclear what makes some exemplars successfully accepted, while others neglected or abandoned.</w:t>
      </w:r>
      <w:r w:rsidR="00AE2BCD" w:rsidRPr="00330659">
        <w:rPr>
          <w:rStyle w:val="FootnoteReference"/>
        </w:rPr>
        <w:footnoteReference w:id="19"/>
      </w:r>
      <w:r w:rsidR="00135D4B">
        <w:rPr>
          <w:rFonts w:ascii="Times New Roman" w:hAnsi="Times New Roman" w:cs="Times New Roman"/>
          <w:sz w:val="24"/>
          <w:szCs w:val="24"/>
        </w:rPr>
        <w:t xml:space="preserve"> </w:t>
      </w:r>
      <w:r w:rsidR="007A5342">
        <w:rPr>
          <w:rFonts w:ascii="Times New Roman" w:hAnsi="Times New Roman" w:cs="Times New Roman"/>
          <w:sz w:val="24"/>
          <w:szCs w:val="24"/>
        </w:rPr>
        <w:t xml:space="preserve">Fifthly, Kuhn is implicit on how an exemplar </w:t>
      </w:r>
      <w:r w:rsidR="00014C31">
        <w:rPr>
          <w:rFonts w:ascii="Times New Roman" w:hAnsi="Times New Roman" w:cs="Times New Roman"/>
          <w:sz w:val="24"/>
          <w:szCs w:val="24"/>
        </w:rPr>
        <w:t xml:space="preserve">is </w:t>
      </w:r>
      <w:r w:rsidR="007A5342">
        <w:rPr>
          <w:rFonts w:ascii="Times New Roman" w:hAnsi="Times New Roman" w:cs="Times New Roman"/>
          <w:sz w:val="24"/>
          <w:szCs w:val="24"/>
        </w:rPr>
        <w:t>or th</w:t>
      </w:r>
      <w:r w:rsidR="00014C31">
        <w:rPr>
          <w:rFonts w:ascii="Times New Roman" w:hAnsi="Times New Roman" w:cs="Times New Roman"/>
          <w:sz w:val="24"/>
          <w:szCs w:val="24"/>
        </w:rPr>
        <w:t>e constituents of an exemplar are</w:t>
      </w:r>
      <w:r w:rsidR="007A5342">
        <w:rPr>
          <w:rFonts w:ascii="Times New Roman" w:hAnsi="Times New Roman" w:cs="Times New Roman"/>
          <w:sz w:val="24"/>
          <w:szCs w:val="24"/>
        </w:rPr>
        <w:t xml:space="preserve"> used or applied to guide the subsequent research, including constructing a new exemplar, proposing new research problems, solving other problems.</w:t>
      </w:r>
    </w:p>
    <w:p w14:paraId="3A4ACECE" w14:textId="6FCD1419" w:rsidR="00AE2BCD" w:rsidRPr="001E2329" w:rsidRDefault="00B55849" w:rsidP="001E2329">
      <w:pPr>
        <w:autoSpaceDE w:val="0"/>
        <w:autoSpaceDN w:val="0"/>
        <w:adjustRightInd w:val="0"/>
        <w:spacing w:after="200" w:line="480" w:lineRule="auto"/>
        <w:rPr>
          <w:rFonts w:ascii="Times New Roman" w:hAnsi="Times New Roman" w:cs="Times New Roman"/>
          <w:sz w:val="24"/>
          <w:szCs w:val="24"/>
          <w:lang w:val="en-US"/>
        </w:rPr>
      </w:pPr>
      <w:r>
        <w:rPr>
          <w:rFonts w:ascii="Times New Roman" w:hAnsi="Times New Roman" w:cs="Times New Roman"/>
          <w:sz w:val="24"/>
          <w:szCs w:val="24"/>
        </w:rPr>
        <w:t>To sum up</w:t>
      </w:r>
      <w:r w:rsidR="00AE2BCD" w:rsidRPr="003B100E">
        <w:rPr>
          <w:rFonts w:ascii="Times New Roman" w:hAnsi="Times New Roman" w:cs="Times New Roman"/>
          <w:sz w:val="24"/>
          <w:szCs w:val="24"/>
        </w:rPr>
        <w:t>, Kuhn’s definition of exemplar is not</w:t>
      </w:r>
      <w:r w:rsidR="00014C31">
        <w:rPr>
          <w:rFonts w:ascii="Times New Roman" w:hAnsi="Times New Roman" w:cs="Times New Roman"/>
          <w:sz w:val="24"/>
          <w:szCs w:val="24"/>
        </w:rPr>
        <w:t xml:space="preserve"> well articulated mainly in five</w:t>
      </w:r>
      <w:r w:rsidR="00AE2BCD" w:rsidRPr="003B100E">
        <w:rPr>
          <w:rFonts w:ascii="Times New Roman" w:hAnsi="Times New Roman" w:cs="Times New Roman"/>
          <w:sz w:val="24"/>
          <w:szCs w:val="24"/>
        </w:rPr>
        <w:t xml:space="preserve"> ways:</w:t>
      </w:r>
    </w:p>
    <w:p w14:paraId="0E0C9ECB" w14:textId="103F411B" w:rsidR="00184810" w:rsidRPr="003B100E" w:rsidRDefault="00184810" w:rsidP="00184810">
      <w:pPr>
        <w:pStyle w:val="ListParagraph"/>
        <w:numPr>
          <w:ilvl w:val="0"/>
          <w:numId w:val="17"/>
        </w:numPr>
        <w:spacing w:after="200" w:line="480" w:lineRule="auto"/>
        <w:ind w:left="0" w:firstLineChars="0" w:firstLine="709"/>
        <w:rPr>
          <w:rFonts w:ascii="Times New Roman" w:hAnsi="Times New Roman" w:cs="Times New Roman"/>
          <w:sz w:val="24"/>
          <w:szCs w:val="24"/>
        </w:rPr>
      </w:pPr>
      <w:r w:rsidRPr="003B100E">
        <w:rPr>
          <w:rFonts w:ascii="Times New Roman" w:hAnsi="Times New Roman" w:cs="Times New Roman"/>
          <w:sz w:val="24"/>
          <w:szCs w:val="24"/>
        </w:rPr>
        <w:t>The construction of an exemplar is unclear;</w:t>
      </w:r>
    </w:p>
    <w:p w14:paraId="62EC7785" w14:textId="65B15B29" w:rsidR="00AE2BCD" w:rsidRPr="003B100E" w:rsidRDefault="00184810" w:rsidP="00373ADD">
      <w:pPr>
        <w:pStyle w:val="ListParagraph"/>
        <w:numPr>
          <w:ilvl w:val="0"/>
          <w:numId w:val="17"/>
        </w:numPr>
        <w:spacing w:after="200" w:line="480" w:lineRule="auto"/>
        <w:ind w:left="0" w:firstLineChars="0" w:firstLine="709"/>
        <w:rPr>
          <w:rFonts w:ascii="Times New Roman" w:hAnsi="Times New Roman" w:cs="Times New Roman"/>
          <w:sz w:val="24"/>
          <w:szCs w:val="24"/>
        </w:rPr>
      </w:pPr>
      <w:r w:rsidRPr="003B100E">
        <w:rPr>
          <w:rFonts w:ascii="Times New Roman" w:hAnsi="Times New Roman" w:cs="Times New Roman"/>
          <w:sz w:val="24"/>
          <w:szCs w:val="24"/>
        </w:rPr>
        <w:t>The constituents of an exemplar are unclear;</w:t>
      </w:r>
    </w:p>
    <w:p w14:paraId="5FFB7B7D" w14:textId="6E3AEF37" w:rsidR="00AE2BCD" w:rsidRPr="003B100E" w:rsidRDefault="00AE2BCD" w:rsidP="00373ADD">
      <w:pPr>
        <w:pStyle w:val="ListParagraph"/>
        <w:numPr>
          <w:ilvl w:val="0"/>
          <w:numId w:val="17"/>
        </w:numPr>
        <w:spacing w:after="200" w:line="480" w:lineRule="auto"/>
        <w:ind w:left="0" w:firstLineChars="0" w:firstLine="709"/>
        <w:rPr>
          <w:rFonts w:ascii="Times New Roman" w:hAnsi="Times New Roman" w:cs="Times New Roman"/>
          <w:sz w:val="24"/>
          <w:szCs w:val="24"/>
        </w:rPr>
      </w:pPr>
      <w:r w:rsidRPr="003B100E">
        <w:rPr>
          <w:rFonts w:ascii="Times New Roman" w:hAnsi="Times New Roman" w:cs="Times New Roman"/>
          <w:sz w:val="24"/>
          <w:szCs w:val="24"/>
        </w:rPr>
        <w:t xml:space="preserve">No detailed </w:t>
      </w:r>
      <w:r w:rsidR="00435B7D">
        <w:rPr>
          <w:rFonts w:ascii="Times New Roman" w:hAnsi="Times New Roman" w:cs="Times New Roman"/>
          <w:sz w:val="24"/>
          <w:szCs w:val="24"/>
        </w:rPr>
        <w:t>historical example of an exemplar is illustrated;</w:t>
      </w:r>
    </w:p>
    <w:p w14:paraId="4DBD5E53" w14:textId="29C61606" w:rsidR="00AE2BCD" w:rsidRDefault="00AE2BCD" w:rsidP="00373ADD">
      <w:pPr>
        <w:pStyle w:val="ListParagraph"/>
        <w:numPr>
          <w:ilvl w:val="0"/>
          <w:numId w:val="17"/>
        </w:numPr>
        <w:spacing w:after="200" w:line="480" w:lineRule="auto"/>
        <w:ind w:left="0" w:firstLineChars="0" w:firstLine="709"/>
        <w:rPr>
          <w:rFonts w:ascii="Times New Roman" w:hAnsi="Times New Roman" w:cs="Times New Roman"/>
          <w:sz w:val="24"/>
          <w:szCs w:val="24"/>
        </w:rPr>
      </w:pPr>
      <w:r w:rsidRPr="003B100E">
        <w:rPr>
          <w:rFonts w:ascii="Times New Roman" w:hAnsi="Times New Roman" w:cs="Times New Roman"/>
          <w:sz w:val="24"/>
          <w:szCs w:val="24"/>
        </w:rPr>
        <w:t>What makes an exemplar s</w:t>
      </w:r>
      <w:r w:rsidR="007A5342">
        <w:rPr>
          <w:rFonts w:ascii="Times New Roman" w:hAnsi="Times New Roman" w:cs="Times New Roman"/>
          <w:sz w:val="24"/>
          <w:szCs w:val="24"/>
        </w:rPr>
        <w:t>uccessfully received is unclear;</w:t>
      </w:r>
    </w:p>
    <w:p w14:paraId="37298A7B" w14:textId="07746D79" w:rsidR="007A5342" w:rsidRPr="003B100E" w:rsidRDefault="007A5342" w:rsidP="00373ADD">
      <w:pPr>
        <w:pStyle w:val="ListParagraph"/>
        <w:numPr>
          <w:ilvl w:val="0"/>
          <w:numId w:val="17"/>
        </w:numPr>
        <w:spacing w:after="200" w:line="480" w:lineRule="auto"/>
        <w:ind w:left="0" w:firstLineChars="0" w:firstLine="709"/>
        <w:rPr>
          <w:rFonts w:ascii="Times New Roman" w:hAnsi="Times New Roman" w:cs="Times New Roman"/>
          <w:sz w:val="24"/>
          <w:szCs w:val="24"/>
        </w:rPr>
      </w:pPr>
      <w:r>
        <w:rPr>
          <w:rFonts w:ascii="Times New Roman" w:hAnsi="Times New Roman" w:cs="Times New Roman"/>
          <w:sz w:val="24"/>
          <w:szCs w:val="24"/>
        </w:rPr>
        <w:t>How an exemplar guides the subsequent research is not explicitly analysed.</w:t>
      </w:r>
    </w:p>
    <w:p w14:paraId="74D86FEA" w14:textId="77777777" w:rsidR="00AE2BCD" w:rsidRPr="003B100E" w:rsidRDefault="00AE2BCD" w:rsidP="003B100E">
      <w:pPr>
        <w:spacing w:after="200" w:line="480" w:lineRule="auto"/>
        <w:rPr>
          <w:rFonts w:ascii="Times New Roman" w:hAnsi="Times New Roman" w:cs="Times New Roman"/>
          <w:sz w:val="24"/>
          <w:szCs w:val="24"/>
        </w:rPr>
      </w:pPr>
      <w:r w:rsidRPr="003B100E">
        <w:rPr>
          <w:rFonts w:ascii="Times New Roman" w:hAnsi="Times New Roman" w:cs="Times New Roman"/>
          <w:sz w:val="24"/>
          <w:szCs w:val="24"/>
        </w:rPr>
        <w:t>Correspondingly,</w:t>
      </w:r>
      <w:r w:rsidRPr="003B100E">
        <w:rPr>
          <w:rFonts w:ascii="Times New Roman" w:hAnsi="Times New Roman" w:cs="Times New Roman"/>
          <w:sz w:val="24"/>
          <w:szCs w:val="24"/>
          <w:lang w:val="en-US"/>
        </w:rPr>
        <w:t xml:space="preserve"> </w:t>
      </w:r>
      <w:r w:rsidRPr="003B100E">
        <w:rPr>
          <w:rFonts w:ascii="Times New Roman" w:hAnsi="Times New Roman" w:cs="Times New Roman"/>
          <w:sz w:val="24"/>
          <w:szCs w:val="24"/>
        </w:rPr>
        <w:t>a good reinterpretation of exemplar has to</w:t>
      </w:r>
    </w:p>
    <w:p w14:paraId="0E03C6BD" w14:textId="5BE30972" w:rsidR="00184810" w:rsidRPr="003B100E" w:rsidRDefault="00184810" w:rsidP="00184810">
      <w:pPr>
        <w:pStyle w:val="ListParagraph"/>
        <w:numPr>
          <w:ilvl w:val="0"/>
          <w:numId w:val="16"/>
        </w:numPr>
        <w:spacing w:after="200" w:line="480" w:lineRule="auto"/>
        <w:ind w:left="0" w:firstLineChars="0" w:firstLine="709"/>
        <w:rPr>
          <w:rFonts w:ascii="Times New Roman" w:hAnsi="Times New Roman" w:cs="Times New Roman"/>
          <w:sz w:val="24"/>
          <w:szCs w:val="24"/>
        </w:rPr>
      </w:pPr>
      <w:r w:rsidRPr="003B100E">
        <w:rPr>
          <w:rFonts w:ascii="Times New Roman" w:hAnsi="Times New Roman" w:cs="Times New Roman"/>
          <w:sz w:val="24"/>
          <w:szCs w:val="24"/>
        </w:rPr>
        <w:t>explicate how an exemplar is constructed;</w:t>
      </w:r>
    </w:p>
    <w:p w14:paraId="2E4A5513" w14:textId="6D64D0E4" w:rsidR="00AE2BCD" w:rsidRPr="003B100E" w:rsidRDefault="00184810" w:rsidP="00373ADD">
      <w:pPr>
        <w:pStyle w:val="ListParagraph"/>
        <w:numPr>
          <w:ilvl w:val="0"/>
          <w:numId w:val="16"/>
        </w:numPr>
        <w:spacing w:after="200" w:line="480" w:lineRule="auto"/>
        <w:ind w:left="0" w:firstLineChars="0" w:firstLine="709"/>
        <w:rPr>
          <w:rFonts w:ascii="Times New Roman" w:hAnsi="Times New Roman" w:cs="Times New Roman"/>
          <w:sz w:val="24"/>
          <w:szCs w:val="24"/>
        </w:rPr>
      </w:pPr>
      <w:r>
        <w:rPr>
          <w:rFonts w:ascii="Times New Roman" w:hAnsi="Times New Roman" w:cs="Times New Roman"/>
          <w:sz w:val="24"/>
          <w:szCs w:val="24"/>
        </w:rPr>
        <w:t>identify</w:t>
      </w:r>
      <w:r w:rsidRPr="003B100E">
        <w:rPr>
          <w:rFonts w:ascii="Times New Roman" w:hAnsi="Times New Roman" w:cs="Times New Roman"/>
          <w:sz w:val="24"/>
          <w:szCs w:val="24"/>
        </w:rPr>
        <w:t xml:space="preserve"> the constituents of an exemplar;</w:t>
      </w:r>
    </w:p>
    <w:p w14:paraId="68F66B3A" w14:textId="2A37CF49" w:rsidR="00AE2BCD" w:rsidRPr="003B100E" w:rsidRDefault="00AE2BCD" w:rsidP="00373ADD">
      <w:pPr>
        <w:pStyle w:val="ListParagraph"/>
        <w:numPr>
          <w:ilvl w:val="0"/>
          <w:numId w:val="16"/>
        </w:numPr>
        <w:spacing w:after="200" w:line="480" w:lineRule="auto"/>
        <w:ind w:left="0" w:firstLineChars="0" w:firstLine="709"/>
        <w:rPr>
          <w:rFonts w:ascii="Times New Roman" w:hAnsi="Times New Roman" w:cs="Times New Roman"/>
          <w:sz w:val="24"/>
          <w:szCs w:val="24"/>
        </w:rPr>
      </w:pPr>
      <w:r w:rsidRPr="003B100E">
        <w:rPr>
          <w:rFonts w:ascii="Times New Roman" w:hAnsi="Times New Roman" w:cs="Times New Roman"/>
          <w:sz w:val="24"/>
          <w:szCs w:val="24"/>
        </w:rPr>
        <w:t>be instantiated by a</w:t>
      </w:r>
      <w:r w:rsidR="00435B7D">
        <w:rPr>
          <w:rFonts w:ascii="Times New Roman" w:hAnsi="Times New Roman" w:cs="Times New Roman"/>
          <w:sz w:val="24"/>
          <w:szCs w:val="24"/>
        </w:rPr>
        <w:t xml:space="preserve"> detailed historical case-study;</w:t>
      </w:r>
    </w:p>
    <w:p w14:paraId="507C8196" w14:textId="0E26E301" w:rsidR="00AE2BCD" w:rsidRDefault="00AE2BCD" w:rsidP="00373ADD">
      <w:pPr>
        <w:pStyle w:val="ListParagraph"/>
        <w:numPr>
          <w:ilvl w:val="0"/>
          <w:numId w:val="16"/>
        </w:numPr>
        <w:spacing w:after="200" w:line="480" w:lineRule="auto"/>
        <w:ind w:left="0" w:firstLineChars="0" w:firstLine="709"/>
        <w:rPr>
          <w:rFonts w:ascii="Times New Roman" w:hAnsi="Times New Roman" w:cs="Times New Roman"/>
          <w:sz w:val="24"/>
          <w:szCs w:val="24"/>
        </w:rPr>
      </w:pPr>
      <w:r w:rsidRPr="003B100E">
        <w:rPr>
          <w:rFonts w:ascii="Times New Roman" w:hAnsi="Times New Roman" w:cs="Times New Roman"/>
          <w:sz w:val="24"/>
          <w:szCs w:val="24"/>
        </w:rPr>
        <w:t>explore the characteristics of a successfully accepted exemplar</w:t>
      </w:r>
      <w:r w:rsidR="007A5342">
        <w:rPr>
          <w:rFonts w:ascii="Times New Roman" w:hAnsi="Times New Roman" w:cs="Times New Roman"/>
          <w:sz w:val="24"/>
          <w:szCs w:val="24"/>
        </w:rPr>
        <w:t>;</w:t>
      </w:r>
    </w:p>
    <w:p w14:paraId="1DBD8F74" w14:textId="60C28B5C" w:rsidR="007A5342" w:rsidRPr="007A5342" w:rsidRDefault="007A5342" w:rsidP="003B100E">
      <w:pPr>
        <w:pStyle w:val="ListParagraph"/>
        <w:numPr>
          <w:ilvl w:val="0"/>
          <w:numId w:val="16"/>
        </w:numPr>
        <w:spacing w:after="200" w:line="480" w:lineRule="auto"/>
        <w:ind w:left="0" w:firstLineChars="0" w:firstLine="709"/>
        <w:rPr>
          <w:rFonts w:ascii="Times New Roman" w:hAnsi="Times New Roman" w:cs="Times New Roman"/>
          <w:sz w:val="24"/>
          <w:szCs w:val="24"/>
        </w:rPr>
      </w:pPr>
      <w:r w:rsidRPr="007A5342">
        <w:rPr>
          <w:rFonts w:ascii="Times New Roman" w:hAnsi="Times New Roman" w:cs="Times New Roman"/>
          <w:color w:val="191919"/>
          <w:sz w:val="24"/>
          <w:szCs w:val="24"/>
          <w:lang w:val="en-US"/>
        </w:rPr>
        <w:lastRenderedPageBreak/>
        <w:t>explain how the exempla</w:t>
      </w:r>
      <w:r>
        <w:rPr>
          <w:rFonts w:ascii="Times New Roman" w:hAnsi="Times New Roman" w:cs="Times New Roman"/>
          <w:color w:val="191919"/>
          <w:sz w:val="24"/>
          <w:szCs w:val="24"/>
          <w:lang w:val="en-US"/>
        </w:rPr>
        <w:t>r can guide subsequent research.</w:t>
      </w:r>
    </w:p>
    <w:p w14:paraId="53843873" w14:textId="22999678" w:rsidR="00AE2BCD" w:rsidRPr="007A5342" w:rsidRDefault="00AE2BCD" w:rsidP="007A5342">
      <w:pPr>
        <w:spacing w:after="200" w:line="480" w:lineRule="auto"/>
        <w:rPr>
          <w:rFonts w:ascii="Times New Roman" w:hAnsi="Times New Roman" w:cs="Times New Roman"/>
          <w:sz w:val="24"/>
          <w:szCs w:val="24"/>
        </w:rPr>
      </w:pPr>
      <w:r w:rsidRPr="007A5342">
        <w:rPr>
          <w:rFonts w:ascii="Times New Roman" w:hAnsi="Times New Roman" w:cs="Times New Roman"/>
          <w:sz w:val="24"/>
          <w:szCs w:val="24"/>
        </w:rPr>
        <w:t xml:space="preserve">In other words, I not only have to tell what an exemplar is, what the components of an exemplar are, but also to explore how an exemplar is constructed, how an episode of the history of science </w:t>
      </w:r>
      <w:r w:rsidR="00AC7E51" w:rsidRPr="007A5342">
        <w:rPr>
          <w:rFonts w:ascii="Times New Roman" w:hAnsi="Times New Roman" w:cs="Times New Roman"/>
          <w:sz w:val="24"/>
          <w:szCs w:val="24"/>
        </w:rPr>
        <w:t>can be</w:t>
      </w:r>
      <w:r w:rsidRPr="007A5342">
        <w:rPr>
          <w:rFonts w:ascii="Times New Roman" w:hAnsi="Times New Roman" w:cs="Times New Roman"/>
          <w:sz w:val="24"/>
          <w:szCs w:val="24"/>
        </w:rPr>
        <w:t xml:space="preserve"> characterised in terms of exemplars. Moreover, I shall discuss what the characteristics of a good exemplar are, which make it successfully accepted</w:t>
      </w:r>
      <w:r w:rsidR="007A5342">
        <w:rPr>
          <w:rFonts w:ascii="Times New Roman" w:hAnsi="Times New Roman" w:cs="Times New Roman"/>
          <w:sz w:val="24"/>
          <w:szCs w:val="24"/>
        </w:rPr>
        <w:t xml:space="preserve">, and examine the </w:t>
      </w:r>
      <w:r w:rsidR="007C798A">
        <w:rPr>
          <w:rFonts w:ascii="Times New Roman" w:hAnsi="Times New Roman" w:cs="Times New Roman"/>
          <w:sz w:val="24"/>
          <w:szCs w:val="24"/>
        </w:rPr>
        <w:t>instructive function</w:t>
      </w:r>
      <w:r w:rsidR="007A5342">
        <w:rPr>
          <w:rFonts w:ascii="Times New Roman" w:hAnsi="Times New Roman" w:cs="Times New Roman"/>
          <w:sz w:val="24"/>
          <w:szCs w:val="24"/>
        </w:rPr>
        <w:t xml:space="preserve"> of an exemplar</w:t>
      </w:r>
      <w:r w:rsidRPr="007A5342">
        <w:rPr>
          <w:rFonts w:ascii="Times New Roman" w:hAnsi="Times New Roman" w:cs="Times New Roman"/>
          <w:sz w:val="24"/>
          <w:szCs w:val="24"/>
        </w:rPr>
        <w:t>.</w:t>
      </w:r>
    </w:p>
    <w:p w14:paraId="64975539" w14:textId="2E700FF4" w:rsidR="00AE2BCD" w:rsidRPr="003B100E" w:rsidRDefault="00AE2BCD" w:rsidP="003B100E">
      <w:pPr>
        <w:spacing w:after="200" w:line="480" w:lineRule="auto"/>
        <w:rPr>
          <w:rFonts w:ascii="Times New Roman" w:hAnsi="Times New Roman" w:cs="Times New Roman"/>
          <w:sz w:val="24"/>
          <w:szCs w:val="24"/>
        </w:rPr>
      </w:pPr>
      <w:r w:rsidRPr="003B100E">
        <w:rPr>
          <w:rFonts w:ascii="Times New Roman" w:hAnsi="Times New Roman" w:cs="Times New Roman"/>
          <w:sz w:val="24"/>
          <w:szCs w:val="24"/>
        </w:rPr>
        <w:t xml:space="preserve">I have argued that one advantage of a Kuhnian exemplar-based account of the history of science is that the significance of the problem-solution in the history and practice of science is well articulated and highlighted. Many of </w:t>
      </w:r>
      <w:r w:rsidR="00061A81">
        <w:rPr>
          <w:rFonts w:ascii="Times New Roman" w:hAnsi="Times New Roman" w:cs="Times New Roman"/>
          <w:sz w:val="24"/>
          <w:szCs w:val="24"/>
        </w:rPr>
        <w:t xml:space="preserve">the </w:t>
      </w:r>
      <w:r w:rsidRPr="003B100E">
        <w:rPr>
          <w:rFonts w:ascii="Times New Roman" w:hAnsi="Times New Roman" w:cs="Times New Roman"/>
          <w:sz w:val="24"/>
          <w:szCs w:val="24"/>
        </w:rPr>
        <w:t>scientific practices in history are oriented or inspired by some past successful proble</w:t>
      </w:r>
      <w:r w:rsidR="001E3B39">
        <w:rPr>
          <w:rFonts w:ascii="Times New Roman" w:hAnsi="Times New Roman" w:cs="Times New Roman"/>
          <w:sz w:val="24"/>
          <w:szCs w:val="24"/>
        </w:rPr>
        <w:t>m-solutions. Kuhn’s account of puzzle-solving</w:t>
      </w:r>
      <w:r w:rsidRPr="003B100E">
        <w:rPr>
          <w:rFonts w:ascii="Times New Roman" w:hAnsi="Times New Roman" w:cs="Times New Roman"/>
          <w:sz w:val="24"/>
          <w:szCs w:val="24"/>
        </w:rPr>
        <w:t xml:space="preserve"> does capture the “essence” of many, though not all, scientific practices in history. Therefore, I would reserve Kuhn’s idea that a key constituent of an exemplar is a problem-solution. Furthermore, I argue that an exemplar as the fundamental unit shared by a scientific community should be more than a problem-solution. A well-defined problem itself is at least as important as its solution in the scientific practice. It also has as many normative functions as its solution does. </w:t>
      </w:r>
      <w:r w:rsidR="00BB7A87" w:rsidRPr="003B100E">
        <w:rPr>
          <w:rFonts w:ascii="Times New Roman" w:hAnsi="Times New Roman" w:cs="Times New Roman"/>
          <w:sz w:val="24"/>
          <w:szCs w:val="24"/>
        </w:rPr>
        <w:t xml:space="preserve">In </w:t>
      </w:r>
      <w:r w:rsidR="00BB7A87">
        <w:rPr>
          <w:rFonts w:ascii="Times New Roman" w:hAnsi="Times New Roman" w:cs="Times New Roman"/>
          <w:sz w:val="24"/>
          <w:szCs w:val="24"/>
        </w:rPr>
        <w:t xml:space="preserve">the </w:t>
      </w:r>
      <w:r w:rsidR="00BB7A87" w:rsidRPr="003B100E">
        <w:rPr>
          <w:rFonts w:ascii="Times New Roman" w:hAnsi="Times New Roman" w:cs="Times New Roman"/>
          <w:sz w:val="24"/>
          <w:szCs w:val="24"/>
        </w:rPr>
        <w:t>history of science, new research problems usually play a vital rol</w:t>
      </w:r>
      <w:r w:rsidR="00BB7A87">
        <w:rPr>
          <w:rFonts w:ascii="Times New Roman" w:hAnsi="Times New Roman" w:cs="Times New Roman"/>
          <w:sz w:val="24"/>
          <w:szCs w:val="24"/>
        </w:rPr>
        <w:t xml:space="preserve">e to guide the further practice, so </w:t>
      </w:r>
      <w:r w:rsidR="00E81EF6" w:rsidRPr="003B100E">
        <w:rPr>
          <w:rFonts w:ascii="Times New Roman" w:hAnsi="Times New Roman" w:cs="Times New Roman"/>
          <w:sz w:val="24"/>
          <w:szCs w:val="24"/>
        </w:rPr>
        <w:t xml:space="preserve">the introduction </w:t>
      </w:r>
      <w:r w:rsidR="00E81EF6">
        <w:rPr>
          <w:rFonts w:ascii="Times New Roman" w:hAnsi="Times New Roman" w:cs="Times New Roman"/>
          <w:sz w:val="24"/>
          <w:szCs w:val="24"/>
        </w:rPr>
        <w:t>of</w:t>
      </w:r>
      <w:r w:rsidR="00E81EF6" w:rsidRPr="003B100E">
        <w:rPr>
          <w:rFonts w:ascii="Times New Roman" w:hAnsi="Times New Roman" w:cs="Times New Roman"/>
          <w:sz w:val="24"/>
          <w:szCs w:val="24"/>
        </w:rPr>
        <w:t xml:space="preserve"> the new research problem itself is a great scientific achievement. For instance, in </w:t>
      </w:r>
      <w:r w:rsidR="00F16D0C">
        <w:rPr>
          <w:rFonts w:ascii="Times New Roman" w:hAnsi="Times New Roman" w:cs="Times New Roman"/>
          <w:i/>
          <w:sz w:val="24"/>
          <w:szCs w:val="24"/>
        </w:rPr>
        <w:t>On t</w:t>
      </w:r>
      <w:r w:rsidR="00E81EF6" w:rsidRPr="003B100E">
        <w:rPr>
          <w:rFonts w:ascii="Times New Roman" w:hAnsi="Times New Roman" w:cs="Times New Roman"/>
          <w:i/>
          <w:sz w:val="24"/>
          <w:szCs w:val="24"/>
        </w:rPr>
        <w:t>he Origins of Species</w:t>
      </w:r>
      <w:r w:rsidR="00E81EF6" w:rsidRPr="003B100E">
        <w:rPr>
          <w:rFonts w:ascii="Times New Roman" w:hAnsi="Times New Roman" w:cs="Times New Roman"/>
          <w:sz w:val="24"/>
          <w:szCs w:val="24"/>
        </w:rPr>
        <w:t xml:space="preserve">, Charles Darwin introduced many new research problems, which were never thought of or formulated before, like “How will the struggle for existence… act in regard to variation? Can the principle of selection, which we have seen is so potent in the hands of man, apply in nature?” </w:t>
      </w:r>
      <w:r w:rsidR="00E81EF6" w:rsidRPr="003B100E">
        <w:rPr>
          <w:rFonts w:ascii="Times New Roman" w:hAnsi="Times New Roman" w:cs="Times New Roman"/>
          <w:sz w:val="24"/>
          <w:szCs w:val="24"/>
        </w:rPr>
        <w:fldChar w:fldCharType="begin" w:fldLock="1"/>
      </w:r>
      <w:r w:rsidR="00C01861">
        <w:rPr>
          <w:rFonts w:ascii="Times New Roman" w:hAnsi="Times New Roman" w:cs="Times New Roman"/>
          <w:sz w:val="24"/>
          <w:szCs w:val="24"/>
        </w:rPr>
        <w:instrText>ADDIN CSL_CITATION { "citationItems" : [ { "id" : "ITEM-1", "itemData" : { "author" : [ { "dropping-particle" : "", "family" : "Darwin", "given" : "Charles", "non-dropping-particle" : "", "parse-names" : false, "suffix" : "" } ], "id" : "ITEM-1", "issued" : { "date-parts" : [ [ "1859" ] ] }, "publisher" : "John Murray", "publisher-place" : "London", "title" : "On the Origin of Species", "type" : "book" }, "locator" : "80", "uris" : [ "http://www.mendeley.com/documents/?uuid=e1e53e42-021e-4231-8682-3d3746496b2d" ] } ], "mendeley" : { "formattedCitation" : "(Darwin 1859, 80)", "plainTextFormattedCitation" : "(Darwin 1859, 80)", "previouslyFormattedCitation" : "(Darwin 1859, 80)" }, "properties" : { "noteIndex" : 0 }, "schema" : "https://github.com/citation-style-language/schema/raw/master/csl-citation.json" }</w:instrText>
      </w:r>
      <w:r w:rsidR="00E81EF6" w:rsidRPr="003B100E">
        <w:rPr>
          <w:rFonts w:ascii="Times New Roman" w:hAnsi="Times New Roman" w:cs="Times New Roman"/>
          <w:sz w:val="24"/>
          <w:szCs w:val="24"/>
        </w:rPr>
        <w:fldChar w:fldCharType="separate"/>
      </w:r>
      <w:r w:rsidR="00AC70F2" w:rsidRPr="00AC70F2">
        <w:rPr>
          <w:rFonts w:ascii="Times New Roman" w:hAnsi="Times New Roman" w:cs="Times New Roman"/>
          <w:noProof/>
          <w:sz w:val="24"/>
          <w:szCs w:val="24"/>
        </w:rPr>
        <w:t>(Darwin 1859, 80)</w:t>
      </w:r>
      <w:r w:rsidR="00E81EF6" w:rsidRPr="003B100E">
        <w:rPr>
          <w:rFonts w:ascii="Times New Roman" w:hAnsi="Times New Roman" w:cs="Times New Roman"/>
          <w:sz w:val="24"/>
          <w:szCs w:val="24"/>
        </w:rPr>
        <w:fldChar w:fldCharType="end"/>
      </w:r>
      <w:r w:rsidR="00E81EF6" w:rsidRPr="003B100E">
        <w:rPr>
          <w:rFonts w:ascii="Times New Roman" w:hAnsi="Times New Roman" w:cs="Times New Roman"/>
          <w:sz w:val="24"/>
          <w:szCs w:val="24"/>
        </w:rPr>
        <w:t xml:space="preserve"> </w:t>
      </w:r>
      <w:r w:rsidR="00E81EF6">
        <w:rPr>
          <w:rFonts w:ascii="Times New Roman" w:hAnsi="Times New Roman" w:cs="Times New Roman"/>
          <w:sz w:val="24"/>
          <w:szCs w:val="24"/>
        </w:rPr>
        <w:t>In addition</w:t>
      </w:r>
      <w:r w:rsidRPr="003B100E">
        <w:rPr>
          <w:rFonts w:ascii="Times New Roman" w:hAnsi="Times New Roman" w:cs="Times New Roman"/>
          <w:sz w:val="24"/>
          <w:szCs w:val="24"/>
        </w:rPr>
        <w:t>, puzzle-solving and problem-defining are two intertwined activities. As I shall show</w:t>
      </w:r>
      <w:r w:rsidR="001E2329">
        <w:rPr>
          <w:rFonts w:ascii="Times New Roman" w:hAnsi="Times New Roman" w:cs="Times New Roman"/>
          <w:sz w:val="24"/>
          <w:szCs w:val="24"/>
        </w:rPr>
        <w:t>,</w:t>
      </w:r>
      <w:r w:rsidRPr="003B100E">
        <w:rPr>
          <w:rFonts w:ascii="Times New Roman" w:hAnsi="Times New Roman" w:cs="Times New Roman"/>
          <w:sz w:val="24"/>
          <w:szCs w:val="24"/>
        </w:rPr>
        <w:t xml:space="preserve"> an exemplary practice involves the mutually related activities of puzzle-solving and problem-defining. Moreover, it should be noted that problem-defining is much more than proposing a problem. In fact it usually consists of activities of problem-proposing (i.e. propose an initial </w:t>
      </w:r>
      <w:r w:rsidRPr="003B100E">
        <w:rPr>
          <w:rFonts w:ascii="Times New Roman" w:hAnsi="Times New Roman" w:cs="Times New Roman"/>
          <w:sz w:val="24"/>
          <w:szCs w:val="24"/>
        </w:rPr>
        <w:lastRenderedPageBreak/>
        <w:t xml:space="preserve">problem), problem-refining (i.e. refine an initial problem), and problem-specification (i.e. make an initial problem into some more </w:t>
      </w:r>
      <w:r w:rsidR="00A35D46">
        <w:rPr>
          <w:rFonts w:ascii="Times New Roman" w:hAnsi="Times New Roman" w:cs="Times New Roman"/>
          <w:sz w:val="24"/>
          <w:szCs w:val="24"/>
        </w:rPr>
        <w:t xml:space="preserve">conceptually </w:t>
      </w:r>
      <w:r w:rsidRPr="003B100E">
        <w:rPr>
          <w:rFonts w:ascii="Times New Roman" w:hAnsi="Times New Roman" w:cs="Times New Roman"/>
          <w:sz w:val="24"/>
          <w:szCs w:val="24"/>
        </w:rPr>
        <w:t xml:space="preserve">specific and </w:t>
      </w:r>
      <w:r w:rsidR="00A35D46">
        <w:rPr>
          <w:rFonts w:ascii="Times New Roman" w:hAnsi="Times New Roman" w:cs="Times New Roman"/>
          <w:sz w:val="24"/>
          <w:szCs w:val="24"/>
        </w:rPr>
        <w:t xml:space="preserve">experimentally testable </w:t>
      </w:r>
      <w:r w:rsidRPr="003B100E">
        <w:rPr>
          <w:rFonts w:ascii="Times New Roman" w:hAnsi="Times New Roman" w:cs="Times New Roman"/>
          <w:sz w:val="24"/>
          <w:szCs w:val="24"/>
        </w:rPr>
        <w:t>problems).</w:t>
      </w:r>
      <w:r w:rsidR="00663971">
        <w:rPr>
          <w:rFonts w:ascii="Times New Roman" w:hAnsi="Times New Roman" w:cs="Times New Roman"/>
          <w:sz w:val="24"/>
          <w:szCs w:val="24"/>
        </w:rPr>
        <w:t xml:space="preserve"> </w:t>
      </w:r>
      <w:r w:rsidR="007C7714" w:rsidRPr="003B100E">
        <w:rPr>
          <w:rFonts w:ascii="Times New Roman" w:hAnsi="Times New Roman" w:cs="Times New Roman"/>
          <w:sz w:val="24"/>
          <w:szCs w:val="24"/>
        </w:rPr>
        <w:t xml:space="preserve">The well-defined research problems should be an essential constituent of an exemplar. </w:t>
      </w:r>
      <w:r w:rsidRPr="003B100E">
        <w:rPr>
          <w:rFonts w:ascii="Times New Roman" w:hAnsi="Times New Roman" w:cs="Times New Roman"/>
          <w:sz w:val="24"/>
          <w:szCs w:val="24"/>
        </w:rPr>
        <w:t xml:space="preserve">Thus, my definition of exemplar is as follows: </w:t>
      </w:r>
    </w:p>
    <w:p w14:paraId="1CAD5D87" w14:textId="77777777" w:rsidR="00AE2BCD" w:rsidRPr="003B100E" w:rsidRDefault="00AE2BCD" w:rsidP="003B100E">
      <w:pPr>
        <w:spacing w:after="200" w:line="480" w:lineRule="auto"/>
        <w:rPr>
          <w:rFonts w:ascii="Times New Roman" w:hAnsi="Times New Roman" w:cs="Times New Roman"/>
          <w:sz w:val="24"/>
          <w:szCs w:val="24"/>
        </w:rPr>
      </w:pPr>
      <w:r w:rsidRPr="003B100E">
        <w:rPr>
          <w:rFonts w:ascii="Times New Roman" w:hAnsi="Times New Roman" w:cs="Times New Roman"/>
          <w:i/>
          <w:sz w:val="24"/>
          <w:szCs w:val="24"/>
        </w:rPr>
        <w:t>An exemplar is a set of contextually well-defined research problems and the corresponding solutions</w:t>
      </w:r>
      <w:r w:rsidRPr="003B100E">
        <w:rPr>
          <w:rFonts w:ascii="Times New Roman" w:hAnsi="Times New Roman" w:cs="Times New Roman"/>
          <w:sz w:val="24"/>
          <w:szCs w:val="24"/>
        </w:rPr>
        <w:t xml:space="preserve">. </w:t>
      </w:r>
    </w:p>
    <w:p w14:paraId="3DB0E0CF" w14:textId="2F02506F" w:rsidR="00AE2BCD" w:rsidRPr="003B100E" w:rsidRDefault="007C7714" w:rsidP="003B100E">
      <w:pPr>
        <w:spacing w:after="200" w:line="480" w:lineRule="auto"/>
        <w:rPr>
          <w:rFonts w:ascii="Times New Roman" w:hAnsi="Times New Roman" w:cs="Times New Roman"/>
          <w:sz w:val="24"/>
          <w:szCs w:val="24"/>
        </w:rPr>
      </w:pPr>
      <w:r>
        <w:rPr>
          <w:rFonts w:ascii="Times New Roman" w:hAnsi="Times New Roman" w:cs="Times New Roman"/>
          <w:sz w:val="24"/>
          <w:szCs w:val="24"/>
        </w:rPr>
        <w:t>First</w:t>
      </w:r>
      <w:r w:rsidR="00AE2BCD" w:rsidRPr="003B100E">
        <w:rPr>
          <w:rFonts w:ascii="Times New Roman" w:hAnsi="Times New Roman" w:cs="Times New Roman"/>
          <w:sz w:val="24"/>
          <w:szCs w:val="24"/>
        </w:rPr>
        <w:t xml:space="preserve">ly, I take an exemplar as </w:t>
      </w:r>
      <w:r w:rsidR="00AE2BCD" w:rsidRPr="00B93687">
        <w:rPr>
          <w:rFonts w:ascii="Times New Roman" w:hAnsi="Times New Roman" w:cs="Times New Roman"/>
          <w:i/>
          <w:sz w:val="24"/>
          <w:szCs w:val="24"/>
        </w:rPr>
        <w:t>a set of</w:t>
      </w:r>
      <w:r w:rsidR="00AE2BCD" w:rsidRPr="003B100E">
        <w:rPr>
          <w:rFonts w:ascii="Times New Roman" w:hAnsi="Times New Roman" w:cs="Times New Roman"/>
          <w:sz w:val="24"/>
          <w:szCs w:val="24"/>
        </w:rPr>
        <w:t xml:space="preserve"> </w:t>
      </w:r>
      <w:r w:rsidR="009B0BC8">
        <w:rPr>
          <w:rFonts w:ascii="Times New Roman" w:hAnsi="Times New Roman" w:cs="Times New Roman"/>
          <w:sz w:val="24"/>
          <w:szCs w:val="24"/>
        </w:rPr>
        <w:t>contextually well-</w:t>
      </w:r>
      <w:r w:rsidR="00B93687">
        <w:rPr>
          <w:rFonts w:ascii="Times New Roman" w:hAnsi="Times New Roman" w:cs="Times New Roman"/>
          <w:sz w:val="24"/>
          <w:szCs w:val="24"/>
        </w:rPr>
        <w:t xml:space="preserve">defined </w:t>
      </w:r>
      <w:r w:rsidR="00AE2BCD" w:rsidRPr="003B100E">
        <w:rPr>
          <w:rFonts w:ascii="Times New Roman" w:hAnsi="Times New Roman" w:cs="Times New Roman"/>
          <w:sz w:val="24"/>
          <w:szCs w:val="24"/>
        </w:rPr>
        <w:t xml:space="preserve">research problems and their solutions rather than a </w:t>
      </w:r>
      <w:r w:rsidR="00AE2BCD" w:rsidRPr="00B93687">
        <w:rPr>
          <w:rFonts w:ascii="Times New Roman" w:hAnsi="Times New Roman" w:cs="Times New Roman"/>
          <w:i/>
          <w:sz w:val="24"/>
          <w:szCs w:val="24"/>
        </w:rPr>
        <w:t>single</w:t>
      </w:r>
      <w:r w:rsidR="00AE2BCD" w:rsidRPr="003B100E">
        <w:rPr>
          <w:rFonts w:ascii="Times New Roman" w:hAnsi="Times New Roman" w:cs="Times New Roman"/>
          <w:sz w:val="24"/>
          <w:szCs w:val="24"/>
        </w:rPr>
        <w:t xml:space="preserve"> problem and its solution. The reason is that </w:t>
      </w:r>
      <w:r w:rsidR="00AE2BCD" w:rsidRPr="00B93687">
        <w:rPr>
          <w:rFonts w:ascii="Times New Roman" w:hAnsi="Times New Roman" w:cs="Times New Roman"/>
          <w:i/>
          <w:sz w:val="24"/>
          <w:szCs w:val="24"/>
        </w:rPr>
        <w:t>a set of</w:t>
      </w:r>
      <w:r w:rsidR="00AE2BCD" w:rsidRPr="003B100E">
        <w:rPr>
          <w:rFonts w:ascii="Times New Roman" w:hAnsi="Times New Roman" w:cs="Times New Roman"/>
          <w:sz w:val="24"/>
          <w:szCs w:val="24"/>
        </w:rPr>
        <w:t xml:space="preserve"> </w:t>
      </w:r>
      <w:r w:rsidR="009B0BC8">
        <w:rPr>
          <w:rFonts w:ascii="Times New Roman" w:hAnsi="Times New Roman" w:cs="Times New Roman"/>
          <w:sz w:val="24"/>
          <w:szCs w:val="24"/>
        </w:rPr>
        <w:t>contextually well-</w:t>
      </w:r>
      <w:r w:rsidR="00B93687">
        <w:rPr>
          <w:rFonts w:ascii="Times New Roman" w:hAnsi="Times New Roman" w:cs="Times New Roman"/>
          <w:sz w:val="24"/>
          <w:szCs w:val="24"/>
        </w:rPr>
        <w:t xml:space="preserve">defined </w:t>
      </w:r>
      <w:r w:rsidR="00AE2BCD" w:rsidRPr="003B100E">
        <w:rPr>
          <w:rFonts w:ascii="Times New Roman" w:hAnsi="Times New Roman" w:cs="Times New Roman"/>
          <w:sz w:val="24"/>
          <w:szCs w:val="24"/>
        </w:rPr>
        <w:t xml:space="preserve">problems and their solutions can better reflect the complex aspects of an exemplar as a scientific achievement. For example, we may argue that the Morgan school’s research on </w:t>
      </w:r>
      <w:r w:rsidR="00AE2BCD" w:rsidRPr="003B100E">
        <w:rPr>
          <w:rFonts w:ascii="Times New Roman" w:hAnsi="Times New Roman" w:cs="Times New Roman"/>
          <w:i/>
          <w:sz w:val="24"/>
          <w:szCs w:val="24"/>
        </w:rPr>
        <w:t>Drosophila</w:t>
      </w:r>
      <w:r w:rsidR="005E763B">
        <w:rPr>
          <w:rFonts w:ascii="Times New Roman" w:hAnsi="Times New Roman" w:cs="Times New Roman"/>
          <w:sz w:val="24"/>
          <w:szCs w:val="24"/>
        </w:rPr>
        <w:t xml:space="preserve"> rai</w:t>
      </w:r>
      <w:r w:rsidR="00AE2BCD" w:rsidRPr="003B100E">
        <w:rPr>
          <w:rFonts w:ascii="Times New Roman" w:hAnsi="Times New Roman" w:cs="Times New Roman"/>
          <w:sz w:val="24"/>
          <w:szCs w:val="24"/>
        </w:rPr>
        <w:t>s</w:t>
      </w:r>
      <w:r w:rsidR="005E763B">
        <w:rPr>
          <w:rFonts w:ascii="Times New Roman" w:hAnsi="Times New Roman" w:cs="Times New Roman"/>
          <w:sz w:val="24"/>
          <w:szCs w:val="24"/>
        </w:rPr>
        <w:t>es the</w:t>
      </w:r>
      <w:r w:rsidR="00AE2BCD" w:rsidRPr="003B100E">
        <w:rPr>
          <w:rFonts w:ascii="Times New Roman" w:hAnsi="Times New Roman" w:cs="Times New Roman"/>
          <w:sz w:val="24"/>
          <w:szCs w:val="24"/>
        </w:rPr>
        <w:t xml:space="preserve"> problem of the patterns of inheritance of </w:t>
      </w:r>
      <w:r w:rsidR="00AE2BCD" w:rsidRPr="003B100E">
        <w:rPr>
          <w:rFonts w:ascii="Times New Roman" w:hAnsi="Times New Roman" w:cs="Times New Roman"/>
          <w:i/>
          <w:sz w:val="24"/>
          <w:szCs w:val="24"/>
        </w:rPr>
        <w:t xml:space="preserve">Drosophila </w:t>
      </w:r>
      <w:r w:rsidR="00AE2BCD" w:rsidRPr="003B100E">
        <w:rPr>
          <w:rFonts w:ascii="Times New Roman" w:hAnsi="Times New Roman" w:cs="Times New Roman"/>
          <w:sz w:val="24"/>
          <w:szCs w:val="24"/>
        </w:rPr>
        <w:t xml:space="preserve">and its </w:t>
      </w:r>
      <w:r w:rsidR="00B93687">
        <w:rPr>
          <w:rFonts w:ascii="Times New Roman" w:hAnsi="Times New Roman" w:cs="Times New Roman"/>
          <w:sz w:val="24"/>
          <w:szCs w:val="24"/>
        </w:rPr>
        <w:t>solution. However</w:t>
      </w:r>
      <w:r w:rsidR="00FC604E">
        <w:rPr>
          <w:rFonts w:ascii="Times New Roman" w:hAnsi="Times New Roman" w:cs="Times New Roman"/>
          <w:sz w:val="24"/>
          <w:szCs w:val="24"/>
        </w:rPr>
        <w:t>,</w:t>
      </w:r>
      <w:r w:rsidR="00B93687">
        <w:rPr>
          <w:rFonts w:ascii="Times New Roman" w:hAnsi="Times New Roman" w:cs="Times New Roman"/>
          <w:sz w:val="24"/>
          <w:szCs w:val="24"/>
        </w:rPr>
        <w:t xml:space="preserve"> </w:t>
      </w:r>
      <w:r w:rsidR="00F04261">
        <w:rPr>
          <w:rFonts w:ascii="Times New Roman" w:hAnsi="Times New Roman" w:cs="Times New Roman"/>
          <w:sz w:val="24"/>
          <w:szCs w:val="24"/>
        </w:rPr>
        <w:t>in</w:t>
      </w:r>
      <w:r w:rsidR="00B93687">
        <w:rPr>
          <w:rFonts w:ascii="Times New Roman" w:hAnsi="Times New Roman" w:cs="Times New Roman"/>
          <w:sz w:val="24"/>
          <w:szCs w:val="24"/>
        </w:rPr>
        <w:t xml:space="preserve"> a finer-grained</w:t>
      </w:r>
      <w:r w:rsidR="00AE2BCD" w:rsidRPr="003B100E">
        <w:rPr>
          <w:rFonts w:ascii="Times New Roman" w:hAnsi="Times New Roman" w:cs="Times New Roman"/>
          <w:sz w:val="24"/>
          <w:szCs w:val="24"/>
        </w:rPr>
        <w:t xml:space="preserve"> analysis</w:t>
      </w:r>
      <w:r w:rsidR="00F04261">
        <w:rPr>
          <w:rFonts w:ascii="Times New Roman" w:hAnsi="Times New Roman" w:cs="Times New Roman"/>
          <w:sz w:val="24"/>
          <w:szCs w:val="24"/>
        </w:rPr>
        <w:t xml:space="preserve">, </w:t>
      </w:r>
      <w:r w:rsidR="00AE2BCD" w:rsidRPr="003B100E">
        <w:rPr>
          <w:rFonts w:ascii="Times New Roman" w:hAnsi="Times New Roman" w:cs="Times New Roman"/>
          <w:sz w:val="24"/>
          <w:szCs w:val="24"/>
        </w:rPr>
        <w:t xml:space="preserve">the Morgan school’s research on </w:t>
      </w:r>
      <w:r w:rsidR="00AE2BCD" w:rsidRPr="003B100E">
        <w:rPr>
          <w:rFonts w:ascii="Times New Roman" w:hAnsi="Times New Roman" w:cs="Times New Roman"/>
          <w:i/>
          <w:sz w:val="24"/>
          <w:szCs w:val="24"/>
        </w:rPr>
        <w:t>Drosophila</w:t>
      </w:r>
      <w:r w:rsidR="005E763B">
        <w:rPr>
          <w:rFonts w:ascii="Times New Roman" w:hAnsi="Times New Roman" w:cs="Times New Roman"/>
          <w:sz w:val="24"/>
          <w:szCs w:val="24"/>
        </w:rPr>
        <w:t xml:space="preserve"> raise</w:t>
      </w:r>
      <w:r w:rsidR="00AE2BCD" w:rsidRPr="003B100E">
        <w:rPr>
          <w:rFonts w:ascii="Times New Roman" w:hAnsi="Times New Roman" w:cs="Times New Roman"/>
          <w:sz w:val="24"/>
          <w:szCs w:val="24"/>
        </w:rPr>
        <w:t>s a set of well-defined research problems (e.g.</w:t>
      </w:r>
      <w:r w:rsidR="001E3B39">
        <w:rPr>
          <w:rFonts w:ascii="Times New Roman" w:hAnsi="Times New Roman" w:cs="Times New Roman"/>
          <w:sz w:val="24"/>
          <w:szCs w:val="24"/>
        </w:rPr>
        <w:t>,</w:t>
      </w:r>
      <w:r w:rsidR="00AE2BCD" w:rsidRPr="003B100E">
        <w:rPr>
          <w:rFonts w:ascii="Times New Roman" w:hAnsi="Times New Roman" w:cs="Times New Roman"/>
          <w:sz w:val="24"/>
          <w:szCs w:val="24"/>
        </w:rPr>
        <w:t xml:space="preserve"> what is the expected distribution of phenotypes in a certain generation? What is the probability that a particular phenotype will result from a certain mating? What is the frequency of crossing over between two given loci in the chromosomes?) and their solutions.</w:t>
      </w:r>
    </w:p>
    <w:p w14:paraId="45AD3838" w14:textId="08E5EEF7" w:rsidR="00AE2BCD" w:rsidRPr="003B100E" w:rsidRDefault="007C7714" w:rsidP="003B100E">
      <w:pPr>
        <w:spacing w:after="200" w:line="480" w:lineRule="auto"/>
        <w:rPr>
          <w:rFonts w:ascii="Times New Roman" w:hAnsi="Times New Roman" w:cs="Times New Roman"/>
          <w:sz w:val="24"/>
          <w:szCs w:val="24"/>
        </w:rPr>
      </w:pPr>
      <w:r>
        <w:rPr>
          <w:rFonts w:ascii="Times New Roman" w:hAnsi="Times New Roman" w:cs="Times New Roman"/>
          <w:sz w:val="24"/>
          <w:szCs w:val="24"/>
        </w:rPr>
        <w:t>Second</w:t>
      </w:r>
      <w:r w:rsidR="00AE2BCD" w:rsidRPr="003B100E">
        <w:rPr>
          <w:rFonts w:ascii="Times New Roman" w:hAnsi="Times New Roman" w:cs="Times New Roman"/>
          <w:sz w:val="24"/>
          <w:szCs w:val="24"/>
        </w:rPr>
        <w:t xml:space="preserve">ly, the reason why I define an exemplar as a set of “contextually” well-defined research problems </w:t>
      </w:r>
      <w:r w:rsidR="00AE2BCD" w:rsidRPr="005E763B">
        <w:rPr>
          <w:rFonts w:ascii="Times New Roman" w:hAnsi="Times New Roman" w:cs="Times New Roman"/>
          <w:i/>
          <w:sz w:val="24"/>
          <w:szCs w:val="24"/>
        </w:rPr>
        <w:t>and</w:t>
      </w:r>
      <w:r w:rsidR="00AE2BCD" w:rsidRPr="003B100E">
        <w:rPr>
          <w:rFonts w:ascii="Times New Roman" w:hAnsi="Times New Roman" w:cs="Times New Roman"/>
          <w:sz w:val="24"/>
          <w:szCs w:val="24"/>
        </w:rPr>
        <w:t xml:space="preserve"> the corresponding successful solutions is that these res</w:t>
      </w:r>
      <w:r w:rsidR="009B0BC8">
        <w:rPr>
          <w:rFonts w:ascii="Times New Roman" w:hAnsi="Times New Roman" w:cs="Times New Roman"/>
          <w:sz w:val="24"/>
          <w:szCs w:val="24"/>
        </w:rPr>
        <w:t>earch problems can only be well-</w:t>
      </w:r>
      <w:r w:rsidR="00AE2BCD" w:rsidRPr="003B100E">
        <w:rPr>
          <w:rFonts w:ascii="Times New Roman" w:hAnsi="Times New Roman" w:cs="Times New Roman"/>
          <w:sz w:val="24"/>
          <w:szCs w:val="24"/>
        </w:rPr>
        <w:t>defined and understood in the context of their solutions. In the process of constructing an exemplar, problem-defining and solution-searching are not two independent activities. Rather these are two intertwined activities. Solution-searching is obviously dependent on the research problem, while the r</w:t>
      </w:r>
      <w:r w:rsidR="001E2329">
        <w:rPr>
          <w:rFonts w:ascii="Times New Roman" w:hAnsi="Times New Roman" w:cs="Times New Roman"/>
          <w:sz w:val="24"/>
          <w:szCs w:val="24"/>
        </w:rPr>
        <w:t>esearch problem</w:t>
      </w:r>
      <w:r w:rsidR="00AE2BCD" w:rsidRPr="003B100E">
        <w:rPr>
          <w:rFonts w:ascii="Times New Roman" w:hAnsi="Times New Roman" w:cs="Times New Roman"/>
          <w:sz w:val="24"/>
          <w:szCs w:val="24"/>
        </w:rPr>
        <w:t xml:space="preserve"> can be redefined with the process of solution-searching such as conceptualisation and hypothesisation. </w:t>
      </w:r>
    </w:p>
    <w:p w14:paraId="2152A013" w14:textId="6DD8ECA0" w:rsidR="00AE2BCD" w:rsidRPr="003B100E" w:rsidRDefault="007C7714" w:rsidP="003B100E">
      <w:p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Third</w:t>
      </w:r>
      <w:r w:rsidR="00AE2BCD" w:rsidRPr="003B100E">
        <w:rPr>
          <w:rFonts w:ascii="Times New Roman" w:hAnsi="Times New Roman" w:cs="Times New Roman"/>
          <w:sz w:val="24"/>
          <w:szCs w:val="24"/>
        </w:rPr>
        <w:t>ly, an exemplar should not be understood in a purely theoretical sense. No exemplar can be constructed in an armchair. Any exemplar must have some non-theoretical components</w:t>
      </w:r>
      <w:r w:rsidR="00FD5207" w:rsidRPr="00330659">
        <w:rPr>
          <w:rStyle w:val="FootnoteReference"/>
        </w:rPr>
        <w:footnoteReference w:id="20"/>
      </w:r>
      <w:r w:rsidR="00AE2BCD" w:rsidRPr="003B100E">
        <w:rPr>
          <w:rFonts w:ascii="Times New Roman" w:hAnsi="Times New Roman" w:cs="Times New Roman"/>
          <w:sz w:val="24"/>
          <w:szCs w:val="24"/>
        </w:rPr>
        <w:t>.</w:t>
      </w:r>
    </w:p>
    <w:p w14:paraId="79D3C9AC" w14:textId="77777777" w:rsidR="00AE2BCD" w:rsidRPr="003B100E" w:rsidRDefault="00AE2BCD" w:rsidP="003B100E">
      <w:pPr>
        <w:spacing w:after="200" w:line="480" w:lineRule="auto"/>
        <w:rPr>
          <w:rFonts w:ascii="Times New Roman" w:hAnsi="Times New Roman" w:cs="Times New Roman"/>
          <w:sz w:val="24"/>
          <w:szCs w:val="24"/>
        </w:rPr>
      </w:pPr>
      <w:r w:rsidRPr="003B100E">
        <w:rPr>
          <w:rFonts w:ascii="Times New Roman" w:hAnsi="Times New Roman" w:cs="Times New Roman"/>
          <w:sz w:val="24"/>
          <w:szCs w:val="24"/>
        </w:rPr>
        <w:t>Thus, a naïve version of the exemplar-based approach can be formulated accordingly as follows.</w:t>
      </w:r>
    </w:p>
    <w:p w14:paraId="4CECC458" w14:textId="27CBC491" w:rsidR="00AE2BCD" w:rsidRPr="003B100E" w:rsidRDefault="00AE2BCD" w:rsidP="003B100E">
      <w:pPr>
        <w:spacing w:after="200" w:line="480" w:lineRule="auto"/>
        <w:rPr>
          <w:rFonts w:ascii="Times New Roman" w:hAnsi="Times New Roman" w:cs="Times New Roman"/>
          <w:color w:val="000000" w:themeColor="text1"/>
          <w:sz w:val="24"/>
          <w:szCs w:val="24"/>
        </w:rPr>
      </w:pPr>
      <w:r w:rsidRPr="003B100E">
        <w:rPr>
          <w:rFonts w:ascii="Times New Roman" w:hAnsi="Times New Roman" w:cs="Times New Roman"/>
          <w:sz w:val="24"/>
          <w:szCs w:val="24"/>
        </w:rPr>
        <w:t>One should first analyse the history</w:t>
      </w:r>
      <w:r w:rsidR="00C33D2D">
        <w:rPr>
          <w:rFonts w:ascii="Times New Roman" w:hAnsi="Times New Roman" w:cs="Times New Roman"/>
          <w:sz w:val="24"/>
          <w:szCs w:val="24"/>
        </w:rPr>
        <w:t xml:space="preserve"> and practice</w:t>
      </w:r>
      <w:r w:rsidRPr="003B100E">
        <w:rPr>
          <w:rFonts w:ascii="Times New Roman" w:hAnsi="Times New Roman" w:cs="Times New Roman"/>
          <w:sz w:val="24"/>
          <w:szCs w:val="24"/>
        </w:rPr>
        <w:t xml:space="preserve"> of a science by identifying the research problems. Then, one needs to analyse the solutions and practical efforts to seek solutions, and then provide details about how they were applied to solve the problems.</w:t>
      </w:r>
    </w:p>
    <w:p w14:paraId="32353D5C" w14:textId="7793308B" w:rsidR="00AE2BCD" w:rsidRPr="003B100E" w:rsidRDefault="00AE2BCD" w:rsidP="003B100E">
      <w:pPr>
        <w:spacing w:after="200" w:line="480" w:lineRule="auto"/>
        <w:rPr>
          <w:rFonts w:ascii="Times New Roman" w:hAnsi="Times New Roman" w:cs="Times New Roman"/>
          <w:sz w:val="24"/>
          <w:szCs w:val="24"/>
        </w:rPr>
      </w:pPr>
      <w:r w:rsidRPr="003B100E">
        <w:rPr>
          <w:rFonts w:ascii="Times New Roman" w:hAnsi="Times New Roman" w:cs="Times New Roman"/>
          <w:sz w:val="24"/>
          <w:szCs w:val="24"/>
        </w:rPr>
        <w:t xml:space="preserve">It is obvious that such an exemplar-based approach is still too vague to be helpful or instructive in analysing the history </w:t>
      </w:r>
      <w:r w:rsidR="00C33D2D">
        <w:rPr>
          <w:rFonts w:ascii="Times New Roman" w:hAnsi="Times New Roman" w:cs="Times New Roman"/>
          <w:sz w:val="24"/>
          <w:szCs w:val="24"/>
        </w:rPr>
        <w:t xml:space="preserve">and practice </w:t>
      </w:r>
      <w:r w:rsidRPr="003B100E">
        <w:rPr>
          <w:rFonts w:ascii="Times New Roman" w:hAnsi="Times New Roman" w:cs="Times New Roman"/>
          <w:sz w:val="24"/>
          <w:szCs w:val="24"/>
        </w:rPr>
        <w:t xml:space="preserve">of science. </w:t>
      </w:r>
      <w:r w:rsidR="00E32F91">
        <w:rPr>
          <w:rFonts w:ascii="Times New Roman" w:hAnsi="Times New Roman" w:cs="Times New Roman"/>
          <w:sz w:val="24"/>
          <w:szCs w:val="24"/>
        </w:rPr>
        <w:t>Thus,</w:t>
      </w:r>
      <w:r w:rsidRPr="003B100E">
        <w:rPr>
          <w:rFonts w:ascii="Times New Roman" w:hAnsi="Times New Roman" w:cs="Times New Roman"/>
          <w:sz w:val="24"/>
          <w:szCs w:val="24"/>
        </w:rPr>
        <w:t xml:space="preserve"> I have to articulate the components of the solutions of an exemplar in greater detail. However, it should be noted that I do not think that the constituents of the solutions of an exemplar can be characterised in a monistic way. Scientists solve the problems in different ways, so it would be unwise for anyone to try to summarise some universally fundamental parts in their solutions. Therefore, what I would provide is rather a common recipe of an exemplar rather than a definition. By “a common recipe” I mean that an exemplar usually</w:t>
      </w:r>
      <w:r w:rsidR="00F04261">
        <w:rPr>
          <w:rFonts w:ascii="Times New Roman" w:hAnsi="Times New Roman" w:cs="Times New Roman"/>
          <w:sz w:val="24"/>
          <w:szCs w:val="24"/>
        </w:rPr>
        <w:t>,</w:t>
      </w:r>
      <w:r w:rsidRPr="003B100E">
        <w:rPr>
          <w:rFonts w:ascii="Times New Roman" w:hAnsi="Times New Roman" w:cs="Times New Roman"/>
          <w:sz w:val="24"/>
          <w:szCs w:val="24"/>
        </w:rPr>
        <w:t xml:space="preserve"> </w:t>
      </w:r>
      <w:r w:rsidR="00F04261" w:rsidRPr="003B100E">
        <w:rPr>
          <w:rFonts w:ascii="Times New Roman" w:hAnsi="Times New Roman" w:cs="Times New Roman"/>
          <w:sz w:val="24"/>
          <w:szCs w:val="24"/>
        </w:rPr>
        <w:t>but not exclusive</w:t>
      </w:r>
      <w:r w:rsidR="00F04261">
        <w:rPr>
          <w:rFonts w:ascii="Times New Roman" w:hAnsi="Times New Roman" w:cs="Times New Roman"/>
          <w:sz w:val="24"/>
          <w:szCs w:val="24"/>
        </w:rPr>
        <w:t>ly,</w:t>
      </w:r>
      <w:r w:rsidR="00F04261" w:rsidRPr="003B100E">
        <w:rPr>
          <w:rFonts w:ascii="Times New Roman" w:hAnsi="Times New Roman" w:cs="Times New Roman"/>
          <w:sz w:val="24"/>
          <w:szCs w:val="24"/>
        </w:rPr>
        <w:t xml:space="preserve"> </w:t>
      </w:r>
      <w:r w:rsidRPr="003B100E">
        <w:rPr>
          <w:rFonts w:ascii="Times New Roman" w:hAnsi="Times New Roman" w:cs="Times New Roman"/>
          <w:sz w:val="24"/>
          <w:szCs w:val="24"/>
        </w:rPr>
        <w:t>consi</w:t>
      </w:r>
      <w:r w:rsidR="00F04261">
        <w:rPr>
          <w:rFonts w:ascii="Times New Roman" w:hAnsi="Times New Roman" w:cs="Times New Roman"/>
          <w:sz w:val="24"/>
          <w:szCs w:val="24"/>
        </w:rPr>
        <w:t>sts in such and such components</w:t>
      </w:r>
      <w:r w:rsidRPr="003B100E">
        <w:rPr>
          <w:rFonts w:ascii="Times New Roman" w:hAnsi="Times New Roman" w:cs="Times New Roman"/>
          <w:sz w:val="24"/>
          <w:szCs w:val="24"/>
        </w:rPr>
        <w:t>. Here is my common recipe.</w:t>
      </w:r>
    </w:p>
    <w:p w14:paraId="3F7FC0A6" w14:textId="53704A68" w:rsidR="00AE2BCD" w:rsidRPr="003B100E" w:rsidRDefault="00AE2BCD" w:rsidP="003B100E">
      <w:pPr>
        <w:spacing w:after="200" w:line="480" w:lineRule="auto"/>
        <w:rPr>
          <w:rFonts w:ascii="Times New Roman" w:hAnsi="Times New Roman" w:cs="Times New Roman"/>
          <w:i/>
          <w:sz w:val="24"/>
          <w:szCs w:val="24"/>
        </w:rPr>
      </w:pPr>
      <w:r w:rsidRPr="003B100E">
        <w:rPr>
          <w:rFonts w:ascii="Times New Roman" w:hAnsi="Times New Roman" w:cs="Times New Roman"/>
          <w:i/>
          <w:sz w:val="24"/>
          <w:szCs w:val="24"/>
        </w:rPr>
        <w:t>An exemplar has five main components: a vocabulary, which i</w:t>
      </w:r>
      <w:r w:rsidR="00FC604E">
        <w:rPr>
          <w:rFonts w:ascii="Times New Roman" w:hAnsi="Times New Roman" w:cs="Times New Roman"/>
          <w:i/>
          <w:sz w:val="24"/>
          <w:szCs w:val="24"/>
        </w:rPr>
        <w:t xml:space="preserve">s a set of </w:t>
      </w:r>
      <w:r w:rsidRPr="003B100E">
        <w:rPr>
          <w:rFonts w:ascii="Times New Roman" w:hAnsi="Times New Roman" w:cs="Times New Roman"/>
          <w:i/>
          <w:sz w:val="24"/>
          <w:szCs w:val="24"/>
        </w:rPr>
        <w:t>the concepts employed in the problems and solutions; a set of well-defined research problems; a set of practical guides, which specify all the procedures and methodology as means to solve the problems; a set of hypotheses or models, which are proposed to solve the problems; and a set of patterns of reasoning, which indicate how to use other components to solve the problems</w:t>
      </w:r>
      <w:r w:rsidR="00C33D2D" w:rsidRPr="00330659">
        <w:rPr>
          <w:rStyle w:val="FootnoteReference"/>
        </w:rPr>
        <w:footnoteReference w:id="21"/>
      </w:r>
      <w:r w:rsidRPr="003B100E">
        <w:rPr>
          <w:rFonts w:ascii="Times New Roman" w:hAnsi="Times New Roman" w:cs="Times New Roman"/>
          <w:i/>
          <w:sz w:val="24"/>
          <w:szCs w:val="24"/>
        </w:rPr>
        <w:t>.</w:t>
      </w:r>
    </w:p>
    <w:p w14:paraId="5B693030" w14:textId="0812D59A" w:rsidR="00C31AB2" w:rsidRPr="00325407" w:rsidRDefault="00AE2BCD" w:rsidP="00325407">
      <w:pPr>
        <w:spacing w:after="200" w:line="480" w:lineRule="auto"/>
        <w:rPr>
          <w:rFonts w:ascii="Times New Roman" w:hAnsi="Times New Roman" w:cs="Times New Roman"/>
          <w:sz w:val="24"/>
          <w:szCs w:val="24"/>
        </w:rPr>
      </w:pPr>
      <w:r w:rsidRPr="003B100E">
        <w:rPr>
          <w:rFonts w:ascii="Times New Roman" w:hAnsi="Times New Roman" w:cs="Times New Roman"/>
          <w:sz w:val="24"/>
          <w:szCs w:val="24"/>
        </w:rPr>
        <w:lastRenderedPageBreak/>
        <w:t xml:space="preserve">Three points have to be added here. Firstly, these five components are intertwined. For instance, the hypotheses are often formulated on the basis of the results of the experiments by employing the concepts in the vocabulary; the experiments are usually designed and undertaken with the purpose of solving the research problems (e.g. by testing the hypotheses); the concepts in the vocabulary are understood with the help of undertaking the experiments and applying the hypotheses, and so on. Secondly, the vocabulary of an exemplar does not suggest </w:t>
      </w:r>
      <w:r w:rsidR="00061A81">
        <w:rPr>
          <w:rFonts w:ascii="Times New Roman" w:hAnsi="Times New Roman" w:cs="Times New Roman"/>
          <w:sz w:val="24"/>
          <w:szCs w:val="24"/>
        </w:rPr>
        <w:t xml:space="preserve">that </w:t>
      </w:r>
      <w:r w:rsidRPr="003B100E">
        <w:rPr>
          <w:rFonts w:ascii="Times New Roman" w:hAnsi="Times New Roman" w:cs="Times New Roman"/>
          <w:sz w:val="24"/>
          <w:szCs w:val="24"/>
        </w:rPr>
        <w:t>all the concepts in the vocabulary are fir</w:t>
      </w:r>
      <w:r w:rsidR="00107B35">
        <w:rPr>
          <w:rFonts w:ascii="Times New Roman" w:hAnsi="Times New Roman" w:cs="Times New Roman"/>
          <w:sz w:val="24"/>
          <w:szCs w:val="24"/>
        </w:rPr>
        <w:t>st introduced by the exemplar, though i</w:t>
      </w:r>
      <w:r w:rsidRPr="003B100E">
        <w:rPr>
          <w:rFonts w:ascii="Times New Roman" w:hAnsi="Times New Roman" w:cs="Times New Roman"/>
          <w:sz w:val="24"/>
          <w:szCs w:val="24"/>
        </w:rPr>
        <w:t>t is not unusual that the vocabulary of an exemplar has some pre-defined concepts. Thirdly, the hypotheses in the exemplar should not be narrowly construed as statements or propositions. Rather I refer to “hypotheses” as all kinds of theoretical construct</w:t>
      </w:r>
      <w:r w:rsidR="00FF44D0">
        <w:rPr>
          <w:rFonts w:ascii="Times New Roman" w:hAnsi="Times New Roman" w:cs="Times New Roman"/>
          <w:sz w:val="24"/>
          <w:szCs w:val="24"/>
        </w:rPr>
        <w:t xml:space="preserve">ions made by scientists. In </w:t>
      </w:r>
      <w:r w:rsidRPr="003B100E">
        <w:rPr>
          <w:rFonts w:ascii="Times New Roman" w:hAnsi="Times New Roman" w:cs="Times New Roman"/>
          <w:sz w:val="24"/>
          <w:szCs w:val="24"/>
        </w:rPr>
        <w:t>history, scientist</w:t>
      </w:r>
      <w:r w:rsidR="005E763B">
        <w:rPr>
          <w:rFonts w:ascii="Times New Roman" w:hAnsi="Times New Roman" w:cs="Times New Roman"/>
          <w:sz w:val="24"/>
          <w:szCs w:val="24"/>
        </w:rPr>
        <w:t>s</w:t>
      </w:r>
      <w:r w:rsidRPr="003B100E">
        <w:rPr>
          <w:rFonts w:ascii="Times New Roman" w:hAnsi="Times New Roman" w:cs="Times New Roman"/>
          <w:sz w:val="24"/>
          <w:szCs w:val="24"/>
        </w:rPr>
        <w:t xml:space="preserve"> use different terms to name this kind of work like </w:t>
      </w:r>
      <w:r w:rsidRPr="00325407">
        <w:rPr>
          <w:rFonts w:ascii="Times New Roman" w:hAnsi="Times New Roman" w:cs="Times New Roman"/>
          <w:sz w:val="24"/>
          <w:szCs w:val="24"/>
        </w:rPr>
        <w:t>“hypotheses”, “assumptions”, “principles”, “laws”, “theories”, “models”, “mechanisms”, etc.</w:t>
      </w:r>
    </w:p>
    <w:p w14:paraId="63A81122" w14:textId="5E1EED34" w:rsidR="00325407" w:rsidRPr="00325407" w:rsidRDefault="00325407" w:rsidP="00325407">
      <w:pPr>
        <w:spacing w:after="200" w:line="480" w:lineRule="auto"/>
        <w:rPr>
          <w:rFonts w:ascii="Times New Roman" w:hAnsi="Times New Roman" w:cs="Times New Roman"/>
          <w:sz w:val="24"/>
          <w:szCs w:val="24"/>
        </w:rPr>
      </w:pPr>
      <w:r w:rsidRPr="00325407">
        <w:rPr>
          <w:rFonts w:ascii="Times New Roman" w:hAnsi="Times New Roman" w:cs="Times New Roman"/>
          <w:sz w:val="24"/>
          <w:szCs w:val="24"/>
        </w:rPr>
        <w:t>Thus, correspondingly, the construction of an exemplary practice is a series of intertwined practices of experimentation, problem-defining, conceptualisation, hypot</w:t>
      </w:r>
      <w:r w:rsidR="00FE3D9D">
        <w:rPr>
          <w:rFonts w:ascii="Times New Roman" w:hAnsi="Times New Roman" w:cs="Times New Roman"/>
          <w:sz w:val="24"/>
          <w:szCs w:val="24"/>
        </w:rPr>
        <w:t>hesisation, and reasoning. E</w:t>
      </w:r>
      <w:r w:rsidRPr="00325407">
        <w:rPr>
          <w:rFonts w:ascii="Times New Roman" w:hAnsi="Times New Roman" w:cs="Times New Roman"/>
          <w:sz w:val="24"/>
          <w:szCs w:val="24"/>
        </w:rPr>
        <w:t>xperimentation is the practice of designing and un</w:t>
      </w:r>
      <w:r w:rsidR="00FE3D9D">
        <w:rPr>
          <w:rFonts w:ascii="Times New Roman" w:hAnsi="Times New Roman" w:cs="Times New Roman"/>
          <w:sz w:val="24"/>
          <w:szCs w:val="24"/>
        </w:rPr>
        <w:t>dertaking the experiments. P</w:t>
      </w:r>
      <w:r w:rsidRPr="00325407">
        <w:rPr>
          <w:rFonts w:ascii="Times New Roman" w:hAnsi="Times New Roman" w:cs="Times New Roman"/>
          <w:sz w:val="24"/>
          <w:szCs w:val="24"/>
        </w:rPr>
        <w:t>roblem-defining is the practice of defining and redefin</w:t>
      </w:r>
      <w:r w:rsidR="00FE3D9D">
        <w:rPr>
          <w:rFonts w:ascii="Times New Roman" w:hAnsi="Times New Roman" w:cs="Times New Roman"/>
          <w:sz w:val="24"/>
          <w:szCs w:val="24"/>
        </w:rPr>
        <w:t>ing the research problems. C</w:t>
      </w:r>
      <w:r w:rsidRPr="00325407">
        <w:rPr>
          <w:rFonts w:ascii="Times New Roman" w:hAnsi="Times New Roman" w:cs="Times New Roman"/>
          <w:sz w:val="24"/>
          <w:szCs w:val="24"/>
        </w:rPr>
        <w:t>onceptualisation is the practice of introducin</w:t>
      </w:r>
      <w:r w:rsidR="00FE3D9D">
        <w:rPr>
          <w:rFonts w:ascii="Times New Roman" w:hAnsi="Times New Roman" w:cs="Times New Roman"/>
          <w:sz w:val="24"/>
          <w:szCs w:val="24"/>
        </w:rPr>
        <w:t>g a new conceptual scheme. H</w:t>
      </w:r>
      <w:r w:rsidRPr="00325407">
        <w:rPr>
          <w:rFonts w:ascii="Times New Roman" w:hAnsi="Times New Roman" w:cs="Times New Roman"/>
          <w:sz w:val="24"/>
          <w:szCs w:val="24"/>
        </w:rPr>
        <w:t>ypothesisation is the practice of theoretical construction to make an explanatory and predictive machinery.</w:t>
      </w:r>
      <w:r w:rsidRPr="00330659">
        <w:rPr>
          <w:rStyle w:val="FootnoteReference"/>
        </w:rPr>
        <w:footnoteReference w:id="22"/>
      </w:r>
      <w:r w:rsidRPr="00325407">
        <w:rPr>
          <w:rFonts w:ascii="Times New Roman" w:hAnsi="Times New Roman" w:cs="Times New Roman"/>
          <w:sz w:val="24"/>
          <w:szCs w:val="24"/>
        </w:rPr>
        <w:t xml:space="preserve"> Again, all these practices are intertwined and cannot be understood as the independent activities of an exemplary practice.</w:t>
      </w:r>
    </w:p>
    <w:p w14:paraId="41A6361E" w14:textId="77777777" w:rsidR="00325407" w:rsidRPr="00325407" w:rsidRDefault="00325407" w:rsidP="00325407">
      <w:pPr>
        <w:spacing w:after="200" w:line="480" w:lineRule="auto"/>
        <w:rPr>
          <w:rFonts w:ascii="Times New Roman" w:hAnsi="Times New Roman" w:cs="Times New Roman"/>
          <w:sz w:val="24"/>
          <w:szCs w:val="24"/>
        </w:rPr>
      </w:pPr>
      <w:r w:rsidRPr="00325407">
        <w:rPr>
          <w:rFonts w:ascii="Times New Roman" w:hAnsi="Times New Roman" w:cs="Times New Roman"/>
          <w:sz w:val="24"/>
          <w:szCs w:val="24"/>
        </w:rPr>
        <w:t>Therefore, a common recipe for the exemplar-based approach can be summarised as follows.</w:t>
      </w:r>
    </w:p>
    <w:p w14:paraId="207704E7" w14:textId="28E0AF9D" w:rsidR="00325407" w:rsidRPr="00325407" w:rsidRDefault="00325407" w:rsidP="00325407">
      <w:pPr>
        <w:spacing w:after="200" w:line="480" w:lineRule="auto"/>
        <w:rPr>
          <w:rFonts w:ascii="Times New Roman" w:hAnsi="Times New Roman" w:cs="Times New Roman"/>
          <w:i/>
          <w:sz w:val="24"/>
          <w:szCs w:val="24"/>
        </w:rPr>
      </w:pPr>
      <w:r w:rsidRPr="00325407">
        <w:rPr>
          <w:rFonts w:ascii="Times New Roman" w:hAnsi="Times New Roman" w:cs="Times New Roman"/>
          <w:i/>
          <w:sz w:val="24"/>
          <w:szCs w:val="24"/>
        </w:rPr>
        <w:lastRenderedPageBreak/>
        <w:t>In order to analyse the history of the practice of a scientific school</w:t>
      </w:r>
      <w:r w:rsidR="0002366D" w:rsidRPr="00330659">
        <w:rPr>
          <w:rStyle w:val="FootnoteReference"/>
        </w:rPr>
        <w:footnoteReference w:id="23"/>
      </w:r>
      <w:r w:rsidRPr="00325407">
        <w:rPr>
          <w:rFonts w:ascii="Times New Roman" w:hAnsi="Times New Roman" w:cs="Times New Roman"/>
          <w:i/>
          <w:sz w:val="24"/>
          <w:szCs w:val="24"/>
        </w:rPr>
        <w:t>, we first should identify the initial problem as the starting point of the research</w:t>
      </w:r>
      <w:r w:rsidRPr="00330659">
        <w:rPr>
          <w:rStyle w:val="FootnoteReference"/>
        </w:rPr>
        <w:footnoteReference w:id="24"/>
      </w:r>
      <w:r w:rsidRPr="00325407">
        <w:rPr>
          <w:rFonts w:ascii="Times New Roman" w:hAnsi="Times New Roman" w:cs="Times New Roman"/>
          <w:i/>
          <w:sz w:val="24"/>
          <w:szCs w:val="24"/>
        </w:rPr>
        <w:t>, and then trace</w:t>
      </w:r>
      <w:r w:rsidRPr="00325407">
        <w:rPr>
          <w:rFonts w:ascii="Times New Roman" w:hAnsi="Times New Roman" w:cs="Times New Roman"/>
          <w:i/>
          <w:sz w:val="24"/>
          <w:szCs w:val="24"/>
          <w:lang w:val="en-US"/>
        </w:rPr>
        <w:t xml:space="preserve"> the way of solving the initial problem by identifying</w:t>
      </w:r>
      <w:r w:rsidRPr="00325407">
        <w:rPr>
          <w:rFonts w:ascii="Times New Roman" w:hAnsi="Times New Roman" w:cs="Times New Roman"/>
          <w:i/>
          <w:sz w:val="24"/>
          <w:szCs w:val="24"/>
        </w:rPr>
        <w:t xml:space="preserve"> the actual problems to be investigated and the way they occur in the practice, and analysing the process of problem-defining, conceptualisation, experimentation, hypothesisation, and reasoning involved. Then, we should detail the development of the intertwined practices in history to explore the development of a school of scientific practice.</w:t>
      </w:r>
    </w:p>
    <w:p w14:paraId="1103C9E5" w14:textId="0FCE85C8" w:rsidR="00325407" w:rsidRPr="00325407" w:rsidRDefault="00464B64" w:rsidP="00325407">
      <w:pPr>
        <w:spacing w:after="20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Before completing my articulation of exemplar and the exemplar-based approach, </w:t>
      </w:r>
      <w:r w:rsidR="00325407" w:rsidRPr="00325407">
        <w:rPr>
          <w:rFonts w:ascii="Times New Roman" w:hAnsi="Times New Roman" w:cs="Times New Roman"/>
          <w:sz w:val="24"/>
          <w:szCs w:val="24"/>
          <w:lang w:val="en-US"/>
        </w:rPr>
        <w:t>I find one more problem, namely the problem of the reception of an exemplary practice, to be articulated. Why are some exemplar</w:t>
      </w:r>
      <w:r w:rsidR="00E32F91">
        <w:rPr>
          <w:rFonts w:ascii="Times New Roman" w:hAnsi="Times New Roman" w:cs="Times New Roman"/>
          <w:sz w:val="24"/>
          <w:szCs w:val="24"/>
          <w:lang w:val="en-US"/>
        </w:rPr>
        <w:t>y practice</w:t>
      </w:r>
      <w:r w:rsidR="00325407" w:rsidRPr="00325407">
        <w:rPr>
          <w:rFonts w:ascii="Times New Roman" w:hAnsi="Times New Roman" w:cs="Times New Roman"/>
          <w:sz w:val="24"/>
          <w:szCs w:val="24"/>
          <w:lang w:val="en-US"/>
        </w:rPr>
        <w:t xml:space="preserve">s successfully received, while others totally neglected or abandoned after the acceptance in a period? What makes </w:t>
      </w:r>
      <w:r w:rsidR="00FE3D9D">
        <w:rPr>
          <w:rFonts w:ascii="Times New Roman" w:hAnsi="Times New Roman" w:cs="Times New Roman"/>
          <w:sz w:val="24"/>
          <w:szCs w:val="24"/>
          <w:lang w:val="en-US"/>
        </w:rPr>
        <w:t>some</w:t>
      </w:r>
      <w:r w:rsidR="00325407" w:rsidRPr="00325407">
        <w:rPr>
          <w:rFonts w:ascii="Times New Roman" w:hAnsi="Times New Roman" w:cs="Times New Roman"/>
          <w:sz w:val="24"/>
          <w:szCs w:val="24"/>
          <w:lang w:val="en-US"/>
        </w:rPr>
        <w:t xml:space="preserve"> exemplar</w:t>
      </w:r>
      <w:r w:rsidR="00E32F91">
        <w:rPr>
          <w:rFonts w:ascii="Times New Roman" w:hAnsi="Times New Roman" w:cs="Times New Roman"/>
          <w:sz w:val="24"/>
          <w:szCs w:val="24"/>
          <w:lang w:val="en-US"/>
        </w:rPr>
        <w:t>y practice</w:t>
      </w:r>
      <w:r w:rsidR="00363E63">
        <w:rPr>
          <w:rFonts w:ascii="Times New Roman" w:hAnsi="Times New Roman" w:cs="Times New Roman"/>
          <w:sz w:val="24"/>
          <w:szCs w:val="24"/>
          <w:lang w:val="en-US"/>
        </w:rPr>
        <w:t>s</w:t>
      </w:r>
      <w:r w:rsidR="00325407" w:rsidRPr="00325407">
        <w:rPr>
          <w:rFonts w:ascii="Times New Roman" w:hAnsi="Times New Roman" w:cs="Times New Roman"/>
          <w:sz w:val="24"/>
          <w:szCs w:val="24"/>
          <w:lang w:val="en-US"/>
        </w:rPr>
        <w:t xml:space="preserve"> so successfully accepted? What are the characteristics shared by those successfully accepted exemplar</w:t>
      </w:r>
      <w:r w:rsidR="00E32F91">
        <w:rPr>
          <w:rFonts w:ascii="Times New Roman" w:hAnsi="Times New Roman" w:cs="Times New Roman"/>
          <w:sz w:val="24"/>
          <w:szCs w:val="24"/>
          <w:lang w:val="en-US"/>
        </w:rPr>
        <w:t>y practice</w:t>
      </w:r>
      <w:r w:rsidR="00325407" w:rsidRPr="00325407">
        <w:rPr>
          <w:rFonts w:ascii="Times New Roman" w:hAnsi="Times New Roman" w:cs="Times New Roman"/>
          <w:sz w:val="24"/>
          <w:szCs w:val="24"/>
          <w:lang w:val="en-US"/>
        </w:rPr>
        <w:t>s?</w:t>
      </w:r>
    </w:p>
    <w:p w14:paraId="5964FD9A" w14:textId="1573F697" w:rsidR="00325407" w:rsidRDefault="00325407" w:rsidP="00325407">
      <w:pPr>
        <w:spacing w:after="200" w:line="480" w:lineRule="auto"/>
        <w:rPr>
          <w:rFonts w:ascii="Times New Roman" w:hAnsi="Times New Roman" w:cs="Times New Roman"/>
          <w:sz w:val="24"/>
          <w:szCs w:val="24"/>
          <w:lang w:val="en-US"/>
        </w:rPr>
      </w:pPr>
      <w:r w:rsidRPr="00325407">
        <w:rPr>
          <w:rFonts w:ascii="Times New Roman" w:hAnsi="Times New Roman" w:cs="Times New Roman"/>
          <w:sz w:val="24"/>
          <w:szCs w:val="24"/>
          <w:lang w:val="en-US"/>
        </w:rPr>
        <w:t xml:space="preserve">It is obvious that philosophy alone cannot provide the complete and comprehensive answers to these questions. Why and when an exemplary practice is recognised and well received by a community of scientists </w:t>
      </w:r>
      <w:r w:rsidR="00663971">
        <w:rPr>
          <w:rFonts w:ascii="Times New Roman" w:hAnsi="Times New Roman" w:cs="Times New Roman"/>
          <w:sz w:val="24"/>
          <w:szCs w:val="24"/>
          <w:lang w:val="en-US"/>
        </w:rPr>
        <w:t xml:space="preserve">is </w:t>
      </w:r>
      <w:r w:rsidR="00FE3D9D">
        <w:rPr>
          <w:rFonts w:ascii="Times New Roman" w:hAnsi="Times New Roman" w:cs="Times New Roman"/>
          <w:sz w:val="24"/>
          <w:szCs w:val="24"/>
          <w:lang w:val="en-US"/>
        </w:rPr>
        <w:t>complex and messy,</w:t>
      </w:r>
      <w:r w:rsidR="00FE3D9D" w:rsidRPr="00FE3D9D">
        <w:rPr>
          <w:rFonts w:ascii="Times New Roman" w:hAnsi="Times New Roman" w:cs="Times New Roman"/>
          <w:sz w:val="24"/>
          <w:szCs w:val="24"/>
          <w:lang w:val="en-US"/>
        </w:rPr>
        <w:t xml:space="preserve"> </w:t>
      </w:r>
      <w:r w:rsidR="00FE3D9D">
        <w:rPr>
          <w:rFonts w:ascii="Times New Roman" w:hAnsi="Times New Roman" w:cs="Times New Roman"/>
          <w:sz w:val="24"/>
          <w:szCs w:val="24"/>
          <w:lang w:val="en-US"/>
        </w:rPr>
        <w:t>both sociohistoriographically and philosophically</w:t>
      </w:r>
      <w:r w:rsidR="00663971">
        <w:rPr>
          <w:rFonts w:ascii="Times New Roman" w:hAnsi="Times New Roman" w:cs="Times New Roman"/>
          <w:sz w:val="24"/>
          <w:szCs w:val="24"/>
          <w:lang w:val="en-US"/>
        </w:rPr>
        <w:t xml:space="preserve">. </w:t>
      </w:r>
      <w:r w:rsidRPr="00325407">
        <w:rPr>
          <w:rFonts w:ascii="Times New Roman" w:hAnsi="Times New Roman" w:cs="Times New Roman"/>
          <w:sz w:val="24"/>
          <w:szCs w:val="24"/>
          <w:lang w:val="en-US"/>
        </w:rPr>
        <w:t>My interest here is not to attempt to look for universal and comprehensive answers to these questions. Rather, I aim to identify some intellectual characteristics shared by all well received exemplary practices in the hi</w:t>
      </w:r>
      <w:r w:rsidR="00FE3D9D">
        <w:rPr>
          <w:rFonts w:ascii="Times New Roman" w:hAnsi="Times New Roman" w:cs="Times New Roman"/>
          <w:sz w:val="24"/>
          <w:szCs w:val="24"/>
          <w:lang w:val="en-US"/>
        </w:rPr>
        <w:t>story of science, if there are</w:t>
      </w:r>
      <w:r w:rsidRPr="00325407">
        <w:rPr>
          <w:rFonts w:ascii="Times New Roman" w:hAnsi="Times New Roman" w:cs="Times New Roman"/>
          <w:sz w:val="24"/>
          <w:szCs w:val="24"/>
          <w:lang w:val="en-US"/>
        </w:rPr>
        <w:t>. I propose that all successfully accepted exemplar</w:t>
      </w:r>
      <w:r w:rsidR="008212DA">
        <w:rPr>
          <w:rFonts w:ascii="Times New Roman" w:hAnsi="Times New Roman" w:cs="Times New Roman"/>
          <w:sz w:val="24"/>
          <w:szCs w:val="24"/>
          <w:lang w:val="en-US"/>
        </w:rPr>
        <w:t>s</w:t>
      </w:r>
      <w:r w:rsidRPr="00325407">
        <w:rPr>
          <w:rFonts w:ascii="Times New Roman" w:hAnsi="Times New Roman" w:cs="Times New Roman"/>
          <w:sz w:val="24"/>
          <w:szCs w:val="24"/>
          <w:lang w:val="en-US"/>
        </w:rPr>
        <w:t xml:space="preserve"> share (at least) two “intellectual” characteristics: </w:t>
      </w:r>
      <w:r w:rsidRPr="00325407">
        <w:rPr>
          <w:rFonts w:ascii="Times New Roman" w:hAnsi="Times New Roman" w:cs="Times New Roman"/>
          <w:sz w:val="24"/>
          <w:szCs w:val="24"/>
          <w:lang w:val="en-US"/>
        </w:rPr>
        <w:lastRenderedPageBreak/>
        <w:t xml:space="preserve">repeatability and usefulness. A successfully accepted exemplary practice must be repeatable in the sense that all the practice of problem-defining, experimentation, conceptualization, hypothesisation, and reasoning can be repeatedly manipulated. On the other hand, a successfully accepted exemplary practice must be useful in the sense that some concepts in the vocabulary, some hypotheses, some research problems, some practical guides, or some patterns of reasoning of the exemplary practice can be used as tools to solve other existing problems or establish new exemplary practices. </w:t>
      </w:r>
      <w:r w:rsidR="00864B90">
        <w:rPr>
          <w:rFonts w:ascii="Times New Roman" w:hAnsi="Times New Roman" w:cs="Times New Roman"/>
          <w:sz w:val="24"/>
          <w:szCs w:val="24"/>
          <w:lang w:val="en-US"/>
        </w:rPr>
        <w:t xml:space="preserve">As Nickles </w:t>
      </w:r>
      <w:r w:rsidR="00864B90">
        <w:rPr>
          <w:rFonts w:ascii="Times New Roman" w:hAnsi="Times New Roman" w:cs="Times New Roman"/>
          <w:sz w:val="24"/>
          <w:szCs w:val="24"/>
          <w:lang w:val="en-US"/>
        </w:rPr>
        <w:fldChar w:fldCharType="begin" w:fldLock="1"/>
      </w:r>
      <w:r w:rsidR="00467807">
        <w:rPr>
          <w:rFonts w:ascii="Times New Roman" w:hAnsi="Times New Roman" w:cs="Times New Roman"/>
          <w:sz w:val="24"/>
          <w:szCs w:val="24"/>
          <w:lang w:val="en-US"/>
        </w:rPr>
        <w:instrText>ADDIN CSL_CITATION { "citationItems" : [ { "id" : "ITEM-1", "itemData" : { "author" : [ { "dropping-particle" : "", "family" : "Nickles", "given" : "Thomas", "non-dropping-particle" : "", "parse-names" : false, "suffix" : "" } ], "chapter-number" : "6", "container-title" : "Kuhn's The Structure of Scientific Revolutions", "editor" : [ { "dropping-particle" : "", "family" : "Kindi", "given" : "Vasso", "non-dropping-particle" : "", "parse-names" : false, "suffix" : "" }, { "dropping-particle" : "", "family" : "Arabatzis", "given" : "Theodore", "non-dropping-particle" : "", "parse-names" : false, "suffix" : "" } ], "id" : "ITEM-1", "issued" : { "date-parts" : [ [ "2012" ] ] }, "page" : "112-133", "publisher" : "Routledge", "publisher-place" : "London and New York", "title" : "Some Puzzles about Kuhn's Exemplars", "type" : "chapter" }, "locator" : "128", "suppress-author" : 1, "uris" : [ "http://www.mendeley.com/documents/?uuid=c1b5ccbd-4353-4c9a-9154-457a4b930ab5" ] } ], "mendeley" : { "formattedCitation" : "(2012, 128)", "plainTextFormattedCitation" : "(2012, 128)", "previouslyFormattedCitation" : "(2012, 128)" }, "properties" : { "noteIndex" : 0 }, "schema" : "https://github.com/citation-style-language/schema/raw/master/csl-citation.json" }</w:instrText>
      </w:r>
      <w:r w:rsidR="00864B90">
        <w:rPr>
          <w:rFonts w:ascii="Times New Roman" w:hAnsi="Times New Roman" w:cs="Times New Roman"/>
          <w:sz w:val="24"/>
          <w:szCs w:val="24"/>
          <w:lang w:val="en-US"/>
        </w:rPr>
        <w:fldChar w:fldCharType="separate"/>
      </w:r>
      <w:r w:rsidR="00864B90" w:rsidRPr="00864B90">
        <w:rPr>
          <w:rFonts w:ascii="Times New Roman" w:hAnsi="Times New Roman" w:cs="Times New Roman"/>
          <w:noProof/>
          <w:sz w:val="24"/>
          <w:szCs w:val="24"/>
          <w:lang w:val="en-US"/>
        </w:rPr>
        <w:t>(2012, 128)</w:t>
      </w:r>
      <w:r w:rsidR="00864B90">
        <w:rPr>
          <w:rFonts w:ascii="Times New Roman" w:hAnsi="Times New Roman" w:cs="Times New Roman"/>
          <w:sz w:val="24"/>
          <w:szCs w:val="24"/>
          <w:lang w:val="en-US"/>
        </w:rPr>
        <w:fldChar w:fldCharType="end"/>
      </w:r>
      <w:r w:rsidR="00864B90">
        <w:rPr>
          <w:rFonts w:ascii="Times New Roman" w:hAnsi="Times New Roman" w:cs="Times New Roman"/>
          <w:sz w:val="24"/>
          <w:szCs w:val="24"/>
          <w:lang w:val="en-US"/>
        </w:rPr>
        <w:t xml:space="preserve"> indicates, “An exemplar candidate, like any tool, will gain status if it shows itself useful in a variety of related situations.” </w:t>
      </w:r>
      <w:r w:rsidRPr="00325407">
        <w:rPr>
          <w:rFonts w:ascii="Times New Roman" w:hAnsi="Times New Roman" w:cs="Times New Roman"/>
          <w:sz w:val="24"/>
          <w:szCs w:val="24"/>
          <w:lang w:val="en-US"/>
        </w:rPr>
        <w:t>It should be noted that repeatability and usefulness are minimally necessary, rather than sufficient conditions of a successfully received exemplary practice.</w:t>
      </w:r>
    </w:p>
    <w:p w14:paraId="41BB2956" w14:textId="08DD40E9" w:rsidR="000059E4" w:rsidRPr="00AE0D1E" w:rsidRDefault="00282C73" w:rsidP="00325407">
      <w:pPr>
        <w:spacing w:after="200" w:line="480" w:lineRule="auto"/>
        <w:rPr>
          <w:rFonts w:ascii="Times New Roman" w:hAnsi="Times New Roman" w:cs="Times New Roman"/>
          <w:sz w:val="24"/>
          <w:szCs w:val="24"/>
        </w:rPr>
      </w:pPr>
      <w:r w:rsidRPr="00282C73">
        <w:rPr>
          <w:rFonts w:ascii="Times New Roman" w:hAnsi="Times New Roman" w:cs="Times New Roman"/>
          <w:sz w:val="24"/>
          <w:szCs w:val="24"/>
          <w:lang w:val="en-US"/>
        </w:rPr>
        <w:t xml:space="preserve">In summary, I define an exemplar as </w:t>
      </w:r>
      <w:r w:rsidRPr="00282C73">
        <w:rPr>
          <w:rFonts w:ascii="Times New Roman" w:hAnsi="Times New Roman" w:cs="Times New Roman"/>
          <w:sz w:val="24"/>
          <w:szCs w:val="24"/>
        </w:rPr>
        <w:t>a set of contextually well-defined research problems and the corresponding solutions, which consists of a vocabulary, a set of well-defined resear</w:t>
      </w:r>
      <w:r>
        <w:rPr>
          <w:rFonts w:ascii="Times New Roman" w:hAnsi="Times New Roman" w:cs="Times New Roman"/>
          <w:sz w:val="24"/>
          <w:szCs w:val="24"/>
        </w:rPr>
        <w:t>ch problems,</w:t>
      </w:r>
      <w:r w:rsidRPr="00282C73">
        <w:rPr>
          <w:rFonts w:ascii="Times New Roman" w:hAnsi="Times New Roman" w:cs="Times New Roman"/>
          <w:sz w:val="24"/>
          <w:szCs w:val="24"/>
        </w:rPr>
        <w:t xml:space="preserve"> a set of practical guides, a set of hypotheses or models, and a set of patterns of reasoning</w:t>
      </w:r>
      <w:r>
        <w:rPr>
          <w:rFonts w:ascii="Times New Roman" w:hAnsi="Times New Roman" w:cs="Times New Roman"/>
          <w:sz w:val="24"/>
          <w:szCs w:val="24"/>
        </w:rPr>
        <w:t xml:space="preserve">. </w:t>
      </w:r>
      <w:r w:rsidR="00BA2EA5">
        <w:rPr>
          <w:rFonts w:ascii="Times New Roman" w:hAnsi="Times New Roman" w:cs="Times New Roman"/>
          <w:sz w:val="24"/>
          <w:szCs w:val="24"/>
        </w:rPr>
        <w:t xml:space="preserve">I also propose that </w:t>
      </w:r>
      <w:r w:rsidR="00AE0D1E">
        <w:rPr>
          <w:rFonts w:ascii="Times New Roman" w:hAnsi="Times New Roman" w:cs="Times New Roman"/>
          <w:sz w:val="24"/>
          <w:szCs w:val="24"/>
        </w:rPr>
        <w:t>the development of a school of scientific practice can be analysed by</w:t>
      </w:r>
      <w:r>
        <w:rPr>
          <w:rFonts w:ascii="Times New Roman" w:hAnsi="Times New Roman" w:cs="Times New Roman"/>
          <w:sz w:val="24"/>
          <w:szCs w:val="24"/>
        </w:rPr>
        <w:t xml:space="preserve"> </w:t>
      </w:r>
      <w:r w:rsidRPr="00282C73">
        <w:rPr>
          <w:rFonts w:ascii="Times New Roman" w:hAnsi="Times New Roman" w:cs="Times New Roman"/>
          <w:sz w:val="24"/>
          <w:szCs w:val="24"/>
        </w:rPr>
        <w:t>identify</w:t>
      </w:r>
      <w:r w:rsidR="00AE0D1E">
        <w:rPr>
          <w:rFonts w:ascii="Times New Roman" w:hAnsi="Times New Roman" w:cs="Times New Roman"/>
          <w:sz w:val="24"/>
          <w:szCs w:val="24"/>
        </w:rPr>
        <w:t>ing</w:t>
      </w:r>
      <w:r w:rsidRPr="00282C73">
        <w:rPr>
          <w:rFonts w:ascii="Times New Roman" w:hAnsi="Times New Roman" w:cs="Times New Roman"/>
          <w:sz w:val="24"/>
          <w:szCs w:val="24"/>
        </w:rPr>
        <w:t xml:space="preserve"> the initial </w:t>
      </w:r>
      <w:r w:rsidR="00AE0D1E">
        <w:rPr>
          <w:rFonts w:ascii="Times New Roman" w:hAnsi="Times New Roman" w:cs="Times New Roman"/>
          <w:sz w:val="24"/>
          <w:szCs w:val="24"/>
        </w:rPr>
        <w:t xml:space="preserve">research </w:t>
      </w:r>
      <w:r w:rsidRPr="00282C73">
        <w:rPr>
          <w:rFonts w:ascii="Times New Roman" w:hAnsi="Times New Roman" w:cs="Times New Roman"/>
          <w:sz w:val="24"/>
          <w:szCs w:val="24"/>
        </w:rPr>
        <w:t xml:space="preserve">problem as the starting </w:t>
      </w:r>
      <w:r w:rsidR="00AE0D1E">
        <w:rPr>
          <w:rFonts w:ascii="Times New Roman" w:hAnsi="Times New Roman" w:cs="Times New Roman"/>
          <w:sz w:val="24"/>
          <w:szCs w:val="24"/>
        </w:rPr>
        <w:t xml:space="preserve">point of the research, and </w:t>
      </w:r>
      <w:r w:rsidR="001E0FE3">
        <w:rPr>
          <w:rFonts w:ascii="Times New Roman" w:hAnsi="Times New Roman" w:cs="Times New Roman"/>
          <w:sz w:val="24"/>
          <w:szCs w:val="24"/>
        </w:rPr>
        <w:t xml:space="preserve">by </w:t>
      </w:r>
      <w:r w:rsidR="00AE0D1E">
        <w:rPr>
          <w:rFonts w:ascii="Times New Roman" w:hAnsi="Times New Roman" w:cs="Times New Roman"/>
          <w:sz w:val="24"/>
          <w:szCs w:val="24"/>
        </w:rPr>
        <w:t>articulating</w:t>
      </w:r>
      <w:r w:rsidRPr="00282C73">
        <w:rPr>
          <w:rFonts w:ascii="Times New Roman" w:hAnsi="Times New Roman" w:cs="Times New Roman"/>
          <w:sz w:val="24"/>
          <w:szCs w:val="24"/>
          <w:lang w:val="en-US"/>
        </w:rPr>
        <w:t xml:space="preserve"> the way o</w:t>
      </w:r>
      <w:r w:rsidR="001E0FE3">
        <w:rPr>
          <w:rFonts w:ascii="Times New Roman" w:hAnsi="Times New Roman" w:cs="Times New Roman"/>
          <w:sz w:val="24"/>
          <w:szCs w:val="24"/>
          <w:lang w:val="en-US"/>
        </w:rPr>
        <w:t>f solving the initial problem with the identification of</w:t>
      </w:r>
      <w:r w:rsidRPr="00282C73">
        <w:rPr>
          <w:rFonts w:ascii="Times New Roman" w:hAnsi="Times New Roman" w:cs="Times New Roman"/>
          <w:sz w:val="24"/>
          <w:szCs w:val="24"/>
        </w:rPr>
        <w:t xml:space="preserve"> the actual problems to be investigated and the way they occur in the practice, and</w:t>
      </w:r>
      <w:r w:rsidR="001E0FE3">
        <w:rPr>
          <w:rFonts w:ascii="Times New Roman" w:hAnsi="Times New Roman" w:cs="Times New Roman"/>
          <w:sz w:val="24"/>
          <w:szCs w:val="24"/>
        </w:rPr>
        <w:t xml:space="preserve"> by</w:t>
      </w:r>
      <w:r w:rsidRPr="00282C73">
        <w:rPr>
          <w:rFonts w:ascii="Times New Roman" w:hAnsi="Times New Roman" w:cs="Times New Roman"/>
          <w:sz w:val="24"/>
          <w:szCs w:val="24"/>
        </w:rPr>
        <w:t xml:space="preserve"> analysing the process of problem-defining, conceptualisation, experimentation, hypothesi</w:t>
      </w:r>
      <w:r w:rsidR="00AE0D1E">
        <w:rPr>
          <w:rFonts w:ascii="Times New Roman" w:hAnsi="Times New Roman" w:cs="Times New Roman"/>
          <w:sz w:val="24"/>
          <w:szCs w:val="24"/>
        </w:rPr>
        <w:t xml:space="preserve">sation, and reasoning involved. </w:t>
      </w:r>
      <w:r w:rsidR="00AB081A">
        <w:rPr>
          <w:rFonts w:ascii="Times New Roman" w:hAnsi="Times New Roman" w:cs="Times New Roman"/>
          <w:sz w:val="24"/>
          <w:szCs w:val="24"/>
        </w:rPr>
        <w:t xml:space="preserve">In addition, repeatability and usefulness are two characteristics of a good exemplary practice. </w:t>
      </w:r>
      <w:r w:rsidR="000059E4">
        <w:rPr>
          <w:rFonts w:ascii="Times New Roman" w:hAnsi="Times New Roman" w:cs="Times New Roman"/>
          <w:sz w:val="24"/>
          <w:szCs w:val="24"/>
          <w:lang w:val="en-US"/>
        </w:rPr>
        <w:t>In the next section, I shall illustrate how this exemplar-based approach could be applied to analyse the development and progress in the origin of genetics.</w:t>
      </w:r>
    </w:p>
    <w:p w14:paraId="4739EE5F" w14:textId="1C24E250" w:rsidR="00AD24DB" w:rsidRDefault="00AD24DB" w:rsidP="00AD24DB">
      <w:pPr>
        <w:spacing w:after="200" w:line="480" w:lineRule="auto"/>
        <w:rPr>
          <w:rFonts w:ascii="Times New Roman" w:hAnsi="Times New Roman" w:cs="Times New Roman"/>
          <w:b/>
          <w:sz w:val="24"/>
          <w:szCs w:val="24"/>
        </w:rPr>
      </w:pPr>
      <w:r>
        <w:rPr>
          <w:rFonts w:ascii="Times New Roman" w:hAnsi="Times New Roman" w:cs="Times New Roman"/>
          <w:b/>
          <w:sz w:val="24"/>
          <w:szCs w:val="24"/>
        </w:rPr>
        <w:t>5</w:t>
      </w:r>
      <w:r w:rsidRPr="001449D8">
        <w:rPr>
          <w:rFonts w:ascii="Times New Roman" w:hAnsi="Times New Roman" w:cs="Times New Roman"/>
          <w:b/>
          <w:sz w:val="24"/>
          <w:szCs w:val="24"/>
        </w:rPr>
        <w:t xml:space="preserve">. </w:t>
      </w:r>
      <w:r w:rsidR="004D02F2">
        <w:rPr>
          <w:rFonts w:ascii="Times New Roman" w:hAnsi="Times New Roman" w:cs="Times New Roman"/>
          <w:b/>
          <w:sz w:val="24"/>
          <w:szCs w:val="24"/>
        </w:rPr>
        <w:t>Case Study: An Exemplar-B</w:t>
      </w:r>
      <w:r>
        <w:rPr>
          <w:rFonts w:ascii="Times New Roman" w:hAnsi="Times New Roman" w:cs="Times New Roman"/>
          <w:b/>
          <w:sz w:val="24"/>
          <w:szCs w:val="24"/>
        </w:rPr>
        <w:t>ased Account of the Origin of Genetics</w:t>
      </w:r>
    </w:p>
    <w:p w14:paraId="096F0FEF" w14:textId="56177CB0" w:rsidR="006E3BFD" w:rsidRDefault="005E763B" w:rsidP="00EA3227">
      <w:pPr>
        <w:spacing w:after="200" w:line="480" w:lineRule="auto"/>
        <w:rPr>
          <w:rFonts w:ascii="Times New Roman" w:hAnsi="Times New Roman" w:cs="Times New Roman"/>
          <w:sz w:val="24"/>
          <w:szCs w:val="24"/>
        </w:rPr>
      </w:pPr>
      <w:r>
        <w:rPr>
          <w:rFonts w:ascii="Times New Roman" w:hAnsi="Times New Roman" w:cs="Times New Roman"/>
          <w:sz w:val="24"/>
          <w:szCs w:val="24"/>
        </w:rPr>
        <w:t>Understanding t</w:t>
      </w:r>
      <w:r w:rsidR="006E3BFD">
        <w:rPr>
          <w:rFonts w:ascii="Times New Roman" w:hAnsi="Times New Roman" w:cs="Times New Roman"/>
          <w:sz w:val="24"/>
          <w:szCs w:val="24"/>
        </w:rPr>
        <w:t xml:space="preserve">he significance of </w:t>
      </w:r>
      <w:r w:rsidR="0049766D">
        <w:rPr>
          <w:rFonts w:ascii="Times New Roman" w:hAnsi="Times New Roman" w:cs="Times New Roman"/>
          <w:sz w:val="24"/>
          <w:szCs w:val="24"/>
        </w:rPr>
        <w:t>Greg</w:t>
      </w:r>
      <w:r w:rsidR="00D07C0A">
        <w:rPr>
          <w:rFonts w:ascii="Times New Roman" w:hAnsi="Times New Roman" w:cs="Times New Roman"/>
          <w:sz w:val="24"/>
          <w:szCs w:val="24"/>
        </w:rPr>
        <w:t>or</w:t>
      </w:r>
      <w:r w:rsidR="0049766D">
        <w:rPr>
          <w:rFonts w:ascii="Times New Roman" w:hAnsi="Times New Roman" w:cs="Times New Roman"/>
          <w:sz w:val="24"/>
          <w:szCs w:val="24"/>
        </w:rPr>
        <w:t xml:space="preserve"> </w:t>
      </w:r>
      <w:r w:rsidR="00E972CE">
        <w:rPr>
          <w:rFonts w:ascii="Times New Roman" w:hAnsi="Times New Roman" w:cs="Times New Roman"/>
          <w:sz w:val="24"/>
          <w:szCs w:val="24"/>
        </w:rPr>
        <w:t xml:space="preserve">Johann </w:t>
      </w:r>
      <w:r w:rsidR="006E3BFD">
        <w:rPr>
          <w:rFonts w:ascii="Times New Roman" w:hAnsi="Times New Roman" w:cs="Times New Roman"/>
          <w:sz w:val="24"/>
          <w:szCs w:val="24"/>
        </w:rPr>
        <w:t xml:space="preserve">Mendel has been a persistent problem in the history and philosophy of biology: In what sense is Mendel the founder of genetics? What did </w:t>
      </w:r>
      <w:r w:rsidR="006E3BFD">
        <w:rPr>
          <w:rFonts w:ascii="Times New Roman" w:hAnsi="Times New Roman" w:cs="Times New Roman"/>
          <w:sz w:val="24"/>
          <w:szCs w:val="24"/>
        </w:rPr>
        <w:lastRenderedPageBreak/>
        <w:t xml:space="preserve">Mendel in fact contribute to the study of inheritance? What </w:t>
      </w:r>
      <w:r>
        <w:rPr>
          <w:rFonts w:ascii="Times New Roman" w:hAnsi="Times New Roman" w:cs="Times New Roman"/>
          <w:sz w:val="24"/>
          <w:szCs w:val="24"/>
        </w:rPr>
        <w:t>contribution did Mendel make to</w:t>
      </w:r>
      <w:r w:rsidR="006E3BFD">
        <w:rPr>
          <w:rFonts w:ascii="Times New Roman" w:hAnsi="Times New Roman" w:cs="Times New Roman"/>
          <w:sz w:val="24"/>
          <w:szCs w:val="24"/>
        </w:rPr>
        <w:t xml:space="preserve"> the history of genetics? Thanks to many historians’ work</w:t>
      </w:r>
      <w:r w:rsidR="00FC604E">
        <w:rPr>
          <w:rFonts w:ascii="Times New Roman" w:hAnsi="Times New Roman" w:cs="Times New Roman"/>
          <w:sz w:val="24"/>
          <w:szCs w:val="24"/>
        </w:rPr>
        <w:t xml:space="preserve"> </w:t>
      </w:r>
      <w:r w:rsidR="001E4AB3">
        <w:rPr>
          <w:rFonts w:ascii="Times New Roman" w:hAnsi="Times New Roman" w:cs="Times New Roman"/>
          <w:sz w:val="24"/>
          <w:szCs w:val="24"/>
        </w:rPr>
        <w:fldChar w:fldCharType="begin" w:fldLock="1"/>
      </w:r>
      <w:r w:rsidR="00B66AD5">
        <w:rPr>
          <w:rFonts w:ascii="Times New Roman" w:hAnsi="Times New Roman" w:cs="Times New Roman"/>
          <w:sz w:val="24"/>
          <w:szCs w:val="24"/>
        </w:rPr>
        <w:instrText>ADDIN CSL_CITATION { "citationItems" : [ { "id" : "ITEM-1", "itemData" : { "DOI" : "10.1177/007327537901700103", "ISSN" : "0073-2753", "abstract" : "Interpr\u00e9tation dans l'histoire des sciences. Etude de son oeuvre \"Versuche ueber Pflanzenhybriden\" \u00e0 la lumi\u00e8re de l'exemple donn\u00e9 par P. Forman pour l'histoire de la cristallographie rayons X.", "author" : [ { "dropping-particle" : "", "family" : "Olby", "given" : "Robert", "non-dropping-particle" : "", "parse-names" : false, "suffix" : "" } ], "container-title" : "History of Science", "id" : "ITEM-1", "issue" : "1", "issued" : { "date-parts" : [ [ "1979" ] ] }, "page" : "53-72", "title" : "Mendel no Mendelian?", "type" : "article-journal", "volume" : "17" }, "prefix" : "e.g., ", "uris" : [ "http://www.mendeley.com/documents/?uuid=a4e2904a-e61e-4635-8344-23a45a46baf2" ] }, { "id" : "ITEM-2", "itemData" : { "DOI" : "10.1177/030631277900900403", "ISSN" : "0306-3127", "abstract" : "A re-examination of the case of Mendel suggests that he was neither ignored in the 1860s nor simply re-discovered in 1900. In 1900, the concern for priority among De Vries, Correns and Tschermak, and the controversy between Bateson and the biometricians over species variation, led scientists to reconstruct the relevance of Mendel's hybridization experiments with Pisum in terms of their own \\nwork on natural selection. By contrast, an examination of the original paper indicates Mendel's concern, not with variability, but with the very process of speciation via hybridization.", "author" : [ { "dropping-particle" : "", "family" : "Brannigan", "given" : "A", "non-dropping-particle" : "", "parse-names" : false, "suffix" : "" } ], "container-title" : "Social Studies of Science", "id" : "ITEM-2", "issue" : "4", "issued" : { "date-parts" : [ [ "1977" ] ] }, "page" : "423-454", "title" : "The Reification of Mendel", "type" : "article-journal", "volume" : "9" }, "uris" : [ "http://www.mendeley.com/documents/?uuid=d45f0d7a-4ca7-4580-a6ad-dd41fba8eb25" ] }, { "id" : "ITEM-3", "itemData" : { "author" : [ { "dropping-particle" : "", "family" : "Callender", "given" : "L. A.", "non-dropping-particle" : "", "parse-names" : false, "suffix" : "" } ], "container-title" : "History of Science", "id" : "ITEM-3", "issue" : "1", "issued" : { "date-parts" : [ [ "1988" ] ] }, "page" : "41-75", "title" : "Gregor Mendel: An Opponent of Descent with Modification", "type" : "article-journal", "volume" : "26" }, "uris" : [ "http://www.mendeley.com/documents/?uuid=d1a64342-13f1-4c0d-a421-ebebe4909358" ] } ], "mendeley" : { "formattedCitation" : "(e.g., Olby 1979; Brannigan 1977; Callender 1988)", "plainTextFormattedCitation" : "(e.g., Olby 1979; Brannigan 1977; Callender 1988)", "previouslyFormattedCitation" : "(e.g., Olby 1979; Brannigan 1977; Callender 1988)" }, "properties" : { "noteIndex" : 0 }, "schema" : "https://github.com/citation-style-language/schema/raw/master/csl-citation.json" }</w:instrText>
      </w:r>
      <w:r w:rsidR="001E4AB3">
        <w:rPr>
          <w:rFonts w:ascii="Times New Roman" w:hAnsi="Times New Roman" w:cs="Times New Roman"/>
          <w:sz w:val="24"/>
          <w:szCs w:val="24"/>
        </w:rPr>
        <w:fldChar w:fldCharType="separate"/>
      </w:r>
      <w:r w:rsidR="00FC604E" w:rsidRPr="00FC604E">
        <w:rPr>
          <w:rFonts w:ascii="Times New Roman" w:hAnsi="Times New Roman" w:cs="Times New Roman"/>
          <w:noProof/>
          <w:sz w:val="24"/>
          <w:szCs w:val="24"/>
        </w:rPr>
        <w:t xml:space="preserve">(e.g., </w:t>
      </w:r>
      <w:r w:rsidR="00A96586">
        <w:rPr>
          <w:rFonts w:ascii="Times New Roman" w:hAnsi="Times New Roman" w:cs="Times New Roman"/>
          <w:noProof/>
          <w:sz w:val="24"/>
          <w:szCs w:val="24"/>
        </w:rPr>
        <w:t>Brannigan 1979</w:t>
      </w:r>
      <w:r w:rsidR="00BA7AE1" w:rsidRPr="00FC604E">
        <w:rPr>
          <w:rFonts w:ascii="Times New Roman" w:hAnsi="Times New Roman" w:cs="Times New Roman"/>
          <w:noProof/>
          <w:sz w:val="24"/>
          <w:szCs w:val="24"/>
        </w:rPr>
        <w:t xml:space="preserve">; </w:t>
      </w:r>
      <w:r w:rsidR="00FC604E" w:rsidRPr="00FC604E">
        <w:rPr>
          <w:rFonts w:ascii="Times New Roman" w:hAnsi="Times New Roman" w:cs="Times New Roman"/>
          <w:noProof/>
          <w:sz w:val="24"/>
          <w:szCs w:val="24"/>
        </w:rPr>
        <w:t>Olby 1979; Callender 1988)</w:t>
      </w:r>
      <w:r w:rsidR="001E4AB3">
        <w:rPr>
          <w:rFonts w:ascii="Times New Roman" w:hAnsi="Times New Roman" w:cs="Times New Roman"/>
          <w:sz w:val="24"/>
          <w:szCs w:val="24"/>
        </w:rPr>
        <w:fldChar w:fldCharType="end"/>
      </w:r>
      <w:r w:rsidR="006E3BFD">
        <w:rPr>
          <w:rFonts w:ascii="Times New Roman" w:hAnsi="Times New Roman" w:cs="Times New Roman"/>
          <w:sz w:val="24"/>
          <w:szCs w:val="24"/>
        </w:rPr>
        <w:t xml:space="preserve">, the historiography of Mendel </w:t>
      </w:r>
      <w:r w:rsidR="00CB7543">
        <w:rPr>
          <w:rFonts w:ascii="Times New Roman" w:hAnsi="Times New Roman" w:cs="Times New Roman"/>
          <w:sz w:val="24"/>
          <w:szCs w:val="24"/>
        </w:rPr>
        <w:t xml:space="preserve">today </w:t>
      </w:r>
      <w:r w:rsidR="006E3BFD">
        <w:rPr>
          <w:rFonts w:ascii="Times New Roman" w:hAnsi="Times New Roman" w:cs="Times New Roman"/>
          <w:sz w:val="24"/>
          <w:szCs w:val="24"/>
        </w:rPr>
        <w:t xml:space="preserve">has been radically revised. It is now a consensus that Mendel’s concern was the development of pea hybrids rather than the problem of heredity in general. </w:t>
      </w:r>
      <w:r w:rsidR="006A5CAE">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"DOI" : "10.1177/007327537901700103", "ISSN" : "0073-2753", "abstract" : "Interpr\u00e9tation dans l'histoire des sciences. Etude de son oeuvre \"Versuche ueber Pflanzenhybriden\" \u00e0 la lumi\u00e8re de l'exemple donn\u00e9 par P. Forman pour l'histoire de la cristallographie rayons X.", "author" : [ { "dropping-particle" : "", "family" : "Olby", "given" : "Robert", "non-dropping-particle" : "", "parse-names" : false, "suffix" : "" } ], "container-title" : "History of Science", "id" : "ITEM-1", "issue" : "1", "issued" : { "date-parts" : [ [ "1979" ] ] }, "page" : "53-72", "title" : "Mendel no Mendelian?", "type" : "article-journal", "volume" : "17" }, "uris" : [ "http://www.mendeley.com/documents/?uuid=a4e2904a-e61e-4635-8344-23a45a46baf2" ] }, { "id" : "ITEM-2", "itemData" : { "author" : [ { "dropping-particle" : "V.", "family" : "Monaghan", "given" : "Floyd", "non-dropping-particle" : "", "parse-names" : false, "suffix" : "" }, { "dropping-particle" : "", "family" : "Corcos", "given" : "Alain F.", "non-dropping-particle" : "", "parse-names" : false, "suffix" : "" } ], "container-title" : "Biology and Philosophy", "id" : "ITEM-2", "issue" : "3", "issued" : { "date-parts" : [ [ "1990" ] ] }, "page" : "267-292", "title" : "The Real Objective of Mendel's Paper", "type" : "article-journal", "volume" : "5" }, "uris" : [ "http://www.mendeley.com/documents/?uuid=d0f59f68-0756-45b7-b4d4-b790967f4b0b" ] }, { "id" : "ITEM-3", "itemData" : { "author" : [ { "dropping-particle" : "", "family" : "M\u00fcller-Wille", "given" : "Staffan", "non-dropping-particle" : "", "parse-names" : false, "suffix" : "" }, { "dropping-particle" : "", "family" : "Orel", "given" : "Vitezslav", "non-dropping-particle" : "", "parse-names" : false, "suffix" : "" } ], "container-title" : "Annals of Science", "id" : "ITEM-3", "issue" : "2", "issued" : { "date-parts" : [ [ "2007" ] ] }, "page" : "171-215", "title" : "From Linnaean Species to Mendelian Factors: Elements of Hybridism, 1751-1870", "type" : "article-journal", "volume" : "64" }, "uris" : [ "http://www.mendeley.com/documents/?uuid=7b72c875-d542-45ed-9048-c0ebb49a48e5" ] } ], "mendeley" : { "formattedCitation" : "(Olby 1979; Monaghan and Corcos 1990; M\u00fcller-Wille and Orel 2007)", "plainTextFormattedCitation" : "(Olby 1979; Monaghan and Corcos 1990; M\u00fcller-Wille and Orel 2007)", "previouslyFormattedCitation" : "(Olby 1979; Monaghan and Corcos 1990; M\u00fcller-Wille and Orel 2007)" }, "properties" : { "noteIndex" : 0 }, "schema" : "https://github.com/citation-style-language/schema/raw/master/csl-citation.json" }</w:instrText>
      </w:r>
      <w:r w:rsidR="006A5CAE">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(Olby 1979; Monaghan and Corcos 1990; Müller-Wille and Orel 2007)</w:t>
      </w:r>
      <w:r w:rsidR="006A5CAE">
        <w:rPr>
          <w:rFonts w:ascii="Times New Roman" w:hAnsi="Times New Roman" w:cs="Times New Roman"/>
          <w:sz w:val="24"/>
          <w:szCs w:val="24"/>
        </w:rPr>
        <w:fldChar w:fldCharType="end"/>
      </w:r>
      <w:r w:rsidR="006A5CAE">
        <w:rPr>
          <w:rFonts w:ascii="Times New Roman" w:hAnsi="Times New Roman" w:cs="Times New Roman"/>
          <w:sz w:val="24"/>
          <w:szCs w:val="24"/>
        </w:rPr>
        <w:t xml:space="preserve"> </w:t>
      </w:r>
      <w:r w:rsidR="00A20826">
        <w:rPr>
          <w:rFonts w:ascii="Times New Roman" w:hAnsi="Times New Roman" w:cs="Times New Roman"/>
          <w:sz w:val="24"/>
          <w:szCs w:val="24"/>
        </w:rPr>
        <w:t xml:space="preserve">It is also accepted </w:t>
      </w:r>
      <w:r w:rsidR="00C26CB3">
        <w:rPr>
          <w:rFonts w:ascii="Times New Roman" w:hAnsi="Times New Roman" w:cs="Times New Roman"/>
          <w:sz w:val="24"/>
          <w:szCs w:val="24"/>
        </w:rPr>
        <w:t xml:space="preserve">that the great rediscovery of Mendel’s work in 1900 is in fact the introduction of Mendel’s work into the study of heredity. </w:t>
      </w:r>
      <w:r w:rsidR="001E4AB3">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"Olby", "given" : "Robert", "non-dropping-particle" : "", "parse-names" : false, "suffix" : "" } ], "edition" : "2", "id" : "ITEM-1", "issued" : { "date-parts" : [ [ "1985" ] ] }, "publisher" : "University of Chicago Press", "publisher-place" : "Chicago, IL", "title" : "Origins of Mendelism", "type" : "book" }, "uris" : [ "http://www.mendeley.com/documents/?uuid=d29fba65-181e-4df8-9ec0-910c20949e4a" ] }, { "id" : "ITEM-2", "itemData" : { "DOI" : "10.1007/BF00126096", "ISSN" : "00225010", "PMID" : "11615639", "abstract" : "Bateson thought Mendelism had promise for future work because: 1) The Mendelian conceptions allowed reinterpretation of some of the old data from breeding experiments; 2) They dealt with phenomena Bateson considered important in solving the larger problem of the origin of species--he regarded Mendelian varieties as nascent species; 3) Mendel's conceptions solved the problem of swamping in Darwin's theory; 4) Mendelian experiments involved artificial breeding, which Bateson had long advocated; 5) the Mendelian conceptions held promise of having very general application to the phenomena of heredity; and 6a) he saw the Mendelian conceptions as relating to development and 6b) he did not believe that Mendelism committed him to believing in material units of heredity. {Memo} Not a terribly helpful article. Lindley divides up Bateson's views artificially, diverting one's attention from understanding Bateson's motivations without adding significant clarity. Seems simpler and more accurate to interpret Bateson literally and say simply that for Bateson, Mendel provided confirmation of his two biggest worries about Darwinian gradualism: the problem of swamping (Jenkin's criticism) and the apparent uselessness of minor, intermediate variations. Bateson was in some sense prepared for Mendel because he, like Mendel, used breeding experiments to tease out the laws of heredity.", "author" : [ { "dropping-particle" : "", "family" : "Darden", "given" : "Lindley", "non-dropping-particle" : "", "parse-names" : false, "suffix" : "" } ], "container-title" : "Journal of the History of Biology", "id" : "ITEM-2", "issue" : "1", "issued" : { "date-parts" : [ [ "1977" ] ] }, "page" : "87-106", "title" : "William Bateson and the promise of Mendelism", "type" : "article-journal", "volume" : "10" }, "uris" : [ "http://www.mendeley.com/documents/?uuid=114dc0bb-2284-4390-a29d-68cc8145000c" ] }, { "id" : "ITEM-3", "itemData" : { "DOI" : "10.1016/S0764-4469(00)01258-0", "ISSN" : "07644469", "PMID" : "11147092", "abstract" : "Why was Mendelism rediscovered? One way in which historians have addressed this issue is to look at wider trends in research during the 1890s of which the rediscoverers were part. Quite a lot is known about one such research tradition, namely the attempts to resolve the question of evolutionary mechanism through the use of varietal crosses. But another relevant research tradition is still largely unknown: the work of commercial breeders, several of whom were using hybridisation by the 1890s. In this paper I begin by looking at Tschermak's initial career, the sequence of events by which he came upon Mendel's work, and why he was excited by what he read. Then I place Tschermak's early work in the context of commercial plant-breeding in German-speaking Europe toward the end of the 19th century. Finally I look again at the question of Tschermak's somewhat ambivalent relationship to Mendelism after 1900. I argue that his initial misunderstanding of the concept of segregation was due to the fact that he approached Mendel's work with the perspective of a breeder rather than that of a geneticist. (C) 2000 Academie des sciences/Editions scientifiques et medicales Elsevier SAS.", "author" : [ { "dropping-particle" : "", "family" : "Harwood", "given" : "Jonathan", "non-dropping-particle" : "", "parse-names" : false, "suffix" : "" } ], "container-title" : "Comptes Rendus de l'Academie des Sciences - Serie III", "id" : "ITEM-3", "issue" : "12", "issued" : { "date-parts" : [ [ "2000" ] ] }, "page" : "1061-1067", "title" : "The rediscovery of Mendelism in agricultural context: Erich von Tschermak as plant-breeder", "type" : "article-journal", "volume" : "323" }, "uris" : [ "http://www.mendeley.com/documents/?uuid=0ce96f51-ca90-4f65-b73b-5ae3e6e83743" ] } ], "mendeley" : { "formattedCitation" : "(Olby 1985; Darden 1977; Harwood 2000)", "manualFormatting" : "( Darden 1977; Olby 1985; Harwood 2000)", "plainTextFormattedCitation" : "(Olby 1985; Darden 1977; Harwood 2000)", "previouslyFormattedCitation" : "(Olby 1985; Darden 1977; Harwood 2000)" }, "properties" : { "noteIndex" : 0 }, "schema" : "https://github.com/citation-style-language/schema/raw/master/csl-citation.json" }</w:instrText>
      </w:r>
      <w:r w:rsidR="001E4AB3">
        <w:rPr>
          <w:rFonts w:ascii="Times New Roman" w:hAnsi="Times New Roman" w:cs="Times New Roman"/>
          <w:sz w:val="24"/>
          <w:szCs w:val="24"/>
        </w:rPr>
        <w:fldChar w:fldCharType="separate"/>
      </w:r>
      <w:r w:rsidR="00BC034D" w:rsidRPr="00BC034D">
        <w:rPr>
          <w:rFonts w:ascii="Times New Roman" w:hAnsi="Times New Roman" w:cs="Times New Roman"/>
          <w:noProof/>
          <w:sz w:val="24"/>
          <w:szCs w:val="24"/>
        </w:rPr>
        <w:t>(</w:t>
      </w:r>
      <w:r w:rsidR="00020A3B" w:rsidRPr="00BC034D">
        <w:rPr>
          <w:rFonts w:ascii="Times New Roman" w:hAnsi="Times New Roman" w:cs="Times New Roman"/>
          <w:noProof/>
          <w:sz w:val="24"/>
          <w:szCs w:val="24"/>
        </w:rPr>
        <w:t>Darden 1977;</w:t>
      </w:r>
      <w:r w:rsidR="00020A3B">
        <w:rPr>
          <w:rFonts w:ascii="Times New Roman" w:hAnsi="Times New Roman" w:cs="Times New Roman"/>
          <w:noProof/>
          <w:sz w:val="24"/>
          <w:szCs w:val="24"/>
        </w:rPr>
        <w:t xml:space="preserve"> Olby 1985; </w:t>
      </w:r>
      <w:r w:rsidR="00BC034D" w:rsidRPr="00BC034D">
        <w:rPr>
          <w:rFonts w:ascii="Times New Roman" w:hAnsi="Times New Roman" w:cs="Times New Roman"/>
          <w:noProof/>
          <w:sz w:val="24"/>
          <w:szCs w:val="24"/>
        </w:rPr>
        <w:t>Harwood 2000)</w:t>
      </w:r>
      <w:r w:rsidR="001E4AB3">
        <w:rPr>
          <w:rFonts w:ascii="Times New Roman" w:hAnsi="Times New Roman" w:cs="Times New Roman"/>
          <w:sz w:val="24"/>
          <w:szCs w:val="24"/>
        </w:rPr>
        <w:fldChar w:fldCharType="end"/>
      </w:r>
      <w:r w:rsidR="0049766D">
        <w:rPr>
          <w:rFonts w:ascii="Times New Roman" w:hAnsi="Times New Roman" w:cs="Times New Roman"/>
          <w:sz w:val="24"/>
          <w:szCs w:val="24"/>
        </w:rPr>
        <w:t xml:space="preserve"> Hugo de Vries, Carl Correns, and Erich von Tschermak, the “rediscoverers” of Mendel’s work in 1900, all differ in their research problems. </w:t>
      </w:r>
      <w:r w:rsidR="00EB6CE8">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"Corcos", "given" : "Alain F.", "non-dropping-particle" : "", "parse-names" : false, "suffix" : "" }, { "dropping-particle" : "V.", "family" : "Monaghan", "given" : "Floyd", "non-dropping-particle" : "", "parse-names" : false, "suffix" : "" } ], "container-title" : "Journal of Heredity", "id" : "ITEM-1", "issue" : "3", "issued" : { "date-parts" : [ [ "1985" ] ] }, "page" : "187-190", "title" : "Role of de Vries in the Recovery of Mendel's Work I. Was de Vries really an Independent Discoverer of Mendel?", "type" : "article-journal", "volume" : "76" }, "uris" : [ "http://www.mendeley.com/documents/?uuid=f94f8be5-7a4b-4eb8-b777-00ea5f22c5cd" ] }, { "id" : "ITEM-2", "itemData" : { "author" : [ { "dropping-particle" : "V.", "family" : "Monaghan", "given" : "Floyd", "non-dropping-particle" : "", "parse-names" : false, "suffix" : "" }, { "dropping-particle" : "", "family" : "Corcos", "given" : "Alain F.", "non-dropping-particle" : "", "parse-names" : false, "suffix" : "" } ], "container-title" : "Journal of Heredity", "id" : "ITEM-2", "issued" : { "date-parts" : [ [ "1986" ] ] }, "page" : "468-469", "title" : "Tschermak: A Non-Discoverer of Mendelism, I. An Historical Note", "type" : "article-journal", "volume" : "77" }, "uris" : [ "http://www.mendeley.com/documents/?uuid=757de3c3-5921-45cf-9748-d4841f5ab445" ] }, { "id" : "ITEM-3", "itemData" : { "author" : [ { "dropping-particle" : "", "family" : "Corcos", "given" : "Alain F.", "non-dropping-particle" : "", "parse-names" : false, "suffix" : "" }, { "dropping-particle" : "V.", "family" : "Monaghan", "given" : "Floyd", "non-dropping-particle" : "", "parse-names" : false, "suffix" : "" } ], "container-title" : "Journal of Heredity", "id" : "ITEM-3", "issue" : "6", "issued" : { "date-parts" : [ [ "1987" ] ] }, "page" : "404-405", "title" : "Correns, an Independent Discovery of Mendelism? II. Was Correns a Real Interpreter of Mendel's Paper?", "type" : "article-journal", "volume" : "78" }, "uris" : [ "http://www.mendeley.com/documents/?uuid=8dccbfe2-c5c9-4a7a-b96a-24327eda930d" ] } ], "mendeley" : { "formattedCitation" : "(Corcos and Monaghan 1985; Monaghan and Corcos 1986; Corcos and Monaghan 1987)", "manualFormatting" : "(Corcos and Monaghan 1985; 1987; Monaghan and Corcos 1986)", "plainTextFormattedCitation" : "(Corcos and Monaghan 1985; Monaghan and Corcos 1986; Corcos and Monaghan 1987)", "previouslyFormattedCitation" : "(Corcos and Monaghan 1985; Monaghan and Corcos 1986; Corcos and Monaghan 1987)" }, "properties" : { "noteIndex" : 0 }, "schema" : "https://github.com/citation-style-language/schema/raw/master/csl-citation.json" }</w:instrText>
      </w:r>
      <w:r w:rsidR="00EB6CE8">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(Corcos and Monagha</w:t>
      </w:r>
      <w:r w:rsidR="003D2EA5">
        <w:rPr>
          <w:rFonts w:ascii="Times New Roman" w:hAnsi="Times New Roman" w:cs="Times New Roman"/>
          <w:noProof/>
          <w:sz w:val="24"/>
          <w:szCs w:val="24"/>
        </w:rPr>
        <w:t xml:space="preserve">n 1985; </w:t>
      </w:r>
      <w:r w:rsidR="003D2EA5" w:rsidRPr="00593750">
        <w:rPr>
          <w:rFonts w:ascii="Times New Roman" w:hAnsi="Times New Roman" w:cs="Times New Roman"/>
          <w:noProof/>
          <w:sz w:val="24"/>
          <w:szCs w:val="24"/>
        </w:rPr>
        <w:t>1987</w:t>
      </w:r>
      <w:r w:rsidR="003D2EA5">
        <w:rPr>
          <w:rFonts w:ascii="Times New Roman" w:hAnsi="Times New Roman" w:cs="Times New Roman"/>
          <w:noProof/>
          <w:sz w:val="24"/>
          <w:szCs w:val="24"/>
        </w:rPr>
        <w:t>; Monaghan and Corcos 1986</w:t>
      </w:r>
      <w:r w:rsidR="00593750" w:rsidRPr="00593750">
        <w:rPr>
          <w:rFonts w:ascii="Times New Roman" w:hAnsi="Times New Roman" w:cs="Times New Roman"/>
          <w:noProof/>
          <w:sz w:val="24"/>
          <w:szCs w:val="24"/>
        </w:rPr>
        <w:t>)</w:t>
      </w:r>
      <w:r w:rsidR="00EB6CE8">
        <w:rPr>
          <w:rFonts w:ascii="Times New Roman" w:hAnsi="Times New Roman" w:cs="Times New Roman"/>
          <w:sz w:val="24"/>
          <w:szCs w:val="24"/>
        </w:rPr>
        <w:fldChar w:fldCharType="end"/>
      </w:r>
      <w:r w:rsidR="00EB6CE8">
        <w:rPr>
          <w:rFonts w:ascii="Times New Roman" w:hAnsi="Times New Roman" w:cs="Times New Roman"/>
          <w:sz w:val="24"/>
          <w:szCs w:val="24"/>
        </w:rPr>
        <w:t xml:space="preserve"> </w:t>
      </w:r>
      <w:r w:rsidR="00864816">
        <w:rPr>
          <w:rFonts w:ascii="Times New Roman" w:hAnsi="Times New Roman" w:cs="Times New Roman"/>
          <w:sz w:val="24"/>
          <w:szCs w:val="24"/>
        </w:rPr>
        <w:t>Therefore,</w:t>
      </w:r>
      <w:r w:rsidR="006E3BFD">
        <w:rPr>
          <w:rFonts w:ascii="Times New Roman" w:hAnsi="Times New Roman" w:cs="Times New Roman"/>
          <w:sz w:val="24"/>
          <w:szCs w:val="24"/>
        </w:rPr>
        <w:t xml:space="preserve"> </w:t>
      </w:r>
      <w:r w:rsidR="00864816">
        <w:rPr>
          <w:rFonts w:ascii="Times New Roman" w:hAnsi="Times New Roman" w:cs="Times New Roman"/>
          <w:sz w:val="24"/>
          <w:szCs w:val="24"/>
        </w:rPr>
        <w:t>the significance of Mendel in the history of genetics</w:t>
      </w:r>
      <w:r w:rsidR="006E3BFD">
        <w:rPr>
          <w:rFonts w:ascii="Times New Roman" w:hAnsi="Times New Roman" w:cs="Times New Roman"/>
          <w:sz w:val="24"/>
          <w:szCs w:val="24"/>
        </w:rPr>
        <w:t xml:space="preserve"> is even more confusing</w:t>
      </w:r>
      <w:r w:rsidR="00864816">
        <w:rPr>
          <w:rFonts w:ascii="Times New Roman" w:hAnsi="Times New Roman" w:cs="Times New Roman"/>
          <w:sz w:val="24"/>
          <w:szCs w:val="24"/>
        </w:rPr>
        <w:t>: H</w:t>
      </w:r>
      <w:r w:rsidR="006E3BFD">
        <w:rPr>
          <w:rFonts w:ascii="Times New Roman" w:hAnsi="Times New Roman" w:cs="Times New Roman"/>
          <w:sz w:val="24"/>
          <w:szCs w:val="24"/>
        </w:rPr>
        <w:t xml:space="preserve">ow </w:t>
      </w:r>
      <w:r w:rsidR="00864816">
        <w:rPr>
          <w:rFonts w:ascii="Times New Roman" w:hAnsi="Times New Roman" w:cs="Times New Roman"/>
          <w:sz w:val="24"/>
          <w:szCs w:val="24"/>
        </w:rPr>
        <w:t xml:space="preserve">does </w:t>
      </w:r>
      <w:r w:rsidR="006E3BFD">
        <w:rPr>
          <w:rFonts w:ascii="Times New Roman" w:hAnsi="Times New Roman" w:cs="Times New Roman"/>
          <w:sz w:val="24"/>
          <w:szCs w:val="24"/>
        </w:rPr>
        <w:t>Mendel’s study on the develo</w:t>
      </w:r>
      <w:r w:rsidR="00864816">
        <w:rPr>
          <w:rFonts w:ascii="Times New Roman" w:hAnsi="Times New Roman" w:cs="Times New Roman"/>
          <w:sz w:val="24"/>
          <w:szCs w:val="24"/>
        </w:rPr>
        <w:t>pment of pea hybrids contribute to the study of inheritance? What is the best way to provide a philosophical analysis of the “rediscovery” of Mendel’s work?</w:t>
      </w:r>
      <w:r w:rsidR="006E3BFD">
        <w:rPr>
          <w:rFonts w:ascii="Times New Roman" w:hAnsi="Times New Roman" w:cs="Times New Roman"/>
          <w:sz w:val="24"/>
          <w:szCs w:val="24"/>
        </w:rPr>
        <w:t xml:space="preserve"> </w:t>
      </w:r>
      <w:r w:rsidR="00260AFD">
        <w:rPr>
          <w:rFonts w:ascii="Times New Roman" w:hAnsi="Times New Roman" w:cs="Times New Roman"/>
          <w:sz w:val="24"/>
          <w:szCs w:val="24"/>
        </w:rPr>
        <w:t>In particular,</w:t>
      </w:r>
      <w:r w:rsidR="00E76152">
        <w:rPr>
          <w:rFonts w:ascii="Times New Roman" w:hAnsi="Times New Roman" w:cs="Times New Roman"/>
          <w:sz w:val="24"/>
          <w:szCs w:val="24"/>
        </w:rPr>
        <w:t xml:space="preserve"> there is no plausible philosophical account of the origin of genetics, which is </w:t>
      </w:r>
      <w:r w:rsidR="00FD2BEB">
        <w:rPr>
          <w:rFonts w:ascii="Times New Roman" w:hAnsi="Times New Roman" w:cs="Times New Roman"/>
          <w:sz w:val="24"/>
          <w:szCs w:val="24"/>
        </w:rPr>
        <w:t xml:space="preserve">also </w:t>
      </w:r>
      <w:r w:rsidR="00260AFD">
        <w:rPr>
          <w:rFonts w:ascii="Times New Roman" w:hAnsi="Times New Roman" w:cs="Times New Roman"/>
          <w:sz w:val="24"/>
          <w:szCs w:val="24"/>
        </w:rPr>
        <w:t xml:space="preserve">compatible with our </w:t>
      </w:r>
      <w:r w:rsidR="00E76152">
        <w:rPr>
          <w:rFonts w:ascii="Times New Roman" w:hAnsi="Times New Roman" w:cs="Times New Roman"/>
          <w:sz w:val="24"/>
          <w:szCs w:val="24"/>
        </w:rPr>
        <w:t xml:space="preserve">current best historiography. </w:t>
      </w:r>
      <w:r w:rsidR="006E3BFD">
        <w:rPr>
          <w:rFonts w:ascii="Times New Roman" w:hAnsi="Times New Roman" w:cs="Times New Roman"/>
          <w:sz w:val="24"/>
          <w:szCs w:val="24"/>
        </w:rPr>
        <w:t xml:space="preserve">In this section, I shall introduce an exemplar-based account of the </w:t>
      </w:r>
      <w:r w:rsidR="00020A3B">
        <w:rPr>
          <w:rFonts w:ascii="Times New Roman" w:hAnsi="Times New Roman" w:cs="Times New Roman"/>
          <w:sz w:val="24"/>
          <w:szCs w:val="24"/>
        </w:rPr>
        <w:t xml:space="preserve">early </w:t>
      </w:r>
      <w:r w:rsidR="006E3BFD">
        <w:rPr>
          <w:rFonts w:ascii="Times New Roman" w:hAnsi="Times New Roman" w:cs="Times New Roman"/>
          <w:sz w:val="24"/>
          <w:szCs w:val="24"/>
        </w:rPr>
        <w:t>development of gen</w:t>
      </w:r>
      <w:r w:rsidR="00020A3B">
        <w:rPr>
          <w:rFonts w:ascii="Times New Roman" w:hAnsi="Times New Roman" w:cs="Times New Roman"/>
          <w:sz w:val="24"/>
          <w:szCs w:val="24"/>
        </w:rPr>
        <w:t>etics</w:t>
      </w:r>
      <w:r w:rsidR="00AE00D1">
        <w:rPr>
          <w:rFonts w:ascii="Times New Roman" w:hAnsi="Times New Roman" w:cs="Times New Roman"/>
          <w:sz w:val="24"/>
          <w:szCs w:val="24"/>
        </w:rPr>
        <w:t xml:space="preserve"> to show how the exemplar-based approach as a case of reviving Kuhn’s legacy</w:t>
      </w:r>
      <w:r w:rsidR="00D55DCB">
        <w:rPr>
          <w:rFonts w:ascii="Times New Roman" w:hAnsi="Times New Roman" w:cs="Times New Roman"/>
          <w:sz w:val="24"/>
          <w:szCs w:val="24"/>
        </w:rPr>
        <w:t xml:space="preserve"> is helpful to contemporary philosophy of science</w:t>
      </w:r>
      <w:r w:rsidR="00784D07">
        <w:rPr>
          <w:rFonts w:ascii="Times New Roman" w:hAnsi="Times New Roman" w:cs="Times New Roman"/>
          <w:sz w:val="24"/>
          <w:szCs w:val="24"/>
        </w:rPr>
        <w:t>.</w:t>
      </w:r>
    </w:p>
    <w:p w14:paraId="658A404E" w14:textId="1398B365" w:rsidR="00EA3227" w:rsidRPr="00EA3227" w:rsidRDefault="00260AFD" w:rsidP="00EA3227">
      <w:p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In his original paper, </w:t>
      </w:r>
      <w:r w:rsidR="00EA3227" w:rsidRPr="00EA3227">
        <w:rPr>
          <w:rFonts w:ascii="Times New Roman" w:hAnsi="Times New Roman" w:cs="Times New Roman"/>
          <w:sz w:val="24"/>
          <w:szCs w:val="24"/>
        </w:rPr>
        <w:t xml:space="preserve">Mendel </w:t>
      </w:r>
      <w:r w:rsidR="00784D07" w:rsidRPr="00EA3227">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"author" : [ { "dropping-particle" : "", "family" : "Mendel", "given" : "Gregor", "non-dropping-particle" : "", "parse-names" : false, "suffix" : "" } ], "container-title" : "Verhandlungen des naturforschenden Vereins Br\u00fcnn", "id" : "ITEM-1", "issue" : "Abhandlungen", "issued" : { "date-parts" : [ [ "1865" ] ] }, "page" : "3-47", "title" : "Versuche \u00fcber Pflanzenhybriden", "type" : "article-journal", "volume" : "4" }, "locator" : "3", "uris" : [ "http://www.mendeley.com/documents/?uuid=74859f55-9d87-475a-a535-be0a89ffdfe8", "http://www.mendeley.com/documents/?uuid=a796b0d2-78b0-491c-bdd8-7a4305c2b64e" ] } ], "mendeley" : { "formattedCitation" : "(Mendel 1865, 3)", "manualFormatting" : "(1865, p. 3)", "plainTextFormattedCitation" : "(Mendel 1865, 3)", "previouslyFormattedCitation" : "(Mendel 1865, 3)" }, "properties" : { "noteIndex" : 0 }, "schema" : "https://github.com/citation-style-language/schema/raw/master/csl-citation.json" }</w:instrText>
      </w:r>
      <w:r w:rsidR="00784D07" w:rsidRPr="00EA3227">
        <w:rPr>
          <w:rFonts w:ascii="Times New Roman" w:hAnsi="Times New Roman" w:cs="Times New Roman"/>
          <w:sz w:val="24"/>
          <w:szCs w:val="24"/>
        </w:rPr>
        <w:fldChar w:fldCharType="separate"/>
      </w:r>
      <w:r w:rsidR="00325407">
        <w:rPr>
          <w:rFonts w:ascii="Times New Roman" w:hAnsi="Times New Roman" w:cs="Times New Roman"/>
          <w:noProof/>
          <w:sz w:val="24"/>
          <w:szCs w:val="24"/>
        </w:rPr>
        <w:t>(</w:t>
      </w:r>
      <w:r w:rsidR="00784D07" w:rsidRPr="00EA3227">
        <w:rPr>
          <w:rFonts w:ascii="Times New Roman" w:hAnsi="Times New Roman" w:cs="Times New Roman"/>
          <w:noProof/>
          <w:sz w:val="24"/>
          <w:szCs w:val="24"/>
        </w:rPr>
        <w:t>1865, p. 3)</w:t>
      </w:r>
      <w:r w:rsidR="00784D07" w:rsidRPr="00EA3227">
        <w:rPr>
          <w:rFonts w:ascii="Times New Roman" w:hAnsi="Times New Roman" w:cs="Times New Roman"/>
          <w:sz w:val="24"/>
          <w:szCs w:val="24"/>
        </w:rPr>
        <w:fldChar w:fldCharType="end"/>
      </w:r>
      <w:r w:rsidR="00375FCC">
        <w:rPr>
          <w:rFonts w:ascii="Times New Roman" w:hAnsi="Times New Roman" w:cs="Times New Roman"/>
          <w:sz w:val="24"/>
          <w:szCs w:val="24"/>
        </w:rPr>
        <w:t xml:space="preserve"> </w:t>
      </w:r>
      <w:r w:rsidR="00EA3227" w:rsidRPr="00EA3227">
        <w:rPr>
          <w:rFonts w:ascii="Times New Roman" w:hAnsi="Times New Roman" w:cs="Times New Roman"/>
          <w:sz w:val="24"/>
          <w:szCs w:val="24"/>
        </w:rPr>
        <w:t xml:space="preserve">is very explicit on his purpose of the study of </w:t>
      </w:r>
      <w:r w:rsidR="00EA3227" w:rsidRPr="00EA3227">
        <w:rPr>
          <w:rFonts w:ascii="Times New Roman" w:hAnsi="Times New Roman" w:cs="Times New Roman"/>
          <w:i/>
          <w:sz w:val="24"/>
          <w:szCs w:val="24"/>
        </w:rPr>
        <w:t>Pisum</w:t>
      </w:r>
      <w:r w:rsidR="00EA3227" w:rsidRPr="00EA3227">
        <w:rPr>
          <w:rFonts w:ascii="Times New Roman" w:hAnsi="Times New Roman" w:cs="Times New Roman"/>
          <w:sz w:val="24"/>
          <w:szCs w:val="24"/>
        </w:rPr>
        <w:t>: To study the development of hybrids in their progeny. More specifically, the initial research problem for Mendel is:</w:t>
      </w:r>
    </w:p>
    <w:p w14:paraId="5204EB99" w14:textId="03F3858A" w:rsidR="00375FCC" w:rsidRDefault="00EA3227" w:rsidP="00EA3227">
      <w:pPr>
        <w:spacing w:after="200" w:line="480" w:lineRule="auto"/>
        <w:rPr>
          <w:rFonts w:ascii="Times New Roman" w:hAnsi="Times New Roman" w:cs="Times New Roman"/>
          <w:sz w:val="24"/>
          <w:szCs w:val="24"/>
        </w:rPr>
      </w:pPr>
      <w:r w:rsidRPr="00EA3227">
        <w:rPr>
          <w:rFonts w:ascii="Times New Roman" w:hAnsi="Times New Roman" w:cs="Times New Roman"/>
          <w:sz w:val="24"/>
          <w:szCs w:val="24"/>
        </w:rPr>
        <w:t xml:space="preserve">MP1. How could one “determine the number of different forms in which hybrid progeny appear, permit classification of these forms in each generation with certainty, and ascertain their numerical interrelationship”? </w:t>
      </w:r>
      <w:r w:rsidRPr="00EA3227">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"author" : [ { "dropping-particle" : "", "family" : "Mendel", "given" : "Gregor", "non-dropping-particle" : "", "parse-names" : false, "suffix" : "" } ], "container-title" : "Verhandlungen des naturforschenden Vereins Br\u00fcnn", "id" : "ITEM-1", "issue" : "Abhandlungen", "issued" : { "date-parts" : [ [ "1865" ] ] }, "page" : "3-47", "title" : "Versuche \u00fcber Pflanzenhybriden", "type" : "article-journal", "volume" : "4" }, "locator" : "4", "uris" : [ "http://www.mendeley.com/documents/?uuid=a796b0d2-78b0-491c-bdd8-7a4305c2b64e", "http://www.mendeley.com/documents/?uuid=74859f55-9d87-475a-a535-be0a89ffdfe8" ] } ], "mendeley" : { "formattedCitation" : "(Mendel 1865, 4)", "plainTextFormattedCitation" : "(Mendel 1865, 4)", "previouslyFormattedCitation" : "(Mendel 1865, 4)" }, "properties" : { "noteIndex" : 0 }, "schema" : "https://github.com/citation-style-language/schema/raw/master/csl-citation.json" }</w:instrText>
      </w:r>
      <w:r w:rsidRPr="00EA3227">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(Mendel 1865, 4)</w:t>
      </w:r>
      <w:r w:rsidRPr="00EA3227">
        <w:rPr>
          <w:rFonts w:ascii="Times New Roman" w:hAnsi="Times New Roman" w:cs="Times New Roman"/>
          <w:sz w:val="24"/>
          <w:szCs w:val="24"/>
        </w:rPr>
        <w:fldChar w:fldCharType="end"/>
      </w:r>
    </w:p>
    <w:p w14:paraId="1AB50155" w14:textId="124AC225" w:rsidR="000C4273" w:rsidRPr="000C4273" w:rsidRDefault="000C4273" w:rsidP="000C4273">
      <w:p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order to make MP1 more </w:t>
      </w:r>
      <w:r w:rsidRPr="000C4273">
        <w:rPr>
          <w:rFonts w:ascii="Times New Roman" w:hAnsi="Times New Roman" w:cs="Times New Roman"/>
          <w:sz w:val="24"/>
          <w:szCs w:val="24"/>
        </w:rPr>
        <w:t>experimentally testable and conceptually more specific problems for the further investigation</w:t>
      </w:r>
      <w:r>
        <w:rPr>
          <w:rFonts w:ascii="Times New Roman" w:hAnsi="Times New Roman" w:cs="Times New Roman"/>
          <w:sz w:val="24"/>
          <w:szCs w:val="24"/>
        </w:rPr>
        <w:t>,</w:t>
      </w:r>
      <w:r w:rsidRPr="000C4273">
        <w:rPr>
          <w:rFonts w:ascii="Times New Roman" w:hAnsi="Times New Roman" w:cs="Times New Roman"/>
          <w:sz w:val="24"/>
          <w:szCs w:val="24"/>
        </w:rPr>
        <w:t xml:space="preserve"> Mendel </w:t>
      </w:r>
      <w:r>
        <w:rPr>
          <w:rFonts w:ascii="Times New Roman" w:hAnsi="Times New Roman" w:cs="Times New Roman"/>
          <w:sz w:val="24"/>
          <w:szCs w:val="24"/>
        </w:rPr>
        <w:t xml:space="preserve">reformulates </w:t>
      </w:r>
      <w:r w:rsidRPr="000C4273">
        <w:rPr>
          <w:rFonts w:ascii="Times New Roman" w:hAnsi="Times New Roman" w:cs="Times New Roman"/>
          <w:sz w:val="24"/>
          <w:szCs w:val="24"/>
        </w:rPr>
        <w:t>MP1 to a more specific sub-problem:</w:t>
      </w:r>
    </w:p>
    <w:p w14:paraId="2D00D646" w14:textId="28598B8F" w:rsidR="000C4273" w:rsidRPr="000C4273" w:rsidRDefault="000C4273" w:rsidP="000C4273">
      <w:pPr>
        <w:spacing w:after="200" w:line="480" w:lineRule="auto"/>
        <w:rPr>
          <w:rFonts w:ascii="Times New Roman" w:hAnsi="Times New Roman" w:cs="Times New Roman"/>
          <w:sz w:val="24"/>
          <w:szCs w:val="24"/>
        </w:rPr>
      </w:pPr>
      <w:r w:rsidRPr="000C4273">
        <w:rPr>
          <w:rFonts w:ascii="Times New Roman" w:hAnsi="Times New Roman" w:cs="Times New Roman"/>
          <w:sz w:val="24"/>
          <w:szCs w:val="24"/>
        </w:rPr>
        <w:t xml:space="preserve">MP2. What are the changes for each pair of differing traits, selected in the pre-experiment practice, in the offspring of </w:t>
      </w:r>
      <w:r w:rsidRPr="000C4273">
        <w:rPr>
          <w:rFonts w:ascii="Times New Roman" w:hAnsi="Times New Roman" w:cs="Times New Roman"/>
          <w:i/>
          <w:sz w:val="24"/>
          <w:szCs w:val="24"/>
        </w:rPr>
        <w:t>Pisum</w:t>
      </w:r>
      <w:r w:rsidRPr="000C4273">
        <w:rPr>
          <w:rFonts w:ascii="Times New Roman" w:hAnsi="Times New Roman" w:cs="Times New Roman"/>
          <w:sz w:val="24"/>
          <w:szCs w:val="24"/>
        </w:rPr>
        <w:t xml:space="preserve">? Or, what is the law deducible from the changes for each pair of differing traits selected in the successive generations? </w:t>
      </w:r>
      <w:r w:rsidRPr="000C4273">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"author" : [ { "dropping-particle" : "", "family" : "Mendel", "given" : "Gregor", "non-dropping-particle" : "", "parse-names" : false, "suffix" : "" } ], "container-title" : "Verhandlungen des naturforschenden Vereins Br\u00fcnn", "id" : "ITEM-1", "issue" : "Abhandlungen", "issued" : { "date-parts" : [ [ "1865" ] ] }, "page" : "3-47", "title" : "Versuche \u00fcber Pflanzenhybriden", "type" : "article-journal", "volume" : "4" }, "locator" : "7", "uris" : [ "http://www.mendeley.com/documents/?uuid=a796b0d2-78b0-491c-bdd8-7a4305c2b64e" ] } ], "mendeley" : { "formattedCitation" : "(Mendel 1865, 7)", "plainTextFormattedCitation" : "(Mendel 1865, 7)", "previouslyFormattedCitation" : "(Mendel 1865, 7)" }, "properties" : { "noteIndex" : 0 }, "schema" : "https://github.com/citation-style-language/schema/raw/master/csl-citation.json" }</w:instrText>
      </w:r>
      <w:r w:rsidRPr="000C4273">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(Mendel 1865, 7)</w:t>
      </w:r>
      <w:r w:rsidRPr="000C4273">
        <w:rPr>
          <w:rFonts w:ascii="Times New Roman" w:hAnsi="Times New Roman" w:cs="Times New Roman"/>
          <w:sz w:val="24"/>
          <w:szCs w:val="24"/>
        </w:rPr>
        <w:fldChar w:fldCharType="end"/>
      </w:r>
    </w:p>
    <w:p w14:paraId="4D3807BB" w14:textId="65C05EFC" w:rsidR="00EA3227" w:rsidRPr="00EA3227" w:rsidRDefault="005F1215" w:rsidP="00AC01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w:t>
      </w:r>
      <w:r w:rsidRPr="00EA3227">
        <w:rPr>
          <w:rFonts w:ascii="Times New Roman" w:hAnsi="Times New Roman" w:cs="Times New Roman"/>
          <w:sz w:val="24"/>
          <w:szCs w:val="24"/>
        </w:rPr>
        <w:t xml:space="preserve">contextually </w:t>
      </w:r>
      <w:r>
        <w:rPr>
          <w:rFonts w:ascii="Times New Roman" w:hAnsi="Times New Roman" w:cs="Times New Roman"/>
          <w:sz w:val="24"/>
          <w:szCs w:val="24"/>
        </w:rPr>
        <w:t>intertwined activities by</w:t>
      </w:r>
      <w:r w:rsidRPr="00EA3227">
        <w:rPr>
          <w:rFonts w:ascii="Times New Roman" w:hAnsi="Times New Roman" w:cs="Times New Roman"/>
          <w:sz w:val="24"/>
          <w:szCs w:val="24"/>
        </w:rPr>
        <w:t xml:space="preserve"> problem-defining, conceptualisation, experimentation, hypothesisation, and reasoning, </w:t>
      </w:r>
      <w:r>
        <w:rPr>
          <w:rFonts w:ascii="Times New Roman" w:hAnsi="Times New Roman" w:cs="Times New Roman"/>
          <w:sz w:val="24"/>
          <w:szCs w:val="24"/>
        </w:rPr>
        <w:t>Mendel established an exemplary</w:t>
      </w:r>
      <w:r w:rsidR="006272A0">
        <w:rPr>
          <w:rFonts w:ascii="Times New Roman" w:hAnsi="Times New Roman" w:cs="Times New Roman"/>
          <w:sz w:val="24"/>
          <w:szCs w:val="24"/>
        </w:rPr>
        <w:t xml:space="preserve"> practice on the study of pea hybridisation</w:t>
      </w:r>
      <w:r w:rsidR="006A0EA8">
        <w:rPr>
          <w:rFonts w:ascii="Times New Roman" w:hAnsi="Times New Roman" w:cs="Times New Roman"/>
          <w:sz w:val="24"/>
          <w:szCs w:val="24"/>
        </w:rPr>
        <w:t xml:space="preserve">, summarised in </w:t>
      </w:r>
      <w:r w:rsidR="002B3999">
        <w:rPr>
          <w:rFonts w:ascii="Times New Roman" w:hAnsi="Times New Roman" w:cs="Times New Roman"/>
          <w:sz w:val="24"/>
          <w:szCs w:val="24"/>
        </w:rPr>
        <w:t>table 1</w:t>
      </w:r>
      <w:r w:rsidR="006272A0">
        <w:rPr>
          <w:rFonts w:ascii="Times New Roman" w:hAnsi="Times New Roman" w:cs="Times New Roman"/>
          <w:sz w:val="24"/>
          <w:szCs w:val="24"/>
        </w:rPr>
        <w:t>.</w:t>
      </w:r>
    </w:p>
    <w:p w14:paraId="5A5A8D87" w14:textId="0EB866EB" w:rsidR="00BE69EC" w:rsidRDefault="00EA117D" w:rsidP="00BE69EC">
      <w:pPr>
        <w:spacing w:before="200" w:after="0" w:line="480" w:lineRule="auto"/>
        <w:rPr>
          <w:rFonts w:ascii="Times New Roman" w:hAnsi="Times New Roman" w:cs="Times New Roman"/>
          <w:sz w:val="24"/>
          <w:szCs w:val="24"/>
        </w:rPr>
      </w:pPr>
      <w:r>
        <w:rPr>
          <w:rFonts w:ascii="Times New Roman" w:hAnsi="Times New Roman" w:cs="Times New Roman"/>
          <w:sz w:val="24"/>
          <w:szCs w:val="24"/>
        </w:rPr>
        <w:t>The significance of Mendel’s exemplary practice is to some</w:t>
      </w:r>
      <w:r w:rsidR="00AC01FB">
        <w:rPr>
          <w:rFonts w:ascii="Times New Roman" w:hAnsi="Times New Roman" w:cs="Times New Roman"/>
          <w:sz w:val="24"/>
          <w:szCs w:val="24"/>
        </w:rPr>
        <w:t xml:space="preserve"> extent overlooked until it was </w:t>
      </w:r>
      <w:r>
        <w:rPr>
          <w:rFonts w:ascii="Times New Roman" w:hAnsi="Times New Roman" w:cs="Times New Roman"/>
          <w:sz w:val="24"/>
          <w:szCs w:val="24"/>
        </w:rPr>
        <w:t xml:space="preserve">adopted by de Vries </w:t>
      </w:r>
      <w:r w:rsidR="007865E6">
        <w:rPr>
          <w:rFonts w:ascii="Times New Roman" w:hAnsi="Times New Roman" w:cs="Times New Roman"/>
          <w:sz w:val="24"/>
          <w:szCs w:val="24"/>
        </w:rPr>
        <w:t>in his study of pangenesis</w:t>
      </w:r>
      <w:r>
        <w:rPr>
          <w:rFonts w:ascii="Times New Roman" w:hAnsi="Times New Roman" w:cs="Times New Roman"/>
          <w:sz w:val="24"/>
          <w:szCs w:val="24"/>
        </w:rPr>
        <w:t xml:space="preserve">. </w:t>
      </w:r>
      <w:r w:rsidR="007865E6">
        <w:rPr>
          <w:rFonts w:ascii="Times New Roman" w:hAnsi="Times New Roman" w:cs="Times New Roman"/>
          <w:sz w:val="24"/>
          <w:szCs w:val="24"/>
        </w:rPr>
        <w:t>De Vries’s</w:t>
      </w:r>
      <w:r w:rsidR="00EA3227" w:rsidRPr="00EA3227">
        <w:rPr>
          <w:rFonts w:ascii="Times New Roman" w:hAnsi="Times New Roman" w:cs="Times New Roman"/>
          <w:sz w:val="24"/>
          <w:szCs w:val="24"/>
        </w:rPr>
        <w:t xml:space="preserve"> initial problem (DP1) is to experimentally test the principle</w:t>
      </w:r>
      <w:r w:rsidR="007865E6">
        <w:rPr>
          <w:rFonts w:ascii="Times New Roman" w:hAnsi="Times New Roman" w:cs="Times New Roman"/>
          <w:sz w:val="24"/>
          <w:szCs w:val="24"/>
        </w:rPr>
        <w:t xml:space="preserve"> </w:t>
      </w:r>
      <w:r w:rsidR="00EA3227" w:rsidRPr="00EA3227">
        <w:rPr>
          <w:rFonts w:ascii="Times New Roman" w:hAnsi="Times New Roman" w:cs="Times New Roman"/>
          <w:sz w:val="24"/>
          <w:szCs w:val="24"/>
        </w:rPr>
        <w:t xml:space="preserve">(DH1) that the specific characters of organisms are composed of distinct units. </w:t>
      </w:r>
      <w:r w:rsidR="00EA3227" w:rsidRPr="00EA3227">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"Vries", "given" : "Hugo", "non-dropping-particle" : "de", "parse-names" : false, "suffix" : "" } ], "container-title" : "Comptes Rendus de I'Academie des Sciences (Paris)", "id" : "ITEM-1", "issued" : { "date-parts" : [ [ "1900" ] ] }, "page" : "845-847", "title" : "Sur la loi de disjonction des hybrides", "type" : "article-journal", "volume" : "130" }, "uris" : [ "http://www.mendeley.com/documents/?uuid=7b34e3c2-bfb8-4e3f-9262-716281bf9128", "http://www.mendeley.com/documents/?uuid=67179d6f-80a2-4b1b-b889-2be9f5ce5122" ] }, { "id" : "ITEM-2", "itemData" : { "author" : [ { "dropping-particle" : "", "family" : "Vries", "given" : "Hugo", "non-dropping-particle" : "de", "parse-names" : false, "suffix" : "" } ], "container-title" : "Berichte der deutschen botanischen Gesellschaft", "id" : "ITEM-2", "issue" : "3", "issued" : { "date-parts" : [ [ "1900" ] ] }, "page" : "83-90", "title" : "Das Spaltungsgesetz der Bastarde (Vorlaufige Mittheilung)", "type" : "article-journal", "volume" : "18" }, "uris" : [ "http://www.mendeley.com/documents/?uuid=e91ac8c4-461b-4716-9ddd-32a3dcaaaa3a", "http://www.mendeley.com/documents/?uuid=dce9a4b2-c6ad-4e1d-bbd8-f2cbdb41969e", "http://www.mendeley.com/documents/?uuid=86fba45a-afd1-4025-b75a-11b8ae438c29" ] } ], "mendeley" : { "formattedCitation" : "(de Vries 1900b; de Vries 1900a)", "manualFormatting" : "(de Vries 1900a; 1900b)", "plainTextFormattedCitation" : "(de Vries 1900b; de Vries 1900a)", "previouslyFormattedCitation" : "(de Vries 1900b; de Vries 1900a)" }, "properties" : { "noteIndex" : 0 }, "schema" : "https://github.com/citation-style-language/schema/raw/master/csl-citation.json" }</w:instrText>
      </w:r>
      <w:r w:rsidR="00EA3227" w:rsidRPr="00EA3227">
        <w:rPr>
          <w:rFonts w:ascii="Times New Roman" w:hAnsi="Times New Roman" w:cs="Times New Roman"/>
          <w:sz w:val="24"/>
          <w:szCs w:val="24"/>
        </w:rPr>
        <w:fldChar w:fldCharType="separate"/>
      </w:r>
      <w:r w:rsidR="00020A3B">
        <w:rPr>
          <w:rFonts w:ascii="Times New Roman" w:hAnsi="Times New Roman" w:cs="Times New Roman"/>
          <w:noProof/>
          <w:sz w:val="24"/>
          <w:szCs w:val="24"/>
        </w:rPr>
        <w:t xml:space="preserve">(de Vries </w:t>
      </w:r>
      <w:r w:rsidR="00020A3B" w:rsidRPr="001E4AB3">
        <w:rPr>
          <w:rFonts w:ascii="Times New Roman" w:hAnsi="Times New Roman" w:cs="Times New Roman"/>
          <w:noProof/>
          <w:sz w:val="24"/>
          <w:szCs w:val="24"/>
        </w:rPr>
        <w:t>1900a</w:t>
      </w:r>
      <w:r w:rsidR="00020A3B">
        <w:rPr>
          <w:rFonts w:ascii="Times New Roman" w:hAnsi="Times New Roman" w:cs="Times New Roman"/>
          <w:noProof/>
          <w:sz w:val="24"/>
          <w:szCs w:val="24"/>
        </w:rPr>
        <w:t>; 1900b</w:t>
      </w:r>
      <w:r w:rsidR="001E4AB3" w:rsidRPr="001E4AB3">
        <w:rPr>
          <w:rFonts w:ascii="Times New Roman" w:hAnsi="Times New Roman" w:cs="Times New Roman"/>
          <w:noProof/>
          <w:sz w:val="24"/>
          <w:szCs w:val="24"/>
        </w:rPr>
        <w:t>)</w:t>
      </w:r>
      <w:r w:rsidR="00EA3227" w:rsidRPr="00EA3227">
        <w:rPr>
          <w:rFonts w:ascii="Times New Roman" w:hAnsi="Times New Roman" w:cs="Times New Roman"/>
          <w:sz w:val="24"/>
          <w:szCs w:val="24"/>
        </w:rPr>
        <w:fldChar w:fldCharType="end"/>
      </w:r>
      <w:r w:rsidR="00EA3227" w:rsidRPr="00EA3227">
        <w:rPr>
          <w:rFonts w:ascii="Times New Roman" w:hAnsi="Times New Roman" w:cs="Times New Roman"/>
          <w:sz w:val="24"/>
          <w:szCs w:val="24"/>
        </w:rPr>
        <w:t xml:space="preserve"> It should be noted that DH1 is a reformulated version of the hypothesis (DH1’) in the theory of pangenesis </w:t>
      </w:r>
      <w:r w:rsidR="00EA3227" w:rsidRPr="00EA3227">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"Vries", "given" : "Hugo", "non-dropping-particle" : "de", "parse-names" : false, "suffix" : "" } ], "id" : "ITEM-1", "issued" : { "date-parts" : [ [ "1889" ] ] }, "publisher" : "Gustav Fischer", "publisher-place" : "Jean", "title" : "Intracellulare Pangenesis", "type" : "book" }, "uris" : [ "http://www.mendeley.com/documents/?uuid=5db43f44-a782-4d0f-92cb-860676674291", "http://www.mendeley.com/documents/?uuid=716697fe-edfc-4c7f-a4a6-65e7f3a022d5" ] } ], "mendeley" : { "formattedCitation" : "(de Vries 1889)", "manualFormatting" : "(1889)", "plainTextFormattedCitation" : "(de Vries 1889)", "previouslyFormattedCitation" : "(de Vries 1889)" }, "properties" : { "noteIndex" : 0 }, "schema" : "https://github.com/citation-style-language/schema/raw/master/csl-citation.json" }</w:instrText>
      </w:r>
      <w:r w:rsidR="00EA3227" w:rsidRPr="00EA3227">
        <w:rPr>
          <w:rFonts w:ascii="Times New Roman" w:hAnsi="Times New Roman" w:cs="Times New Roman"/>
          <w:sz w:val="24"/>
          <w:szCs w:val="24"/>
        </w:rPr>
        <w:fldChar w:fldCharType="separate"/>
      </w:r>
      <w:r w:rsidR="00020A3B">
        <w:rPr>
          <w:rFonts w:ascii="Times New Roman" w:hAnsi="Times New Roman" w:cs="Times New Roman"/>
          <w:noProof/>
          <w:sz w:val="24"/>
          <w:szCs w:val="24"/>
        </w:rPr>
        <w:t>(</w:t>
      </w:r>
      <w:r w:rsidR="001E4AB3" w:rsidRPr="001E4AB3">
        <w:rPr>
          <w:rFonts w:ascii="Times New Roman" w:hAnsi="Times New Roman" w:cs="Times New Roman"/>
          <w:noProof/>
          <w:sz w:val="24"/>
          <w:szCs w:val="24"/>
        </w:rPr>
        <w:t>1889)</w:t>
      </w:r>
      <w:r w:rsidR="00EA3227" w:rsidRPr="00EA3227">
        <w:rPr>
          <w:rFonts w:ascii="Times New Roman" w:hAnsi="Times New Roman" w:cs="Times New Roman"/>
          <w:sz w:val="24"/>
          <w:szCs w:val="24"/>
        </w:rPr>
        <w:fldChar w:fldCharType="end"/>
      </w:r>
      <w:r w:rsidR="00EA3227" w:rsidRPr="00EA3227">
        <w:rPr>
          <w:rFonts w:ascii="Times New Roman" w:hAnsi="Times New Roman" w:cs="Times New Roman"/>
          <w:sz w:val="24"/>
          <w:szCs w:val="24"/>
        </w:rPr>
        <w:t xml:space="preserve"> that every hereditary characteristic has its special kind of pangen. </w:t>
      </w:r>
      <w:r w:rsidR="00277742">
        <w:rPr>
          <w:rFonts w:ascii="Times New Roman" w:hAnsi="Times New Roman" w:cs="Times New Roman"/>
          <w:sz w:val="24"/>
          <w:szCs w:val="24"/>
        </w:rPr>
        <w:t xml:space="preserve">De Vries had struggled to find a way of </w:t>
      </w:r>
      <w:r w:rsidR="00F119A7">
        <w:rPr>
          <w:rFonts w:ascii="Times New Roman" w:hAnsi="Times New Roman" w:cs="Times New Roman"/>
          <w:sz w:val="24"/>
          <w:szCs w:val="24"/>
        </w:rPr>
        <w:t xml:space="preserve">analysing the data based on his hybridisation experiments until he recognised that Mendel’s problem specification </w:t>
      </w:r>
      <w:r w:rsidR="00C64B4F" w:rsidRPr="00EA3227">
        <w:rPr>
          <w:rFonts w:ascii="Times New Roman" w:hAnsi="Times New Roman" w:cs="Times New Roman"/>
          <w:sz w:val="24"/>
          <w:szCs w:val="24"/>
        </w:rPr>
        <w:t>(MP1</w:t>
      </w:r>
      <m:oMath>
        <m:r>
          <m:rPr>
            <m:sty m:val="p"/>
          </m:rPr>
          <w:rPr>
            <w:rFonts w:ascii="Cambria Math" w:hAnsi="Cambria Math" w:cs="Times New Roman"/>
            <w:sz w:val="24"/>
            <w:szCs w:val="24"/>
          </w:rPr>
          <m:t>→</m:t>
        </m:r>
      </m:oMath>
      <w:r w:rsidR="00C64B4F">
        <w:rPr>
          <w:rFonts w:ascii="Times New Roman" w:hAnsi="Times New Roman" w:cs="Times New Roman"/>
          <w:sz w:val="24"/>
          <w:szCs w:val="24"/>
        </w:rPr>
        <w:t xml:space="preserve">MP2), </w:t>
      </w:r>
      <w:r w:rsidR="00020A3B">
        <w:rPr>
          <w:rFonts w:ascii="Times New Roman" w:hAnsi="Times New Roman" w:cs="Times New Roman"/>
          <w:sz w:val="24"/>
          <w:szCs w:val="24"/>
        </w:rPr>
        <w:t>concepts of dominance</w:t>
      </w:r>
      <w:r w:rsidR="007C3068">
        <w:rPr>
          <w:rFonts w:ascii="Times New Roman" w:hAnsi="Times New Roman" w:cs="Times New Roman"/>
          <w:sz w:val="24"/>
          <w:szCs w:val="24"/>
        </w:rPr>
        <w:t xml:space="preserve"> and recessiveness, and </w:t>
      </w:r>
      <w:r w:rsidR="00020A3B">
        <w:rPr>
          <w:rFonts w:ascii="Times New Roman" w:hAnsi="Times New Roman" w:cs="Times New Roman"/>
          <w:sz w:val="24"/>
          <w:szCs w:val="24"/>
        </w:rPr>
        <w:t>l</w:t>
      </w:r>
      <w:r w:rsidR="00DF0E02">
        <w:rPr>
          <w:rFonts w:ascii="Times New Roman" w:hAnsi="Times New Roman" w:cs="Times New Roman"/>
          <w:sz w:val="24"/>
          <w:szCs w:val="24"/>
        </w:rPr>
        <w:t xml:space="preserve">aw of </w:t>
      </w:r>
      <w:r w:rsidR="00020A3B">
        <w:rPr>
          <w:rFonts w:ascii="Times New Roman" w:hAnsi="Times New Roman" w:cs="Times New Roman"/>
          <w:sz w:val="24"/>
          <w:szCs w:val="24"/>
        </w:rPr>
        <w:t>composition of hybrid f</w:t>
      </w:r>
      <w:r w:rsidR="00DF0E02">
        <w:rPr>
          <w:rFonts w:ascii="Times New Roman" w:hAnsi="Times New Roman" w:cs="Times New Roman"/>
          <w:sz w:val="24"/>
          <w:szCs w:val="24"/>
        </w:rPr>
        <w:t xml:space="preserve">ertilising </w:t>
      </w:r>
      <w:r w:rsidR="00020A3B">
        <w:rPr>
          <w:rFonts w:ascii="Times New Roman" w:hAnsi="Times New Roman" w:cs="Times New Roman"/>
          <w:sz w:val="24"/>
          <w:szCs w:val="24"/>
        </w:rPr>
        <w:t>c</w:t>
      </w:r>
      <w:r w:rsidR="00DF0E02">
        <w:rPr>
          <w:rFonts w:ascii="Times New Roman" w:hAnsi="Times New Roman" w:cs="Times New Roman"/>
          <w:sz w:val="24"/>
          <w:szCs w:val="24"/>
        </w:rPr>
        <w:t>ells</w:t>
      </w:r>
      <w:r w:rsidR="00DF0E02" w:rsidRPr="004A1A3A">
        <w:rPr>
          <w:rFonts w:ascii="Times New Roman" w:hAnsi="Times New Roman" w:cs="Times New Roman"/>
          <w:sz w:val="24"/>
          <w:szCs w:val="24"/>
        </w:rPr>
        <w:t xml:space="preserve"> </w:t>
      </w:r>
      <w:r w:rsidR="00DF0E02">
        <w:rPr>
          <w:rFonts w:ascii="Times New Roman" w:hAnsi="Times New Roman" w:cs="Times New Roman"/>
          <w:sz w:val="24"/>
          <w:szCs w:val="24"/>
        </w:rPr>
        <w:t>(</w:t>
      </w:r>
      <w:r w:rsidR="007C3068">
        <w:rPr>
          <w:rFonts w:ascii="Times New Roman" w:hAnsi="Times New Roman" w:cs="Times New Roman"/>
          <w:sz w:val="24"/>
          <w:szCs w:val="24"/>
        </w:rPr>
        <w:t>MH3</w:t>
      </w:r>
      <w:r w:rsidR="00DF0E02">
        <w:rPr>
          <w:rFonts w:ascii="Times New Roman" w:hAnsi="Times New Roman" w:cs="Times New Roman"/>
          <w:sz w:val="24"/>
          <w:szCs w:val="24"/>
        </w:rPr>
        <w:t>)</w:t>
      </w:r>
      <w:r w:rsidR="007C3068">
        <w:rPr>
          <w:rFonts w:ascii="Times New Roman" w:hAnsi="Times New Roman" w:cs="Times New Roman"/>
          <w:sz w:val="24"/>
          <w:szCs w:val="24"/>
        </w:rPr>
        <w:t xml:space="preserve"> are useful. By incorporating Mende</w:t>
      </w:r>
      <w:r w:rsidR="003B2ED3">
        <w:rPr>
          <w:rFonts w:ascii="Times New Roman" w:hAnsi="Times New Roman" w:cs="Times New Roman"/>
          <w:sz w:val="24"/>
          <w:szCs w:val="24"/>
        </w:rPr>
        <w:t>l’s problem-defining, conceptualisa</w:t>
      </w:r>
      <w:r w:rsidR="007C3068">
        <w:rPr>
          <w:rFonts w:ascii="Times New Roman" w:hAnsi="Times New Roman" w:cs="Times New Roman"/>
          <w:sz w:val="24"/>
          <w:szCs w:val="24"/>
        </w:rPr>
        <w:t xml:space="preserve">tion, and hypothesisation, de Vries constructed an </w:t>
      </w:r>
      <w:r w:rsidR="00EA3227" w:rsidRPr="00EA3227">
        <w:rPr>
          <w:rFonts w:ascii="Times New Roman" w:hAnsi="Times New Roman" w:cs="Times New Roman"/>
          <w:sz w:val="24"/>
          <w:szCs w:val="24"/>
        </w:rPr>
        <w:t>exemplar</w:t>
      </w:r>
      <w:r w:rsidR="00B3709C">
        <w:rPr>
          <w:rFonts w:ascii="Times New Roman" w:hAnsi="Times New Roman" w:cs="Times New Roman"/>
          <w:sz w:val="24"/>
          <w:szCs w:val="24"/>
        </w:rPr>
        <w:t xml:space="preserve">y practice </w:t>
      </w:r>
      <w:r w:rsidR="007C3068">
        <w:rPr>
          <w:rFonts w:ascii="Times New Roman" w:hAnsi="Times New Roman" w:cs="Times New Roman"/>
          <w:sz w:val="24"/>
          <w:szCs w:val="24"/>
        </w:rPr>
        <w:t>on the study of pangenesis, which can be</w:t>
      </w:r>
      <w:r w:rsidR="006A0EA8">
        <w:rPr>
          <w:rFonts w:ascii="Times New Roman" w:hAnsi="Times New Roman" w:cs="Times New Roman"/>
          <w:sz w:val="24"/>
          <w:szCs w:val="24"/>
        </w:rPr>
        <w:t xml:space="preserve"> summarised as in </w:t>
      </w:r>
      <w:r w:rsidR="00B3709C">
        <w:rPr>
          <w:rFonts w:ascii="Times New Roman" w:hAnsi="Times New Roman" w:cs="Times New Roman"/>
          <w:sz w:val="24"/>
          <w:szCs w:val="24"/>
        </w:rPr>
        <w:t>table</w:t>
      </w:r>
      <w:r w:rsidR="00E01B99">
        <w:rPr>
          <w:rFonts w:ascii="Times New Roman" w:hAnsi="Times New Roman" w:cs="Times New Roman"/>
          <w:sz w:val="24"/>
          <w:szCs w:val="24"/>
        </w:rPr>
        <w:t xml:space="preserve"> 2</w:t>
      </w:r>
      <w:r w:rsidR="00B3709C">
        <w:rPr>
          <w:rFonts w:ascii="Times New Roman" w:hAnsi="Times New Roman" w:cs="Times New Roman"/>
          <w:sz w:val="24"/>
          <w:szCs w:val="24"/>
        </w:rPr>
        <w:t>.</w:t>
      </w:r>
    </w:p>
    <w:p w14:paraId="2F192410" w14:textId="39153BBA" w:rsidR="00EA3227" w:rsidRPr="00EA3227" w:rsidRDefault="00EA3227" w:rsidP="00FC604E">
      <w:pPr>
        <w:spacing w:before="200" w:after="0" w:line="480" w:lineRule="auto"/>
        <w:rPr>
          <w:rFonts w:ascii="Times New Roman" w:hAnsi="Times New Roman" w:cs="Times New Roman"/>
          <w:sz w:val="24"/>
          <w:szCs w:val="24"/>
        </w:rPr>
      </w:pPr>
      <w:r w:rsidRPr="00EA3227">
        <w:rPr>
          <w:rFonts w:ascii="Times New Roman" w:hAnsi="Times New Roman" w:cs="Times New Roman"/>
          <w:sz w:val="24"/>
          <w:szCs w:val="24"/>
        </w:rPr>
        <w:t>Correns’ initia</w:t>
      </w:r>
      <w:r w:rsidR="00FC604E">
        <w:rPr>
          <w:rFonts w:ascii="Times New Roman" w:hAnsi="Times New Roman" w:cs="Times New Roman"/>
          <w:sz w:val="24"/>
          <w:szCs w:val="24"/>
        </w:rPr>
        <w:t xml:space="preserve">l concern is the xenia question (CP1), that is, </w:t>
      </w:r>
      <w:r w:rsidR="00FC604E">
        <w:rPr>
          <w:rFonts w:ascii="Times New Roman" w:hAnsi="Times New Roman" w:cs="Times New Roman"/>
          <w:sz w:val="24"/>
          <w:szCs w:val="24"/>
          <w:lang w:val="en-US"/>
        </w:rPr>
        <w:t>whether foreign pollen has</w:t>
      </w:r>
      <w:r w:rsidRPr="00EA3227">
        <w:rPr>
          <w:rFonts w:ascii="Times New Roman" w:hAnsi="Times New Roman" w:cs="Times New Roman"/>
          <w:sz w:val="24"/>
          <w:szCs w:val="24"/>
          <w:lang w:val="en-US"/>
        </w:rPr>
        <w:t xml:space="preserve"> a direct influence on the characteristics of </w:t>
      </w:r>
      <w:r w:rsidR="00FC604E">
        <w:rPr>
          <w:rFonts w:ascii="Times New Roman" w:hAnsi="Times New Roman" w:cs="Times New Roman"/>
          <w:sz w:val="24"/>
          <w:szCs w:val="24"/>
          <w:lang w:val="en-US"/>
        </w:rPr>
        <w:t>the fruit and seed.</w:t>
      </w:r>
      <w:r w:rsidR="00FC604E">
        <w:rPr>
          <w:rFonts w:ascii="Times New Roman" w:hAnsi="Times New Roman" w:cs="Times New Roman"/>
          <w:sz w:val="24"/>
          <w:szCs w:val="24"/>
        </w:rPr>
        <w:t xml:space="preserve"> </w:t>
      </w:r>
      <w:r w:rsidRPr="00EA3227">
        <w:rPr>
          <w:rFonts w:ascii="Times New Roman" w:hAnsi="Times New Roman" w:cs="Times New Roman"/>
          <w:sz w:val="24"/>
          <w:szCs w:val="24"/>
        </w:rPr>
        <w:t xml:space="preserve">In 1896 </w:t>
      </w:r>
      <w:r w:rsidR="00FC604E">
        <w:rPr>
          <w:rFonts w:ascii="Times New Roman" w:hAnsi="Times New Roman" w:cs="Times New Roman"/>
          <w:sz w:val="24"/>
          <w:szCs w:val="24"/>
        </w:rPr>
        <w:t>he</w:t>
      </w:r>
      <w:r w:rsidRPr="00EA3227">
        <w:rPr>
          <w:rFonts w:ascii="Times New Roman" w:hAnsi="Times New Roman" w:cs="Times New Roman"/>
          <w:sz w:val="24"/>
          <w:szCs w:val="24"/>
        </w:rPr>
        <w:t xml:space="preserve"> began studying this problem in the case of </w:t>
      </w:r>
      <w:r w:rsidRPr="00EA3227">
        <w:rPr>
          <w:rFonts w:ascii="Times New Roman" w:hAnsi="Times New Roman" w:cs="Times New Roman"/>
          <w:i/>
          <w:sz w:val="24"/>
          <w:szCs w:val="24"/>
        </w:rPr>
        <w:t>Pisum</w:t>
      </w:r>
      <w:r w:rsidR="0049766D">
        <w:rPr>
          <w:rFonts w:ascii="Times New Roman" w:hAnsi="Times New Roman" w:cs="Times New Roman"/>
          <w:sz w:val="24"/>
          <w:szCs w:val="24"/>
        </w:rPr>
        <w:t xml:space="preserve">. </w:t>
      </w:r>
      <w:r w:rsidR="00B05267">
        <w:rPr>
          <w:rFonts w:ascii="Times New Roman" w:hAnsi="Times New Roman" w:cs="Times New Roman"/>
          <w:sz w:val="24"/>
          <w:szCs w:val="24"/>
        </w:rPr>
        <w:t xml:space="preserve">After reading Mendel’s paper, Correns immediately recognised the relevance </w:t>
      </w:r>
      <w:r w:rsidR="00B20FC4">
        <w:rPr>
          <w:rFonts w:ascii="Times New Roman" w:hAnsi="Times New Roman" w:cs="Times New Roman"/>
          <w:sz w:val="24"/>
          <w:szCs w:val="24"/>
        </w:rPr>
        <w:t xml:space="preserve">and usefulness </w:t>
      </w:r>
      <w:r w:rsidR="00B05267">
        <w:rPr>
          <w:rFonts w:ascii="Times New Roman" w:hAnsi="Times New Roman" w:cs="Times New Roman"/>
          <w:sz w:val="24"/>
          <w:szCs w:val="24"/>
        </w:rPr>
        <w:t>of Mendel’s work</w:t>
      </w:r>
      <w:r w:rsidR="00B20FC4">
        <w:rPr>
          <w:rFonts w:ascii="Times New Roman" w:hAnsi="Times New Roman" w:cs="Times New Roman"/>
          <w:sz w:val="24"/>
          <w:szCs w:val="24"/>
        </w:rPr>
        <w:t xml:space="preserve">. </w:t>
      </w:r>
      <w:r w:rsidR="0049766D">
        <w:rPr>
          <w:rFonts w:ascii="Times New Roman" w:hAnsi="Times New Roman" w:cs="Times New Roman"/>
          <w:sz w:val="24"/>
          <w:szCs w:val="24"/>
        </w:rPr>
        <w:t xml:space="preserve">The purpose of his 1900 paper </w:t>
      </w:r>
      <w:r w:rsidRPr="00EA3227">
        <w:rPr>
          <w:rFonts w:ascii="Times New Roman" w:hAnsi="Times New Roman" w:cs="Times New Roman"/>
          <w:sz w:val="24"/>
          <w:szCs w:val="24"/>
        </w:rPr>
        <w:t xml:space="preserve">is to test Mendel’s work on </w:t>
      </w:r>
      <w:r w:rsidRPr="00EA3227">
        <w:rPr>
          <w:rFonts w:ascii="Times New Roman" w:hAnsi="Times New Roman" w:cs="Times New Roman"/>
          <w:i/>
          <w:sz w:val="24"/>
          <w:szCs w:val="24"/>
        </w:rPr>
        <w:t>Pisum</w:t>
      </w:r>
      <w:r w:rsidRPr="00EA3227">
        <w:rPr>
          <w:rFonts w:ascii="Times New Roman" w:hAnsi="Times New Roman" w:cs="Times New Roman"/>
          <w:sz w:val="24"/>
          <w:szCs w:val="24"/>
        </w:rPr>
        <w:t>. Thus, CP1 is specialised into another problem.</w:t>
      </w:r>
    </w:p>
    <w:p w14:paraId="72894B68" w14:textId="77777777" w:rsidR="00EA3227" w:rsidRPr="00EA3227" w:rsidRDefault="00EA3227" w:rsidP="00EA3227">
      <w:pPr>
        <w:spacing w:after="200" w:line="480" w:lineRule="auto"/>
        <w:rPr>
          <w:rFonts w:ascii="Times New Roman" w:hAnsi="Times New Roman" w:cs="Times New Roman"/>
          <w:sz w:val="24"/>
          <w:szCs w:val="24"/>
          <w:lang w:val="en-US"/>
        </w:rPr>
      </w:pPr>
      <w:r w:rsidRPr="00EA3227">
        <w:rPr>
          <w:rFonts w:ascii="Times New Roman" w:hAnsi="Times New Roman" w:cs="Times New Roman"/>
          <w:sz w:val="24"/>
          <w:szCs w:val="24"/>
          <w:lang w:val="en-US"/>
        </w:rPr>
        <w:lastRenderedPageBreak/>
        <w:t xml:space="preserve">CP2. Is Mendel’s observation and the law on </w:t>
      </w:r>
      <w:r w:rsidRPr="00EA3227">
        <w:rPr>
          <w:rFonts w:ascii="Times New Roman" w:hAnsi="Times New Roman" w:cs="Times New Roman"/>
          <w:i/>
          <w:sz w:val="24"/>
          <w:szCs w:val="24"/>
          <w:lang w:val="en-US"/>
        </w:rPr>
        <w:t>Pisum</w:t>
      </w:r>
      <w:r w:rsidRPr="00EA3227">
        <w:rPr>
          <w:rFonts w:ascii="Times New Roman" w:hAnsi="Times New Roman" w:cs="Times New Roman"/>
          <w:sz w:val="24"/>
          <w:szCs w:val="24"/>
          <w:lang w:val="en-US"/>
        </w:rPr>
        <w:t xml:space="preserve"> verifiable?</w:t>
      </w:r>
    </w:p>
    <w:p w14:paraId="181ECD92" w14:textId="77777777" w:rsidR="00EA3227" w:rsidRPr="00EA3227" w:rsidRDefault="00EA3227" w:rsidP="00EA3227">
      <w:pPr>
        <w:spacing w:after="200" w:line="480" w:lineRule="auto"/>
        <w:rPr>
          <w:rFonts w:ascii="Times New Roman" w:hAnsi="Times New Roman" w:cs="Times New Roman"/>
          <w:sz w:val="24"/>
          <w:szCs w:val="24"/>
        </w:rPr>
      </w:pPr>
      <w:r w:rsidRPr="00EA3227">
        <w:rPr>
          <w:rFonts w:ascii="Times New Roman" w:hAnsi="Times New Roman" w:cs="Times New Roman"/>
          <w:sz w:val="24"/>
          <w:szCs w:val="24"/>
          <w:lang w:val="en-US"/>
        </w:rPr>
        <w:t xml:space="preserve">In order to test Mendel’s observation and analysis, Correns follows Mendel to focus on a pair of differing </w:t>
      </w:r>
      <w:r w:rsidRPr="00EA3227">
        <w:rPr>
          <w:rFonts w:ascii="Times New Roman" w:hAnsi="Times New Roman" w:cs="Times New Roman"/>
          <w:sz w:val="24"/>
          <w:szCs w:val="24"/>
        </w:rPr>
        <w:t>traits. (CG1) In other words, a more specific problem occurs.</w:t>
      </w:r>
    </w:p>
    <w:p w14:paraId="70C10605" w14:textId="77777777" w:rsidR="00EA3227" w:rsidRPr="00EA3227" w:rsidRDefault="00EA3227" w:rsidP="00EA3227">
      <w:pPr>
        <w:spacing w:after="200" w:line="480" w:lineRule="auto"/>
        <w:rPr>
          <w:rFonts w:ascii="Times New Roman" w:hAnsi="Times New Roman" w:cs="Times New Roman"/>
          <w:sz w:val="24"/>
          <w:szCs w:val="24"/>
        </w:rPr>
      </w:pPr>
      <w:r w:rsidRPr="00EA3227">
        <w:rPr>
          <w:rFonts w:ascii="Times New Roman" w:hAnsi="Times New Roman" w:cs="Times New Roman"/>
          <w:sz w:val="24"/>
          <w:szCs w:val="24"/>
        </w:rPr>
        <w:t>CP3. Is Mendel’s observation and law concerning a pair of differing traits confirmable?</w:t>
      </w:r>
    </w:p>
    <w:p w14:paraId="7319200C" w14:textId="5EA5D8E5" w:rsidR="00EA3227" w:rsidRPr="00EA3227" w:rsidRDefault="00EA3227" w:rsidP="00AC01FB">
      <w:pPr>
        <w:spacing w:after="0" w:line="480" w:lineRule="auto"/>
        <w:rPr>
          <w:rFonts w:ascii="Times New Roman" w:hAnsi="Times New Roman" w:cs="Times New Roman"/>
          <w:sz w:val="24"/>
          <w:szCs w:val="24"/>
          <w:lang w:val="en-US"/>
        </w:rPr>
      </w:pPr>
      <w:r w:rsidRPr="00EA3227">
        <w:rPr>
          <w:rFonts w:ascii="Times New Roman" w:hAnsi="Times New Roman" w:cs="Times New Roman"/>
          <w:sz w:val="24"/>
          <w:szCs w:val="24"/>
          <w:lang w:val="en-US"/>
        </w:rPr>
        <w:t>Correns’ exemplar</w:t>
      </w:r>
      <w:r w:rsidR="00B3709C">
        <w:rPr>
          <w:rFonts w:ascii="Times New Roman" w:hAnsi="Times New Roman" w:cs="Times New Roman"/>
          <w:sz w:val="24"/>
          <w:szCs w:val="24"/>
          <w:lang w:val="en-US"/>
        </w:rPr>
        <w:t>y practice</w:t>
      </w:r>
      <w:r w:rsidRPr="00EA3227">
        <w:rPr>
          <w:rFonts w:ascii="Times New Roman" w:hAnsi="Times New Roman" w:cs="Times New Roman"/>
          <w:sz w:val="24"/>
          <w:szCs w:val="24"/>
          <w:lang w:val="en-US"/>
        </w:rPr>
        <w:t xml:space="preserve"> on </w:t>
      </w:r>
      <w:r w:rsidR="00B3709C">
        <w:rPr>
          <w:rFonts w:ascii="Times New Roman" w:hAnsi="Times New Roman" w:cs="Times New Roman"/>
          <w:sz w:val="24"/>
          <w:szCs w:val="24"/>
          <w:lang w:val="en-US"/>
        </w:rPr>
        <w:t xml:space="preserve">testing </w:t>
      </w:r>
      <w:r w:rsidRPr="00EA3227">
        <w:rPr>
          <w:rFonts w:ascii="Times New Roman" w:hAnsi="Times New Roman" w:cs="Times New Roman"/>
          <w:sz w:val="24"/>
          <w:szCs w:val="24"/>
          <w:lang w:val="en-US"/>
        </w:rPr>
        <w:t xml:space="preserve">Mendel’s study of </w:t>
      </w:r>
      <w:r w:rsidRPr="00651823">
        <w:rPr>
          <w:rFonts w:ascii="Times New Roman" w:hAnsi="Times New Roman" w:cs="Times New Roman"/>
          <w:i/>
          <w:sz w:val="24"/>
          <w:szCs w:val="24"/>
          <w:lang w:val="en-US"/>
        </w:rPr>
        <w:t>Pisum</w:t>
      </w:r>
      <w:r w:rsidRPr="00EA3227">
        <w:rPr>
          <w:rFonts w:ascii="Times New Roman" w:hAnsi="Times New Roman" w:cs="Times New Roman"/>
          <w:sz w:val="24"/>
          <w:szCs w:val="24"/>
          <w:lang w:val="en-US"/>
        </w:rPr>
        <w:t xml:space="preserve"> can be </w:t>
      </w:r>
      <w:r w:rsidR="00E01B99">
        <w:rPr>
          <w:rFonts w:ascii="Times New Roman" w:hAnsi="Times New Roman" w:cs="Times New Roman"/>
          <w:sz w:val="24"/>
          <w:szCs w:val="24"/>
          <w:lang w:val="en-US"/>
        </w:rPr>
        <w:t>summarised in table 3</w:t>
      </w:r>
      <w:r w:rsidRPr="00EA3227">
        <w:rPr>
          <w:rFonts w:ascii="Times New Roman" w:hAnsi="Times New Roman" w:cs="Times New Roman"/>
          <w:sz w:val="24"/>
          <w:szCs w:val="24"/>
          <w:lang w:val="en-US"/>
        </w:rPr>
        <w:t>.</w:t>
      </w:r>
    </w:p>
    <w:p w14:paraId="0C8C2D8D" w14:textId="5E4D8820" w:rsidR="00EA3227" w:rsidRPr="00EA3227" w:rsidRDefault="009B355B" w:rsidP="00AC01FB">
      <w:pPr>
        <w:spacing w:before="200" w:after="200" w:line="480" w:lineRule="auto"/>
        <w:rPr>
          <w:rFonts w:ascii="Times New Roman" w:hAnsi="Times New Roman" w:cs="Times New Roman"/>
          <w:sz w:val="24"/>
          <w:szCs w:val="24"/>
        </w:rPr>
      </w:pPr>
      <w:r>
        <w:rPr>
          <w:rFonts w:ascii="Times New Roman" w:hAnsi="Times New Roman" w:cs="Times New Roman"/>
          <w:sz w:val="24"/>
          <w:szCs w:val="24"/>
        </w:rPr>
        <w:t>By</w:t>
      </w:r>
      <w:r w:rsidR="00EA3227" w:rsidRPr="00EA3227">
        <w:rPr>
          <w:rFonts w:ascii="Times New Roman" w:hAnsi="Times New Roman" w:cs="Times New Roman"/>
          <w:sz w:val="24"/>
          <w:szCs w:val="24"/>
        </w:rPr>
        <w:t xml:space="preserve"> </w:t>
      </w:r>
      <w:r w:rsidR="00C64B4F">
        <w:rPr>
          <w:rFonts w:ascii="Times New Roman" w:hAnsi="Times New Roman" w:cs="Times New Roman"/>
          <w:sz w:val="24"/>
          <w:szCs w:val="24"/>
        </w:rPr>
        <w:t>analysing</w:t>
      </w:r>
      <w:r w:rsidR="00EA3227" w:rsidRPr="00EA3227">
        <w:rPr>
          <w:rFonts w:ascii="Times New Roman" w:hAnsi="Times New Roman" w:cs="Times New Roman"/>
          <w:sz w:val="24"/>
          <w:szCs w:val="24"/>
        </w:rPr>
        <w:t xml:space="preserve"> Mendel’s, d</w:t>
      </w:r>
      <w:r w:rsidR="00C64B4F">
        <w:rPr>
          <w:rFonts w:ascii="Times New Roman" w:hAnsi="Times New Roman" w:cs="Times New Roman"/>
          <w:sz w:val="24"/>
          <w:szCs w:val="24"/>
        </w:rPr>
        <w:t xml:space="preserve">e Vries’, and Correns’ </w:t>
      </w:r>
      <w:r w:rsidR="007D256A">
        <w:rPr>
          <w:rFonts w:ascii="Times New Roman" w:hAnsi="Times New Roman" w:cs="Times New Roman"/>
          <w:sz w:val="24"/>
          <w:szCs w:val="24"/>
        </w:rPr>
        <w:t>exemplary practices</w:t>
      </w:r>
      <w:r w:rsidR="002542BA">
        <w:rPr>
          <w:rFonts w:ascii="Times New Roman" w:hAnsi="Times New Roman" w:cs="Times New Roman"/>
          <w:sz w:val="24"/>
          <w:szCs w:val="24"/>
        </w:rPr>
        <w:t xml:space="preserve">, I argue </w:t>
      </w:r>
      <w:r w:rsidR="00EA3227" w:rsidRPr="00EA3227">
        <w:rPr>
          <w:rFonts w:ascii="Times New Roman" w:hAnsi="Times New Roman" w:cs="Times New Roman"/>
          <w:sz w:val="24"/>
          <w:szCs w:val="24"/>
        </w:rPr>
        <w:t xml:space="preserve">that </w:t>
      </w:r>
      <w:r w:rsidR="002542BA">
        <w:rPr>
          <w:rFonts w:ascii="Times New Roman" w:hAnsi="Times New Roman" w:cs="Times New Roman"/>
          <w:sz w:val="24"/>
          <w:szCs w:val="24"/>
        </w:rPr>
        <w:t xml:space="preserve">there are </w:t>
      </w:r>
      <w:r w:rsidR="00F66443">
        <w:rPr>
          <w:rFonts w:ascii="Times New Roman" w:hAnsi="Times New Roman" w:cs="Times New Roman"/>
          <w:sz w:val="24"/>
          <w:szCs w:val="24"/>
        </w:rPr>
        <w:t xml:space="preserve">four </w:t>
      </w:r>
      <w:r w:rsidR="00EA3227" w:rsidRPr="00EA3227">
        <w:rPr>
          <w:rFonts w:ascii="Times New Roman" w:hAnsi="Times New Roman" w:cs="Times New Roman"/>
          <w:sz w:val="24"/>
          <w:szCs w:val="24"/>
        </w:rPr>
        <w:t>constituents of Mendel’s exemplary practice preserved (or preserved with minor modifications) and passed on in the successors’ exemplary practices, despite their diffe</w:t>
      </w:r>
      <w:r w:rsidR="00CF698E">
        <w:rPr>
          <w:rFonts w:ascii="Times New Roman" w:hAnsi="Times New Roman" w:cs="Times New Roman"/>
          <w:sz w:val="24"/>
          <w:szCs w:val="24"/>
        </w:rPr>
        <w:t>rent initial research problems.</w:t>
      </w:r>
      <w:r w:rsidR="005F6852">
        <w:rPr>
          <w:rFonts w:ascii="Times New Roman" w:hAnsi="Times New Roman" w:cs="Times New Roman"/>
          <w:sz w:val="24"/>
          <w:szCs w:val="24"/>
        </w:rPr>
        <w:t xml:space="preserve"> And all these constituents </w:t>
      </w:r>
      <w:r w:rsidR="00B20FC4">
        <w:rPr>
          <w:rFonts w:ascii="Times New Roman" w:hAnsi="Times New Roman" w:cs="Times New Roman"/>
          <w:sz w:val="24"/>
          <w:szCs w:val="24"/>
        </w:rPr>
        <w:t>well account for</w:t>
      </w:r>
      <w:r w:rsidR="00AC01FB">
        <w:rPr>
          <w:rFonts w:ascii="Times New Roman" w:hAnsi="Times New Roman" w:cs="Times New Roman"/>
          <w:sz w:val="24"/>
          <w:szCs w:val="24"/>
        </w:rPr>
        <w:t xml:space="preserve"> Mendel’s major</w:t>
      </w:r>
      <w:r w:rsidR="005F6852">
        <w:rPr>
          <w:rFonts w:ascii="Times New Roman" w:hAnsi="Times New Roman" w:cs="Times New Roman"/>
          <w:sz w:val="24"/>
          <w:szCs w:val="24"/>
        </w:rPr>
        <w:t xml:space="preserve"> contributions to the history of genetics</w:t>
      </w:r>
      <w:r w:rsidR="00B20FC4">
        <w:rPr>
          <w:rFonts w:ascii="Times New Roman" w:hAnsi="Times New Roman" w:cs="Times New Roman"/>
          <w:sz w:val="24"/>
          <w:szCs w:val="24"/>
        </w:rPr>
        <w:t>, summarised</w:t>
      </w:r>
      <w:r w:rsidR="005F6852">
        <w:rPr>
          <w:rFonts w:ascii="Times New Roman" w:hAnsi="Times New Roman" w:cs="Times New Roman"/>
          <w:sz w:val="24"/>
          <w:szCs w:val="24"/>
        </w:rPr>
        <w:t xml:space="preserve"> by the historians.</w:t>
      </w:r>
    </w:p>
    <w:p w14:paraId="65DBC194" w14:textId="37BA102D" w:rsidR="00EA3227" w:rsidRPr="00EA3227" w:rsidRDefault="00CF698E" w:rsidP="00EA3227">
      <w:pPr>
        <w:spacing w:after="200" w:line="480" w:lineRule="auto"/>
        <w:rPr>
          <w:rFonts w:ascii="Times New Roman" w:hAnsi="Times New Roman" w:cs="Times New Roman"/>
          <w:sz w:val="24"/>
          <w:szCs w:val="24"/>
        </w:rPr>
      </w:pPr>
      <w:r>
        <w:rPr>
          <w:rFonts w:ascii="Times New Roman" w:hAnsi="Times New Roman" w:cs="Times New Roman"/>
          <w:sz w:val="24"/>
          <w:szCs w:val="24"/>
        </w:rPr>
        <w:t>First of all, as s</w:t>
      </w:r>
      <w:r w:rsidR="00EA3227" w:rsidRPr="00EA3227">
        <w:rPr>
          <w:rFonts w:ascii="Times New Roman" w:hAnsi="Times New Roman" w:cs="Times New Roman"/>
          <w:sz w:val="24"/>
          <w:szCs w:val="24"/>
        </w:rPr>
        <w:t>ome</w:t>
      </w:r>
      <w:r>
        <w:rPr>
          <w:rFonts w:ascii="Times New Roman" w:hAnsi="Times New Roman" w:cs="Times New Roman"/>
          <w:sz w:val="24"/>
          <w:szCs w:val="24"/>
        </w:rPr>
        <w:t xml:space="preserve"> historians</w:t>
      </w:r>
      <w:r w:rsidR="00EA3227" w:rsidRPr="00EA3227">
        <w:rPr>
          <w:rFonts w:ascii="Times New Roman" w:hAnsi="Times New Roman" w:cs="Times New Roman"/>
          <w:sz w:val="24"/>
          <w:szCs w:val="24"/>
        </w:rPr>
        <w:t xml:space="preserve"> </w:t>
      </w:r>
      <w:r w:rsidR="00EA3227" w:rsidRPr="00EA3227">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"DOI" : "10.1177/007327537901700103", "ISSN" : "0073-2753", "abstract" : "Interpr\u00e9tation dans l'histoire des sciences. Etude de son oeuvre \"Versuche ueber Pflanzenhybriden\" \u00e0 la lumi\u00e8re de l'exemple donn\u00e9 par P. Forman pour l'histoire de la cristallographie rayons X.", "author" : [ { "dropping-particle" : "", "family" : "Olby", "given" : "Robert", "non-dropping-particle" : "", "parse-names" : false, "suffix" : "" } ], "container-title" : "History of Science", "id" : "ITEM-1", "issue" : "1", "issued" : { "date-parts" : [ [ "1979" ] ] }, "page" : "53-72", "title" : "Mendel no Mendelian?", "type" : "article-journal", "volume" : "17" }, "prefix" : "e.g. ", "uris" : [ "http://www.mendeley.com/documents/?uuid=a4e2904a-e61e-4635-8344-23a45a46baf2" ] }, { "id" : "ITEM-2", "itemData" : { "author" : [ { "dropping-particle" : "", "family" : "M\u00fcller-Wille", "given" : "Staffan", "non-dropping-particle" : "", "parse-names" : false, "suffix" : "" }, { "dropping-particle" : "", "family" : "Orel", "given" : "Vitezslav", "non-dropping-particle" : "", "parse-names" : false, "suffix" : "" } ], "container-title" : "Annals of Science", "id" : "ITEM-2", "issue" : "2", "issued" : { "date-parts" : [ [ "2007" ] ] }, "page" : "171-215", "title" : "From Linnaean Species to Mendelian Factors: Elements of Hybridism, 1751-1870", "type" : "article-journal", "volume" : "64" }, "uris" : [ "http://www.mendeley.com/documents/?uuid=0a9a71c6-9e74-4efe-afd8-4c2dbc2c937c", "http://www.mendeley.com/documents/?uuid=7b72c875-d542-45ed-9048-c0ebb49a48e5" ] } ], "mendeley" : { "formattedCitation" : "(e.g. Olby 1979; M\u00fcller-Wille and Orel 2007)", "plainTextFormattedCitation" : "(e.g. Olby 1979; M\u00fcller-Wille and Orel 2007)", "previouslyFormattedCitation" : "(e.g. Olby 1979; M\u00fcller-Wille and Orel 2007)" }, "properties" : { "noteIndex" : 0 }, "schema" : "https://github.com/citation-style-language/schema/raw/master/csl-citation.json" }</w:instrText>
      </w:r>
      <w:r w:rsidR="00EA3227" w:rsidRPr="00EA3227">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(e.g. Olby 1979; Müller-Wille and Orel 2007)</w:t>
      </w:r>
      <w:r w:rsidR="00EA3227" w:rsidRPr="00EA3227">
        <w:rPr>
          <w:rFonts w:ascii="Times New Roman" w:hAnsi="Times New Roman" w:cs="Times New Roman"/>
          <w:sz w:val="24"/>
          <w:szCs w:val="24"/>
        </w:rPr>
        <w:fldChar w:fldCharType="end"/>
      </w:r>
      <w:r>
        <w:rPr>
          <w:rFonts w:ascii="Times New Roman" w:hAnsi="Times New Roman" w:cs="Times New Roman"/>
          <w:sz w:val="24"/>
          <w:szCs w:val="24"/>
        </w:rPr>
        <w:t xml:space="preserve"> have already pointed out, </w:t>
      </w:r>
      <w:r w:rsidR="00EA3227" w:rsidRPr="00EA3227">
        <w:rPr>
          <w:rFonts w:ascii="Times New Roman" w:hAnsi="Times New Roman" w:cs="Times New Roman"/>
          <w:sz w:val="24"/>
          <w:szCs w:val="24"/>
        </w:rPr>
        <w:t>one of Mendel’s important achievements is that his approach to the study of the problem of development by focusing on the paired traits in the successive generations</w:t>
      </w:r>
      <w:r w:rsidR="002542BA">
        <w:rPr>
          <w:rFonts w:ascii="Times New Roman" w:hAnsi="Times New Roman" w:cs="Times New Roman"/>
          <w:sz w:val="24"/>
          <w:szCs w:val="24"/>
        </w:rPr>
        <w:t xml:space="preserve">. </w:t>
      </w:r>
      <w:r w:rsidR="00BA4DFF" w:rsidRPr="00EA3227">
        <w:rPr>
          <w:rFonts w:ascii="Times New Roman" w:hAnsi="Times New Roman" w:cs="Times New Roman"/>
          <w:sz w:val="24"/>
          <w:szCs w:val="24"/>
        </w:rPr>
        <w:t xml:space="preserve">Mendel’s important observations and hypotheses are all about paired traits of hybrids and their progeny. </w:t>
      </w:r>
      <w:r w:rsidR="002542BA">
        <w:rPr>
          <w:rFonts w:ascii="Times New Roman" w:hAnsi="Times New Roman" w:cs="Times New Roman"/>
          <w:sz w:val="24"/>
          <w:szCs w:val="24"/>
        </w:rPr>
        <w:t>This can be clearly illustrated as the problem-specification</w:t>
      </w:r>
      <w:r w:rsidR="00EA3227" w:rsidRPr="00EA3227">
        <w:rPr>
          <w:rFonts w:ascii="Times New Roman" w:hAnsi="Times New Roman" w:cs="Times New Roman"/>
          <w:sz w:val="24"/>
          <w:szCs w:val="24"/>
        </w:rPr>
        <w:t xml:space="preserve"> (MP1</w:t>
      </w:r>
      <m:oMath>
        <m:r>
          <m:rPr>
            <m:sty m:val="p"/>
          </m:rPr>
          <w:rPr>
            <w:rFonts w:ascii="Cambria Math" w:hAnsi="Cambria Math" w:cs="Times New Roman"/>
            <w:sz w:val="24"/>
            <w:szCs w:val="24"/>
          </w:rPr>
          <m:t>→</m:t>
        </m:r>
      </m:oMath>
      <w:r w:rsidR="00FC64C4">
        <w:rPr>
          <w:rFonts w:ascii="Times New Roman" w:hAnsi="Times New Roman" w:cs="Times New Roman"/>
          <w:sz w:val="24"/>
          <w:szCs w:val="24"/>
        </w:rPr>
        <w:t>MP2). As Müller-Wille and Orel</w:t>
      </w:r>
      <w:r w:rsidR="00EA3227" w:rsidRPr="00EA3227">
        <w:rPr>
          <w:rFonts w:ascii="Times New Roman" w:hAnsi="Times New Roman" w:cs="Times New Roman"/>
          <w:sz w:val="24"/>
          <w:szCs w:val="24"/>
        </w:rPr>
        <w:t xml:space="preserve"> </w:t>
      </w:r>
      <w:r w:rsidR="00FC64C4" w:rsidRPr="00EA3227">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"author" : [ { "dropping-particle" : "", "family" : "M\u00fcller-Wille", "given" : "Staffan", "non-dropping-particle" : "", "parse-names" : false, "suffix" : "" }, { "dropping-particle" : "", "family" : "Orel", "given" : "Vitezslav", "non-dropping-particle" : "", "parse-names" : false, "suffix" : "" } ], "container-title" : "Annals of Science", "id" : "ITEM-1", "issue" : "2", "issued" : { "date-parts" : [ [ "2007" ] ] }, "page" : "171-215", "title" : "From Linnaean Species to Mendelian Factors: Elements of Hybridism, 1751-1870", "type" : "article-journal", "volume" : "64" }, "locator" : "211", "suppress-author" : 1, "uris" : [ "http://www.mendeley.com/documents/?uuid=7b72c875-d542-45ed-9048-c0ebb49a48e5", "http://www.mendeley.com/documents/?uuid=0a9a71c6-9e74-4efe-afd8-4c2dbc2c937c" ] } ], "mendeley" : { "formattedCitation" : "(2007, 211)", "plainTextFormattedCitation" : "(2007, 211)", "previouslyFormattedCitation" : "(2007, 211)" }, "properties" : { "noteIndex" : 0 }, "schema" : "https://github.com/citation-style-language/schema/raw/master/csl-citation.json" }</w:instrText>
      </w:r>
      <w:r w:rsidR="00FC64C4" w:rsidRPr="00EA3227">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(2007, 211)</w:t>
      </w:r>
      <w:r w:rsidR="00FC64C4" w:rsidRPr="00EA3227">
        <w:rPr>
          <w:rFonts w:ascii="Times New Roman" w:hAnsi="Times New Roman" w:cs="Times New Roman"/>
          <w:sz w:val="24"/>
          <w:szCs w:val="24"/>
        </w:rPr>
        <w:fldChar w:fldCharType="end"/>
      </w:r>
      <w:r w:rsidR="00FC64C4" w:rsidRPr="00EA3227">
        <w:rPr>
          <w:rFonts w:ascii="Times New Roman" w:hAnsi="Times New Roman" w:cs="Times New Roman"/>
          <w:sz w:val="24"/>
          <w:szCs w:val="24"/>
        </w:rPr>
        <w:t xml:space="preserve"> </w:t>
      </w:r>
      <w:r w:rsidR="005913AD">
        <w:rPr>
          <w:rFonts w:ascii="Times New Roman" w:hAnsi="Times New Roman" w:cs="Times New Roman"/>
          <w:sz w:val="24"/>
          <w:szCs w:val="24"/>
        </w:rPr>
        <w:t>indicate</w:t>
      </w:r>
      <w:r w:rsidR="00EA3227" w:rsidRPr="00EA3227">
        <w:rPr>
          <w:rFonts w:ascii="Times New Roman" w:hAnsi="Times New Roman" w:cs="Times New Roman"/>
          <w:sz w:val="24"/>
          <w:szCs w:val="24"/>
        </w:rPr>
        <w:t>, “Mendel’s focus on character pairs was not only an important methodological step, but had immediate consequences for his theorizing.” The significance of Mendel’s problem-specification (MP1</w:t>
      </w:r>
      <m:oMath>
        <m:r>
          <m:rPr>
            <m:sty m:val="p"/>
          </m:rPr>
          <w:rPr>
            <w:rFonts w:ascii="Cambria Math" w:hAnsi="Cambria Math" w:cs="Times New Roman"/>
            <w:sz w:val="24"/>
            <w:szCs w:val="24"/>
          </w:rPr>
          <m:t>→</m:t>
        </m:r>
      </m:oMath>
      <w:r w:rsidR="00EA3227" w:rsidRPr="00EA3227">
        <w:rPr>
          <w:rFonts w:ascii="Times New Roman" w:hAnsi="Times New Roman" w:cs="Times New Roman"/>
          <w:sz w:val="24"/>
          <w:szCs w:val="24"/>
        </w:rPr>
        <w:t>MP2) is also reflected in its reception at the beginning of the twentieth century. Although de Vries, Correns, Tschermak, and Bateson were not studying hybrid development, all of them adopted Mendel’s approach to concentrate on paired traits. It is no surprise that de Vries’ problem-specification (DP1</w:t>
      </w:r>
      <m:oMath>
        <m:r>
          <m:rPr>
            <m:sty m:val="p"/>
          </m:rPr>
          <w:rPr>
            <w:rFonts w:ascii="Cambria Math" w:hAnsi="Cambria Math" w:cs="Times New Roman"/>
            <w:sz w:val="24"/>
            <w:szCs w:val="24"/>
          </w:rPr>
          <m:t>→</m:t>
        </m:r>
      </m:oMath>
      <w:r w:rsidR="00EA3227" w:rsidRPr="00EA3227">
        <w:rPr>
          <w:rFonts w:ascii="Times New Roman" w:hAnsi="Times New Roman" w:cs="Times New Roman"/>
          <w:sz w:val="24"/>
          <w:szCs w:val="24"/>
        </w:rPr>
        <w:t>DP2) was indebted to Mendel’s problem-specification (MP1</w:t>
      </w:r>
      <m:oMath>
        <m:r>
          <m:rPr>
            <m:sty m:val="p"/>
          </m:rPr>
          <w:rPr>
            <w:rFonts w:ascii="Cambria Math" w:hAnsi="Cambria Math" w:cs="Times New Roman"/>
            <w:sz w:val="24"/>
            <w:szCs w:val="24"/>
          </w:rPr>
          <m:t>→</m:t>
        </m:r>
      </m:oMath>
      <w:r w:rsidR="00EA3227" w:rsidRPr="00EA3227">
        <w:rPr>
          <w:rFonts w:ascii="Times New Roman" w:hAnsi="Times New Roman" w:cs="Times New Roman"/>
          <w:sz w:val="24"/>
          <w:szCs w:val="24"/>
        </w:rPr>
        <w:t>MP2).</w:t>
      </w:r>
    </w:p>
    <w:p w14:paraId="3A9E2CB3" w14:textId="348BC6A2" w:rsidR="00EA3227" w:rsidRPr="00EA3227" w:rsidRDefault="00EA3227" w:rsidP="00C60AD7">
      <w:pPr>
        <w:spacing w:after="200" w:line="480" w:lineRule="auto"/>
        <w:ind w:left="720"/>
        <w:rPr>
          <w:rFonts w:ascii="Times New Roman" w:hAnsi="Times New Roman" w:cs="Times New Roman"/>
          <w:sz w:val="24"/>
          <w:szCs w:val="24"/>
        </w:rPr>
      </w:pPr>
      <w:r w:rsidRPr="00EA3227">
        <w:rPr>
          <w:rFonts w:ascii="Times New Roman" w:hAnsi="Times New Roman" w:cs="Times New Roman"/>
          <w:sz w:val="24"/>
          <w:szCs w:val="24"/>
        </w:rPr>
        <w:lastRenderedPageBreak/>
        <w:t xml:space="preserve">In every crossing experiment only a single character or a definite number of them is to be taken into consideration… for experimental purposes the simplest conditions are presented by hybrids whose parents differ from each other in one trait only. </w:t>
      </w:r>
      <w:r w:rsidRPr="00EA3227">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"author" : [ { "dropping-particle" : "", "family" : "Vries", "given" : "Hugo", "non-dropping-particle" : "de", "parse-names" : false, "suffix" : "" } ], "container-title" : "The Origin of Genetics: A Mendel Source Book", "editor" : [ { "dropping-particle" : "", "family" : "Stern", "given" : "Curt", "non-dropping-particle" : "", "parse-names" : false, "suffix" : "" }, { "dropping-particle" : "", "family" : "Sherwood", "given" : "Eva R.", "non-dropping-particle" : "", "parse-names" : false, "suffix" : "" } ], "id" : "ITEM-1", "issued" : { "date-parts" : [ [ "1966" ] ] }, "page" : "107-117", "publisher" : "W. H. Freeman and Company", "publisher-place" : "San Francisco, CA", "title" : "The Law of Segregation of Hybrids", "translator" : [ { "dropping-particle" : "", "family" : "Stern", "given" : "Evelyn", "non-dropping-particle" : "", "parse-names" : false, "suffix" : "" } ], "type" : "chapter" }, "locator" : "108", "uris" : [ "http://www.mendeley.com/documents/?uuid=0dd4fb9f-c63a-4375-8e0a-41d011af1d9f", "http://www.mendeley.com/documents/?uuid=86f3cbf2-1568-4740-a3a1-a01fccf66872" ] } ], "mendeley" : { "formattedCitation" : "(de Vries 1966, 108)", "manualFormatting" : "(de Vries 1966, p.108)", "plainTextFormattedCitation" : "(de Vries 1966, 108)", "previouslyFormattedCitation" : "(de Vries 1966, 108)" }, "properties" : { "noteIndex" : 0 }, "schema" : "https://github.com/citation-style-language/schema/raw/master/csl-citation.json" }</w:instrText>
      </w:r>
      <w:r w:rsidRPr="00EA3227">
        <w:rPr>
          <w:rFonts w:ascii="Times New Roman" w:hAnsi="Times New Roman" w:cs="Times New Roman"/>
          <w:sz w:val="24"/>
          <w:szCs w:val="24"/>
        </w:rPr>
        <w:fldChar w:fldCharType="separate"/>
      </w:r>
      <w:r w:rsidR="001E4AB3" w:rsidRPr="001E4AB3">
        <w:rPr>
          <w:rFonts w:ascii="Times New Roman" w:hAnsi="Times New Roman" w:cs="Times New Roman"/>
          <w:noProof/>
          <w:sz w:val="24"/>
          <w:szCs w:val="24"/>
        </w:rPr>
        <w:t>(de Vries 1966, p.108)</w:t>
      </w:r>
      <w:r w:rsidRPr="00EA3227">
        <w:rPr>
          <w:rFonts w:ascii="Times New Roman" w:hAnsi="Times New Roman" w:cs="Times New Roman"/>
          <w:sz w:val="24"/>
          <w:szCs w:val="24"/>
        </w:rPr>
        <w:fldChar w:fldCharType="end"/>
      </w:r>
    </w:p>
    <w:p w14:paraId="5BCFE086" w14:textId="0A324B7E" w:rsidR="00EA3227" w:rsidRPr="00C60AD7" w:rsidRDefault="00EA3227" w:rsidP="00C60AD7">
      <w:pPr>
        <w:autoSpaceDE w:val="0"/>
        <w:autoSpaceDN w:val="0"/>
        <w:adjustRightInd w:val="0"/>
        <w:spacing w:after="200" w:line="480" w:lineRule="auto"/>
        <w:rPr>
          <w:rFonts w:ascii="Times New Roman" w:hAnsi="Times New Roman" w:cs="Times New Roman"/>
          <w:sz w:val="24"/>
          <w:szCs w:val="24"/>
          <w:lang w:val="en-US"/>
        </w:rPr>
      </w:pPr>
      <w:r w:rsidRPr="00EA3227">
        <w:rPr>
          <w:rFonts w:ascii="Times New Roman" w:hAnsi="Times New Roman" w:cs="Times New Roman"/>
          <w:sz w:val="24"/>
          <w:szCs w:val="24"/>
          <w:lang w:val="en-US"/>
        </w:rPr>
        <w:t xml:space="preserve">Tschermak </w:t>
      </w:r>
      <w:r w:rsidR="00C60AD7" w:rsidRPr="00EA3227">
        <w:rPr>
          <w:rFonts w:ascii="Times New Roman" w:hAnsi="Times New Roman" w:cs="Times New Roman"/>
          <w:sz w:val="24"/>
          <w:szCs w:val="24"/>
          <w:lang w:val="en-US"/>
        </w:rPr>
        <w:fldChar w:fldCharType="begin" w:fldLock="1"/>
      </w:r>
      <w:r w:rsidR="00467807">
        <w:rPr>
          <w:rFonts w:ascii="Times New Roman" w:hAnsi="Times New Roman" w:cs="Times New Roman"/>
          <w:sz w:val="24"/>
          <w:szCs w:val="24"/>
          <w:lang w:val="en-US"/>
        </w:rPr>
        <w:instrText>ADDIN CSL_CITATION { "citationItems" : [ { "id" : "ITEM-1", "itemData" : { "author" : [ { "dropping-particle" : "von", "family" : "Tschermak", "given" : "Erich", "non-dropping-particle" : "", "parse-names" : false, "suffix" : "" } ], "container-title" : "Berichte der deutschen botanischen Gesellschaft", "id" : "ITEM-1", "issue" : "6", "issued" : { "date-parts" : [ [ "1900" ] ] }, "page" : "232-239", "title" : "\u00dcber k\u00fcnstliche Kreuzung bei Pisum sativum", "type" : "article-journal", "volume" : "18" }, "suppress-author" : 1, "uris" : [ "http://www.mendeley.com/documents/?uuid=35a4c22a-a7d9-44c9-9c6f-1e7081787eda", "http://www.mendeley.com/documents/?uuid=ea10b503-0a1f-4e3d-a72b-c7b17e2de30f" ] }, { "id" : "ITEM-2", "itemData" : { "author" : [ { "dropping-particle" : "von", "family" : "Tschermak", "given" : "Erich", "non-dropping-particle" : "", "parse-names" : false, "suffix" : "" } ], "container-title" : "Genetics", "id" : "ITEM-2", "issue" : "5 (2)", "issued" : { "date-parts" : [ [ "1950" ] ] }, "page" : "42-47", "title" : "Concerning Artifical Crossing in Pisum Sativum", "type" : "article-journal", "volume" : "35" }, "suppress-author" : 1, "uris" : [ "http://www.mendeley.com/documents/?uuid=42b5e1ca-e000-463e-91ff-7d9e3f000f47", "http://www.mendeley.com/documents/?uuid=76b8e2e9-0ac8-4c79-987c-73f00b174cd5", "http://www.mendeley.com/documents/?uuid=fedb1b58-e735-4f7c-9408-adb092ef841b" ] } ], "mendeley" : { "formattedCitation" : "(1900a; 1950)", "manualFormatting" : "(1900a)", "plainTextFormattedCitation" : "(1900a; 1950)", "previouslyFormattedCitation" : "(1900a; 1950)" }, "properties" : { "noteIndex" : 0 }, "schema" : "https://github.com/citation-style-language/schema/raw/master/csl-citation.json" }</w:instrText>
      </w:r>
      <w:r w:rsidR="00C60AD7" w:rsidRPr="00EA3227">
        <w:rPr>
          <w:rFonts w:ascii="Times New Roman" w:hAnsi="Times New Roman" w:cs="Times New Roman"/>
          <w:sz w:val="24"/>
          <w:szCs w:val="24"/>
          <w:lang w:val="en-US"/>
        </w:rPr>
        <w:fldChar w:fldCharType="separate"/>
      </w:r>
      <w:r w:rsidR="005014FE">
        <w:rPr>
          <w:rFonts w:ascii="Times New Roman" w:hAnsi="Times New Roman" w:cs="Times New Roman"/>
          <w:noProof/>
          <w:sz w:val="24"/>
          <w:szCs w:val="24"/>
          <w:lang w:val="en-US"/>
        </w:rPr>
        <w:t>(1900a</w:t>
      </w:r>
      <w:r w:rsidR="00C60AD7" w:rsidRPr="00C60AD7">
        <w:rPr>
          <w:rFonts w:ascii="Times New Roman" w:hAnsi="Times New Roman" w:cs="Times New Roman"/>
          <w:noProof/>
          <w:sz w:val="24"/>
          <w:szCs w:val="24"/>
          <w:lang w:val="en-US"/>
        </w:rPr>
        <w:t>)</w:t>
      </w:r>
      <w:r w:rsidR="00C60AD7" w:rsidRPr="00EA3227">
        <w:rPr>
          <w:rFonts w:ascii="Times New Roman" w:hAnsi="Times New Roman" w:cs="Times New Roman"/>
          <w:sz w:val="24"/>
          <w:szCs w:val="24"/>
          <w:lang w:val="en-US"/>
        </w:rPr>
        <w:fldChar w:fldCharType="end"/>
      </w:r>
      <w:r w:rsidR="00C60AD7">
        <w:rPr>
          <w:rFonts w:ascii="Times New Roman" w:hAnsi="Times New Roman" w:cs="Times New Roman"/>
          <w:sz w:val="24"/>
          <w:szCs w:val="24"/>
          <w:lang w:val="en-US"/>
        </w:rPr>
        <w:t xml:space="preserve"> </w:t>
      </w:r>
      <w:r w:rsidRPr="00EA3227">
        <w:rPr>
          <w:rFonts w:ascii="Times New Roman" w:hAnsi="Times New Roman" w:cs="Times New Roman"/>
          <w:sz w:val="24"/>
          <w:szCs w:val="24"/>
          <w:lang w:val="en-US"/>
        </w:rPr>
        <w:t>also adopted the Mendelian problem-specification to study his research problem.</w:t>
      </w:r>
      <w:r w:rsidR="00C60AD7">
        <w:rPr>
          <w:rFonts w:ascii="Times New Roman" w:hAnsi="Times New Roman" w:cs="Times New Roman"/>
          <w:sz w:val="24"/>
          <w:szCs w:val="24"/>
          <w:lang w:val="en-US"/>
        </w:rPr>
        <w:t xml:space="preserve"> </w:t>
      </w:r>
      <w:r w:rsidRPr="00EA3227">
        <w:rPr>
          <w:rFonts w:ascii="Times New Roman" w:hAnsi="Times New Roman" w:cs="Times New Roman"/>
          <w:sz w:val="24"/>
          <w:szCs w:val="24"/>
        </w:rPr>
        <w:t>In particular, Bateson is explicit on the point that a significant lesson learnt from Mendel in the study of heredity is that of focusing on differing traits.</w:t>
      </w:r>
    </w:p>
    <w:p w14:paraId="50E56A17" w14:textId="03A8452B" w:rsidR="00EA3227" w:rsidRPr="00EA3227" w:rsidRDefault="00EA3227" w:rsidP="00C60AD7">
      <w:pPr>
        <w:spacing w:after="200" w:line="480" w:lineRule="auto"/>
        <w:ind w:left="720"/>
        <w:rPr>
          <w:rFonts w:ascii="Times New Roman" w:hAnsi="Times New Roman" w:cs="Times New Roman"/>
          <w:sz w:val="24"/>
          <w:szCs w:val="24"/>
        </w:rPr>
      </w:pPr>
      <w:r w:rsidRPr="00EA3227">
        <w:rPr>
          <w:rFonts w:ascii="Times New Roman" w:hAnsi="Times New Roman" w:cs="Times New Roman"/>
          <w:sz w:val="24"/>
          <w:szCs w:val="24"/>
        </w:rPr>
        <w:t xml:space="preserve">[T]he subjects of experiment should be chosen in such a way as to bring the laws of heredity to a real test. For this purpose the first essential is that the differentiating characters should be few, and that all avoidable complications should be got rid of. Each experiment should be reduced to its simplest possible limits… [I]t is certain that by similar treatment our knowledge of heredity may be rapidly extended. </w:t>
      </w:r>
      <w:r w:rsidRPr="00EA3227">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"Bateson", "given" : "William", "non-dropping-particle" : "", "parse-names" : false, "suffix" : "" } ], "id" : "ITEM-1", "issued" : { "date-parts" : [ [ "1902" ] ] }, "publisher" : "Cambridge University Press", "publisher-place" : "Cambridge", "title" : "Mendel's Principles of Heredity: A Defence", "type" : "book" }, "locator" : "16", "uris" : [ "http://www.mendeley.com/documents/?uuid=fdeaa435-0317-460a-b90a-494d37e9ab1d", "http://www.mendeley.com/documents/?uuid=14387670-cd79-4b6a-a41d-4d1390f7fa2a" ] } ], "mendeley" : { "formattedCitation" : "(Bateson 1902, 16)", "plainTextFormattedCitation" : "(Bateson 1902, 16)", "previouslyFormattedCitation" : "(Bateson 1902, 16)" }, "properties" : { "noteIndex" : 0 }, "schema" : "https://github.com/citation-style-language/schema/raw/master/csl-citation.json" }</w:instrText>
      </w:r>
      <w:r w:rsidRPr="00EA3227">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(Bateson 1902, 16)</w:t>
      </w:r>
      <w:r w:rsidRPr="00EA3227">
        <w:rPr>
          <w:rFonts w:ascii="Times New Roman" w:hAnsi="Times New Roman" w:cs="Times New Roman"/>
          <w:sz w:val="24"/>
          <w:szCs w:val="24"/>
        </w:rPr>
        <w:fldChar w:fldCharType="end"/>
      </w:r>
    </w:p>
    <w:p w14:paraId="0C23E666" w14:textId="09448BDB" w:rsidR="00EA3227" w:rsidRPr="00EA3227" w:rsidRDefault="00C60AD7" w:rsidP="00EA3227">
      <w:pPr>
        <w:spacing w:after="200" w:line="480" w:lineRule="auto"/>
        <w:rPr>
          <w:rFonts w:ascii="Times New Roman" w:hAnsi="Times New Roman" w:cs="Times New Roman"/>
          <w:sz w:val="24"/>
          <w:szCs w:val="24"/>
        </w:rPr>
      </w:pPr>
      <w:r>
        <w:rPr>
          <w:rFonts w:ascii="Times New Roman" w:hAnsi="Times New Roman" w:cs="Times New Roman"/>
          <w:sz w:val="24"/>
          <w:szCs w:val="24"/>
        </w:rPr>
        <w:t>Thus, I argue that</w:t>
      </w:r>
      <w:r w:rsidR="00EA3227" w:rsidRPr="00EA3227">
        <w:rPr>
          <w:rFonts w:ascii="Times New Roman" w:hAnsi="Times New Roman" w:cs="Times New Roman"/>
          <w:sz w:val="24"/>
          <w:szCs w:val="24"/>
        </w:rPr>
        <w:t xml:space="preserve"> what de Vries, Correns, </w:t>
      </w:r>
      <w:r w:rsidR="005913AD">
        <w:rPr>
          <w:rFonts w:ascii="Times New Roman" w:hAnsi="Times New Roman" w:cs="Times New Roman"/>
          <w:sz w:val="24"/>
          <w:szCs w:val="24"/>
        </w:rPr>
        <w:t xml:space="preserve">Teschermak, </w:t>
      </w:r>
      <w:r w:rsidR="00EA3227" w:rsidRPr="00EA3227">
        <w:rPr>
          <w:rFonts w:ascii="Times New Roman" w:hAnsi="Times New Roman" w:cs="Times New Roman"/>
          <w:sz w:val="24"/>
          <w:szCs w:val="24"/>
        </w:rPr>
        <w:t>and Bateson in fact learnt from Mendel here is a way of refining a general problem into a more specific one. Despite beginning with different initial research problems, de Vries, Correns</w:t>
      </w:r>
      <w:r w:rsidR="003D2EA5">
        <w:rPr>
          <w:rFonts w:ascii="Times New Roman" w:hAnsi="Times New Roman" w:cs="Times New Roman"/>
          <w:sz w:val="24"/>
          <w:szCs w:val="24"/>
        </w:rPr>
        <w:t>,</w:t>
      </w:r>
      <w:r w:rsidR="00EA3227" w:rsidRPr="00EA3227">
        <w:rPr>
          <w:rFonts w:ascii="Times New Roman" w:hAnsi="Times New Roman" w:cs="Times New Roman"/>
          <w:sz w:val="24"/>
          <w:szCs w:val="24"/>
        </w:rPr>
        <w:t xml:space="preserve"> and Bateson, influenced by Mendel’s work </w:t>
      </w:r>
      <w:r w:rsidR="00EA3227" w:rsidRPr="00EA3227">
        <w:rPr>
          <w:rFonts w:ascii="Times New Roman" w:hAnsi="Times New Roman" w:cs="Times New Roman"/>
          <w:sz w:val="24"/>
          <w:szCs w:val="24"/>
        </w:rPr>
        <w:fldChar w:fldCharType="begin" w:fldLock="1"/>
      </w:r>
      <w:r w:rsidR="00FC64C4">
        <w:rPr>
          <w:rFonts w:ascii="Times New Roman" w:hAnsi="Times New Roman" w:cs="Times New Roman"/>
          <w:sz w:val="24"/>
          <w:szCs w:val="24"/>
        </w:rPr>
        <w:instrText>ADDIN CSL_CITATION { "citationItems" : [ { "id" : "ITEM-1", "itemData" : { "author" : [ { "dropping-particle" : "", "family" : "Mendel", "given" : "Gregor", "non-dropping-particle" : "", "parse-names" : false, "suffix" : "" } ], "container-title" : "Verhandlungen des naturforschenden Vereins Br\u00fcnn", "id" : "ITEM-1", "issue" : "Abhandlungen", "issued" : { "date-parts" : [ [ "1865" ] ] }, "page" : "3-47", "title" : "Versuche \u00fcber Pflanzenhybriden", "type" : "article-journal", "volume" : "4" }, "suppress-author" : 1, "uris" : [ "http://www.mendeley.com/documents/?uuid=a796b0d2-78b0-491c-bdd8-7a4305c2b64e", "http://www.mendeley.com/documents/?uuid=74859f55-9d87-475a-a535-be0a89ffdfe8" ] } ], "mendeley" : { "formattedCitation" : "(1865)", "plainTextFormattedCitation" : "(1865)", "previouslyFormattedCitation" : "(1865)" }, "properties" : { "noteIndex" : 0 }, "schema" : "https://github.com/citation-style-language/schema/raw/master/csl-citation.json" }</w:instrText>
      </w:r>
      <w:r w:rsidR="00EA3227" w:rsidRPr="00EA3227">
        <w:rPr>
          <w:rFonts w:ascii="Times New Roman" w:hAnsi="Times New Roman" w:cs="Times New Roman"/>
          <w:sz w:val="24"/>
          <w:szCs w:val="24"/>
        </w:rPr>
        <w:fldChar w:fldCharType="separate"/>
      </w:r>
      <w:r w:rsidR="00FC64C4" w:rsidRPr="00FC64C4">
        <w:rPr>
          <w:rFonts w:ascii="Times New Roman" w:hAnsi="Times New Roman" w:cs="Times New Roman"/>
          <w:noProof/>
          <w:sz w:val="24"/>
          <w:szCs w:val="24"/>
        </w:rPr>
        <w:t>(1865)</w:t>
      </w:r>
      <w:r w:rsidR="00EA3227" w:rsidRPr="00EA3227">
        <w:rPr>
          <w:rFonts w:ascii="Times New Roman" w:hAnsi="Times New Roman" w:cs="Times New Roman"/>
          <w:sz w:val="24"/>
          <w:szCs w:val="24"/>
        </w:rPr>
        <w:fldChar w:fldCharType="end"/>
      </w:r>
      <w:r w:rsidR="00EA3227" w:rsidRPr="00EA3227">
        <w:rPr>
          <w:rFonts w:ascii="Times New Roman" w:hAnsi="Times New Roman" w:cs="Times New Roman"/>
          <w:sz w:val="24"/>
          <w:szCs w:val="24"/>
        </w:rPr>
        <w:t>, all find that refining their initial problems into a better defined and more narrowly scoped problem on paired traits is helpful in the further investigation.</w:t>
      </w:r>
    </w:p>
    <w:p w14:paraId="4151F6D1" w14:textId="7F62B7F8" w:rsidR="00EA3227" w:rsidRPr="00EA3227" w:rsidRDefault="00EA3227" w:rsidP="00EA3227">
      <w:pPr>
        <w:spacing w:after="200" w:line="480" w:lineRule="auto"/>
        <w:rPr>
          <w:rFonts w:ascii="Times New Roman" w:hAnsi="Times New Roman" w:cs="Times New Roman"/>
          <w:sz w:val="24"/>
          <w:szCs w:val="24"/>
        </w:rPr>
      </w:pPr>
      <w:r w:rsidRPr="00EA3227">
        <w:rPr>
          <w:rFonts w:ascii="Times New Roman" w:hAnsi="Times New Roman" w:cs="Times New Roman"/>
          <w:sz w:val="24"/>
          <w:szCs w:val="24"/>
        </w:rPr>
        <w:t xml:space="preserve">Another </w:t>
      </w:r>
      <w:r w:rsidR="00FC604E">
        <w:rPr>
          <w:rFonts w:ascii="Times New Roman" w:hAnsi="Times New Roman" w:cs="Times New Roman"/>
          <w:sz w:val="24"/>
          <w:szCs w:val="24"/>
        </w:rPr>
        <w:t>contribution of</w:t>
      </w:r>
      <w:r w:rsidRPr="00EA3227">
        <w:rPr>
          <w:rFonts w:ascii="Times New Roman" w:hAnsi="Times New Roman" w:cs="Times New Roman"/>
          <w:sz w:val="24"/>
          <w:szCs w:val="24"/>
        </w:rPr>
        <w:t xml:space="preserve"> Mendel’s work is his </w:t>
      </w:r>
      <w:r w:rsidR="004A1A3A">
        <w:rPr>
          <w:rFonts w:ascii="Times New Roman" w:hAnsi="Times New Roman" w:cs="Times New Roman"/>
          <w:sz w:val="24"/>
          <w:szCs w:val="24"/>
        </w:rPr>
        <w:t xml:space="preserve">exemplary </w:t>
      </w:r>
      <w:r w:rsidRPr="00EA3227">
        <w:rPr>
          <w:rFonts w:ascii="Times New Roman" w:hAnsi="Times New Roman" w:cs="Times New Roman"/>
          <w:sz w:val="24"/>
          <w:szCs w:val="24"/>
        </w:rPr>
        <w:t xml:space="preserve">use of the </w:t>
      </w:r>
      <w:r w:rsidR="003D2EA5">
        <w:rPr>
          <w:rFonts w:ascii="Times New Roman" w:hAnsi="Times New Roman" w:cs="Times New Roman"/>
          <w:sz w:val="24"/>
          <w:szCs w:val="24"/>
        </w:rPr>
        <w:t>terms</w:t>
      </w:r>
      <w:r w:rsidR="00020A3B">
        <w:rPr>
          <w:rFonts w:ascii="Times New Roman" w:hAnsi="Times New Roman" w:cs="Times New Roman"/>
          <w:sz w:val="24"/>
          <w:szCs w:val="24"/>
        </w:rPr>
        <w:t xml:space="preserve"> “dominant</w:t>
      </w:r>
      <w:r w:rsidRPr="00EA3227">
        <w:rPr>
          <w:rFonts w:ascii="Times New Roman" w:hAnsi="Times New Roman" w:cs="Times New Roman"/>
          <w:sz w:val="24"/>
          <w:szCs w:val="24"/>
        </w:rPr>
        <w:t xml:space="preserve">” and “recessive” to conceptualise the paired traits and analyse the statistical relation of them. Though the phenomenon of dominance had been observed by many </w:t>
      </w:r>
      <w:r w:rsidRPr="00EA3227">
        <w:rPr>
          <w:rFonts w:ascii="Times New Roman" w:hAnsi="Times New Roman" w:cs="Times New Roman"/>
          <w:sz w:val="24"/>
          <w:szCs w:val="24"/>
        </w:rPr>
        <w:fldChar w:fldCharType="begin" w:fldLock="1"/>
      </w:r>
      <w:r w:rsidR="00B66AD5">
        <w:rPr>
          <w:rFonts w:ascii="Times New Roman" w:hAnsi="Times New Roman" w:cs="Times New Roman"/>
          <w:sz w:val="24"/>
          <w:szCs w:val="24"/>
        </w:rPr>
        <w:instrText>ADDIN CSL_CITATION { "citationItems" : [ { "id" : "ITEM-1", "itemData" : { "author" : [ { "dropping-particle" : "", "family" : "Knight", "given" : "Thomas Andrew", "non-dropping-particle" : "", "parse-names" : false, "suffix" : "" } ], "container-title" : "Philosocial Transactions of the Royal Society of London", "id" : "ITEM-1", "issued" : { "date-parts" : [ [ "1799" ] ] }, "page" : "195-204", "title" : "An Account of Some Experiments on the Fecundation of Vegetables", "type" : "article-journal", "volume" : "89" }, "prefix" : "e.g., ", "uris" : [ "http://www.mendeley.com/documents/?uuid=8b528c64-551b-49d4-967d-e9c82f2865c4", "http://www.mendeley.com/documents/?uuid=70832938-6a75-4628-b0b5-ba7d02ca100e" ] }, { "id" : "ITEM-2", "itemData" : { "author" : [ { "dropping-particle" : "", "family" : "Goss", "given" : "John", "non-dropping-particle" : "", "parse-names" : false, "suffix" : "" } ], "container-title" : "Transactions of the Horticultural society of Londonociety of London", "id" : "ITEM-2", "issued" : { "date-parts" : [ [ "1824" ] ] }, "page" : "234-236", "title" : "On the Variation in the Colour of Peas, occasioned by Cross Impregnation", "type" : "article-journal", "volume" : "5" }, "uris" : [ "http://www.mendeley.com/documents/?uuid=81c08ab2-879a-44ca-bc16-c32bd16219f7", "http://www.mendeley.com/documents/?uuid=205d2487-b714-4f9b-901f-58d08a7707f0" ] }, { "id" : "ITEM-3", "itemData" : { "author" : [ { "dropping-particle" : "", "family" : "Seton", "given" : "A", "non-dropping-particle" : "", "parse-names" : false, "suffix" : "" } ], "container-title" : "Transactions of the Horticultural Society of London", "id" : "ITEM-3", "issued" : { "date-parts" : [ [ "1824" ] ] }, "page" : "236-237", "title" : "Note by the Secretary", "type" : "article-journal", "volume" : "5" }, "uris" : [ "http://www.mendeley.com/documents/?uuid=66ba4a2d-ae56-4f72-be5f-35f1db39b040", "http://www.mendeley.com/documents/?uuid=829dcc26-9bb2-4d82-a4ff-f1acbc8951e5" ] } ], "mendeley" : { "formattedCitation" : "(e.g., Knight 1799; Goss 1824; Seton 1824)", "plainTextFormattedCitation" : "(e.g., Knight 1799; Goss 1824; Seton 1824)", "previouslyFormattedCitation" : "(e.g., Knight 1799; Goss 1824; Seton 1824)" }, "properties" : { "noteIndex" : 0 }, "schema" : "https://github.com/citation-style-language/schema/raw/master/csl-citation.json" }</w:instrText>
      </w:r>
      <w:r w:rsidRPr="00EA3227">
        <w:rPr>
          <w:rFonts w:ascii="Times New Roman" w:hAnsi="Times New Roman" w:cs="Times New Roman"/>
          <w:sz w:val="24"/>
          <w:szCs w:val="24"/>
        </w:rPr>
        <w:fldChar w:fldCharType="separate"/>
      </w:r>
      <w:r w:rsidR="00B66AD5" w:rsidRPr="00B66AD5">
        <w:rPr>
          <w:rFonts w:ascii="Times New Roman" w:hAnsi="Times New Roman" w:cs="Times New Roman"/>
          <w:noProof/>
          <w:sz w:val="24"/>
          <w:szCs w:val="24"/>
        </w:rPr>
        <w:t>(e.g., Knight 1799; Goss 1824; Seton 1824)</w:t>
      </w:r>
      <w:r w:rsidRPr="00EA3227">
        <w:rPr>
          <w:rFonts w:ascii="Times New Roman" w:hAnsi="Times New Roman" w:cs="Times New Roman"/>
          <w:sz w:val="24"/>
          <w:szCs w:val="24"/>
        </w:rPr>
        <w:fldChar w:fldCharType="end"/>
      </w:r>
      <w:r w:rsidRPr="00EA3227">
        <w:rPr>
          <w:rFonts w:ascii="Times New Roman" w:hAnsi="Times New Roman" w:cs="Times New Roman"/>
          <w:sz w:val="24"/>
          <w:szCs w:val="24"/>
        </w:rPr>
        <w:t xml:space="preserve"> by the first half of the nineteenth century, Mendel was the first to conceptual</w:t>
      </w:r>
      <w:r w:rsidR="00020A3B">
        <w:rPr>
          <w:rFonts w:ascii="Times New Roman" w:hAnsi="Times New Roman" w:cs="Times New Roman"/>
          <w:sz w:val="24"/>
          <w:szCs w:val="24"/>
        </w:rPr>
        <w:t>ise the phenomenon in terms of dominance/</w:t>
      </w:r>
      <w:r w:rsidR="0093227E">
        <w:rPr>
          <w:rFonts w:ascii="Times New Roman" w:hAnsi="Times New Roman" w:cs="Times New Roman"/>
          <w:sz w:val="24"/>
          <w:szCs w:val="24"/>
        </w:rPr>
        <w:t>r</w:t>
      </w:r>
      <w:r w:rsidR="00020A3B">
        <w:rPr>
          <w:rFonts w:ascii="Times New Roman" w:hAnsi="Times New Roman" w:cs="Times New Roman"/>
          <w:sz w:val="24"/>
          <w:szCs w:val="24"/>
        </w:rPr>
        <w:t>ecessiveness</w:t>
      </w:r>
      <w:r w:rsidRPr="00EA3227">
        <w:rPr>
          <w:rFonts w:ascii="Times New Roman" w:hAnsi="Times New Roman" w:cs="Times New Roman"/>
          <w:sz w:val="24"/>
          <w:szCs w:val="24"/>
        </w:rPr>
        <w:t>, and record and analyse the sta</w:t>
      </w:r>
      <w:r w:rsidR="00020A3B">
        <w:rPr>
          <w:rFonts w:ascii="Times New Roman" w:hAnsi="Times New Roman" w:cs="Times New Roman"/>
          <w:sz w:val="24"/>
          <w:szCs w:val="24"/>
        </w:rPr>
        <w:t>tistical relation of dominant and recessive</w:t>
      </w:r>
      <w:r w:rsidRPr="00EA3227">
        <w:rPr>
          <w:rFonts w:ascii="Times New Roman" w:hAnsi="Times New Roman" w:cs="Times New Roman"/>
          <w:sz w:val="24"/>
          <w:szCs w:val="24"/>
        </w:rPr>
        <w:t xml:space="preserve"> traits. Mendel’s terminology was important </w:t>
      </w:r>
      <w:r w:rsidRPr="00EA3227">
        <w:rPr>
          <w:rFonts w:ascii="Times New Roman" w:hAnsi="Times New Roman" w:cs="Times New Roman"/>
          <w:sz w:val="24"/>
          <w:szCs w:val="24"/>
        </w:rPr>
        <w:lastRenderedPageBreak/>
        <w:t>for his work in the sense that it lay down the conceptual foundation for his analysis of data, recognition of the statistical regularity (e.g. the 3 : 1 ratio) and proposal of the hypotheses. It should be highlighted that the significance of Mendel’s terminology and his statistical analysis are intertwined. The statistical analysis cannot be made without the terms “d</w:t>
      </w:r>
      <w:r w:rsidR="00020A3B">
        <w:rPr>
          <w:rFonts w:ascii="Times New Roman" w:hAnsi="Times New Roman" w:cs="Times New Roman"/>
          <w:sz w:val="24"/>
          <w:szCs w:val="24"/>
        </w:rPr>
        <w:t>ominant</w:t>
      </w:r>
      <w:r w:rsidRPr="00EA3227">
        <w:rPr>
          <w:rFonts w:ascii="Times New Roman" w:hAnsi="Times New Roman" w:cs="Times New Roman"/>
          <w:sz w:val="24"/>
          <w:szCs w:val="24"/>
        </w:rPr>
        <w:t>” and “reces</w:t>
      </w:r>
      <w:r w:rsidR="00B66AD5">
        <w:rPr>
          <w:rFonts w:ascii="Times New Roman" w:hAnsi="Times New Roman" w:cs="Times New Roman"/>
          <w:sz w:val="24"/>
          <w:szCs w:val="24"/>
        </w:rPr>
        <w:t>sive”, while the introduction of</w:t>
      </w:r>
      <w:r w:rsidR="00020A3B">
        <w:rPr>
          <w:rFonts w:ascii="Times New Roman" w:hAnsi="Times New Roman" w:cs="Times New Roman"/>
          <w:sz w:val="24"/>
          <w:szCs w:val="24"/>
        </w:rPr>
        <w:t xml:space="preserve"> the concepts of dominance and recessiveness</w:t>
      </w:r>
      <w:r w:rsidRPr="00EA3227">
        <w:rPr>
          <w:rFonts w:ascii="Times New Roman" w:hAnsi="Times New Roman" w:cs="Times New Roman"/>
          <w:sz w:val="24"/>
          <w:szCs w:val="24"/>
        </w:rPr>
        <w:t xml:space="preserve"> is not interesting if no statistical regularity is obtained.</w:t>
      </w:r>
    </w:p>
    <w:p w14:paraId="5DB57FB4" w14:textId="338FDE5F" w:rsidR="00EA3227" w:rsidRPr="00EA3227" w:rsidRDefault="00EA3227" w:rsidP="005014FE">
      <w:pPr>
        <w:spacing w:after="0" w:line="480" w:lineRule="auto"/>
        <w:rPr>
          <w:rFonts w:ascii="Times New Roman" w:hAnsi="Times New Roman" w:cs="Times New Roman"/>
          <w:sz w:val="24"/>
          <w:szCs w:val="24"/>
        </w:rPr>
      </w:pPr>
      <w:r w:rsidRPr="00EA3227">
        <w:rPr>
          <w:rFonts w:ascii="Times New Roman" w:hAnsi="Times New Roman" w:cs="Times New Roman"/>
          <w:sz w:val="24"/>
          <w:szCs w:val="24"/>
        </w:rPr>
        <w:t>Mendel’s terminology also enlightened the study of heredity around 1900. The terms “domina</w:t>
      </w:r>
      <w:r w:rsidR="00020A3B">
        <w:rPr>
          <w:rFonts w:ascii="Times New Roman" w:hAnsi="Times New Roman" w:cs="Times New Roman"/>
          <w:sz w:val="24"/>
          <w:szCs w:val="24"/>
        </w:rPr>
        <w:t>nt</w:t>
      </w:r>
      <w:r w:rsidRPr="00EA3227">
        <w:rPr>
          <w:rFonts w:ascii="Times New Roman" w:hAnsi="Times New Roman" w:cs="Times New Roman"/>
          <w:sz w:val="24"/>
          <w:szCs w:val="24"/>
        </w:rPr>
        <w:t>” and “recessive” were adopted by de Vries, Correns, Tschermak, and Bateson, though their usages are di</w:t>
      </w:r>
      <w:r w:rsidR="00FE3D9D">
        <w:rPr>
          <w:rFonts w:ascii="Times New Roman" w:hAnsi="Times New Roman" w:cs="Times New Roman"/>
          <w:sz w:val="24"/>
          <w:szCs w:val="24"/>
        </w:rPr>
        <w:t>fferent from Mendel’s in some res</w:t>
      </w:r>
      <w:r w:rsidRPr="00EA3227">
        <w:rPr>
          <w:rFonts w:ascii="Times New Roman" w:hAnsi="Times New Roman" w:cs="Times New Roman"/>
          <w:sz w:val="24"/>
          <w:szCs w:val="24"/>
        </w:rPr>
        <w:t>pects (for a summary, see</w:t>
      </w:r>
      <w:r w:rsidR="00CF25DA">
        <w:rPr>
          <w:rFonts w:ascii="Times New Roman" w:hAnsi="Times New Roman" w:cs="Times New Roman"/>
          <w:sz w:val="24"/>
          <w:szCs w:val="24"/>
        </w:rPr>
        <w:t xml:space="preserve"> table 4</w:t>
      </w:r>
      <w:r w:rsidRPr="00EA3227">
        <w:rPr>
          <w:rFonts w:ascii="Times New Roman" w:hAnsi="Times New Roman" w:cs="Times New Roman"/>
          <w:sz w:val="24"/>
          <w:szCs w:val="24"/>
        </w:rPr>
        <w:t>). Correspondingly, the statistical analysis of the dominating and recessive traits was also introduced into the study of heredity, especially by de Vries</w:t>
      </w:r>
      <w:r w:rsidR="00B66AD5">
        <w:rPr>
          <w:rFonts w:ascii="Times New Roman" w:hAnsi="Times New Roman" w:cs="Times New Roman"/>
          <w:sz w:val="24"/>
          <w:szCs w:val="24"/>
        </w:rPr>
        <w:t xml:space="preserve"> </w:t>
      </w:r>
      <w:r w:rsidR="00B66AD5">
        <w:rPr>
          <w:rFonts w:ascii="Times New Roman" w:hAnsi="Times New Roman" w:cs="Times New Roman"/>
          <w:sz w:val="24"/>
          <w:szCs w:val="24"/>
        </w:rPr>
        <w:fldChar w:fldCharType="begin" w:fldLock="1"/>
      </w:r>
      <w:r w:rsidR="00B66AD5">
        <w:rPr>
          <w:rFonts w:ascii="Times New Roman" w:hAnsi="Times New Roman" w:cs="Times New Roman"/>
          <w:sz w:val="24"/>
          <w:szCs w:val="24"/>
        </w:rPr>
        <w:instrText>ADDIN CSL_CITATION { "citationItems" : [ { "id" : "ITEM-1", "itemData" : { "author" : [ { "dropping-particle" : "", "family" : "Vries", "given" : "Hugo", "non-dropping-particle" : "de", "parse-names" : false, "suffix" : "" } ], "container-title" : "Comptes Rendus de I'Academie des Sciences (Paris)", "id" : "ITEM-1", "issued" : { "date-parts" : [ [ "1900" ] ] }, "page" : "845-847", "title" : "Sur la loi de disjonction des hybrides", "type" : "article-journal", "volume" : "130" }, "suppress-author" : 1, "uris" : [ "http://www.mendeley.com/documents/?uuid=7b34e3c2-bfb8-4e3f-9262-716281bf9128" ] }, { "id" : "ITEM-2", "itemData" : { "author" : [ { "dropping-particle" : "", "family" : "Vries", "given" : "Hugo", "non-dropping-particle" : "de", "parse-names" : false, "suffix" : "" } ], "container-title" : "Berichte der deutschen botanischen Gesellschaft", "id" : "ITEM-2", "issue" : "3", "issued" : { "date-parts" : [ [ "1900" ] ] }, "page" : "83-90", "title" : "Das Spaltungsgesetz der Bastarde (Vorlaufige Mittheilung)", "type" : "article-journal", "volume" : "18" }, "suppress-author" : 1, "uris" : [ "http://www.mendeley.com/documents/?uuid=e91ac8c4-461b-4716-9ddd-32a3dcaaaa3a" ] }, { "id" : "ITEM-3", "itemData" : { "author" : [ { "dropping-particle" : "", "family" : "Vries", "given" : "Hugo", "non-dropping-particle" : "de", "parse-names" : false, "suffix" : "" } ], "container-title" : "Revue g\u00e9n\u00e9rate de botanique", "id" : "ITEM-3", "issued" : { "date-parts" : [ [ "1900" ] ] }, "page" : "257-271", "title" : "Sur les unit\u00e9s des caract\u00e8res sp\u00e9cifiques et leur application \u00e0 l'\u00e9tude des hybrides", "type" : "article-journal", "volume" : "12" }, "suppress-author" : 1, "uris" : [ "http://www.mendeley.com/documents/?uuid=1c57b81e-823e-4361-9432-f5631f1ed294" ] } ], "mendeley" : { "formattedCitation" : "(1900b; 1900a; 1900c)", "plainTextFormattedCitation" : "(1900b; 1900a; 1900c)", "previouslyFormattedCitation" : "(1900b; 1900a; 1900c)" }, "properties" : { "noteIndex" : 0 }, "schema" : "https://github.com/citation-style-language/schema/raw/master/csl-citation.json" }</w:instrText>
      </w:r>
      <w:r w:rsidR="00B66AD5">
        <w:rPr>
          <w:rFonts w:ascii="Times New Roman" w:hAnsi="Times New Roman" w:cs="Times New Roman"/>
          <w:sz w:val="24"/>
          <w:szCs w:val="24"/>
        </w:rPr>
        <w:fldChar w:fldCharType="separate"/>
      </w:r>
      <w:r w:rsidR="00B66AD5" w:rsidRPr="00B66AD5">
        <w:rPr>
          <w:rFonts w:ascii="Times New Roman" w:hAnsi="Times New Roman" w:cs="Times New Roman"/>
          <w:noProof/>
          <w:sz w:val="24"/>
          <w:szCs w:val="24"/>
        </w:rPr>
        <w:t>(1900b; 1900a; 1900c)</w:t>
      </w:r>
      <w:r w:rsidR="00B66AD5">
        <w:rPr>
          <w:rFonts w:ascii="Times New Roman" w:hAnsi="Times New Roman" w:cs="Times New Roman"/>
          <w:sz w:val="24"/>
          <w:szCs w:val="24"/>
        </w:rPr>
        <w:fldChar w:fldCharType="end"/>
      </w:r>
      <w:r w:rsidRPr="00EA3227">
        <w:rPr>
          <w:rFonts w:ascii="Times New Roman" w:hAnsi="Times New Roman" w:cs="Times New Roman"/>
          <w:sz w:val="24"/>
          <w:szCs w:val="24"/>
        </w:rPr>
        <w:t xml:space="preserve"> and Bateson</w:t>
      </w:r>
      <w:r w:rsidR="00B66AD5">
        <w:rPr>
          <w:rFonts w:ascii="Times New Roman" w:hAnsi="Times New Roman" w:cs="Times New Roman"/>
          <w:sz w:val="24"/>
          <w:szCs w:val="24"/>
        </w:rPr>
        <w:t xml:space="preserve"> </w:t>
      </w:r>
      <w:r w:rsidR="00B66AD5">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"Bateson", "given" : "William", "non-dropping-particle" : "", "parse-names" : false, "suffix" : "" } ], "id" : "ITEM-1", "issued" : { "date-parts" : [ [ "1902" ] ] }, "publisher" : "Cambridge University Press", "publisher-place" : "Cambridge", "title" : "Mendel's Principles of Heredity: A Defence", "type" : "book" }, "suppress-author" : 1, "uris" : [ "http://www.mendeley.com/documents/?uuid=14387670-cd79-4b6a-a41d-4d1390f7fa2a" ] } ], "mendeley" : { "formattedCitation" : "(1902)", "plainTextFormattedCitation" : "(1902)", "previouslyFormattedCitation" : "(1902)" }, "properties" : { "noteIndex" : 0 }, "schema" : "https://github.com/citation-style-language/schema/raw/master/csl-citation.json" }</w:instrText>
      </w:r>
      <w:r w:rsidR="00B66AD5">
        <w:rPr>
          <w:rFonts w:ascii="Times New Roman" w:hAnsi="Times New Roman" w:cs="Times New Roman"/>
          <w:sz w:val="24"/>
          <w:szCs w:val="24"/>
        </w:rPr>
        <w:fldChar w:fldCharType="separate"/>
      </w:r>
      <w:r w:rsidR="00B66AD5" w:rsidRPr="00B66AD5">
        <w:rPr>
          <w:rFonts w:ascii="Times New Roman" w:hAnsi="Times New Roman" w:cs="Times New Roman"/>
          <w:noProof/>
          <w:sz w:val="24"/>
          <w:szCs w:val="24"/>
        </w:rPr>
        <w:t>(1902)</w:t>
      </w:r>
      <w:r w:rsidR="00B66AD5">
        <w:rPr>
          <w:rFonts w:ascii="Times New Roman" w:hAnsi="Times New Roman" w:cs="Times New Roman"/>
          <w:sz w:val="24"/>
          <w:szCs w:val="24"/>
        </w:rPr>
        <w:fldChar w:fldCharType="end"/>
      </w:r>
      <w:r w:rsidRPr="00EA3227">
        <w:rPr>
          <w:rFonts w:ascii="Times New Roman" w:hAnsi="Times New Roman" w:cs="Times New Roman"/>
          <w:sz w:val="24"/>
          <w:szCs w:val="24"/>
        </w:rPr>
        <w:t>.</w:t>
      </w:r>
    </w:p>
    <w:p w14:paraId="2D8E45EF" w14:textId="3CB7BD6F" w:rsidR="00EA3227" w:rsidRPr="00EA3227" w:rsidRDefault="00EA3227" w:rsidP="005014FE">
      <w:pPr>
        <w:spacing w:before="200" w:after="200" w:line="480" w:lineRule="auto"/>
        <w:rPr>
          <w:rFonts w:ascii="Times New Roman" w:hAnsi="Times New Roman" w:cs="Times New Roman"/>
          <w:sz w:val="24"/>
          <w:szCs w:val="24"/>
        </w:rPr>
      </w:pPr>
      <w:r w:rsidRPr="00EA3227">
        <w:rPr>
          <w:rFonts w:ascii="Times New Roman" w:hAnsi="Times New Roman" w:cs="Times New Roman"/>
          <w:sz w:val="24"/>
          <w:szCs w:val="24"/>
        </w:rPr>
        <w:t xml:space="preserve">I have </w:t>
      </w:r>
      <w:r w:rsidR="00020A3B">
        <w:rPr>
          <w:rFonts w:ascii="Times New Roman" w:hAnsi="Times New Roman" w:cs="Times New Roman"/>
          <w:sz w:val="24"/>
          <w:szCs w:val="24"/>
        </w:rPr>
        <w:t>to emphasise that the concept</w:t>
      </w:r>
      <w:r w:rsidRPr="00EA3227">
        <w:rPr>
          <w:rFonts w:ascii="Times New Roman" w:hAnsi="Times New Roman" w:cs="Times New Roman"/>
          <w:sz w:val="24"/>
          <w:szCs w:val="24"/>
        </w:rPr>
        <w:t>s of dominance and recessiveness are important in the origin of genetics because they are useful in conceptualisation, hypothesisation, and idealisation rather than because they are essential conceptual components, which are invariantly shared by both Mendel and the rediscoverers.</w:t>
      </w:r>
    </w:p>
    <w:p w14:paraId="38C42827" w14:textId="19C861F9" w:rsidR="00EA3227" w:rsidRPr="00EA3227" w:rsidRDefault="004A1A3A" w:rsidP="00EA3227">
      <w:pPr>
        <w:spacing w:after="200" w:line="480" w:lineRule="auto"/>
        <w:rPr>
          <w:rFonts w:ascii="Times New Roman" w:hAnsi="Times New Roman" w:cs="Times New Roman"/>
          <w:sz w:val="24"/>
          <w:szCs w:val="24"/>
        </w:rPr>
      </w:pPr>
      <w:r w:rsidRPr="004A1A3A">
        <w:rPr>
          <w:rFonts w:ascii="Times New Roman" w:hAnsi="Times New Roman" w:cs="Times New Roman"/>
          <w:sz w:val="24"/>
          <w:szCs w:val="24"/>
        </w:rPr>
        <w:t xml:space="preserve">Thirdly, </w:t>
      </w:r>
      <w:r w:rsidR="00020A3B">
        <w:rPr>
          <w:rFonts w:ascii="Times New Roman" w:hAnsi="Times New Roman" w:cs="Times New Roman"/>
          <w:sz w:val="24"/>
          <w:szCs w:val="24"/>
        </w:rPr>
        <w:t>Mendel’s l</w:t>
      </w:r>
      <w:r>
        <w:rPr>
          <w:rFonts w:ascii="Times New Roman" w:hAnsi="Times New Roman" w:cs="Times New Roman"/>
          <w:sz w:val="24"/>
          <w:szCs w:val="24"/>
        </w:rPr>
        <w:t xml:space="preserve">aw of </w:t>
      </w:r>
      <w:r w:rsidR="00020A3B">
        <w:rPr>
          <w:rFonts w:ascii="Times New Roman" w:hAnsi="Times New Roman" w:cs="Times New Roman"/>
          <w:sz w:val="24"/>
          <w:szCs w:val="24"/>
        </w:rPr>
        <w:t>composition of hybrid f</w:t>
      </w:r>
      <w:r>
        <w:rPr>
          <w:rFonts w:ascii="Times New Roman" w:hAnsi="Times New Roman" w:cs="Times New Roman"/>
          <w:sz w:val="24"/>
          <w:szCs w:val="24"/>
        </w:rPr>
        <w:t xml:space="preserve">ertilising </w:t>
      </w:r>
      <w:r w:rsidR="00020A3B">
        <w:rPr>
          <w:rFonts w:ascii="Times New Roman" w:hAnsi="Times New Roman" w:cs="Times New Roman"/>
          <w:sz w:val="24"/>
          <w:szCs w:val="24"/>
        </w:rPr>
        <w:t>c</w:t>
      </w:r>
      <w:r>
        <w:rPr>
          <w:rFonts w:ascii="Times New Roman" w:hAnsi="Times New Roman" w:cs="Times New Roman"/>
          <w:sz w:val="24"/>
          <w:szCs w:val="24"/>
        </w:rPr>
        <w:t>ells</w:t>
      </w:r>
      <w:r w:rsidR="00EA3227" w:rsidRPr="004A1A3A">
        <w:rPr>
          <w:rFonts w:ascii="Times New Roman" w:hAnsi="Times New Roman" w:cs="Times New Roman"/>
          <w:sz w:val="24"/>
          <w:szCs w:val="24"/>
        </w:rPr>
        <w:t xml:space="preserve"> (MH3) was </w:t>
      </w:r>
      <w:r w:rsidR="00DF0E02">
        <w:rPr>
          <w:rFonts w:ascii="Times New Roman" w:hAnsi="Times New Roman" w:cs="Times New Roman"/>
          <w:sz w:val="24"/>
          <w:szCs w:val="24"/>
        </w:rPr>
        <w:t xml:space="preserve">also </w:t>
      </w:r>
      <w:r w:rsidR="00EA3227" w:rsidRPr="004A1A3A">
        <w:rPr>
          <w:rFonts w:ascii="Times New Roman" w:hAnsi="Times New Roman" w:cs="Times New Roman"/>
          <w:sz w:val="24"/>
          <w:szCs w:val="24"/>
        </w:rPr>
        <w:t xml:space="preserve">particularly </w:t>
      </w:r>
      <w:r>
        <w:rPr>
          <w:rFonts w:ascii="Times New Roman" w:hAnsi="Times New Roman" w:cs="Times New Roman"/>
          <w:sz w:val="24"/>
          <w:szCs w:val="24"/>
        </w:rPr>
        <w:t>exemplary</w:t>
      </w:r>
      <w:r w:rsidR="00EA3227" w:rsidRPr="004A1A3A">
        <w:rPr>
          <w:rFonts w:ascii="Times New Roman" w:hAnsi="Times New Roman" w:cs="Times New Roman"/>
          <w:sz w:val="24"/>
          <w:szCs w:val="24"/>
        </w:rPr>
        <w:t xml:space="preserve">. </w:t>
      </w:r>
      <w:r w:rsidR="00EA3227" w:rsidRPr="00EA3227">
        <w:rPr>
          <w:rFonts w:ascii="Times New Roman" w:hAnsi="Times New Roman" w:cs="Times New Roman"/>
          <w:sz w:val="24"/>
          <w:szCs w:val="24"/>
        </w:rPr>
        <w:t xml:space="preserve">What is really novel in Mendel’s </w:t>
      </w:r>
      <w:r>
        <w:rPr>
          <w:rFonts w:ascii="Times New Roman" w:hAnsi="Times New Roman" w:cs="Times New Roman"/>
          <w:sz w:val="24"/>
          <w:szCs w:val="24"/>
        </w:rPr>
        <w:t>MH3</w:t>
      </w:r>
      <w:r w:rsidR="00EA3227" w:rsidRPr="00EA3227">
        <w:rPr>
          <w:rFonts w:ascii="Times New Roman" w:hAnsi="Times New Roman" w:cs="Times New Roman"/>
          <w:sz w:val="24"/>
          <w:szCs w:val="24"/>
        </w:rPr>
        <w:t xml:space="preserve"> is the correspondence of the statistical relations of morphological traits and of germinal and pollen cells.</w:t>
      </w:r>
      <w:r w:rsidRPr="00330659">
        <w:rPr>
          <w:rStyle w:val="FootnoteReference"/>
        </w:rPr>
        <w:footnoteReference w:id="25"/>
      </w:r>
      <w:r w:rsidR="00EA3227" w:rsidRPr="00EA3227">
        <w:rPr>
          <w:rFonts w:ascii="Times New Roman" w:hAnsi="Times New Roman" w:cs="Times New Roman"/>
          <w:sz w:val="24"/>
          <w:szCs w:val="24"/>
        </w:rPr>
        <w:t xml:space="preserve"> </w:t>
      </w:r>
      <w:r>
        <w:rPr>
          <w:rFonts w:ascii="Times New Roman" w:hAnsi="Times New Roman" w:cs="Times New Roman"/>
          <w:sz w:val="24"/>
          <w:szCs w:val="24"/>
        </w:rPr>
        <w:t>The</w:t>
      </w:r>
      <w:r w:rsidR="00EA3227" w:rsidRPr="00EA3227">
        <w:rPr>
          <w:rFonts w:ascii="Times New Roman" w:hAnsi="Times New Roman" w:cs="Times New Roman"/>
          <w:sz w:val="24"/>
          <w:szCs w:val="24"/>
        </w:rPr>
        <w:t xml:space="preserve"> morphological-cellular correspondence proposed by Mendel became a key to advance the study of heredity three decades later.</w:t>
      </w:r>
      <w:r w:rsidR="00DF0E02">
        <w:rPr>
          <w:rFonts w:ascii="Times New Roman" w:hAnsi="Times New Roman" w:cs="Times New Roman"/>
          <w:sz w:val="24"/>
          <w:szCs w:val="24"/>
        </w:rPr>
        <w:t xml:space="preserve"> </w:t>
      </w:r>
      <w:r>
        <w:rPr>
          <w:rFonts w:ascii="Times New Roman" w:hAnsi="Times New Roman" w:cs="Times New Roman"/>
          <w:sz w:val="24"/>
          <w:szCs w:val="24"/>
        </w:rPr>
        <w:t>The</w:t>
      </w:r>
      <w:r w:rsidR="00EA3227" w:rsidRPr="00EA3227">
        <w:rPr>
          <w:rFonts w:ascii="Times New Roman" w:hAnsi="Times New Roman" w:cs="Times New Roman"/>
          <w:sz w:val="24"/>
          <w:szCs w:val="24"/>
        </w:rPr>
        <w:t xml:space="preserve"> biggest difficulty identified by Bateson </w:t>
      </w:r>
      <w:r w:rsidR="00EA3227" w:rsidRPr="00EA3227">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"Bateson", "given" : "William", "non-dropping-particle" : "", "parse-names" : false, "suffix" : "" } ], "id" : "ITEM-1", "issued" : { "date-parts" : [ [ "1902" ] ] }, "publisher" : "Cambridge University Press", "publisher-place" : "Cambridge", "title" : "Mendel's Principles of Heredity: A Defence", "type" : "book" }, "suppress-author" : 1, "uris" : [ "http://www.mendeley.com/documents/?uuid=14387670-cd79-4b6a-a41d-4d1390f7fa2a", "http://www.mendeley.com/documents/?uuid=fdeaa435-0317-460a-b90a-494d37e9ab1d" ] } ], "mendeley" : { "formattedCitation" : "(1902)", "plainTextFormattedCitation" : "(1902)", "previouslyFormattedCitation" : "(1902)" }, "properties" : { "noteIndex" : 0 }, "schema" : "https://github.com/citation-style-language/schema/raw/master/csl-citation.json" }</w:instrText>
      </w:r>
      <w:r w:rsidR="00EA3227" w:rsidRPr="00EA3227">
        <w:rPr>
          <w:rFonts w:ascii="Times New Roman" w:hAnsi="Times New Roman" w:cs="Times New Roman"/>
          <w:sz w:val="24"/>
          <w:szCs w:val="24"/>
        </w:rPr>
        <w:fldChar w:fldCharType="separate"/>
      </w:r>
      <w:r w:rsidRPr="004A1A3A">
        <w:rPr>
          <w:rFonts w:ascii="Times New Roman" w:hAnsi="Times New Roman" w:cs="Times New Roman"/>
          <w:noProof/>
          <w:sz w:val="24"/>
          <w:szCs w:val="24"/>
        </w:rPr>
        <w:t>(1902)</w:t>
      </w:r>
      <w:r w:rsidR="00EA3227" w:rsidRPr="00EA3227">
        <w:rPr>
          <w:rFonts w:ascii="Times New Roman" w:hAnsi="Times New Roman" w:cs="Times New Roman"/>
          <w:sz w:val="24"/>
          <w:szCs w:val="24"/>
        </w:rPr>
        <w:fldChar w:fldCharType="end"/>
      </w:r>
      <w:r w:rsidR="00EA3227" w:rsidRPr="00EA3227">
        <w:rPr>
          <w:rFonts w:ascii="Times New Roman" w:hAnsi="Times New Roman" w:cs="Times New Roman"/>
          <w:sz w:val="24"/>
          <w:szCs w:val="24"/>
        </w:rPr>
        <w:t xml:space="preserve"> in the study of heredity at the turn of the twentieth century was the lack of a reliable approach to study the physical basis of heredity. In fact there were a few theories of heredity concerning the </w:t>
      </w:r>
      <w:r w:rsidR="00EA3227" w:rsidRPr="00EA3227">
        <w:rPr>
          <w:rFonts w:ascii="Times New Roman" w:hAnsi="Times New Roman" w:cs="Times New Roman"/>
          <w:sz w:val="24"/>
          <w:szCs w:val="24"/>
        </w:rPr>
        <w:lastRenderedPageBreak/>
        <w:t xml:space="preserve">physical basis. Weismann’s theory of germ-plasm </w:t>
      </w:r>
      <w:r w:rsidR="00EA3227" w:rsidRPr="00EA3227">
        <w:rPr>
          <w:rFonts w:ascii="Times New Roman" w:hAnsi="Times New Roman" w:cs="Times New Roman"/>
          <w:sz w:val="24"/>
          <w:szCs w:val="24"/>
        </w:rPr>
        <w:fldChar w:fldCharType="begin" w:fldLock="1"/>
      </w:r>
      <w:r w:rsidR="001E4AB3">
        <w:rPr>
          <w:rFonts w:ascii="Times New Roman" w:hAnsi="Times New Roman" w:cs="Times New Roman"/>
          <w:sz w:val="24"/>
          <w:szCs w:val="24"/>
        </w:rPr>
        <w:instrText>ADDIN CSL_CITATION { "citationItems" : [ { "id" : "ITEM-1", "itemData" : { "author" : [ { "dropping-particle" : "", "family" : "Weismann", "given" : "August", "non-dropping-particle" : "", "parse-names" : false, "suffix" : "" } ], "id" : "ITEM-1", "issued" : { "date-parts" : [ [ "1892" ] ] }, "publisher" : "Gustav Fischer", "publisher-place" : "Jena", "title" : "Das Keimplasma: Eine Theorie der Vererbung", "type" : "book" }, "suppress-author" : 1, "uris" : [ "http://www.mendeley.com/documents/?uuid=958328bd-b419-4e53-8020-82c243b50f36", "http://www.mendeley.com/documents/?uuid=30831cff-06f7-4905-9feb-d5505ebccf79" ] } ], "mendeley" : { "formattedCitation" : "(1892)", "plainTextFormattedCitation" : "(1892)", "previouslyFormattedCitation" : "(1892)" }, "properties" : { "noteIndex" : 0 }, "schema" : "https://github.com/citation-style-language/schema/raw/master/csl-citation.json" }</w:instrText>
      </w:r>
      <w:r w:rsidR="00EA3227" w:rsidRPr="00EA3227">
        <w:rPr>
          <w:rFonts w:ascii="Times New Roman" w:hAnsi="Times New Roman" w:cs="Times New Roman"/>
          <w:sz w:val="24"/>
          <w:szCs w:val="24"/>
        </w:rPr>
        <w:fldChar w:fldCharType="separate"/>
      </w:r>
      <w:r w:rsidR="00EA3227" w:rsidRPr="00EA3227">
        <w:rPr>
          <w:rFonts w:ascii="Times New Roman" w:hAnsi="Times New Roman" w:cs="Times New Roman"/>
          <w:noProof/>
          <w:sz w:val="24"/>
          <w:szCs w:val="24"/>
        </w:rPr>
        <w:t>(1892)</w:t>
      </w:r>
      <w:r w:rsidR="00EA3227" w:rsidRPr="00EA3227">
        <w:rPr>
          <w:rFonts w:ascii="Times New Roman" w:hAnsi="Times New Roman" w:cs="Times New Roman"/>
          <w:sz w:val="24"/>
          <w:szCs w:val="24"/>
        </w:rPr>
        <w:fldChar w:fldCharType="end"/>
      </w:r>
      <w:r w:rsidR="00EA3227" w:rsidRPr="00EA3227">
        <w:rPr>
          <w:rFonts w:ascii="Times New Roman" w:hAnsi="Times New Roman" w:cs="Times New Roman"/>
          <w:sz w:val="24"/>
          <w:szCs w:val="24"/>
        </w:rPr>
        <w:t xml:space="preserve"> and de Vries’ theory of pangenesis </w:t>
      </w:r>
      <w:r w:rsidR="00EA3227" w:rsidRPr="00EA3227">
        <w:rPr>
          <w:rFonts w:ascii="Times New Roman" w:hAnsi="Times New Roman" w:cs="Times New Roman"/>
          <w:sz w:val="24"/>
          <w:szCs w:val="24"/>
        </w:rPr>
        <w:fldChar w:fldCharType="begin" w:fldLock="1"/>
      </w:r>
      <w:r w:rsidR="00776C45">
        <w:rPr>
          <w:rFonts w:ascii="Times New Roman" w:hAnsi="Times New Roman" w:cs="Times New Roman"/>
          <w:sz w:val="24"/>
          <w:szCs w:val="24"/>
        </w:rPr>
        <w:instrText>ADDIN CSL_CITATION { "citationItems" : [ { "id" : "ITEM-1", "itemData" : { "author" : [ { "dropping-particle" : "", "family" : "Vries", "given" : "Hugo", "non-dropping-particle" : "de", "parse-names" : false, "suffix" : "" } ], "id" : "ITEM-1", "issued" : { "date-parts" : [ [ "1889" ] ] }, "publisher" : "Gustav Fischer", "publisher-place" : "Jean", "title" : "Intracellulare Pangenesis", "type" : "book" }, "suppress-author" : 1, "uris" : [ "http://www.mendeley.com/documents/?uuid=716697fe-edfc-4c7f-a4a6-65e7f3a022d5", "http://www.mendeley.com/documents/?uuid=5db43f44-a782-4d0f-92cb-860676674291" ] } ], "mendeley" : { "formattedCitation" : "(1889)", "plainTextFormattedCitation" : "(1889)", "previouslyFormattedCitation" : "(1889)" }, "properties" : { "noteIndex" : 0 }, "schema" : "https://github.com/citation-style-language/schema/raw/master/csl-citation.json" }</w:instrText>
      </w:r>
      <w:r w:rsidR="00EA3227" w:rsidRPr="00EA3227">
        <w:rPr>
          <w:rFonts w:ascii="Times New Roman" w:hAnsi="Times New Roman" w:cs="Times New Roman"/>
          <w:sz w:val="24"/>
          <w:szCs w:val="24"/>
        </w:rPr>
        <w:fldChar w:fldCharType="separate"/>
      </w:r>
      <w:r w:rsidRPr="004A1A3A">
        <w:rPr>
          <w:rFonts w:ascii="Times New Roman" w:hAnsi="Times New Roman" w:cs="Times New Roman"/>
          <w:noProof/>
          <w:sz w:val="24"/>
          <w:szCs w:val="24"/>
        </w:rPr>
        <w:t>(1889)</w:t>
      </w:r>
      <w:r w:rsidR="00EA3227" w:rsidRPr="00EA3227">
        <w:rPr>
          <w:rFonts w:ascii="Times New Roman" w:hAnsi="Times New Roman" w:cs="Times New Roman"/>
          <w:sz w:val="24"/>
          <w:szCs w:val="24"/>
        </w:rPr>
        <w:fldChar w:fldCharType="end"/>
      </w:r>
      <w:r w:rsidR="00EA3227" w:rsidRPr="00EA3227">
        <w:rPr>
          <w:rFonts w:ascii="Times New Roman" w:hAnsi="Times New Roman" w:cs="Times New Roman"/>
          <w:sz w:val="24"/>
          <w:szCs w:val="24"/>
        </w:rPr>
        <w:t xml:space="preserve"> are two representative ones. However, neither provided a feasible way to test the hypothesis. In particular, the relation of visible characters and invisible “physical basis of heredity” is untestable experimentally. The state of art </w:t>
      </w:r>
      <w:r w:rsidR="00C935A8">
        <w:rPr>
          <w:rFonts w:ascii="Times New Roman" w:hAnsi="Times New Roman" w:cs="Times New Roman"/>
          <w:sz w:val="24"/>
          <w:szCs w:val="24"/>
        </w:rPr>
        <w:t>of the study of heredity around 1900</w:t>
      </w:r>
      <w:r w:rsidR="00EA3227" w:rsidRPr="00EA3227">
        <w:rPr>
          <w:rFonts w:ascii="Times New Roman" w:hAnsi="Times New Roman" w:cs="Times New Roman"/>
          <w:sz w:val="24"/>
          <w:szCs w:val="24"/>
        </w:rPr>
        <w:t xml:space="preserve"> is, as Bateson </w:t>
      </w:r>
      <w:r w:rsidR="00FC64C4" w:rsidRPr="00EA3227">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"Bateson", "given" : "William", "non-dropping-particle" : "", "parse-names" : false, "suffix" : "" } ], "id" : "ITEM-1", "issued" : { "date-parts" : [ [ "1902" ] ] }, "publisher" : "Cambridge University Press", "publisher-place" : "Cambridge", "title" : "Mendel's Principles of Heredity: A Defence", "type" : "book" }, "locator" : "3", "suppress-author" : 1, "uris" : [ "http://www.mendeley.com/documents/?uuid=14387670-cd79-4b6a-a41d-4d1390f7fa2a", "http://www.mendeley.com/documents/?uuid=fdeaa435-0317-460a-b90a-494d37e9ab1d" ] } ], "mendeley" : { "formattedCitation" : "(1902, 3)", "plainTextFormattedCitation" : "(1902, 3)", "previouslyFormattedCitation" : "(1902, 3)" }, "properties" : { "noteIndex" : 0 }, "schema" : "https://github.com/citation-style-language/schema/raw/master/csl-citation.json" }</w:instrText>
      </w:r>
      <w:r w:rsidR="00FC64C4" w:rsidRPr="00EA3227">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(1902, 3)</w:t>
      </w:r>
      <w:r w:rsidR="00FC64C4" w:rsidRPr="00EA3227">
        <w:rPr>
          <w:rFonts w:ascii="Times New Roman" w:hAnsi="Times New Roman" w:cs="Times New Roman"/>
          <w:sz w:val="24"/>
          <w:szCs w:val="24"/>
        </w:rPr>
        <w:fldChar w:fldCharType="end"/>
      </w:r>
      <w:r w:rsidR="00FC64C4">
        <w:rPr>
          <w:rFonts w:ascii="Times New Roman" w:hAnsi="Times New Roman" w:cs="Times New Roman"/>
          <w:sz w:val="24"/>
          <w:szCs w:val="24"/>
        </w:rPr>
        <w:t xml:space="preserve"> </w:t>
      </w:r>
      <w:r w:rsidR="00EA3227" w:rsidRPr="00EA3227">
        <w:rPr>
          <w:rFonts w:ascii="Times New Roman" w:hAnsi="Times New Roman" w:cs="Times New Roman"/>
          <w:sz w:val="24"/>
          <w:szCs w:val="24"/>
        </w:rPr>
        <w:t xml:space="preserve">neatly summarises, “[n]o one has yet any suggestion, working hypothesis, or mental picture that has thus far helped in the slightest degree to penetrate beyond what we see.” In 1900, de Vries adopted and revised Mendel’s </w:t>
      </w:r>
      <w:r w:rsidR="00D251EB">
        <w:rPr>
          <w:rFonts w:ascii="Times New Roman" w:hAnsi="Times New Roman" w:cs="Times New Roman"/>
          <w:sz w:val="24"/>
          <w:szCs w:val="24"/>
        </w:rPr>
        <w:t xml:space="preserve">hypothesis on the </w:t>
      </w:r>
      <w:r w:rsidR="00EA3227" w:rsidRPr="00EA3227">
        <w:rPr>
          <w:rFonts w:ascii="Times New Roman" w:hAnsi="Times New Roman" w:cs="Times New Roman"/>
          <w:sz w:val="24"/>
          <w:szCs w:val="24"/>
        </w:rPr>
        <w:t xml:space="preserve">morphological-cellular correspondence to support his theory of pangenesis. In addition, de Vries also limited the application of his trait-characteristics correspondence in the case of true hybrids. Correns made “a significant step beyond Mendel” </w:t>
      </w:r>
      <w:r w:rsidR="0011021C">
        <w:rPr>
          <w:rFonts w:ascii="Times New Roman" w:hAnsi="Times New Roman" w:cs="Times New Roman"/>
          <w:sz w:val="24"/>
          <w:szCs w:val="24"/>
        </w:rPr>
        <w:t>by reformulating Mendel’s hypothesis</w:t>
      </w:r>
      <w:r w:rsidR="00EA3227" w:rsidRPr="00EA3227">
        <w:rPr>
          <w:rFonts w:ascii="Times New Roman" w:hAnsi="Times New Roman" w:cs="Times New Roman"/>
          <w:sz w:val="24"/>
          <w:szCs w:val="24"/>
        </w:rPr>
        <w:t xml:space="preserve"> as a trait-anlage correspondence (CH1, CH2), though he was not clear on the implication of this reformulation in the study of heredity. Bateson was the first to make a sophisticated attempt to incorporate Mendel’s morphological-cellular correspondence with the study of heredity. Firstly, Bateson re</w:t>
      </w:r>
      <w:r w:rsidR="00D17866">
        <w:rPr>
          <w:rFonts w:ascii="Times New Roman" w:hAnsi="Times New Roman" w:cs="Times New Roman"/>
          <w:sz w:val="24"/>
          <w:szCs w:val="24"/>
        </w:rPr>
        <w:t>vise</w:t>
      </w:r>
      <w:r w:rsidR="00EA3227" w:rsidRPr="00EA3227">
        <w:rPr>
          <w:rFonts w:ascii="Times New Roman" w:hAnsi="Times New Roman" w:cs="Times New Roman"/>
          <w:sz w:val="24"/>
          <w:szCs w:val="24"/>
        </w:rPr>
        <w:t xml:space="preserve">d Mendel’s </w:t>
      </w:r>
      <w:r w:rsidR="00D17866">
        <w:rPr>
          <w:rFonts w:ascii="Times New Roman" w:hAnsi="Times New Roman" w:cs="Times New Roman"/>
          <w:sz w:val="24"/>
          <w:szCs w:val="24"/>
        </w:rPr>
        <w:t>hypothesis</w:t>
      </w:r>
      <w:r w:rsidR="00EA3227" w:rsidRPr="00EA3227">
        <w:rPr>
          <w:rFonts w:ascii="Times New Roman" w:hAnsi="Times New Roman" w:cs="Times New Roman"/>
          <w:sz w:val="24"/>
          <w:szCs w:val="24"/>
        </w:rPr>
        <w:t xml:space="preserve"> as a trait-paired allele determination. It is determination rather than correspondence, because Bateson explicitly talked of “the bearers of the character”. Secondly, in contrast to the limited applicability of Mendel’s correspondence, Bateson’s trait-paired alleles determination is applicable broadly in certain phenomena of alternative inheritance. Though Mendel’s morphological-cellular correspondence was not adopted without modification in de Vries’, Correns’, and Bateson’s work, it was really helpful to set out an approach to work on the “inward and essential nature” of heredity.</w:t>
      </w:r>
    </w:p>
    <w:p w14:paraId="70A4695B" w14:textId="39FEB6E8" w:rsidR="00EA3227" w:rsidRPr="00EA3227" w:rsidRDefault="0087550B" w:rsidP="00EA3227">
      <w:pPr>
        <w:spacing w:after="200" w:line="480" w:lineRule="auto"/>
        <w:rPr>
          <w:rFonts w:ascii="Times New Roman" w:hAnsi="Times New Roman" w:cs="Times New Roman"/>
          <w:sz w:val="24"/>
          <w:szCs w:val="24"/>
        </w:rPr>
      </w:pPr>
      <w:r w:rsidRPr="0087550B">
        <w:rPr>
          <w:rFonts w:ascii="Times New Roman" w:hAnsi="Times New Roman" w:cs="Times New Roman"/>
          <w:sz w:val="24"/>
          <w:szCs w:val="24"/>
        </w:rPr>
        <w:t xml:space="preserve">Fourthly, </w:t>
      </w:r>
      <w:r w:rsidR="00EA3227" w:rsidRPr="0087550B">
        <w:rPr>
          <w:rFonts w:ascii="Times New Roman" w:hAnsi="Times New Roman" w:cs="Times New Roman"/>
          <w:sz w:val="24"/>
          <w:szCs w:val="24"/>
        </w:rPr>
        <w:t xml:space="preserve">Mendel’s </w:t>
      </w:r>
      <w:r w:rsidR="00FE3D9D">
        <w:rPr>
          <w:rFonts w:ascii="Times New Roman" w:hAnsi="Times New Roman" w:cs="Times New Roman"/>
          <w:sz w:val="24"/>
          <w:szCs w:val="24"/>
        </w:rPr>
        <w:t>other</w:t>
      </w:r>
      <w:r w:rsidR="00B66AD5">
        <w:rPr>
          <w:rFonts w:ascii="Times New Roman" w:hAnsi="Times New Roman" w:cs="Times New Roman"/>
          <w:sz w:val="24"/>
          <w:szCs w:val="24"/>
        </w:rPr>
        <w:t xml:space="preserve"> contribution </w:t>
      </w:r>
      <w:r w:rsidR="00EA3227" w:rsidRPr="0087550B">
        <w:rPr>
          <w:rFonts w:ascii="Times New Roman" w:hAnsi="Times New Roman" w:cs="Times New Roman"/>
          <w:sz w:val="24"/>
          <w:szCs w:val="24"/>
        </w:rPr>
        <w:t>to the study of heredity in 1900 is his</w:t>
      </w:r>
      <w:r w:rsidR="00EA3227" w:rsidRPr="00EA3227">
        <w:rPr>
          <w:rFonts w:ascii="Times New Roman" w:hAnsi="Times New Roman" w:cs="Times New Roman"/>
          <w:sz w:val="24"/>
          <w:szCs w:val="24"/>
        </w:rPr>
        <w:t xml:space="preserve"> </w:t>
      </w:r>
      <w:r>
        <w:rPr>
          <w:rFonts w:ascii="Times New Roman" w:hAnsi="Times New Roman" w:cs="Times New Roman"/>
          <w:sz w:val="24"/>
          <w:szCs w:val="24"/>
        </w:rPr>
        <w:t xml:space="preserve">exemplary </w:t>
      </w:r>
      <w:r w:rsidR="00EA3227" w:rsidRPr="00EA3227">
        <w:rPr>
          <w:rFonts w:ascii="Times New Roman" w:hAnsi="Times New Roman" w:cs="Times New Roman"/>
          <w:sz w:val="24"/>
          <w:szCs w:val="24"/>
        </w:rPr>
        <w:t>mathematical approac</w:t>
      </w:r>
      <w:r w:rsidR="00AC0269">
        <w:rPr>
          <w:rFonts w:ascii="Times New Roman" w:hAnsi="Times New Roman" w:cs="Times New Roman"/>
          <w:sz w:val="24"/>
          <w:szCs w:val="24"/>
        </w:rPr>
        <w:t>h. Mendel denotes the dominant</w:t>
      </w:r>
      <w:r w:rsidR="00EA3227" w:rsidRPr="00EA3227">
        <w:rPr>
          <w:rFonts w:ascii="Times New Roman" w:hAnsi="Times New Roman" w:cs="Times New Roman"/>
          <w:sz w:val="24"/>
          <w:szCs w:val="24"/>
        </w:rPr>
        <w:t xml:space="preserve"> (constant) trait A, the hybrid trait Aa, the recessive (constant) trait a, and the distribution of these traits in the F</w:t>
      </w:r>
      <w:r w:rsidR="00EA3227" w:rsidRPr="00EA3227">
        <w:rPr>
          <w:rFonts w:ascii="Times New Roman" w:hAnsi="Times New Roman" w:cs="Times New Roman"/>
          <w:sz w:val="24"/>
          <w:szCs w:val="24"/>
          <w:vertAlign w:val="subscript"/>
        </w:rPr>
        <w:t>2</w:t>
      </w:r>
      <w:r w:rsidR="00EA3227" w:rsidRPr="00EA3227">
        <w:rPr>
          <w:rFonts w:ascii="Times New Roman" w:hAnsi="Times New Roman" w:cs="Times New Roman"/>
          <w:sz w:val="24"/>
          <w:szCs w:val="24"/>
        </w:rPr>
        <w:t xml:space="preserve"> generation (A + 2Aa + a). All these symbolic notations are much more i</w:t>
      </w:r>
      <w:r w:rsidR="00FE3D9D">
        <w:rPr>
          <w:rFonts w:ascii="Times New Roman" w:hAnsi="Times New Roman" w:cs="Times New Roman"/>
          <w:sz w:val="24"/>
          <w:szCs w:val="24"/>
        </w:rPr>
        <w:t xml:space="preserve">mportant and useful than at first </w:t>
      </w:r>
      <w:r w:rsidR="00FE3D9D">
        <w:rPr>
          <w:rFonts w:ascii="Times New Roman" w:hAnsi="Times New Roman" w:cs="Times New Roman"/>
          <w:sz w:val="24"/>
          <w:szCs w:val="24"/>
        </w:rPr>
        <w:lastRenderedPageBreak/>
        <w:t>appears</w:t>
      </w:r>
      <w:r w:rsidR="00EA3227" w:rsidRPr="00EA3227">
        <w:rPr>
          <w:rFonts w:ascii="Times New Roman" w:hAnsi="Times New Roman" w:cs="Times New Roman"/>
          <w:sz w:val="24"/>
          <w:szCs w:val="24"/>
        </w:rPr>
        <w:t xml:space="preserve">. All Mendel’s three laws can be formulated in </w:t>
      </w:r>
      <w:r w:rsidR="007D58E9">
        <w:rPr>
          <w:rFonts w:ascii="Times New Roman" w:hAnsi="Times New Roman" w:cs="Times New Roman"/>
          <w:sz w:val="24"/>
          <w:szCs w:val="24"/>
        </w:rPr>
        <w:t>the equations in terms of</w:t>
      </w:r>
      <w:r w:rsidR="00EA3227" w:rsidRPr="00EA3227">
        <w:rPr>
          <w:rFonts w:ascii="Times New Roman" w:hAnsi="Times New Roman" w:cs="Times New Roman"/>
          <w:sz w:val="24"/>
          <w:szCs w:val="24"/>
        </w:rPr>
        <w:t xml:space="preserve"> these notations.</w:t>
      </w:r>
    </w:p>
    <w:p w14:paraId="6E6ABD8B" w14:textId="690BF32B" w:rsidR="00EA3227" w:rsidRPr="00EA3227" w:rsidRDefault="00C7678A" w:rsidP="00EA3227">
      <w:pPr>
        <w:spacing w:after="200" w:line="480" w:lineRule="auto"/>
        <w:rPr>
          <w:rFonts w:ascii="Times New Roman" w:hAnsi="Times New Roman" w:cs="Times New Roman"/>
          <w:sz w:val="24"/>
          <w:szCs w:val="24"/>
        </w:rPr>
      </w:pPr>
      <w:r>
        <w:rPr>
          <w:rFonts w:ascii="Times New Roman" w:hAnsi="Times New Roman" w:cs="Times New Roman"/>
          <w:sz w:val="24"/>
          <w:szCs w:val="24"/>
        </w:rPr>
        <w:t>MH1</w:t>
      </w:r>
      <w:r w:rsidR="00EA3227" w:rsidRPr="00EA3227">
        <w:rPr>
          <w:rFonts w:ascii="Times New Roman" w:hAnsi="Times New Roman" w:cs="Times New Roman"/>
          <w:sz w:val="24"/>
          <w:szCs w:val="24"/>
        </w:rPr>
        <w:t xml:space="preserve">: </w:t>
      </w:r>
      <m:oMath>
        <m:r>
          <w:rPr>
            <w:rFonts w:ascii="Cambria Math" w:hAnsi="Cambria Math" w:cs="Times New Roman"/>
            <w:sz w:val="24"/>
            <w:szCs w:val="24"/>
          </w:rPr>
          <m:t>A+2Aa+a</m:t>
        </m:r>
      </m:oMath>
    </w:p>
    <w:p w14:paraId="0FF67682" w14:textId="6AE8898F" w:rsidR="00EA3227" w:rsidRPr="00EA3227" w:rsidRDefault="00C7678A" w:rsidP="00EA3227">
      <w:pPr>
        <w:spacing w:after="200" w:line="480" w:lineRule="auto"/>
        <w:rPr>
          <w:rFonts w:ascii="Times New Roman" w:hAnsi="Times New Roman" w:cs="Times New Roman"/>
          <w:sz w:val="24"/>
          <w:szCs w:val="24"/>
        </w:rPr>
      </w:pPr>
      <w:r>
        <w:rPr>
          <w:rFonts w:ascii="Times New Roman" w:hAnsi="Times New Roman" w:cs="Times New Roman"/>
          <w:sz w:val="24"/>
          <w:szCs w:val="24"/>
        </w:rPr>
        <w:t>MH2</w:t>
      </w:r>
      <w:r w:rsidR="00EA3227" w:rsidRPr="00EA3227">
        <w:rPr>
          <w:rFonts w:ascii="Times New Roman" w:hAnsi="Times New Roman" w:cs="Times New Roman"/>
          <w:sz w:val="24"/>
          <w:szCs w:val="24"/>
        </w:rPr>
        <w:t>:</w:t>
      </w:r>
      <m:oMath>
        <m:d>
          <m:dPr>
            <m:ctrlPr>
              <w:rPr>
                <w:rFonts w:ascii="Cambria Math" w:hAnsi="Cambria Math" w:cs="Times New Roman"/>
                <w:i/>
                <w:sz w:val="24"/>
                <w:szCs w:val="24"/>
              </w:rPr>
            </m:ctrlPr>
          </m:dPr>
          <m:e>
            <m:r>
              <w:rPr>
                <w:rFonts w:ascii="Cambria Math" w:hAnsi="Cambria Math" w:cs="Times New Roman"/>
                <w:sz w:val="24"/>
                <w:szCs w:val="24"/>
              </w:rPr>
              <m:t>A+2Aa+a</m:t>
            </m:r>
          </m:e>
        </m:d>
        <m:d>
          <m:dPr>
            <m:ctrlPr>
              <w:rPr>
                <w:rFonts w:ascii="Cambria Math" w:hAnsi="Cambria Math" w:cs="Times New Roman"/>
                <w:i/>
                <w:sz w:val="24"/>
                <w:szCs w:val="24"/>
              </w:rPr>
            </m:ctrlPr>
          </m:dPr>
          <m:e>
            <m:r>
              <w:rPr>
                <w:rFonts w:ascii="Cambria Math" w:hAnsi="Cambria Math" w:cs="Times New Roman"/>
                <w:sz w:val="24"/>
                <w:szCs w:val="24"/>
              </w:rPr>
              <m:t>B+2Bb+b</m:t>
            </m:r>
          </m:e>
        </m:d>
        <m:r>
          <w:rPr>
            <w:rFonts w:ascii="Cambria Math" w:hAnsi="Cambria Math" w:cs="Times New Roman"/>
            <w:sz w:val="24"/>
            <w:szCs w:val="24"/>
          </w:rPr>
          <m:t>=AB+Ab+aB+2ABb+2aBb+2AaB+2AaB+4AaBb</m:t>
        </m:r>
      </m:oMath>
    </w:p>
    <w:p w14:paraId="7D2D1A30" w14:textId="654E2B9C" w:rsidR="00EA3227" w:rsidRPr="00EA3227" w:rsidRDefault="00C7678A" w:rsidP="00EA3227">
      <w:pPr>
        <w:spacing w:after="200" w:line="480" w:lineRule="auto"/>
        <w:rPr>
          <w:rFonts w:ascii="Times New Roman" w:hAnsi="Times New Roman" w:cs="Times New Roman"/>
          <w:sz w:val="24"/>
          <w:szCs w:val="24"/>
        </w:rPr>
      </w:pPr>
      <w:r>
        <w:rPr>
          <w:rFonts w:ascii="Times New Roman" w:hAnsi="Times New Roman" w:cs="Times New Roman"/>
          <w:sz w:val="24"/>
          <w:szCs w:val="24"/>
        </w:rPr>
        <w:t>MH3</w:t>
      </w:r>
      <w:r w:rsidR="00EA3227" w:rsidRPr="00EA322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m:t>
            </m:r>
          </m:den>
        </m:f>
        <m:r>
          <w:rPr>
            <w:rFonts w:ascii="Cambria Math" w:hAnsi="Cambria Math" w:cs="Times New Roman"/>
            <w:sz w:val="24"/>
            <w:szCs w:val="24"/>
          </w:rPr>
          <m:t>=A+2Aa+a</m:t>
        </m:r>
      </m:oMath>
    </w:p>
    <w:p w14:paraId="46528FC9" w14:textId="6C18A3D6" w:rsidR="00EA3227" w:rsidRPr="00EA3227" w:rsidRDefault="00EA3227" w:rsidP="00EA3227">
      <w:pPr>
        <w:spacing w:after="200" w:line="480" w:lineRule="auto"/>
        <w:rPr>
          <w:rFonts w:ascii="Times New Roman" w:hAnsi="Times New Roman" w:cs="Times New Roman"/>
          <w:sz w:val="24"/>
          <w:szCs w:val="24"/>
        </w:rPr>
      </w:pPr>
      <w:r w:rsidRPr="00EA3227">
        <w:rPr>
          <w:rFonts w:ascii="Times New Roman" w:hAnsi="Times New Roman" w:cs="Times New Roman"/>
          <w:sz w:val="24"/>
          <w:szCs w:val="24"/>
        </w:rPr>
        <w:t xml:space="preserve">Moreover, Mendel’s </w:t>
      </w:r>
      <w:r w:rsidR="00784047">
        <w:rPr>
          <w:rFonts w:ascii="Times New Roman" w:hAnsi="Times New Roman" w:cs="Times New Roman"/>
          <w:sz w:val="24"/>
          <w:szCs w:val="24"/>
        </w:rPr>
        <w:t>MH1</w:t>
      </w:r>
      <w:r w:rsidRPr="00EA3227">
        <w:rPr>
          <w:rFonts w:ascii="Times New Roman" w:hAnsi="Times New Roman" w:cs="Times New Roman"/>
          <w:sz w:val="24"/>
          <w:szCs w:val="24"/>
        </w:rPr>
        <w:t xml:space="preserve"> and </w:t>
      </w:r>
      <w:r w:rsidR="00784047">
        <w:rPr>
          <w:rFonts w:ascii="Times New Roman" w:hAnsi="Times New Roman" w:cs="Times New Roman"/>
          <w:sz w:val="24"/>
          <w:szCs w:val="24"/>
        </w:rPr>
        <w:t>MH2</w:t>
      </w:r>
      <w:r w:rsidRPr="00EA3227">
        <w:rPr>
          <w:rFonts w:ascii="Times New Roman" w:hAnsi="Times New Roman" w:cs="Times New Roman"/>
          <w:sz w:val="24"/>
          <w:szCs w:val="24"/>
        </w:rPr>
        <w:t xml:space="preserve"> are introduced and articulated with the help of these notations and the mathematical manipulation of these. Mendel’s mathematical notation was also adopted and further developed by de Vries. The distribution of characteristics in the F</w:t>
      </w:r>
      <w:r w:rsidRPr="00EA3227">
        <w:rPr>
          <w:rFonts w:ascii="Times New Roman" w:hAnsi="Times New Roman" w:cs="Times New Roman"/>
          <w:sz w:val="24"/>
          <w:szCs w:val="24"/>
          <w:vertAlign w:val="subscript"/>
        </w:rPr>
        <w:t>2</w:t>
      </w:r>
      <w:r w:rsidRPr="00EA3227">
        <w:rPr>
          <w:rFonts w:ascii="Times New Roman" w:hAnsi="Times New Roman" w:cs="Times New Roman"/>
          <w:sz w:val="24"/>
          <w:szCs w:val="24"/>
        </w:rPr>
        <w:t xml:space="preserve"> generation is formulated by de Vries as d</w:t>
      </w:r>
      <w:r w:rsidRPr="00EA3227">
        <w:rPr>
          <w:rFonts w:ascii="Times New Roman" w:hAnsi="Times New Roman" w:cs="Times New Roman"/>
          <w:sz w:val="24"/>
          <w:szCs w:val="24"/>
          <w:vertAlign w:val="superscript"/>
        </w:rPr>
        <w:t>2</w:t>
      </w:r>
      <w:r w:rsidRPr="00EA3227">
        <w:rPr>
          <w:rFonts w:ascii="Times New Roman" w:hAnsi="Times New Roman" w:cs="Times New Roman"/>
          <w:sz w:val="24"/>
          <w:szCs w:val="24"/>
        </w:rPr>
        <w:t xml:space="preserve"> + 2dr + r</w:t>
      </w:r>
      <w:r w:rsidRPr="00EA3227">
        <w:rPr>
          <w:rFonts w:ascii="Times New Roman" w:hAnsi="Times New Roman" w:cs="Times New Roman"/>
          <w:sz w:val="24"/>
          <w:szCs w:val="24"/>
          <w:vertAlign w:val="superscript"/>
        </w:rPr>
        <w:t>2</w:t>
      </w:r>
      <w:r w:rsidRPr="00EA3227">
        <w:rPr>
          <w:rFonts w:ascii="Times New Roman" w:hAnsi="Times New Roman" w:cs="Times New Roman"/>
          <w:sz w:val="24"/>
          <w:szCs w:val="24"/>
        </w:rPr>
        <w:t>. The move from A + 2Aa + a to d</w:t>
      </w:r>
      <w:r w:rsidRPr="00EA3227">
        <w:rPr>
          <w:rFonts w:ascii="Times New Roman" w:hAnsi="Times New Roman" w:cs="Times New Roman"/>
          <w:sz w:val="24"/>
          <w:szCs w:val="24"/>
          <w:vertAlign w:val="superscript"/>
        </w:rPr>
        <w:t>2</w:t>
      </w:r>
      <w:r w:rsidRPr="00EA3227">
        <w:rPr>
          <w:rFonts w:ascii="Times New Roman" w:hAnsi="Times New Roman" w:cs="Times New Roman"/>
          <w:sz w:val="24"/>
          <w:szCs w:val="24"/>
        </w:rPr>
        <w:t xml:space="preserve"> + 2dr + r</w:t>
      </w:r>
      <w:r w:rsidRPr="00EA3227">
        <w:rPr>
          <w:rFonts w:ascii="Times New Roman" w:hAnsi="Times New Roman" w:cs="Times New Roman"/>
          <w:sz w:val="24"/>
          <w:szCs w:val="24"/>
          <w:vertAlign w:val="superscript"/>
        </w:rPr>
        <w:t xml:space="preserve">2 </w:t>
      </w:r>
      <w:r w:rsidRPr="00EA3227">
        <w:rPr>
          <w:rFonts w:ascii="Times New Roman" w:hAnsi="Times New Roman" w:cs="Times New Roman"/>
          <w:sz w:val="24"/>
          <w:szCs w:val="24"/>
        </w:rPr>
        <w:t>was a breakthrough in the history of genetics. The equation (d + r)(d + r) = d</w:t>
      </w:r>
      <w:r w:rsidRPr="00EA3227">
        <w:rPr>
          <w:rFonts w:ascii="Times New Roman" w:hAnsi="Times New Roman" w:cs="Times New Roman"/>
          <w:sz w:val="24"/>
          <w:szCs w:val="24"/>
          <w:vertAlign w:val="superscript"/>
        </w:rPr>
        <w:t>2</w:t>
      </w:r>
      <w:r w:rsidRPr="00EA3227">
        <w:rPr>
          <w:rFonts w:ascii="Times New Roman" w:hAnsi="Times New Roman" w:cs="Times New Roman"/>
          <w:sz w:val="24"/>
          <w:szCs w:val="24"/>
        </w:rPr>
        <w:t xml:space="preserve"> + 2dr + r</w:t>
      </w:r>
      <w:r w:rsidRPr="00EA3227">
        <w:rPr>
          <w:rFonts w:ascii="Times New Roman" w:hAnsi="Times New Roman" w:cs="Times New Roman"/>
          <w:sz w:val="24"/>
          <w:szCs w:val="24"/>
          <w:vertAlign w:val="superscript"/>
        </w:rPr>
        <w:t>2</w:t>
      </w:r>
      <w:r w:rsidRPr="00EA3227">
        <w:rPr>
          <w:rFonts w:ascii="Times New Roman" w:hAnsi="Times New Roman" w:cs="Times New Roman"/>
          <w:sz w:val="24"/>
          <w:szCs w:val="24"/>
        </w:rPr>
        <w:t xml:space="preserve"> i</w:t>
      </w:r>
      <w:r w:rsidR="00FE3D9D">
        <w:rPr>
          <w:rFonts w:ascii="Times New Roman" w:hAnsi="Times New Roman" w:cs="Times New Roman"/>
          <w:sz w:val="24"/>
          <w:szCs w:val="24"/>
        </w:rPr>
        <w:t>mplicitly suggests the phenomenon</w:t>
      </w:r>
      <w:r w:rsidRPr="00EA3227">
        <w:rPr>
          <w:rFonts w:ascii="Times New Roman" w:hAnsi="Times New Roman" w:cs="Times New Roman"/>
          <w:sz w:val="24"/>
          <w:szCs w:val="24"/>
        </w:rPr>
        <w:t xml:space="preserve"> of the separation of hereditary characteristics within pollen grains and ovules. This lays down the cornerstone for a later conception of particulate inheritance. Mendel’s laws</w:t>
      </w:r>
      <w:r w:rsidR="00553AB4">
        <w:rPr>
          <w:rFonts w:ascii="Times New Roman" w:hAnsi="Times New Roman" w:cs="Times New Roman"/>
          <w:sz w:val="24"/>
          <w:szCs w:val="24"/>
        </w:rPr>
        <w:t>,</w:t>
      </w:r>
      <w:r w:rsidRPr="00EA3227">
        <w:rPr>
          <w:rFonts w:ascii="Times New Roman" w:hAnsi="Times New Roman" w:cs="Times New Roman"/>
          <w:sz w:val="24"/>
          <w:szCs w:val="24"/>
        </w:rPr>
        <w:t xml:space="preserve"> and </w:t>
      </w:r>
      <w:r w:rsidR="00CB24B9">
        <w:rPr>
          <w:rFonts w:ascii="Times New Roman" w:hAnsi="Times New Roman" w:cs="Times New Roman"/>
          <w:sz w:val="24"/>
          <w:szCs w:val="24"/>
        </w:rPr>
        <w:t xml:space="preserve">the </w:t>
      </w:r>
      <w:r w:rsidRPr="00EA3227">
        <w:rPr>
          <w:rFonts w:ascii="Times New Roman" w:hAnsi="Times New Roman" w:cs="Times New Roman"/>
          <w:sz w:val="24"/>
          <w:szCs w:val="24"/>
        </w:rPr>
        <w:t>concep</w:t>
      </w:r>
      <w:r w:rsidR="00CB24B9">
        <w:rPr>
          <w:rFonts w:ascii="Times New Roman" w:hAnsi="Times New Roman" w:cs="Times New Roman"/>
          <w:sz w:val="24"/>
          <w:szCs w:val="24"/>
        </w:rPr>
        <w:t>ts</w:t>
      </w:r>
      <w:r w:rsidR="00AC0269">
        <w:rPr>
          <w:rFonts w:ascii="Times New Roman" w:hAnsi="Times New Roman" w:cs="Times New Roman"/>
          <w:sz w:val="24"/>
          <w:szCs w:val="24"/>
        </w:rPr>
        <w:t xml:space="preserve"> of allelomorph</w:t>
      </w:r>
      <w:r w:rsidRPr="00EA3227">
        <w:rPr>
          <w:rFonts w:ascii="Times New Roman" w:hAnsi="Times New Roman" w:cs="Times New Roman"/>
          <w:sz w:val="24"/>
          <w:szCs w:val="24"/>
        </w:rPr>
        <w:t xml:space="preserve"> </w:t>
      </w:r>
      <w:r w:rsidRPr="00EA3227">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"Bateson", "given" : "William", "non-dropping-particle" : "", "parse-names" : false, "suffix" : "" } ], "id" : "ITEM-1", "issued" : { "date-parts" : [ [ "1909" ] ] }, "publisher" : "Cambridge University Press", "publisher-place" : "Cambridge", "title" : "Mendel's Principles of Heredity", "type" : "book" }, "uris" : [ "http://www.mendeley.com/documents/?uuid=78c10802-881f-40aa-8ead-1b731d4e7f34", "http://www.mendeley.com/documents/?uuid=db7f0d9f-e1ba-47ad-9e90-e37b87aa289b" ] }, { "id" : "ITEM-2", "itemData" : { "author" : [ { "dropping-particle" : "", "family" : "Bateson", "given" : "William", "non-dropping-particle" : "", "parse-names" : false, "suffix" : "" } ], "id" : "ITEM-2", "issued" : { "date-parts" : [ [ "1902" ] ] }, "publisher" : "Cambridge University Press", "publisher-place" : "Cambridge", "title" : "Mendel's Principles of Heredity: A Defence", "type" : "book" }, "uris" : [ "http://www.mendeley.com/documents/?uuid=14387670-cd79-4b6a-a41d-4d1390f7fa2a", "http://www.mendeley.com/documents/?uuid=fdeaa435-0317-460a-b90a-494d37e9ab1d" ] } ], "mendeley" : { "formattedCitation" : "(Bateson 1909; Bateson 1902)", "manualFormatting" : "(Bateson 1902; 1909)", "plainTextFormattedCitation" : "(Bateson 1909; Bateson 1902)", "previouslyFormattedCitation" : "(Bateson 1909; Bateson 1902)" }, "properties" : { "noteIndex" : 0 }, "schema" : "https://github.com/citation-style-language/schema/raw/master/csl-citation.json" }</w:instrText>
      </w:r>
      <w:r w:rsidRPr="00EA3227">
        <w:rPr>
          <w:rFonts w:ascii="Times New Roman" w:hAnsi="Times New Roman" w:cs="Times New Roman"/>
          <w:sz w:val="24"/>
          <w:szCs w:val="24"/>
        </w:rPr>
        <w:fldChar w:fldCharType="separate"/>
      </w:r>
      <w:r w:rsidR="001E4AB3" w:rsidRPr="001E4AB3">
        <w:rPr>
          <w:rFonts w:ascii="Times New Roman" w:hAnsi="Times New Roman" w:cs="Times New Roman"/>
          <w:noProof/>
          <w:sz w:val="24"/>
          <w:szCs w:val="24"/>
        </w:rPr>
        <w:t>(</w:t>
      </w:r>
      <w:r w:rsidR="00AC0269">
        <w:rPr>
          <w:rFonts w:ascii="Times New Roman" w:hAnsi="Times New Roman" w:cs="Times New Roman"/>
          <w:noProof/>
          <w:sz w:val="24"/>
          <w:szCs w:val="24"/>
        </w:rPr>
        <w:t>Bateson</w:t>
      </w:r>
      <w:r w:rsidR="00AC0269" w:rsidRPr="00AC0269">
        <w:rPr>
          <w:rFonts w:ascii="Times New Roman" w:hAnsi="Times New Roman" w:cs="Times New Roman"/>
          <w:noProof/>
          <w:sz w:val="24"/>
          <w:szCs w:val="24"/>
        </w:rPr>
        <w:t xml:space="preserve"> </w:t>
      </w:r>
      <w:r w:rsidR="00AC0269" w:rsidRPr="001E4AB3">
        <w:rPr>
          <w:rFonts w:ascii="Times New Roman" w:hAnsi="Times New Roman" w:cs="Times New Roman"/>
          <w:noProof/>
          <w:sz w:val="24"/>
          <w:szCs w:val="24"/>
        </w:rPr>
        <w:t>1902</w:t>
      </w:r>
      <w:r w:rsidR="00AC0269">
        <w:rPr>
          <w:rFonts w:ascii="Times New Roman" w:hAnsi="Times New Roman" w:cs="Times New Roman"/>
          <w:noProof/>
          <w:sz w:val="24"/>
          <w:szCs w:val="24"/>
        </w:rPr>
        <w:t>; 1909</w:t>
      </w:r>
      <w:r w:rsidR="001E4AB3" w:rsidRPr="001E4AB3">
        <w:rPr>
          <w:rFonts w:ascii="Times New Roman" w:hAnsi="Times New Roman" w:cs="Times New Roman"/>
          <w:noProof/>
          <w:sz w:val="24"/>
          <w:szCs w:val="24"/>
        </w:rPr>
        <w:t>)</w:t>
      </w:r>
      <w:r w:rsidRPr="00EA3227">
        <w:rPr>
          <w:rFonts w:ascii="Times New Roman" w:hAnsi="Times New Roman" w:cs="Times New Roman"/>
          <w:sz w:val="24"/>
          <w:szCs w:val="24"/>
        </w:rPr>
        <w:fldChar w:fldCharType="end"/>
      </w:r>
      <w:r w:rsidR="00AC0269">
        <w:rPr>
          <w:rFonts w:ascii="Times New Roman" w:hAnsi="Times New Roman" w:cs="Times New Roman"/>
          <w:sz w:val="24"/>
          <w:szCs w:val="24"/>
        </w:rPr>
        <w:t>, factor</w:t>
      </w:r>
      <w:r w:rsidRPr="00EA3227">
        <w:rPr>
          <w:rFonts w:ascii="Times New Roman" w:hAnsi="Times New Roman" w:cs="Times New Roman"/>
          <w:sz w:val="24"/>
          <w:szCs w:val="24"/>
        </w:rPr>
        <w:t xml:space="preserve"> </w:t>
      </w:r>
      <w:r w:rsidRPr="00EA3227">
        <w:rPr>
          <w:rFonts w:ascii="Times New Roman" w:hAnsi="Times New Roman" w:cs="Times New Roman"/>
          <w:sz w:val="24"/>
          <w:szCs w:val="24"/>
        </w:rPr>
        <w:fldChar w:fldCharType="begin" w:fldLock="1"/>
      </w:r>
      <w:r w:rsidR="001E4AB3">
        <w:rPr>
          <w:rFonts w:ascii="Times New Roman" w:hAnsi="Times New Roman" w:cs="Times New Roman"/>
          <w:sz w:val="24"/>
          <w:szCs w:val="24"/>
        </w:rPr>
        <w:instrText>ADDIN CSL_CITATION { "citationItems" : [ { "id" : "ITEM-1", "itemData" : { "author" : [ { "dropping-particle" : "", "family" : "Punnett", "given" : "Reginald Crundall", "non-dropping-particle" : "", "parse-names" : false, "suffix" : "" } ], "id" : "ITEM-1", "issued" : { "date-parts" : [ [ "1905" ] ] }, "publisher" : "Macmillan and Co., Limited", "publisher-place" : "London", "title" : "Mendelism", "type" : "book" }, "uris" : [ "http://www.mendeley.com/documents/?uuid=e39720c8-c3eb-48a5-9057-08677031c940", "http://www.mendeley.com/documents/?uuid=6d3c480f-bf2b-4535-8abe-9a66acae6b4f" ] }, { "id" : "ITEM-2", "itemData" : { "author" : [ { "dropping-particle" : "", "family" : "Morgan", "given" : "Thomas Hunt", "non-dropping-particle" : "", "parse-names" : false, "suffix" : "" }, { "dropping-particle" : "", "family" : "Sturtevant", "given" : "Alfred Henry", "non-dropping-particle" : "", "parse-names" : false, "suffix" : "" }, { "dropping-particle" : "", "family" : "Muller", "given" : "Hermann Joseph", "non-dropping-particle" : "", "parse-names" : false, "suffix" : "" }, { "dropping-particle" : "", "family" : "Bridges", "given" : "Calvin Blackman", "non-dropping-particle" : "", "parse-names" : false, "suffix" : "" } ], "id" : "ITEM-2", "issued" : { "date-parts" : [ [ "1915" ] ] }, "publisher" : "Henry Holt and Company", "publisher-place" : "New York", "title" : "The Mechanism of Mendelian Heredity", "type" : "book" }, "uris" : [ "http://www.mendeley.com/documents/?uuid=e582f280-a3b4-4104-b75a-bf3ccbf44c46", "http://www.mendeley.com/documents/?uuid=b587df93-5094-466b-8063-d2d2614b0461" ] } ], "mendeley" : { "formattedCitation" : "(Punnett 1905; Morgan et al. 1915)", "plainTextFormattedCitation" : "(Punnett 1905; Morgan et al. 1915)", "previouslyFormattedCitation" : "(Punnett 1905; Morgan et al. 1915)" }, "properties" : { "noteIndex" : 0 }, "schema" : "https://github.com/citation-style-language/schema/raw/master/csl-citation.json" }</w:instrText>
      </w:r>
      <w:r w:rsidRPr="00EA3227">
        <w:rPr>
          <w:rFonts w:ascii="Times New Roman" w:hAnsi="Times New Roman" w:cs="Times New Roman"/>
          <w:sz w:val="24"/>
          <w:szCs w:val="24"/>
        </w:rPr>
        <w:fldChar w:fldCharType="separate"/>
      </w:r>
      <w:r w:rsidR="001E4AB3" w:rsidRPr="001E4AB3">
        <w:rPr>
          <w:rFonts w:ascii="Times New Roman" w:hAnsi="Times New Roman" w:cs="Times New Roman"/>
          <w:noProof/>
          <w:sz w:val="24"/>
          <w:szCs w:val="24"/>
        </w:rPr>
        <w:t>(Punnett 1905; Morgan et al. 1915)</w:t>
      </w:r>
      <w:r w:rsidRPr="00EA3227">
        <w:rPr>
          <w:rFonts w:ascii="Times New Roman" w:hAnsi="Times New Roman" w:cs="Times New Roman"/>
          <w:sz w:val="24"/>
          <w:szCs w:val="24"/>
        </w:rPr>
        <w:fldChar w:fldCharType="end"/>
      </w:r>
      <w:r w:rsidR="00553AB4">
        <w:rPr>
          <w:rFonts w:ascii="Times New Roman" w:hAnsi="Times New Roman" w:cs="Times New Roman"/>
          <w:sz w:val="24"/>
          <w:szCs w:val="24"/>
        </w:rPr>
        <w:t>, and gene</w:t>
      </w:r>
      <w:r w:rsidRPr="00EA3227">
        <w:rPr>
          <w:rFonts w:ascii="Times New Roman" w:hAnsi="Times New Roman" w:cs="Times New Roman"/>
          <w:sz w:val="24"/>
          <w:szCs w:val="24"/>
        </w:rPr>
        <w:t xml:space="preserve"> </w:t>
      </w:r>
      <w:r w:rsidRPr="00EA3227">
        <w:rPr>
          <w:rFonts w:ascii="Times New Roman" w:hAnsi="Times New Roman" w:cs="Times New Roman"/>
          <w:sz w:val="24"/>
          <w:szCs w:val="24"/>
        </w:rPr>
        <w:fldChar w:fldCharType="begin" w:fldLock="1"/>
      </w:r>
      <w:r w:rsidR="001E4AB3">
        <w:rPr>
          <w:rFonts w:ascii="Times New Roman" w:hAnsi="Times New Roman" w:cs="Times New Roman"/>
          <w:sz w:val="24"/>
          <w:szCs w:val="24"/>
        </w:rPr>
        <w:instrText>ADDIN CSL_CITATION { "citationItems" : [ { "id" : "ITEM-1", "itemData" : { "author" : [ { "dropping-particle" : "", "family" : "Morgan", "given" : "Thomas Hunt", "non-dropping-particle" : "", "parse-names" : false, "suffix" : "" } ], "id" : "ITEM-1", "issued" : { "date-parts" : [ [ "1926" ] ] }, "publisher" : "Yale University Press", "publisher-place" : "New Haven, CT", "title" : "The Theory of the Gene", "type" : "book" }, "uris" : [ "http://www.mendeley.com/documents/?uuid=6cbada36-3601-4c76-8023-77639817d442", "http://www.mendeley.com/documents/?uuid=0230e942-4a98-4774-811d-786c3eb053b7" ] } ], "mendeley" : { "formattedCitation" : "(Morgan 1926)", "plainTextFormattedCitation" : "(Morgan 1926)", "previouslyFormattedCitation" : "(Morgan 1926)" }, "properties" : { "noteIndex" : 0 }, "schema" : "https://github.com/citation-style-language/schema/raw/master/csl-citation.json" }</w:instrText>
      </w:r>
      <w:r w:rsidRPr="00EA3227">
        <w:rPr>
          <w:rFonts w:ascii="Times New Roman" w:hAnsi="Times New Roman" w:cs="Times New Roman"/>
          <w:sz w:val="24"/>
          <w:szCs w:val="24"/>
        </w:rPr>
        <w:fldChar w:fldCharType="separate"/>
      </w:r>
      <w:r w:rsidR="001E4AB3" w:rsidRPr="001E4AB3">
        <w:rPr>
          <w:rFonts w:ascii="Times New Roman" w:hAnsi="Times New Roman" w:cs="Times New Roman"/>
          <w:noProof/>
          <w:sz w:val="24"/>
          <w:szCs w:val="24"/>
        </w:rPr>
        <w:t>(Morgan 1926)</w:t>
      </w:r>
      <w:r w:rsidRPr="00EA3227">
        <w:rPr>
          <w:rFonts w:ascii="Times New Roman" w:hAnsi="Times New Roman" w:cs="Times New Roman"/>
          <w:sz w:val="24"/>
          <w:szCs w:val="24"/>
        </w:rPr>
        <w:fldChar w:fldCharType="end"/>
      </w:r>
      <w:r w:rsidRPr="00EA3227">
        <w:rPr>
          <w:rFonts w:ascii="Times New Roman" w:hAnsi="Times New Roman" w:cs="Times New Roman"/>
          <w:sz w:val="24"/>
          <w:szCs w:val="24"/>
        </w:rPr>
        <w:t xml:space="preserve"> were all articulated with the help of similar notations. Although, as many have pointed out, Mendel himself never had the conception of pairs of hereditary elements determining the morphological trait, his mathematical approach still played an indispensable role in the founding of genetics as a school of scientific practice. Therefore, </w:t>
      </w:r>
      <w:r w:rsidR="003C1044">
        <w:rPr>
          <w:rFonts w:ascii="Times New Roman" w:hAnsi="Times New Roman" w:cs="Times New Roman"/>
          <w:sz w:val="24"/>
          <w:szCs w:val="24"/>
        </w:rPr>
        <w:t xml:space="preserve">as I have shown, </w:t>
      </w:r>
      <w:r w:rsidR="003C1044" w:rsidRPr="00EA3227">
        <w:rPr>
          <w:rFonts w:ascii="Times New Roman" w:hAnsi="Times New Roman" w:cs="Times New Roman"/>
          <w:sz w:val="24"/>
          <w:szCs w:val="24"/>
        </w:rPr>
        <w:t xml:space="preserve">Mendel’s </w:t>
      </w:r>
      <w:r w:rsidR="003C1044">
        <w:rPr>
          <w:rFonts w:ascii="Times New Roman" w:hAnsi="Times New Roman" w:cs="Times New Roman"/>
          <w:sz w:val="24"/>
          <w:szCs w:val="24"/>
        </w:rPr>
        <w:t xml:space="preserve">four significant contributions, namely, </w:t>
      </w:r>
      <w:r w:rsidRPr="00EA3227">
        <w:rPr>
          <w:rFonts w:ascii="Times New Roman" w:hAnsi="Times New Roman" w:cs="Times New Roman"/>
          <w:sz w:val="24"/>
          <w:szCs w:val="24"/>
        </w:rPr>
        <w:t>the focus on a pair of differing trait</w:t>
      </w:r>
      <w:r w:rsidR="003D2EA5">
        <w:rPr>
          <w:rFonts w:ascii="Times New Roman" w:hAnsi="Times New Roman" w:cs="Times New Roman"/>
          <w:sz w:val="24"/>
          <w:szCs w:val="24"/>
        </w:rPr>
        <w:t>s, the conceptions of dominance</w:t>
      </w:r>
      <w:r w:rsidRPr="00EA3227">
        <w:rPr>
          <w:rFonts w:ascii="Times New Roman" w:hAnsi="Times New Roman" w:cs="Times New Roman"/>
          <w:sz w:val="24"/>
          <w:szCs w:val="24"/>
        </w:rPr>
        <w:t xml:space="preserve"> and recessive</w:t>
      </w:r>
      <w:r w:rsidR="003D2EA5">
        <w:rPr>
          <w:rFonts w:ascii="Times New Roman" w:hAnsi="Times New Roman" w:cs="Times New Roman"/>
          <w:sz w:val="24"/>
          <w:szCs w:val="24"/>
        </w:rPr>
        <w:t>ness</w:t>
      </w:r>
      <w:r w:rsidRPr="00EA3227">
        <w:rPr>
          <w:rFonts w:ascii="Times New Roman" w:hAnsi="Times New Roman" w:cs="Times New Roman"/>
          <w:sz w:val="24"/>
          <w:szCs w:val="24"/>
        </w:rPr>
        <w:t xml:space="preserve"> and their statistical relation, the morphological-cellular correspondence, an</w:t>
      </w:r>
      <w:r w:rsidR="003C1044">
        <w:rPr>
          <w:rFonts w:ascii="Times New Roman" w:hAnsi="Times New Roman" w:cs="Times New Roman"/>
          <w:sz w:val="24"/>
          <w:szCs w:val="24"/>
        </w:rPr>
        <w:t xml:space="preserve">d the mathematical approach, can be well accounted as </w:t>
      </w:r>
      <w:r w:rsidR="000E26B8">
        <w:rPr>
          <w:rFonts w:ascii="Times New Roman" w:hAnsi="Times New Roman" w:cs="Times New Roman"/>
          <w:sz w:val="24"/>
          <w:szCs w:val="24"/>
        </w:rPr>
        <w:t>problem-specification, conceptualisation, and hypothesisation.</w:t>
      </w:r>
    </w:p>
    <w:p w14:paraId="5B58A67F" w14:textId="3F608812" w:rsidR="00EA3227" w:rsidRPr="00EA3227" w:rsidRDefault="00FC2BFE" w:rsidP="00EA3227">
      <w:pPr>
        <w:spacing w:after="200" w:line="480" w:lineRule="auto"/>
        <w:rPr>
          <w:rFonts w:ascii="Times New Roman" w:hAnsi="Times New Roman" w:cs="Times New Roman"/>
          <w:sz w:val="24"/>
          <w:szCs w:val="24"/>
        </w:rPr>
      </w:pPr>
      <w:r>
        <w:rPr>
          <w:rFonts w:ascii="Times New Roman" w:hAnsi="Times New Roman" w:cs="Times New Roman"/>
          <w:sz w:val="24"/>
          <w:szCs w:val="24"/>
        </w:rPr>
        <w:lastRenderedPageBreak/>
        <w:t>To sum up</w:t>
      </w:r>
      <w:r w:rsidR="00EA3227" w:rsidRPr="00EA3227">
        <w:rPr>
          <w:rFonts w:ascii="Times New Roman" w:hAnsi="Times New Roman" w:cs="Times New Roman"/>
          <w:sz w:val="24"/>
          <w:szCs w:val="24"/>
        </w:rPr>
        <w:t xml:space="preserve">, I argue that Mendel’s contribution to the history of genetics is an exemplary practice of the development of pea hybrids in their progeny. More specifically, </w:t>
      </w:r>
      <w:r w:rsidR="00EA3227" w:rsidRPr="00EA3227">
        <w:rPr>
          <w:rFonts w:ascii="Times New Roman" w:hAnsi="Times New Roman" w:cs="Times New Roman"/>
          <w:i/>
          <w:sz w:val="24"/>
          <w:szCs w:val="24"/>
        </w:rPr>
        <w:t xml:space="preserve">Mendel introduced a set of contextually well-defined research problems on the development of hybrids in their progeny and the corresponding solutions, and some components of his exemplary practice greatly inspired and influenced de Vries’, Correns’, Tschermak’, and Bateson’s work, </w:t>
      </w:r>
      <w:r w:rsidR="003D2EA5">
        <w:rPr>
          <w:rFonts w:ascii="Times New Roman" w:hAnsi="Times New Roman" w:cs="Times New Roman"/>
          <w:i/>
          <w:sz w:val="24"/>
          <w:szCs w:val="24"/>
        </w:rPr>
        <w:t xml:space="preserve">and </w:t>
      </w:r>
      <w:r w:rsidR="00EA3227" w:rsidRPr="00EA3227">
        <w:rPr>
          <w:rFonts w:ascii="Times New Roman" w:hAnsi="Times New Roman" w:cs="Times New Roman"/>
          <w:i/>
          <w:sz w:val="24"/>
          <w:szCs w:val="24"/>
        </w:rPr>
        <w:t>lay down the cornerstone for the study of heredity in the 20</w:t>
      </w:r>
      <w:r w:rsidR="00EA3227" w:rsidRPr="00EA3227">
        <w:rPr>
          <w:rFonts w:ascii="Times New Roman" w:hAnsi="Times New Roman" w:cs="Times New Roman"/>
          <w:i/>
          <w:sz w:val="24"/>
          <w:szCs w:val="24"/>
          <w:vertAlign w:val="superscript"/>
        </w:rPr>
        <w:t>th</w:t>
      </w:r>
      <w:r w:rsidR="00EA3227" w:rsidRPr="00EA3227">
        <w:rPr>
          <w:rFonts w:ascii="Times New Roman" w:hAnsi="Times New Roman" w:cs="Times New Roman"/>
          <w:i/>
          <w:sz w:val="24"/>
          <w:szCs w:val="24"/>
        </w:rPr>
        <w:t xml:space="preserve"> century</w:t>
      </w:r>
      <w:r w:rsidR="00EA3227" w:rsidRPr="00EA3227">
        <w:rPr>
          <w:rFonts w:ascii="Times New Roman" w:hAnsi="Times New Roman" w:cs="Times New Roman"/>
          <w:sz w:val="24"/>
          <w:szCs w:val="24"/>
        </w:rPr>
        <w:t xml:space="preserve">. In particular, as I have argued earlier in this section, Mendel’s focus on a pair of differing traits, the </w:t>
      </w:r>
      <w:r w:rsidR="000E26B8">
        <w:rPr>
          <w:rFonts w:ascii="Times New Roman" w:hAnsi="Times New Roman" w:cs="Times New Roman"/>
          <w:sz w:val="24"/>
          <w:szCs w:val="24"/>
        </w:rPr>
        <w:t xml:space="preserve">proposal of the </w:t>
      </w:r>
      <w:r w:rsidR="00EA3227" w:rsidRPr="00EA3227">
        <w:rPr>
          <w:rFonts w:ascii="Times New Roman" w:hAnsi="Times New Roman" w:cs="Times New Roman"/>
          <w:sz w:val="24"/>
          <w:szCs w:val="24"/>
        </w:rPr>
        <w:t>conce</w:t>
      </w:r>
      <w:r w:rsidR="003D2EA5">
        <w:rPr>
          <w:rFonts w:ascii="Times New Roman" w:hAnsi="Times New Roman" w:cs="Times New Roman"/>
          <w:sz w:val="24"/>
          <w:szCs w:val="24"/>
        </w:rPr>
        <w:t>ptions of dominance</w:t>
      </w:r>
      <w:r w:rsidR="00EA3227" w:rsidRPr="00EA3227">
        <w:rPr>
          <w:rFonts w:ascii="Times New Roman" w:hAnsi="Times New Roman" w:cs="Times New Roman"/>
          <w:sz w:val="24"/>
          <w:szCs w:val="24"/>
        </w:rPr>
        <w:t xml:space="preserve"> and recessive</w:t>
      </w:r>
      <w:r w:rsidR="003D2EA5">
        <w:rPr>
          <w:rFonts w:ascii="Times New Roman" w:hAnsi="Times New Roman" w:cs="Times New Roman"/>
          <w:sz w:val="24"/>
          <w:szCs w:val="24"/>
        </w:rPr>
        <w:t>ness</w:t>
      </w:r>
      <w:r w:rsidR="00EA3227" w:rsidRPr="00EA3227">
        <w:rPr>
          <w:rFonts w:ascii="Times New Roman" w:hAnsi="Times New Roman" w:cs="Times New Roman"/>
          <w:sz w:val="24"/>
          <w:szCs w:val="24"/>
        </w:rPr>
        <w:t xml:space="preserve"> and their statistical relation, the</w:t>
      </w:r>
      <w:r w:rsidR="000E26B8">
        <w:rPr>
          <w:rFonts w:ascii="Times New Roman" w:hAnsi="Times New Roman" w:cs="Times New Roman"/>
          <w:sz w:val="24"/>
          <w:szCs w:val="24"/>
        </w:rPr>
        <w:t xml:space="preserve"> introduction of the</w:t>
      </w:r>
      <w:r w:rsidR="00EA3227" w:rsidRPr="00EA3227">
        <w:rPr>
          <w:rFonts w:ascii="Times New Roman" w:hAnsi="Times New Roman" w:cs="Times New Roman"/>
          <w:sz w:val="24"/>
          <w:szCs w:val="24"/>
        </w:rPr>
        <w:t xml:space="preserve"> morphological-cellular correspondence, and his mathematical approach made an enormo</w:t>
      </w:r>
      <w:r w:rsidR="000E26B8">
        <w:rPr>
          <w:rFonts w:ascii="Times New Roman" w:hAnsi="Times New Roman" w:cs="Times New Roman"/>
          <w:sz w:val="24"/>
          <w:szCs w:val="24"/>
        </w:rPr>
        <w:t>us impact on de Vries’, Correns’ and</w:t>
      </w:r>
      <w:r w:rsidR="00EA3227" w:rsidRPr="00EA3227">
        <w:rPr>
          <w:rFonts w:ascii="Times New Roman" w:hAnsi="Times New Roman" w:cs="Times New Roman"/>
          <w:sz w:val="24"/>
          <w:szCs w:val="24"/>
        </w:rPr>
        <w:t xml:space="preserve"> Bateson’s’ work on heredity. Similarly, </w:t>
      </w:r>
      <w:r w:rsidR="00EA3227" w:rsidRPr="00EA3227">
        <w:rPr>
          <w:rFonts w:ascii="Times New Roman" w:hAnsi="Times New Roman" w:cs="Times New Roman"/>
          <w:i/>
          <w:sz w:val="24"/>
          <w:szCs w:val="24"/>
        </w:rPr>
        <w:t>de Vries’, Correns’, and Bateson’s contribution can also be characterised as the exemplary practices, which also inspired and influenced the successors’ work</w:t>
      </w:r>
      <w:r w:rsidR="00EA3227" w:rsidRPr="00EA3227">
        <w:rPr>
          <w:rFonts w:ascii="Times New Roman" w:hAnsi="Times New Roman" w:cs="Times New Roman"/>
          <w:sz w:val="24"/>
          <w:szCs w:val="24"/>
        </w:rPr>
        <w:t xml:space="preserve"> </w:t>
      </w:r>
      <w:r w:rsidR="00EA3227" w:rsidRPr="00EA3227">
        <w:rPr>
          <w:rFonts w:ascii="Times New Roman" w:hAnsi="Times New Roman" w:cs="Times New Roman"/>
          <w:sz w:val="24"/>
          <w:szCs w:val="24"/>
        </w:rPr>
        <w:fldChar w:fldCharType="begin" w:fldLock="1"/>
      </w:r>
      <w:r w:rsidR="00783857">
        <w:rPr>
          <w:rFonts w:ascii="Times New Roman" w:hAnsi="Times New Roman" w:cs="Times New Roman"/>
          <w:sz w:val="24"/>
          <w:szCs w:val="24"/>
        </w:rPr>
        <w:instrText>ADDIN CSL_CITATION { "citationItems" : [ { "id" : "ITEM-1", "itemData" : { "author" : [ { "dropping-particle" : "", "family" : "Castle", "given" : "W. E.", "non-dropping-particle" : "", "parse-names" : false, "suffix" : "" }, { "dropping-particle" : "", "family" : "Allen", "given" : "Glover M.", "non-dropping-particle" : "", "parse-names" : false, "suffix" : "" } ], "container-title" : "Proceedings of the American Academy of Arts and Sciences", "id" : "ITEM-1", "issue" : "21", "issued" : { "date-parts" : [ [ "1903" ] ] }, "page" : "603-622", "title" : "The Heredity of Albinism", "type" : "article-journal", "volume" : "38" }, "prefix" : "e.g., ", "uris" : [ "http://www.mendeley.com/documents/?uuid=046bbe46-0289-4486-bc47-8c0a9307bdb8", "http://www.mendeley.com/documents/?uuid=17b1f155-8d86-4d7f-8ca7-c2b6f7b6a293" ] }, { "id" : "ITEM-2", "itemData" : { "author" : [ { "dropping-particle" : "", "family" : "Castle", "given" : "W. E.", "non-dropping-particle" : "", "parse-names" : false, "suffix" : "" } ], "container-title" : "Science", "id" : "ITEM-2", "issue" : "456", "issued" : { "date-parts" : [ [ "1903" ] ] }, "page" : "396-406", "title" : "Mendel's Law of Heredity", "type" : "article-journal", "volume" : "18" }, "uris" : [ "http://www.mendeley.com/documents/?uuid=41fb8a12-83a6-4060-87f8-54ec6ba69f49", "http://www.mendeley.com/documents/?uuid=2ae2231a-12c7-4442-ad8a-e894c297557b" ] }, { "id" : "ITEM-3", "itemData" : { "author" : [ { "dropping-particle" : "", "family" : "Hurst", "given" : "C. C.", "non-dropping-particle" : "", "parse-names" : false, "suffix" : "" } ], "container-title" : "Proceedings of the Royal Society of London, Series B", "id" : "ITEM-3", "issue" : "519", "issued" : { "date-parts" : [ [ "1906" ] ] }, "page" : "388-394", "title" : "On the Inheritance of Coat Colour in Horses", "type" : "article-journal", "volume" : "77" }, "uris" : [ "http://www.mendeley.com/documents/?uuid=5873ff2b-54c7-4431-a2fb-07d1836f012c", "http://www.mendeley.com/documents/?uuid=539dc396-2cc0-4ccd-a43d-0cbc3b3ebd1a" ] }, { "id" : "ITEM-4", "itemData" : { "author" : [ { "dropping-particle" : "", "family" : "Raynor", "given" : "G. H.", "non-dropping-particle" : "", "parse-names" : false, "suffix" : "" }, { "dropping-particle" : "", "family" : "Doncaster", "given" : "L.", "non-dropping-particle" : "", "parse-names" : false, "suffix" : "" } ], "container-title" : "In Report of the 74th Meeting of the British Association of the Adavancement of Science, Cambridge 1904", "id" : "ITEM-4", "issued" : { "date-parts" : [ [ "1905" ] ] }, "page" : "594-595", "publisher" : "John Murray", "publisher-place" : "London", "title" : "Experiments on Heredity and Sex-Determination in Abraxas Grossulariata", "type" : "chapter" }, "uris" : [ "http://www.mendeley.com/documents/?uuid=a261f3e9-6dc6-461a-aaef-fc184920a0d8", "http://www.mendeley.com/documents/?uuid=1060a627-c85b-4114-b981-3cd714ac9f43" ] }, { "id" : "ITEM-5", "itemData" : { "author" : [ { "dropping-particle" : "", "family" : "Punnett", "given" : "Reginald Crundall", "non-dropping-particle" : "", "parse-names" : false, "suffix" : "" } ], "id" : "ITEM-5", "issued" : { "date-parts" : [ [ "1905" ] ] }, "publisher" : "Macmillan and Co., Limited", "publisher-place" : "London", "title" : "Mendelism", "type" : "book" }, "uris" : [ "http://www.mendeley.com/documents/?uuid=6d3c480f-bf2b-4535-8abe-9a66acae6b4f", "http://www.mendeley.com/documents/?uuid=e39720c8-c3eb-48a5-9057-08677031c940" ] } ], "mendeley" : { "formattedCitation" : "(e.g., Castle and Allen 1903; Castle 1903; Hurst 1906; Raynor and Doncaster 1905; Punnett 1905)", "manualFormatting" : "(e.g., Castle and Allen 1903; Castle 1903; Punnett 1905; Raynor and Doncaster 1905; Hurst 1906)", "plainTextFormattedCitation" : "(e.g., Castle and Allen 1903; Castle 1903; Hurst 1906; Raynor and Doncaster 1905; Punnett 1905)", "previouslyFormattedCitation" : "(e.g., Castle and Allen 1903; Castle 1903; Hurst 1906; Raynor and Doncaster 1905; Punnett 1905)" }, "properties" : { "noteIndex" : 0 }, "schema" : "https://github.com/citation-style-language/schema/raw/master/csl-citation.json" }</w:instrText>
      </w:r>
      <w:r w:rsidR="00EA3227" w:rsidRPr="00EA3227">
        <w:rPr>
          <w:rFonts w:ascii="Times New Roman" w:hAnsi="Times New Roman" w:cs="Times New Roman"/>
          <w:sz w:val="24"/>
          <w:szCs w:val="24"/>
        </w:rPr>
        <w:fldChar w:fldCharType="separate"/>
      </w:r>
      <w:r w:rsidR="005944A4" w:rsidRPr="005944A4">
        <w:rPr>
          <w:rFonts w:ascii="Times New Roman" w:hAnsi="Times New Roman" w:cs="Times New Roman"/>
          <w:noProof/>
          <w:sz w:val="24"/>
          <w:szCs w:val="24"/>
        </w:rPr>
        <w:t xml:space="preserve">(e.g., Castle and Allen 1903; Castle 1903; </w:t>
      </w:r>
      <w:r w:rsidR="00553AB4" w:rsidRPr="005944A4">
        <w:rPr>
          <w:rFonts w:ascii="Times New Roman" w:hAnsi="Times New Roman" w:cs="Times New Roman"/>
          <w:noProof/>
          <w:sz w:val="24"/>
          <w:szCs w:val="24"/>
        </w:rPr>
        <w:t>Punnett 1905</w:t>
      </w:r>
      <w:r w:rsidR="00553AB4">
        <w:rPr>
          <w:rFonts w:ascii="Times New Roman" w:hAnsi="Times New Roman" w:cs="Times New Roman"/>
          <w:noProof/>
          <w:sz w:val="24"/>
          <w:szCs w:val="24"/>
        </w:rPr>
        <w:t xml:space="preserve">; </w:t>
      </w:r>
      <w:r w:rsidR="005944A4" w:rsidRPr="005944A4">
        <w:rPr>
          <w:rFonts w:ascii="Times New Roman" w:hAnsi="Times New Roman" w:cs="Times New Roman"/>
          <w:noProof/>
          <w:sz w:val="24"/>
          <w:szCs w:val="24"/>
        </w:rPr>
        <w:t>Raynor and Doncaster 1905</w:t>
      </w:r>
      <w:r w:rsidR="00553AB4">
        <w:rPr>
          <w:rFonts w:ascii="Times New Roman" w:hAnsi="Times New Roman" w:cs="Times New Roman"/>
          <w:noProof/>
          <w:sz w:val="24"/>
          <w:szCs w:val="24"/>
        </w:rPr>
        <w:t>;</w:t>
      </w:r>
      <w:r w:rsidR="00553AB4" w:rsidRPr="00553AB4">
        <w:rPr>
          <w:rFonts w:ascii="Times New Roman" w:hAnsi="Times New Roman" w:cs="Times New Roman"/>
          <w:noProof/>
          <w:sz w:val="24"/>
          <w:szCs w:val="24"/>
        </w:rPr>
        <w:t xml:space="preserve"> </w:t>
      </w:r>
      <w:r w:rsidR="00553AB4">
        <w:rPr>
          <w:rFonts w:ascii="Times New Roman" w:hAnsi="Times New Roman" w:cs="Times New Roman"/>
          <w:noProof/>
          <w:sz w:val="24"/>
          <w:szCs w:val="24"/>
        </w:rPr>
        <w:t>Hurst 1906</w:t>
      </w:r>
      <w:r w:rsidR="005944A4" w:rsidRPr="005944A4">
        <w:rPr>
          <w:rFonts w:ascii="Times New Roman" w:hAnsi="Times New Roman" w:cs="Times New Roman"/>
          <w:noProof/>
          <w:sz w:val="24"/>
          <w:szCs w:val="24"/>
        </w:rPr>
        <w:t>)</w:t>
      </w:r>
      <w:r w:rsidR="00EA3227" w:rsidRPr="00EA3227">
        <w:rPr>
          <w:rFonts w:ascii="Times New Roman" w:hAnsi="Times New Roman" w:cs="Times New Roman"/>
          <w:sz w:val="24"/>
          <w:szCs w:val="24"/>
        </w:rPr>
        <w:fldChar w:fldCharType="end"/>
      </w:r>
      <w:r w:rsidR="00EA3227" w:rsidRPr="00EA3227">
        <w:rPr>
          <w:rFonts w:ascii="Times New Roman" w:hAnsi="Times New Roman" w:cs="Times New Roman"/>
          <w:sz w:val="24"/>
          <w:szCs w:val="24"/>
        </w:rPr>
        <w:t xml:space="preserve"> on heredity in the first decade of the 20</w:t>
      </w:r>
      <w:r w:rsidR="00EA3227" w:rsidRPr="00EA3227">
        <w:rPr>
          <w:rFonts w:ascii="Times New Roman" w:hAnsi="Times New Roman" w:cs="Times New Roman"/>
          <w:sz w:val="24"/>
          <w:szCs w:val="24"/>
          <w:vertAlign w:val="superscript"/>
        </w:rPr>
        <w:t>th</w:t>
      </w:r>
      <w:r w:rsidR="00EA3227" w:rsidRPr="00EA3227">
        <w:rPr>
          <w:rFonts w:ascii="Times New Roman" w:hAnsi="Times New Roman" w:cs="Times New Roman"/>
          <w:sz w:val="24"/>
          <w:szCs w:val="24"/>
        </w:rPr>
        <w:t xml:space="preserve"> century. Therefore, the origin of genetics from Mendel to Bateson, I argue, can be characterised as a chain of exemplary practices. </w:t>
      </w:r>
    </w:p>
    <w:p w14:paraId="72F8440E" w14:textId="60B15C10" w:rsidR="00EA3227" w:rsidRPr="00EA3227" w:rsidRDefault="00EA3227" w:rsidP="00EA3227">
      <w:pPr>
        <w:spacing w:after="200" w:line="480" w:lineRule="auto"/>
        <w:rPr>
          <w:rFonts w:ascii="Times New Roman" w:hAnsi="Times New Roman" w:cs="Times New Roman"/>
          <w:sz w:val="24"/>
          <w:szCs w:val="24"/>
        </w:rPr>
      </w:pPr>
      <w:r w:rsidRPr="00EA3227">
        <w:rPr>
          <w:rFonts w:ascii="Times New Roman" w:hAnsi="Times New Roman" w:cs="Times New Roman"/>
          <w:sz w:val="24"/>
          <w:szCs w:val="24"/>
        </w:rPr>
        <w:t xml:space="preserve">In the origin of genetics, the earlier exemplary practices are accepted and learnt by the successor practitioners. It should be noted that to say that the practitioners accept an exemplary practice does not mean that all the components of that exemplary practice are accepted and shared dogmatically. Instead what is accepted and shared by all practitioners is the way of defining the problems and of solving these problems. In the case of the origin of genetics, what de Vries, Correns, Tschermak, and Bateson all shared and accepted is Mendel’s problem-defining and problem-solving. Nevertheless, they still differed in how to understand the components of Mendel’s exemplary practice and how to use them (or some of them) to solve their problems. For the “rediscoverers”, Mendel’s conceptualisation, hypothesisation, experimentation, and reasoning are just tools to solve Mendel’s </w:t>
      </w:r>
      <w:r w:rsidR="00525649">
        <w:rPr>
          <w:rFonts w:ascii="Times New Roman" w:hAnsi="Times New Roman" w:cs="Times New Roman"/>
          <w:sz w:val="24"/>
          <w:szCs w:val="24"/>
        </w:rPr>
        <w:t xml:space="preserve">problems, </w:t>
      </w:r>
      <w:r w:rsidR="00946EE7">
        <w:rPr>
          <w:rFonts w:ascii="Times New Roman" w:hAnsi="Times New Roman" w:cs="Times New Roman"/>
          <w:sz w:val="24"/>
          <w:szCs w:val="24"/>
        </w:rPr>
        <w:lastRenderedPageBreak/>
        <w:t>but some of the</w:t>
      </w:r>
      <w:r w:rsidR="00525649">
        <w:rPr>
          <w:rFonts w:ascii="Times New Roman" w:hAnsi="Times New Roman" w:cs="Times New Roman"/>
          <w:sz w:val="24"/>
          <w:szCs w:val="24"/>
        </w:rPr>
        <w:t xml:space="preserve"> tools were </w:t>
      </w:r>
      <w:r w:rsidRPr="00EA3227">
        <w:rPr>
          <w:rFonts w:ascii="Times New Roman" w:hAnsi="Times New Roman" w:cs="Times New Roman"/>
          <w:sz w:val="24"/>
          <w:szCs w:val="24"/>
        </w:rPr>
        <w:t xml:space="preserve">useful to their own research problems. Thus, Mendel’s vocabulary, hypotheses, practical guides, experiments and patterns of reasoning are accepted as tools to solve Mendel’s problem of hybrid development in their progeny and to solve successors’ problems. </w:t>
      </w:r>
      <w:r w:rsidR="001649CC">
        <w:rPr>
          <w:rFonts w:ascii="Times New Roman" w:hAnsi="Times New Roman" w:cs="Times New Roman"/>
          <w:sz w:val="24"/>
          <w:szCs w:val="24"/>
        </w:rPr>
        <w:t>As I have shown, t</w:t>
      </w:r>
      <w:r w:rsidRPr="00EA3227">
        <w:rPr>
          <w:rFonts w:ascii="Times New Roman" w:hAnsi="Times New Roman" w:cs="Times New Roman"/>
          <w:sz w:val="24"/>
          <w:szCs w:val="24"/>
        </w:rPr>
        <w:t xml:space="preserve">he rediscoverers’ acceptance of Mendel’s exemplary practice is mainly due to </w:t>
      </w:r>
      <w:r w:rsidR="001649CC">
        <w:rPr>
          <w:rFonts w:ascii="Times New Roman" w:hAnsi="Times New Roman" w:cs="Times New Roman"/>
          <w:sz w:val="24"/>
          <w:szCs w:val="24"/>
        </w:rPr>
        <w:t>its repeatability and usefulness</w:t>
      </w:r>
      <w:r w:rsidRPr="00EA3227">
        <w:rPr>
          <w:rFonts w:ascii="Times New Roman" w:hAnsi="Times New Roman" w:cs="Times New Roman"/>
          <w:sz w:val="24"/>
          <w:szCs w:val="24"/>
        </w:rPr>
        <w:t>. In addition, to say that the exemplary practices are accepted does not mean that they are accepted invariantly by all the late practitioners. For example, it would be plausible to argue that de Vries and Bateson accepted and worked on the basis of Mendel’s exemplar practice, while Hurst and Punnett accepted and worked on the basis of Bateson’s exemplary practice rather than Mendel’s. This is why I argue that the origin of genetics is better characterised as a chain of exemplary practices rather than a set of exemplary practices.</w:t>
      </w:r>
    </w:p>
    <w:p w14:paraId="31793191" w14:textId="40E90114" w:rsidR="00EA3227" w:rsidRPr="00EA3227" w:rsidRDefault="00EA3227" w:rsidP="00EA3227">
      <w:pPr>
        <w:spacing w:after="200" w:line="480" w:lineRule="auto"/>
        <w:rPr>
          <w:rFonts w:ascii="Times New Roman" w:hAnsi="Times New Roman" w:cs="Times New Roman"/>
          <w:sz w:val="24"/>
          <w:szCs w:val="24"/>
        </w:rPr>
      </w:pPr>
      <w:r w:rsidRPr="00EA3227">
        <w:rPr>
          <w:rFonts w:ascii="Times New Roman" w:hAnsi="Times New Roman" w:cs="Times New Roman"/>
          <w:sz w:val="24"/>
          <w:szCs w:val="24"/>
        </w:rPr>
        <w:t xml:space="preserve">To some extent, characterising Mendel’s contribution as the introduction </w:t>
      </w:r>
      <w:r w:rsidR="003E4952">
        <w:rPr>
          <w:rFonts w:ascii="Times New Roman" w:hAnsi="Times New Roman" w:cs="Times New Roman"/>
          <w:sz w:val="24"/>
          <w:szCs w:val="24"/>
        </w:rPr>
        <w:t xml:space="preserve">of </w:t>
      </w:r>
      <w:r w:rsidRPr="00EA3227">
        <w:rPr>
          <w:rFonts w:ascii="Times New Roman" w:hAnsi="Times New Roman" w:cs="Times New Roman"/>
          <w:sz w:val="24"/>
          <w:szCs w:val="24"/>
        </w:rPr>
        <w:t xml:space="preserve">new problems and their solutions is not a completely new idea. In particular, the significance of Mendel’s introduction of new research problems had been highlighted by many historians </w:t>
      </w:r>
      <w:r w:rsidRPr="00EA3227">
        <w:rPr>
          <w:rFonts w:ascii="Times New Roman" w:hAnsi="Times New Roman" w:cs="Times New Roman"/>
          <w:sz w:val="24"/>
          <w:szCs w:val="24"/>
        </w:rPr>
        <w:fldChar w:fldCharType="begin" w:fldLock="1"/>
      </w:r>
      <w:r w:rsidR="005944A4">
        <w:rPr>
          <w:rFonts w:ascii="Times New Roman" w:hAnsi="Times New Roman" w:cs="Times New Roman"/>
          <w:sz w:val="24"/>
          <w:szCs w:val="24"/>
        </w:rPr>
        <w:instrText>ADDIN CSL_CITATION { "citationItems" : [ { "id" : "ITEM-1", "itemData" : { "author" : [ { "dropping-particle" : "", "family" : "Sandler", "given" : "Iris", "non-dropping-particle" : "", "parse-names" : false, "suffix" : "" }, { "dropping-particle" : "", "family" : "Sandler", "given" : "Laurence", "non-dropping-particle" : "", "parse-names" : false, "suffix" : "" } ], "container-title" : "History and Philosophy of the Life Sciences", "id" : "ITEM-1", "issue" : "1", "issued" : { "date-parts" : [ [ "1985" ] ] }, "page" : "3-70", "title" : "A Conceptual Ambiguity that Contributed to the Neglect of Mendel's Paper", "type" : "article-journal", "volume" : "7" }, "prefix" : "e.g., ", "uris" : [ "http://www.mendeley.com/documents/?uuid=94eb3092-4f7a-474b-af57-44c3ee476db3", "http://www.mendeley.com/documents/?uuid=ed59582e-50b8-45d7-a86e-22499ee18478" ] }, { "id" : "ITEM-2", "itemData" : { "author" : [ { "dropping-particle" : "", "family" : "Bowler", "given" : "Peter J.", "non-dropping-particle" : "", "parse-names" : false, "suffix" : "" } ], "id" : "ITEM-2", "issued" : { "date-parts" : [ [ "1989" ] ] }, "publisher" : "The Athlone Press", "publisher-place" : "London", "title" : "The Mendelian Revolution: The Emergence of Hereditarian Concepts in Modern Science and Society", "type" : "book" }, "uris" : [ "http://www.mendeley.com/documents/?uuid=2495919a-4165-4b31-a640-743d34b1129e", "http://www.mendeley.com/documents/?uuid=80de4068-bd69-4854-80e2-ca6aca1084bd" ] } ], "mendeley" : { "formattedCitation" : "(e.g., Sandler and Sandler 1985; Bowler 1989)", "plainTextFormattedCitation" : "(e.g., Sandler and Sandler 1985; Bowler 1989)", "previouslyFormattedCitation" : "(e.g., Sandler and Sandler 1985; Bowler 1989)" }, "properties" : { "noteIndex" : 0 }, "schema" : "https://github.com/citation-style-language/schema/raw/master/csl-citation.json" }</w:instrText>
      </w:r>
      <w:r w:rsidRPr="00EA3227">
        <w:rPr>
          <w:rFonts w:ascii="Times New Roman" w:hAnsi="Times New Roman" w:cs="Times New Roman"/>
          <w:sz w:val="24"/>
          <w:szCs w:val="24"/>
        </w:rPr>
        <w:fldChar w:fldCharType="separate"/>
      </w:r>
      <w:r w:rsidR="00EE4EC3" w:rsidRPr="00EE4EC3">
        <w:rPr>
          <w:rFonts w:ascii="Times New Roman" w:hAnsi="Times New Roman" w:cs="Times New Roman"/>
          <w:noProof/>
          <w:sz w:val="24"/>
          <w:szCs w:val="24"/>
        </w:rPr>
        <w:t>(e.g., Sandler and Sandler 1985; Bowler 1989)</w:t>
      </w:r>
      <w:r w:rsidRPr="00EA3227">
        <w:rPr>
          <w:rFonts w:ascii="Times New Roman" w:hAnsi="Times New Roman" w:cs="Times New Roman"/>
          <w:sz w:val="24"/>
          <w:szCs w:val="24"/>
        </w:rPr>
        <w:fldChar w:fldCharType="end"/>
      </w:r>
      <w:r w:rsidRPr="00EA3227">
        <w:rPr>
          <w:rFonts w:ascii="Times New Roman" w:hAnsi="Times New Roman" w:cs="Times New Roman"/>
          <w:sz w:val="24"/>
          <w:szCs w:val="24"/>
        </w:rPr>
        <w:t xml:space="preserve">. </w:t>
      </w:r>
      <w:r w:rsidRPr="00EA3227">
        <w:rPr>
          <w:rFonts w:ascii="Times New Roman" w:hAnsi="Times New Roman" w:cs="Times New Roman"/>
          <w:sz w:val="24"/>
          <w:szCs w:val="24"/>
        </w:rPr>
        <w:fldChar w:fldCharType="begin" w:fldLock="1"/>
      </w:r>
      <w:r w:rsidRPr="00EA3227">
        <w:rPr>
          <w:rFonts w:ascii="Times New Roman" w:hAnsi="Times New Roman" w:cs="Times New Roman"/>
          <w:sz w:val="24"/>
          <w:szCs w:val="24"/>
        </w:rPr>
        <w:instrText>(Gärtner, 1849, p. 293)</w:instrText>
      </w:r>
      <w:r w:rsidRPr="00EA3227">
        <w:rPr>
          <w:rFonts w:ascii="Times New Roman" w:hAnsi="Times New Roman" w:cs="Times New Roman"/>
          <w:sz w:val="24"/>
          <w:szCs w:val="24"/>
        </w:rPr>
        <w:fldChar w:fldCharType="separate"/>
      </w:r>
      <w:r w:rsidRPr="00EA3227">
        <w:rPr>
          <w:rFonts w:ascii="Times New Roman" w:hAnsi="Times New Roman" w:cs="Times New Roman"/>
          <w:noProof/>
          <w:sz w:val="24"/>
          <w:szCs w:val="24"/>
        </w:rPr>
        <w:t>(Gärtner, 1849, p. 293)</w:t>
      </w:r>
      <w:r w:rsidRPr="00EA3227">
        <w:rPr>
          <w:rFonts w:ascii="Times New Roman" w:hAnsi="Times New Roman" w:cs="Times New Roman"/>
          <w:sz w:val="24"/>
          <w:szCs w:val="24"/>
        </w:rPr>
        <w:fldChar w:fldCharType="end"/>
      </w:r>
      <w:r w:rsidRPr="00EA3227">
        <w:rPr>
          <w:rFonts w:ascii="Times New Roman" w:hAnsi="Times New Roman" w:cs="Times New Roman"/>
          <w:sz w:val="24"/>
          <w:szCs w:val="24"/>
        </w:rPr>
        <w:t xml:space="preserve">In particular, Iris Sandler and Laurence Sandler </w:t>
      </w:r>
      <w:r w:rsidR="00776C45" w:rsidRPr="00EA3227">
        <w:rPr>
          <w:rFonts w:ascii="Times New Roman" w:hAnsi="Times New Roman" w:cs="Times New Roman"/>
          <w:sz w:val="24"/>
          <w:szCs w:val="24"/>
        </w:rPr>
        <w:fldChar w:fldCharType="begin" w:fldLock="1"/>
      </w:r>
      <w:r w:rsidR="00593750">
        <w:rPr>
          <w:rFonts w:ascii="Times New Roman" w:hAnsi="Times New Roman" w:cs="Times New Roman"/>
          <w:sz w:val="24"/>
          <w:szCs w:val="24"/>
        </w:rPr>
        <w:instrText>ADDIN CSL_CITATION { "citationItems" : [ { "id" : "ITEM-1", "itemData" : { "author" : [ { "dropping-particle" : "", "family" : "Sandler", "given" : "Iris", "non-dropping-particle" : "", "parse-names" : false, "suffix" : "" }, { "dropping-particle" : "", "family" : "Sandler", "given" : "Laurence", "non-dropping-particle" : "", "parse-names" : false, "suffix" : "" } ], "container-title" : "History and Philosophy of the Life Sciences", "id" : "ITEM-1", "issue" : "1", "issued" : { "date-parts" : [ [ "1985" ] ] }, "page" : "3-70", "title" : "A Conceptual Ambiguity that Contributed to the Neglect of Mendel's Paper", "type" : "article-journal", "volume" : "7" }, "locator" : "69", "suppress-author" : 1, "uris" : [ "http://www.mendeley.com/documents/?uuid=ed59582e-50b8-45d7-a86e-22499ee18478", "http://www.mendeley.com/documents/?uuid=94eb3092-4f7a-474b-af57-44c3ee476db3" ] } ], "mendeley" : { "formattedCitation" : "(1985, 69)", "plainTextFormattedCitation" : "(1985, 69)", "previouslyFormattedCitation" : "(1985, 69)" }, "properties" : { "noteIndex" : 0 }, "schema" : "https://github.com/citation-style-language/schema/raw/master/csl-citation.json" }</w:instrText>
      </w:r>
      <w:r w:rsidR="00776C45" w:rsidRPr="00EA3227">
        <w:rPr>
          <w:rFonts w:ascii="Times New Roman" w:hAnsi="Times New Roman" w:cs="Times New Roman"/>
          <w:sz w:val="24"/>
          <w:szCs w:val="24"/>
        </w:rPr>
        <w:fldChar w:fldCharType="separate"/>
      </w:r>
      <w:r w:rsidR="00593750" w:rsidRPr="00593750">
        <w:rPr>
          <w:rFonts w:ascii="Times New Roman" w:hAnsi="Times New Roman" w:cs="Times New Roman"/>
          <w:noProof/>
          <w:sz w:val="24"/>
          <w:szCs w:val="24"/>
        </w:rPr>
        <w:t>(1985, 69)</w:t>
      </w:r>
      <w:r w:rsidR="00776C45" w:rsidRPr="00EA3227">
        <w:rPr>
          <w:rFonts w:ascii="Times New Roman" w:hAnsi="Times New Roman" w:cs="Times New Roman"/>
          <w:sz w:val="24"/>
          <w:szCs w:val="24"/>
        </w:rPr>
        <w:fldChar w:fldCharType="end"/>
      </w:r>
      <w:r w:rsidR="00776C45">
        <w:rPr>
          <w:rFonts w:ascii="Times New Roman" w:hAnsi="Times New Roman" w:cs="Times New Roman"/>
          <w:sz w:val="24"/>
          <w:szCs w:val="24"/>
        </w:rPr>
        <w:t xml:space="preserve"> </w:t>
      </w:r>
      <w:r w:rsidRPr="00EA3227">
        <w:rPr>
          <w:rFonts w:ascii="Times New Roman" w:hAnsi="Times New Roman" w:cs="Times New Roman"/>
          <w:sz w:val="24"/>
          <w:szCs w:val="24"/>
        </w:rPr>
        <w:t>exp</w:t>
      </w:r>
      <w:r w:rsidR="003B2ED3">
        <w:rPr>
          <w:rFonts w:ascii="Times New Roman" w:hAnsi="Times New Roman" w:cs="Times New Roman"/>
          <w:sz w:val="24"/>
          <w:szCs w:val="24"/>
        </w:rPr>
        <w:t>licitly pointed out that</w:t>
      </w:r>
      <w:r w:rsidR="00776C45" w:rsidRPr="00776C45">
        <w:rPr>
          <w:rFonts w:ascii="Times New Roman" w:hAnsi="Times New Roman" w:cs="Times New Roman"/>
          <w:sz w:val="24"/>
          <w:szCs w:val="24"/>
        </w:rPr>
        <w:t xml:space="preserve"> </w:t>
      </w:r>
      <w:r w:rsidR="00776C45">
        <w:rPr>
          <w:rFonts w:ascii="Times New Roman" w:hAnsi="Times New Roman" w:cs="Times New Roman"/>
          <w:sz w:val="24"/>
          <w:szCs w:val="24"/>
        </w:rPr>
        <w:t>“</w:t>
      </w:r>
      <w:r w:rsidR="00776C45" w:rsidRPr="00EA3227">
        <w:rPr>
          <w:rFonts w:ascii="Times New Roman" w:hAnsi="Times New Roman" w:cs="Times New Roman"/>
          <w:sz w:val="24"/>
          <w:szCs w:val="24"/>
        </w:rPr>
        <w:t>Mendel … defined his problem in purely genetic terms, and produced a correct and amazingly complete answer.</w:t>
      </w:r>
      <w:r w:rsidR="00776C45">
        <w:rPr>
          <w:rFonts w:ascii="Times New Roman" w:hAnsi="Times New Roman" w:cs="Times New Roman"/>
          <w:sz w:val="24"/>
          <w:szCs w:val="24"/>
        </w:rPr>
        <w:t>”</w:t>
      </w:r>
      <w:r w:rsidR="00776C45" w:rsidRPr="00EA3227">
        <w:rPr>
          <w:rFonts w:ascii="Times New Roman" w:hAnsi="Times New Roman" w:cs="Times New Roman"/>
          <w:sz w:val="24"/>
          <w:szCs w:val="24"/>
        </w:rPr>
        <w:t xml:space="preserve"> </w:t>
      </w:r>
      <w:r w:rsidR="00776C45" w:rsidRPr="00EA3227">
        <w:rPr>
          <w:rFonts w:ascii="Times New Roman" w:hAnsi="Times New Roman" w:cs="Times New Roman"/>
          <w:sz w:val="24"/>
          <w:szCs w:val="24"/>
        </w:rPr>
        <w:fldChar w:fldCharType="begin" w:fldLock="1"/>
      </w:r>
      <w:r w:rsidR="00776C45" w:rsidRPr="00EA3227">
        <w:rPr>
          <w:rFonts w:ascii="Times New Roman" w:hAnsi="Times New Roman" w:cs="Times New Roman"/>
          <w:sz w:val="24"/>
          <w:szCs w:val="24"/>
        </w:rPr>
        <w:instrText>(1979)</w:instrText>
      </w:r>
      <w:r w:rsidR="00776C45" w:rsidRPr="00EA3227">
        <w:rPr>
          <w:rFonts w:ascii="Times New Roman" w:hAnsi="Times New Roman" w:cs="Times New Roman"/>
          <w:sz w:val="24"/>
          <w:szCs w:val="24"/>
        </w:rPr>
        <w:fldChar w:fldCharType="separate"/>
      </w:r>
      <w:r w:rsidR="00776C45" w:rsidRPr="00EA3227">
        <w:rPr>
          <w:rFonts w:ascii="Times New Roman" w:hAnsi="Times New Roman" w:cs="Times New Roman"/>
          <w:noProof/>
          <w:sz w:val="24"/>
          <w:szCs w:val="24"/>
        </w:rPr>
        <w:t>(1979)</w:t>
      </w:r>
      <w:r w:rsidR="00776C45" w:rsidRPr="00EA3227">
        <w:rPr>
          <w:rFonts w:ascii="Times New Roman" w:hAnsi="Times New Roman" w:cs="Times New Roman"/>
          <w:sz w:val="24"/>
          <w:szCs w:val="24"/>
        </w:rPr>
        <w:fldChar w:fldCharType="end"/>
      </w:r>
      <w:r w:rsidR="001649CC">
        <w:rPr>
          <w:rFonts w:ascii="Times New Roman" w:hAnsi="Times New Roman" w:cs="Times New Roman"/>
          <w:sz w:val="24"/>
          <w:szCs w:val="24"/>
        </w:rPr>
        <w:t xml:space="preserve"> </w:t>
      </w:r>
      <w:r w:rsidRPr="00EA3227">
        <w:rPr>
          <w:rFonts w:ascii="Times New Roman" w:hAnsi="Times New Roman" w:cs="Times New Roman"/>
          <w:sz w:val="24"/>
          <w:szCs w:val="24"/>
        </w:rPr>
        <w:t>However, one crucial difference between Sandlers’ and my interpretation is that Sandlers’ focus is mainly historical. Little is said about what the problem is and what the answer is, or how the problem and its solution influence the successor’s work methodologically, conceptually, theoretically, etc.</w:t>
      </w:r>
      <w:r w:rsidR="00EA6B66">
        <w:rPr>
          <w:rFonts w:ascii="Times New Roman" w:hAnsi="Times New Roman" w:cs="Times New Roman"/>
          <w:sz w:val="24"/>
          <w:szCs w:val="24"/>
        </w:rPr>
        <w:t xml:space="preserve"> And this is </w:t>
      </w:r>
      <w:r w:rsidR="008110F6">
        <w:rPr>
          <w:rFonts w:ascii="Times New Roman" w:hAnsi="Times New Roman" w:cs="Times New Roman"/>
          <w:sz w:val="24"/>
          <w:szCs w:val="24"/>
        </w:rPr>
        <w:t>what</w:t>
      </w:r>
      <w:r w:rsidR="006C7DEC">
        <w:rPr>
          <w:rFonts w:ascii="Times New Roman" w:hAnsi="Times New Roman" w:cs="Times New Roman"/>
          <w:sz w:val="24"/>
          <w:szCs w:val="24"/>
        </w:rPr>
        <w:t xml:space="preserve"> </w:t>
      </w:r>
      <w:r w:rsidR="00EA6B66">
        <w:rPr>
          <w:rFonts w:ascii="Times New Roman" w:hAnsi="Times New Roman" w:cs="Times New Roman"/>
          <w:sz w:val="24"/>
          <w:szCs w:val="24"/>
        </w:rPr>
        <w:t>the reinterpretation of Kuhn’s exemplar can contribute</w:t>
      </w:r>
      <w:r w:rsidR="00E71F7A">
        <w:rPr>
          <w:rFonts w:ascii="Times New Roman" w:hAnsi="Times New Roman" w:cs="Times New Roman"/>
          <w:sz w:val="24"/>
          <w:szCs w:val="24"/>
        </w:rPr>
        <w:t xml:space="preserve"> to examine</w:t>
      </w:r>
      <w:r w:rsidR="00C56534">
        <w:rPr>
          <w:rFonts w:ascii="Times New Roman" w:hAnsi="Times New Roman" w:cs="Times New Roman"/>
          <w:sz w:val="24"/>
          <w:szCs w:val="24"/>
        </w:rPr>
        <w:t xml:space="preserve"> these issues</w:t>
      </w:r>
      <w:r w:rsidR="00EA6B66">
        <w:rPr>
          <w:rFonts w:ascii="Times New Roman" w:hAnsi="Times New Roman" w:cs="Times New Roman"/>
          <w:sz w:val="24"/>
          <w:szCs w:val="24"/>
        </w:rPr>
        <w:t>.</w:t>
      </w:r>
    </w:p>
    <w:p w14:paraId="25EF54E3" w14:textId="25C6BB86" w:rsidR="00EA3227" w:rsidRPr="00EA3227" w:rsidRDefault="00EA3227" w:rsidP="00AD24DB">
      <w:pPr>
        <w:spacing w:after="200" w:line="480" w:lineRule="auto"/>
        <w:rPr>
          <w:rFonts w:ascii="Times New Roman" w:hAnsi="Times New Roman" w:cs="Times New Roman"/>
          <w:sz w:val="24"/>
          <w:szCs w:val="24"/>
        </w:rPr>
      </w:pPr>
      <w:r w:rsidRPr="00EA3227">
        <w:rPr>
          <w:rFonts w:ascii="Times New Roman" w:hAnsi="Times New Roman" w:cs="Times New Roman"/>
          <w:sz w:val="24"/>
          <w:szCs w:val="24"/>
        </w:rPr>
        <w:t xml:space="preserve">To sum up, so far I have argued that Mendel’s contribution can be characterised as an introduction to new research problems and their corresponding solutions. The origin of </w:t>
      </w:r>
      <w:r w:rsidRPr="00EA3227">
        <w:rPr>
          <w:rFonts w:ascii="Times New Roman" w:hAnsi="Times New Roman" w:cs="Times New Roman"/>
          <w:sz w:val="24"/>
          <w:szCs w:val="24"/>
        </w:rPr>
        <w:lastRenderedPageBreak/>
        <w:t>genetics from Mendel to Bateson</w:t>
      </w:r>
      <w:r w:rsidR="008110F6" w:rsidRPr="00330659">
        <w:rPr>
          <w:rStyle w:val="FootnoteReference"/>
        </w:rPr>
        <w:footnoteReference w:id="26"/>
      </w:r>
      <w:r w:rsidRPr="00EA3227">
        <w:rPr>
          <w:rFonts w:ascii="Times New Roman" w:hAnsi="Times New Roman" w:cs="Times New Roman"/>
          <w:sz w:val="24"/>
          <w:szCs w:val="24"/>
        </w:rPr>
        <w:t xml:space="preserve"> is accordingly understood as a chain of exemplary practices. This is a good example of how a </w:t>
      </w:r>
      <w:r w:rsidR="00163A91" w:rsidRPr="00EA3227">
        <w:rPr>
          <w:rFonts w:ascii="Times New Roman" w:hAnsi="Times New Roman" w:cs="Times New Roman"/>
          <w:sz w:val="24"/>
          <w:szCs w:val="24"/>
        </w:rPr>
        <w:t>reinterpretation</w:t>
      </w:r>
      <w:r w:rsidRPr="00EA3227">
        <w:rPr>
          <w:rFonts w:ascii="Times New Roman" w:hAnsi="Times New Roman" w:cs="Times New Roman"/>
          <w:sz w:val="24"/>
          <w:szCs w:val="24"/>
        </w:rPr>
        <w:t xml:space="preserve"> of Kuhn’s exemplar can be helpful in our understanding of scientific change and pro</w:t>
      </w:r>
      <w:r w:rsidR="000841A9">
        <w:rPr>
          <w:rFonts w:ascii="Times New Roman" w:hAnsi="Times New Roman" w:cs="Times New Roman"/>
          <w:sz w:val="24"/>
          <w:szCs w:val="24"/>
        </w:rPr>
        <w:t>gress in the history of science</w:t>
      </w:r>
      <w:r w:rsidRPr="00EA3227">
        <w:rPr>
          <w:rFonts w:ascii="Times New Roman" w:hAnsi="Times New Roman" w:cs="Times New Roman"/>
          <w:sz w:val="24"/>
          <w:szCs w:val="24"/>
        </w:rPr>
        <w:t>.</w:t>
      </w:r>
    </w:p>
    <w:p w14:paraId="4B1B2BFC" w14:textId="4618B9D5" w:rsidR="00637BEA" w:rsidRPr="0008661E" w:rsidRDefault="001449D8" w:rsidP="00C5075C">
      <w:pPr>
        <w:spacing w:beforeLines="100" w:before="240" w:afterLines="100" w:after="240" w:line="480" w:lineRule="auto"/>
        <w:rPr>
          <w:rFonts w:ascii="Times New Roman" w:hAnsi="Times New Roman" w:cs="Times New Roman"/>
          <w:b/>
          <w:sz w:val="24"/>
          <w:szCs w:val="24"/>
        </w:rPr>
      </w:pPr>
      <w:r>
        <w:rPr>
          <w:rFonts w:ascii="Times New Roman" w:hAnsi="Times New Roman" w:cs="Times New Roman"/>
          <w:b/>
          <w:sz w:val="24"/>
          <w:szCs w:val="24"/>
        </w:rPr>
        <w:t>6</w:t>
      </w:r>
      <w:r w:rsidR="00F549BE" w:rsidRPr="0008661E">
        <w:rPr>
          <w:rFonts w:ascii="Times New Roman" w:hAnsi="Times New Roman" w:cs="Times New Roman"/>
          <w:b/>
          <w:sz w:val="24"/>
          <w:szCs w:val="24"/>
        </w:rPr>
        <w:t xml:space="preserve">. </w:t>
      </w:r>
      <w:r w:rsidR="00643CDB" w:rsidRPr="0008661E">
        <w:rPr>
          <w:rFonts w:ascii="Times New Roman" w:hAnsi="Times New Roman" w:cs="Times New Roman"/>
          <w:b/>
          <w:sz w:val="24"/>
          <w:szCs w:val="24"/>
        </w:rPr>
        <w:t>Conclusion</w:t>
      </w:r>
    </w:p>
    <w:p w14:paraId="70D7BB3C" w14:textId="655BE150" w:rsidR="00463C5D" w:rsidRPr="0008661E" w:rsidRDefault="00FA055F" w:rsidP="00C5075C">
      <w:pPr>
        <w:spacing w:beforeLines="100" w:before="240" w:afterLines="100" w:after="240" w:line="480" w:lineRule="auto"/>
        <w:rPr>
          <w:rFonts w:ascii="Times New Roman" w:hAnsi="Times New Roman" w:cs="Times New Roman"/>
          <w:sz w:val="24"/>
          <w:szCs w:val="24"/>
        </w:rPr>
      </w:pPr>
      <w:r>
        <w:rPr>
          <w:rFonts w:ascii="Times New Roman" w:hAnsi="Times New Roman" w:cs="Times New Roman"/>
          <w:sz w:val="24"/>
          <w:szCs w:val="24"/>
        </w:rPr>
        <w:t>In summary, f</w:t>
      </w:r>
      <w:r w:rsidR="007031AB" w:rsidRPr="0008661E">
        <w:rPr>
          <w:rFonts w:ascii="Times New Roman" w:hAnsi="Times New Roman" w:cs="Times New Roman"/>
          <w:sz w:val="24"/>
          <w:szCs w:val="24"/>
        </w:rPr>
        <w:t>irstly I argue that Kuhn made two major novel contributions to the philosophy of science in 1960s: the introd</w:t>
      </w:r>
      <w:r w:rsidR="004A5DE6">
        <w:rPr>
          <w:rFonts w:ascii="Times New Roman" w:hAnsi="Times New Roman" w:cs="Times New Roman"/>
          <w:sz w:val="24"/>
          <w:szCs w:val="24"/>
        </w:rPr>
        <w:t>uction of</w:t>
      </w:r>
      <w:r w:rsidR="007031AB" w:rsidRPr="0008661E">
        <w:rPr>
          <w:rFonts w:ascii="Times New Roman" w:hAnsi="Times New Roman" w:cs="Times New Roman"/>
          <w:sz w:val="24"/>
          <w:szCs w:val="24"/>
        </w:rPr>
        <w:t xml:space="preserve"> the conception of paradigm as an alternative to theory to analyse and understand the practice and history of science; and the proposal of the </w:t>
      </w:r>
      <w:r w:rsidR="00EE4EC3">
        <w:rPr>
          <w:rFonts w:ascii="Times New Roman" w:hAnsi="Times New Roman" w:cs="Times New Roman"/>
          <w:sz w:val="24"/>
          <w:szCs w:val="24"/>
        </w:rPr>
        <w:t xml:space="preserve">paradigm-based </w:t>
      </w:r>
      <w:r w:rsidR="007031AB" w:rsidRPr="0008661E">
        <w:rPr>
          <w:rFonts w:ascii="Times New Roman" w:hAnsi="Times New Roman" w:cs="Times New Roman"/>
          <w:sz w:val="24"/>
          <w:szCs w:val="24"/>
        </w:rPr>
        <w:t>incommensurability thesis. Secondly, I argue</w:t>
      </w:r>
      <w:r w:rsidR="00A71B74" w:rsidRPr="0008661E">
        <w:rPr>
          <w:rFonts w:ascii="Times New Roman" w:hAnsi="Times New Roman" w:cs="Times New Roman"/>
          <w:sz w:val="24"/>
          <w:szCs w:val="24"/>
        </w:rPr>
        <w:t xml:space="preserve"> that Kuhn</w:t>
      </w:r>
      <w:r w:rsidR="007031AB" w:rsidRPr="0008661E">
        <w:rPr>
          <w:rFonts w:ascii="Times New Roman" w:hAnsi="Times New Roman" w:cs="Times New Roman"/>
          <w:sz w:val="24"/>
          <w:szCs w:val="24"/>
        </w:rPr>
        <w:t xml:space="preserve">’s </w:t>
      </w:r>
      <w:r w:rsidR="00C82999">
        <w:rPr>
          <w:rFonts w:ascii="Times New Roman" w:hAnsi="Times New Roman" w:cs="Times New Roman"/>
          <w:sz w:val="24"/>
          <w:szCs w:val="24"/>
        </w:rPr>
        <w:t>conceptual</w:t>
      </w:r>
      <w:r>
        <w:rPr>
          <w:rFonts w:ascii="Times New Roman" w:hAnsi="Times New Roman" w:cs="Times New Roman"/>
          <w:sz w:val="24"/>
          <w:szCs w:val="24"/>
        </w:rPr>
        <w:t>/terminological</w:t>
      </w:r>
      <w:r w:rsidR="00A71B74" w:rsidRPr="0008661E">
        <w:rPr>
          <w:rFonts w:ascii="Times New Roman" w:hAnsi="Times New Roman" w:cs="Times New Roman"/>
          <w:sz w:val="24"/>
          <w:szCs w:val="24"/>
        </w:rPr>
        <w:t xml:space="preserve"> turn</w:t>
      </w:r>
      <w:r w:rsidR="007031AB" w:rsidRPr="0008661E">
        <w:rPr>
          <w:rFonts w:ascii="Times New Roman" w:hAnsi="Times New Roman" w:cs="Times New Roman"/>
          <w:sz w:val="24"/>
          <w:szCs w:val="24"/>
        </w:rPr>
        <w:t xml:space="preserve"> (from paradigm to theory) underlies </w:t>
      </w:r>
      <w:r w:rsidR="00A71B74" w:rsidRPr="0008661E">
        <w:rPr>
          <w:rFonts w:ascii="Times New Roman" w:hAnsi="Times New Roman" w:cs="Times New Roman"/>
          <w:sz w:val="24"/>
          <w:szCs w:val="24"/>
        </w:rPr>
        <w:t>the</w:t>
      </w:r>
      <w:r w:rsidR="005E763B">
        <w:rPr>
          <w:rFonts w:ascii="Times New Roman" w:hAnsi="Times New Roman" w:cs="Times New Roman"/>
          <w:sz w:val="24"/>
          <w:szCs w:val="24"/>
        </w:rPr>
        <w:t xml:space="preserve"> shift of Kuhn’s focus upon</w:t>
      </w:r>
      <w:r w:rsidR="00E62D84" w:rsidRPr="0008661E">
        <w:rPr>
          <w:rFonts w:ascii="Times New Roman" w:hAnsi="Times New Roman" w:cs="Times New Roman"/>
          <w:sz w:val="24"/>
          <w:szCs w:val="24"/>
        </w:rPr>
        <w:t xml:space="preserve"> the incommensurability from the semantic, methodological and cognitive aspects to the semantic aspect only</w:t>
      </w:r>
      <w:r w:rsidR="007031AB" w:rsidRPr="0008661E">
        <w:rPr>
          <w:rFonts w:ascii="Times New Roman" w:hAnsi="Times New Roman" w:cs="Times New Roman"/>
          <w:sz w:val="24"/>
          <w:szCs w:val="24"/>
        </w:rPr>
        <w:t xml:space="preserve">, and </w:t>
      </w:r>
      <w:r w:rsidR="005E763B">
        <w:rPr>
          <w:rFonts w:ascii="Times New Roman" w:hAnsi="Times New Roman" w:cs="Times New Roman"/>
          <w:sz w:val="24"/>
          <w:szCs w:val="24"/>
        </w:rPr>
        <w:t xml:space="preserve">underlies </w:t>
      </w:r>
      <w:r w:rsidR="007031AB" w:rsidRPr="0008661E">
        <w:rPr>
          <w:rFonts w:ascii="Times New Roman" w:hAnsi="Times New Roman" w:cs="Times New Roman"/>
          <w:sz w:val="24"/>
          <w:szCs w:val="24"/>
        </w:rPr>
        <w:t>the methodological turn</w:t>
      </w:r>
      <w:r w:rsidR="004A5DE6">
        <w:rPr>
          <w:rFonts w:ascii="Times New Roman" w:hAnsi="Times New Roman" w:cs="Times New Roman"/>
          <w:sz w:val="24"/>
          <w:szCs w:val="24"/>
        </w:rPr>
        <w:t xml:space="preserve"> from a naturalistic approach and a priori approach</w:t>
      </w:r>
      <w:r w:rsidR="007031AB" w:rsidRPr="0008661E">
        <w:rPr>
          <w:rFonts w:ascii="Times New Roman" w:hAnsi="Times New Roman" w:cs="Times New Roman"/>
          <w:sz w:val="24"/>
          <w:szCs w:val="24"/>
        </w:rPr>
        <w:t xml:space="preserve">. </w:t>
      </w:r>
      <w:r w:rsidR="00E62D84" w:rsidRPr="0008661E">
        <w:rPr>
          <w:rFonts w:ascii="Times New Roman" w:hAnsi="Times New Roman" w:cs="Times New Roman"/>
          <w:sz w:val="24"/>
          <w:szCs w:val="24"/>
        </w:rPr>
        <w:t xml:space="preserve">I </w:t>
      </w:r>
      <w:r>
        <w:rPr>
          <w:rFonts w:ascii="Times New Roman" w:hAnsi="Times New Roman" w:cs="Times New Roman"/>
          <w:sz w:val="24"/>
          <w:szCs w:val="24"/>
        </w:rPr>
        <w:t xml:space="preserve">thus </w:t>
      </w:r>
      <w:r w:rsidR="00E62D84" w:rsidRPr="0008661E">
        <w:rPr>
          <w:rFonts w:ascii="Times New Roman" w:hAnsi="Times New Roman" w:cs="Times New Roman"/>
          <w:sz w:val="24"/>
          <w:szCs w:val="24"/>
        </w:rPr>
        <w:t>ar</w:t>
      </w:r>
      <w:r w:rsidR="005E763B">
        <w:rPr>
          <w:rFonts w:ascii="Times New Roman" w:hAnsi="Times New Roman" w:cs="Times New Roman"/>
          <w:sz w:val="24"/>
          <w:szCs w:val="24"/>
        </w:rPr>
        <w:t>gue that it is Kuhn’s failure to explore</w:t>
      </w:r>
      <w:r w:rsidR="00E62D84" w:rsidRPr="0008661E">
        <w:rPr>
          <w:rFonts w:ascii="Times New Roman" w:hAnsi="Times New Roman" w:cs="Times New Roman"/>
          <w:sz w:val="24"/>
          <w:szCs w:val="24"/>
        </w:rPr>
        <w:t xml:space="preserve"> and </w:t>
      </w:r>
      <w:r w:rsidR="005E763B">
        <w:rPr>
          <w:rFonts w:ascii="Times New Roman" w:hAnsi="Times New Roman" w:cs="Times New Roman"/>
          <w:sz w:val="24"/>
          <w:szCs w:val="24"/>
        </w:rPr>
        <w:t>articulate</w:t>
      </w:r>
      <w:r w:rsidR="009B0BC8">
        <w:rPr>
          <w:rFonts w:ascii="Times New Roman" w:hAnsi="Times New Roman" w:cs="Times New Roman"/>
          <w:sz w:val="24"/>
          <w:szCs w:val="24"/>
        </w:rPr>
        <w:t xml:space="preserve"> his novel concept of paradigm</w:t>
      </w:r>
      <w:r w:rsidR="00E62D84" w:rsidRPr="0008661E">
        <w:rPr>
          <w:rFonts w:ascii="Times New Roman" w:hAnsi="Times New Roman" w:cs="Times New Roman"/>
          <w:sz w:val="24"/>
          <w:szCs w:val="24"/>
        </w:rPr>
        <w:t xml:space="preserve"> </w:t>
      </w:r>
      <w:r w:rsidR="00134D81" w:rsidRPr="0008661E">
        <w:rPr>
          <w:rFonts w:ascii="Times New Roman" w:hAnsi="Times New Roman" w:cs="Times New Roman"/>
          <w:sz w:val="24"/>
          <w:szCs w:val="24"/>
          <w:lang w:eastAsia="zh-CN"/>
        </w:rPr>
        <w:t xml:space="preserve">as exemplar </w:t>
      </w:r>
      <w:r w:rsidR="005E763B">
        <w:rPr>
          <w:rFonts w:ascii="Times New Roman" w:hAnsi="Times New Roman" w:cs="Times New Roman"/>
          <w:sz w:val="24"/>
          <w:szCs w:val="24"/>
          <w:lang w:eastAsia="zh-CN"/>
        </w:rPr>
        <w:t xml:space="preserve">which </w:t>
      </w:r>
      <w:r w:rsidR="00E62D84" w:rsidRPr="0008661E">
        <w:rPr>
          <w:rFonts w:ascii="Times New Roman" w:hAnsi="Times New Roman" w:cs="Times New Roman"/>
          <w:sz w:val="24"/>
          <w:szCs w:val="24"/>
        </w:rPr>
        <w:t xml:space="preserve">makes the incommensurability thesis less </w:t>
      </w:r>
      <w:r w:rsidR="00D0194F" w:rsidRPr="0008661E">
        <w:rPr>
          <w:rFonts w:ascii="Times New Roman" w:hAnsi="Times New Roman" w:cs="Times New Roman"/>
          <w:sz w:val="24"/>
          <w:szCs w:val="24"/>
        </w:rPr>
        <w:t xml:space="preserve">fruitful and </w:t>
      </w:r>
      <w:r w:rsidR="00E62D84" w:rsidRPr="0008661E">
        <w:rPr>
          <w:rFonts w:ascii="Times New Roman" w:hAnsi="Times New Roman" w:cs="Times New Roman"/>
          <w:sz w:val="24"/>
          <w:szCs w:val="24"/>
        </w:rPr>
        <w:t>plausible.</w:t>
      </w:r>
      <w:r w:rsidR="00C34EC5" w:rsidRPr="0008661E">
        <w:rPr>
          <w:rFonts w:ascii="Times New Roman" w:hAnsi="Times New Roman" w:cs="Times New Roman"/>
          <w:sz w:val="24"/>
          <w:szCs w:val="24"/>
          <w:lang w:val="en-US" w:eastAsia="zh-CN"/>
        </w:rPr>
        <w:t xml:space="preserve"> </w:t>
      </w:r>
      <w:r w:rsidR="002E4E35">
        <w:rPr>
          <w:rFonts w:ascii="Times New Roman" w:hAnsi="Times New Roman" w:cs="Times New Roman"/>
          <w:sz w:val="24"/>
          <w:szCs w:val="24"/>
          <w:lang w:val="en-US" w:eastAsia="zh-CN"/>
        </w:rPr>
        <w:t>Since</w:t>
      </w:r>
      <w:r w:rsidR="00125D86">
        <w:rPr>
          <w:rFonts w:ascii="Times New Roman" w:hAnsi="Times New Roman" w:cs="Times New Roman"/>
          <w:sz w:val="24"/>
          <w:szCs w:val="24"/>
          <w:lang w:val="en-US" w:eastAsia="zh-CN"/>
        </w:rPr>
        <w:t xml:space="preserve"> the introduction of</w:t>
      </w:r>
      <w:r w:rsidR="00CC3C2E">
        <w:rPr>
          <w:rFonts w:ascii="Times New Roman" w:hAnsi="Times New Roman" w:cs="Times New Roman"/>
          <w:sz w:val="24"/>
          <w:szCs w:val="24"/>
          <w:lang w:val="en-US" w:eastAsia="zh-CN"/>
        </w:rPr>
        <w:t xml:space="preserve"> the conception of exemplar is, as Kuhn himself recogni</w:t>
      </w:r>
      <w:r w:rsidR="00D4766A">
        <w:rPr>
          <w:rFonts w:ascii="Times New Roman" w:hAnsi="Times New Roman" w:cs="Times New Roman"/>
          <w:sz w:val="24"/>
          <w:szCs w:val="24"/>
          <w:lang w:val="en-US" w:eastAsia="zh-CN"/>
        </w:rPr>
        <w:t>zes, his</w:t>
      </w:r>
      <w:r w:rsidR="00CC3C2E">
        <w:rPr>
          <w:rFonts w:ascii="Times New Roman" w:hAnsi="Times New Roman" w:cs="Times New Roman"/>
          <w:sz w:val="24"/>
          <w:szCs w:val="24"/>
          <w:lang w:val="en-US" w:eastAsia="zh-CN"/>
        </w:rPr>
        <w:t xml:space="preserve"> most novel and important contribution</w:t>
      </w:r>
      <w:r w:rsidR="002E4E35">
        <w:rPr>
          <w:rFonts w:ascii="Times New Roman" w:hAnsi="Times New Roman" w:cs="Times New Roman"/>
          <w:sz w:val="24"/>
          <w:szCs w:val="24"/>
          <w:lang w:val="en-US" w:eastAsia="zh-CN"/>
        </w:rPr>
        <w:t>, I argue that it is also</w:t>
      </w:r>
      <w:r w:rsidR="00D4766A">
        <w:rPr>
          <w:rFonts w:ascii="Times New Roman" w:hAnsi="Times New Roman" w:cs="Times New Roman"/>
          <w:sz w:val="24"/>
          <w:szCs w:val="24"/>
          <w:lang w:val="en-US" w:eastAsia="zh-CN"/>
        </w:rPr>
        <w:t xml:space="preserve"> an important legacy for contemporary philosophy of science</w:t>
      </w:r>
      <w:r w:rsidR="00CC3C2E">
        <w:rPr>
          <w:rFonts w:ascii="Times New Roman" w:hAnsi="Times New Roman" w:cs="Times New Roman"/>
          <w:sz w:val="24"/>
          <w:szCs w:val="24"/>
          <w:lang w:val="en-US" w:eastAsia="zh-CN"/>
        </w:rPr>
        <w:t>.</w:t>
      </w:r>
      <w:r w:rsidR="00B75E31" w:rsidRPr="0008661E">
        <w:rPr>
          <w:rFonts w:ascii="Times New Roman" w:hAnsi="Times New Roman" w:cs="Times New Roman"/>
          <w:sz w:val="24"/>
          <w:szCs w:val="24"/>
          <w:lang w:val="en-US" w:eastAsia="zh-CN"/>
        </w:rPr>
        <w:t xml:space="preserve"> </w:t>
      </w:r>
      <w:r w:rsidR="00EA6B66">
        <w:rPr>
          <w:rFonts w:ascii="Times New Roman" w:hAnsi="Times New Roman" w:cs="Times New Roman"/>
          <w:sz w:val="24"/>
          <w:szCs w:val="24"/>
          <w:lang w:val="en-US" w:eastAsia="zh-CN"/>
        </w:rPr>
        <w:t xml:space="preserve">Finally, I have </w:t>
      </w:r>
      <w:r w:rsidR="004A5DE6">
        <w:rPr>
          <w:rFonts w:ascii="Times New Roman" w:hAnsi="Times New Roman" w:cs="Times New Roman"/>
          <w:sz w:val="24"/>
          <w:szCs w:val="24"/>
          <w:lang w:val="en-US" w:eastAsia="zh-CN"/>
        </w:rPr>
        <w:t xml:space="preserve">proposed a new interpretation of exemplar, and </w:t>
      </w:r>
      <w:r w:rsidR="005E763B">
        <w:rPr>
          <w:rFonts w:ascii="Times New Roman" w:hAnsi="Times New Roman" w:cs="Times New Roman"/>
          <w:sz w:val="24"/>
          <w:szCs w:val="24"/>
          <w:lang w:val="en-US" w:eastAsia="zh-CN"/>
        </w:rPr>
        <w:t>shown</w:t>
      </w:r>
      <w:r w:rsidR="00EA6B66">
        <w:rPr>
          <w:rFonts w:ascii="Times New Roman" w:hAnsi="Times New Roman" w:cs="Times New Roman"/>
          <w:sz w:val="24"/>
          <w:szCs w:val="24"/>
          <w:lang w:val="en-US" w:eastAsia="zh-CN"/>
        </w:rPr>
        <w:t xml:space="preserve"> how an exemplar-based approach can help to understand the development and pro</w:t>
      </w:r>
      <w:r w:rsidR="00CD1A50">
        <w:rPr>
          <w:rFonts w:ascii="Times New Roman" w:hAnsi="Times New Roman" w:cs="Times New Roman"/>
          <w:sz w:val="24"/>
          <w:szCs w:val="24"/>
          <w:lang w:val="en-US" w:eastAsia="zh-CN"/>
        </w:rPr>
        <w:t>gress in the history of science</w:t>
      </w:r>
      <w:r w:rsidR="00EA6B66">
        <w:rPr>
          <w:rFonts w:ascii="Times New Roman" w:hAnsi="Times New Roman" w:cs="Times New Roman"/>
          <w:sz w:val="24"/>
          <w:szCs w:val="24"/>
          <w:lang w:val="en-US" w:eastAsia="zh-CN"/>
        </w:rPr>
        <w:t xml:space="preserve">. </w:t>
      </w:r>
      <w:r w:rsidR="00D81878">
        <w:rPr>
          <w:rFonts w:ascii="Times New Roman" w:hAnsi="Times New Roman" w:cs="Times New Roman"/>
          <w:sz w:val="24"/>
          <w:szCs w:val="24"/>
          <w:lang w:val="en-US" w:eastAsia="zh-CN"/>
        </w:rPr>
        <w:t>Along with Bird, I argue that t</w:t>
      </w:r>
      <w:r w:rsidR="00F02A22">
        <w:rPr>
          <w:rFonts w:ascii="Times New Roman" w:hAnsi="Times New Roman" w:cs="Times New Roman"/>
          <w:sz w:val="24"/>
          <w:szCs w:val="24"/>
          <w:lang w:val="en-US" w:eastAsia="zh-CN"/>
        </w:rPr>
        <w:t>here is</w:t>
      </w:r>
      <w:r>
        <w:rPr>
          <w:rFonts w:ascii="Times New Roman" w:hAnsi="Times New Roman" w:cs="Times New Roman"/>
          <w:sz w:val="24"/>
          <w:szCs w:val="24"/>
          <w:lang w:val="en-US" w:eastAsia="zh-CN"/>
        </w:rPr>
        <w:t xml:space="preserve"> still</w:t>
      </w:r>
      <w:r w:rsidR="00F02A22">
        <w:rPr>
          <w:rFonts w:ascii="Times New Roman" w:hAnsi="Times New Roman" w:cs="Times New Roman"/>
          <w:sz w:val="24"/>
          <w:szCs w:val="24"/>
          <w:lang w:val="en-US" w:eastAsia="zh-CN"/>
        </w:rPr>
        <w:t xml:space="preserve"> much more to do on Kuhn’s legacy. </w:t>
      </w:r>
      <w:r w:rsidR="00B75E31" w:rsidRPr="0008661E">
        <w:rPr>
          <w:rFonts w:ascii="Times New Roman" w:hAnsi="Times New Roman" w:cs="Times New Roman"/>
          <w:sz w:val="24"/>
          <w:szCs w:val="24"/>
          <w:lang w:val="en-US" w:eastAsia="zh-CN"/>
        </w:rPr>
        <w:t>Kuhn’s philosophy is not dead, and should not be dead.</w:t>
      </w:r>
    </w:p>
    <w:p w14:paraId="442BEF61" w14:textId="7EED4E09" w:rsidR="00730324" w:rsidRPr="0008661E" w:rsidRDefault="00367530" w:rsidP="00C5075C">
      <w:pPr>
        <w:spacing w:beforeLines="100" w:before="240" w:afterLines="100" w:after="240" w:line="480" w:lineRule="auto"/>
        <w:rPr>
          <w:rFonts w:ascii="Times New Roman" w:hAnsi="Times New Roman" w:cs="Times New Roman"/>
          <w:b/>
          <w:sz w:val="24"/>
          <w:szCs w:val="24"/>
          <w:lang w:val="en-US" w:eastAsia="zh-CN"/>
        </w:rPr>
      </w:pPr>
      <w:r w:rsidRPr="0008661E">
        <w:rPr>
          <w:rFonts w:ascii="Times New Roman" w:hAnsi="Times New Roman" w:cs="Times New Roman"/>
          <w:b/>
          <w:sz w:val="24"/>
          <w:szCs w:val="24"/>
          <w:lang w:val="en-US" w:eastAsia="zh-CN"/>
        </w:rPr>
        <w:t>References</w:t>
      </w:r>
    </w:p>
    <w:p w14:paraId="330842C4" w14:textId="296788B0" w:rsidR="00166055" w:rsidRPr="00166055" w:rsidRDefault="00367530"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08661E">
        <w:rPr>
          <w:rFonts w:ascii="Times New Roman" w:hAnsi="Times New Roman" w:cs="Times New Roman"/>
          <w:sz w:val="24"/>
          <w:szCs w:val="24"/>
          <w:lang w:val="en-US"/>
        </w:rPr>
        <w:fldChar w:fldCharType="begin" w:fldLock="1"/>
      </w:r>
      <w:r w:rsidRPr="0008661E">
        <w:rPr>
          <w:rFonts w:ascii="Times New Roman" w:hAnsi="Times New Roman" w:cs="Times New Roman"/>
          <w:sz w:val="24"/>
          <w:szCs w:val="24"/>
          <w:lang w:val="en-US"/>
        </w:rPr>
        <w:instrText xml:space="preserve">ADDIN Mendeley Bibliography CSL_BIBLIOGRAPHY </w:instrText>
      </w:r>
      <w:r w:rsidRPr="0008661E">
        <w:rPr>
          <w:rFonts w:ascii="Times New Roman" w:hAnsi="Times New Roman" w:cs="Times New Roman"/>
          <w:sz w:val="24"/>
          <w:szCs w:val="24"/>
          <w:lang w:val="en-US"/>
        </w:rPr>
        <w:fldChar w:fldCharType="separate"/>
      </w:r>
      <w:r w:rsidR="00166055" w:rsidRPr="00166055">
        <w:rPr>
          <w:rFonts w:ascii="Times New Roman" w:hAnsi="Times New Roman" w:cs="Times New Roman"/>
          <w:noProof/>
          <w:sz w:val="24"/>
          <w:szCs w:val="24"/>
          <w:lang w:val="en-US"/>
        </w:rPr>
        <w:t xml:space="preserve">Babich, Babette E. 2003. “From Fleck’s Denkstil to Kuhn’s Paradigm: Conceptual Schemes </w:t>
      </w:r>
      <w:r w:rsidR="00166055" w:rsidRPr="00166055">
        <w:rPr>
          <w:rFonts w:ascii="Times New Roman" w:hAnsi="Times New Roman" w:cs="Times New Roman"/>
          <w:noProof/>
          <w:sz w:val="24"/>
          <w:szCs w:val="24"/>
          <w:lang w:val="en-US"/>
        </w:rPr>
        <w:lastRenderedPageBreak/>
        <w:t xml:space="preserve">and Incommensurability.” </w:t>
      </w:r>
      <w:r w:rsidR="00166055" w:rsidRPr="00166055">
        <w:rPr>
          <w:rFonts w:ascii="Times New Roman" w:hAnsi="Times New Roman" w:cs="Times New Roman"/>
          <w:i/>
          <w:iCs/>
          <w:noProof/>
          <w:sz w:val="24"/>
          <w:szCs w:val="24"/>
          <w:lang w:val="en-US"/>
        </w:rPr>
        <w:t>International Studies in the Philosophy of Science</w:t>
      </w:r>
      <w:r w:rsidR="00166055" w:rsidRPr="00166055">
        <w:rPr>
          <w:rFonts w:ascii="Times New Roman" w:hAnsi="Times New Roman" w:cs="Times New Roman"/>
          <w:noProof/>
          <w:sz w:val="24"/>
          <w:szCs w:val="24"/>
          <w:lang w:val="en-US"/>
        </w:rPr>
        <w:t xml:space="preserve"> 17 (1): 75–92.</w:t>
      </w:r>
    </w:p>
    <w:p w14:paraId="5EF61C30"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Bateson, William. 1902. </w:t>
      </w:r>
      <w:r w:rsidRPr="00166055">
        <w:rPr>
          <w:rFonts w:ascii="Times New Roman" w:hAnsi="Times New Roman" w:cs="Times New Roman"/>
          <w:i/>
          <w:iCs/>
          <w:noProof/>
          <w:sz w:val="24"/>
          <w:szCs w:val="24"/>
          <w:lang w:val="en-US"/>
        </w:rPr>
        <w:t>Mendel’s Principles of Heredity: A Defence</w:t>
      </w:r>
      <w:r w:rsidRPr="00166055">
        <w:rPr>
          <w:rFonts w:ascii="Times New Roman" w:hAnsi="Times New Roman" w:cs="Times New Roman"/>
          <w:noProof/>
          <w:sz w:val="24"/>
          <w:szCs w:val="24"/>
          <w:lang w:val="en-US"/>
        </w:rPr>
        <w:t>. Cambridge: Cambridge University Press.</w:t>
      </w:r>
    </w:p>
    <w:p w14:paraId="22A4461D"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1909. </w:t>
      </w:r>
      <w:r w:rsidRPr="00166055">
        <w:rPr>
          <w:rFonts w:ascii="Times New Roman" w:hAnsi="Times New Roman" w:cs="Times New Roman"/>
          <w:i/>
          <w:iCs/>
          <w:noProof/>
          <w:sz w:val="24"/>
          <w:szCs w:val="24"/>
          <w:lang w:val="en-US"/>
        </w:rPr>
        <w:t>Mendel’s Principles of Heredity</w:t>
      </w:r>
      <w:r w:rsidRPr="00166055">
        <w:rPr>
          <w:rFonts w:ascii="Times New Roman" w:hAnsi="Times New Roman" w:cs="Times New Roman"/>
          <w:noProof/>
          <w:sz w:val="24"/>
          <w:szCs w:val="24"/>
          <w:lang w:val="en-US"/>
        </w:rPr>
        <w:t>. Cambridge: Cambridge University Press.</w:t>
      </w:r>
    </w:p>
    <w:p w14:paraId="132296DD"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Bird, Alexander. 2002. “Kuhn’s Wrong Turning.” </w:t>
      </w:r>
      <w:r w:rsidRPr="00166055">
        <w:rPr>
          <w:rFonts w:ascii="Times New Roman" w:hAnsi="Times New Roman" w:cs="Times New Roman"/>
          <w:i/>
          <w:iCs/>
          <w:noProof/>
          <w:sz w:val="24"/>
          <w:szCs w:val="24"/>
          <w:lang w:val="en-US"/>
        </w:rPr>
        <w:t>Studies in History and Philosophy of Science</w:t>
      </w:r>
      <w:r w:rsidRPr="00166055">
        <w:rPr>
          <w:rFonts w:ascii="Times New Roman" w:hAnsi="Times New Roman" w:cs="Times New Roman"/>
          <w:noProof/>
          <w:sz w:val="24"/>
          <w:szCs w:val="24"/>
          <w:lang w:val="en-US"/>
        </w:rPr>
        <w:t xml:space="preserve"> 33 (3): 443–63.</w:t>
      </w:r>
    </w:p>
    <w:p w14:paraId="310244F9" w14:textId="6AD3BEF8"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2005. “Naturalizing Kuhn.” </w:t>
      </w:r>
      <w:r w:rsidRPr="00166055">
        <w:rPr>
          <w:rFonts w:ascii="Times New Roman" w:hAnsi="Times New Roman" w:cs="Times New Roman"/>
          <w:i/>
          <w:iCs/>
          <w:noProof/>
          <w:sz w:val="24"/>
          <w:szCs w:val="24"/>
          <w:lang w:val="en-US"/>
        </w:rPr>
        <w:t>Proceedings of the Aristotelian Society</w:t>
      </w:r>
      <w:r w:rsidRPr="00166055">
        <w:rPr>
          <w:rFonts w:ascii="Times New Roman" w:hAnsi="Times New Roman" w:cs="Times New Roman"/>
          <w:noProof/>
          <w:sz w:val="24"/>
          <w:szCs w:val="24"/>
          <w:lang w:val="en-US"/>
        </w:rPr>
        <w:t xml:space="preserve"> 105 (1): 99–117. </w:t>
      </w:r>
    </w:p>
    <w:p w14:paraId="3F1CD023"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2008. “Incommensurability Naturalized.” In </w:t>
      </w:r>
      <w:r w:rsidRPr="00166055">
        <w:rPr>
          <w:rFonts w:ascii="Times New Roman" w:hAnsi="Times New Roman" w:cs="Times New Roman"/>
          <w:i/>
          <w:iCs/>
          <w:noProof/>
          <w:sz w:val="24"/>
          <w:szCs w:val="24"/>
          <w:lang w:val="en-US"/>
        </w:rPr>
        <w:t>Rethinking Scientific Change and Theory Comparison: Stabilities, Ruptures, Incommensurabilities? (Boston Studies in the Philosophy and History of Science)</w:t>
      </w:r>
      <w:r w:rsidRPr="00166055">
        <w:rPr>
          <w:rFonts w:ascii="Times New Roman" w:hAnsi="Times New Roman" w:cs="Times New Roman"/>
          <w:noProof/>
          <w:sz w:val="24"/>
          <w:szCs w:val="24"/>
          <w:lang w:val="en-US"/>
        </w:rPr>
        <w:t>, edited by Léna Soler, Howard Sankey, and Paul Hoyningen-Huene, 21–39. Dordrecht: Springer.</w:t>
      </w:r>
    </w:p>
    <w:p w14:paraId="4F6993B9"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Bowler, Peter J. 1989. </w:t>
      </w:r>
      <w:r w:rsidRPr="00166055">
        <w:rPr>
          <w:rFonts w:ascii="Times New Roman" w:hAnsi="Times New Roman" w:cs="Times New Roman"/>
          <w:i/>
          <w:iCs/>
          <w:noProof/>
          <w:sz w:val="24"/>
          <w:szCs w:val="24"/>
          <w:lang w:val="en-US"/>
        </w:rPr>
        <w:t>The Mendelian Revolution: The Emergence of Hereditarian Concepts in Modern Science and Society</w:t>
      </w:r>
      <w:r w:rsidRPr="00166055">
        <w:rPr>
          <w:rFonts w:ascii="Times New Roman" w:hAnsi="Times New Roman" w:cs="Times New Roman"/>
          <w:noProof/>
          <w:sz w:val="24"/>
          <w:szCs w:val="24"/>
          <w:lang w:val="en-US"/>
        </w:rPr>
        <w:t>. London: The Athlone Press.</w:t>
      </w:r>
    </w:p>
    <w:p w14:paraId="20550536" w14:textId="677D4168" w:rsidR="00166055" w:rsidRPr="00166055" w:rsidRDefault="00A043B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Pr>
          <w:rFonts w:ascii="Times New Roman" w:hAnsi="Times New Roman" w:cs="Times New Roman"/>
          <w:noProof/>
          <w:sz w:val="24"/>
          <w:szCs w:val="24"/>
          <w:lang w:val="en-US"/>
        </w:rPr>
        <w:t>Brannigan, A. 1979</w:t>
      </w:r>
      <w:r w:rsidR="00166055" w:rsidRPr="00166055">
        <w:rPr>
          <w:rFonts w:ascii="Times New Roman" w:hAnsi="Times New Roman" w:cs="Times New Roman"/>
          <w:noProof/>
          <w:sz w:val="24"/>
          <w:szCs w:val="24"/>
          <w:lang w:val="en-US"/>
        </w:rPr>
        <w:t xml:space="preserve">. “The Reification of Mendel.” </w:t>
      </w:r>
      <w:r w:rsidR="00166055" w:rsidRPr="00166055">
        <w:rPr>
          <w:rFonts w:ascii="Times New Roman" w:hAnsi="Times New Roman" w:cs="Times New Roman"/>
          <w:i/>
          <w:iCs/>
          <w:noProof/>
          <w:sz w:val="24"/>
          <w:szCs w:val="24"/>
          <w:lang w:val="en-US"/>
        </w:rPr>
        <w:t>Social Studies of Science</w:t>
      </w:r>
      <w:r w:rsidR="00166055" w:rsidRPr="00166055">
        <w:rPr>
          <w:rFonts w:ascii="Times New Roman" w:hAnsi="Times New Roman" w:cs="Times New Roman"/>
          <w:noProof/>
          <w:sz w:val="24"/>
          <w:szCs w:val="24"/>
          <w:lang w:val="en-US"/>
        </w:rPr>
        <w:t xml:space="preserve"> 9 (4): 423–54. </w:t>
      </w:r>
    </w:p>
    <w:p w14:paraId="78B5BCC2"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Callender, L. A. 1988. “Gregor Mendel: An Opponent of Descent with Modification.” </w:t>
      </w:r>
      <w:r w:rsidRPr="00166055">
        <w:rPr>
          <w:rFonts w:ascii="Times New Roman" w:hAnsi="Times New Roman" w:cs="Times New Roman"/>
          <w:i/>
          <w:iCs/>
          <w:noProof/>
          <w:sz w:val="24"/>
          <w:szCs w:val="24"/>
          <w:lang w:val="en-US"/>
        </w:rPr>
        <w:t>History of Science</w:t>
      </w:r>
      <w:r w:rsidRPr="00166055">
        <w:rPr>
          <w:rFonts w:ascii="Times New Roman" w:hAnsi="Times New Roman" w:cs="Times New Roman"/>
          <w:noProof/>
          <w:sz w:val="24"/>
          <w:szCs w:val="24"/>
          <w:lang w:val="en-US"/>
        </w:rPr>
        <w:t xml:space="preserve"> 26 (1): 41–75.</w:t>
      </w:r>
    </w:p>
    <w:p w14:paraId="6F175E01"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Castle, W. E. 1903. “Mendel’s Law of Heredity.” </w:t>
      </w:r>
      <w:r w:rsidRPr="00166055">
        <w:rPr>
          <w:rFonts w:ascii="Times New Roman" w:hAnsi="Times New Roman" w:cs="Times New Roman"/>
          <w:i/>
          <w:iCs/>
          <w:noProof/>
          <w:sz w:val="24"/>
          <w:szCs w:val="24"/>
          <w:lang w:val="en-US"/>
        </w:rPr>
        <w:t>Science</w:t>
      </w:r>
      <w:r w:rsidRPr="00166055">
        <w:rPr>
          <w:rFonts w:ascii="Times New Roman" w:hAnsi="Times New Roman" w:cs="Times New Roman"/>
          <w:noProof/>
          <w:sz w:val="24"/>
          <w:szCs w:val="24"/>
          <w:lang w:val="en-US"/>
        </w:rPr>
        <w:t xml:space="preserve"> 18 (456): 396–406.</w:t>
      </w:r>
    </w:p>
    <w:p w14:paraId="6E7E2C32" w14:textId="5A0D8473"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Castle, W. E., and Allen</w:t>
      </w:r>
      <w:r w:rsidR="0022506C">
        <w:rPr>
          <w:rFonts w:ascii="Times New Roman" w:hAnsi="Times New Roman" w:cs="Times New Roman"/>
          <w:noProof/>
          <w:sz w:val="24"/>
          <w:szCs w:val="24"/>
          <w:lang w:val="en-US"/>
        </w:rPr>
        <w:t>,</w:t>
      </w:r>
      <w:r w:rsidR="0022506C" w:rsidRPr="0022506C">
        <w:rPr>
          <w:rFonts w:ascii="Times New Roman" w:hAnsi="Times New Roman" w:cs="Times New Roman"/>
          <w:noProof/>
          <w:sz w:val="24"/>
          <w:szCs w:val="24"/>
          <w:lang w:val="en-US"/>
        </w:rPr>
        <w:t xml:space="preserve"> </w:t>
      </w:r>
      <w:r w:rsidR="0022506C" w:rsidRPr="00166055">
        <w:rPr>
          <w:rFonts w:ascii="Times New Roman" w:hAnsi="Times New Roman" w:cs="Times New Roman"/>
          <w:noProof/>
          <w:sz w:val="24"/>
          <w:szCs w:val="24"/>
          <w:lang w:val="en-US"/>
        </w:rPr>
        <w:t>Glover M.</w:t>
      </w:r>
      <w:r w:rsidRPr="00166055">
        <w:rPr>
          <w:rFonts w:ascii="Times New Roman" w:hAnsi="Times New Roman" w:cs="Times New Roman"/>
          <w:noProof/>
          <w:sz w:val="24"/>
          <w:szCs w:val="24"/>
          <w:lang w:val="en-US"/>
        </w:rPr>
        <w:t xml:space="preserve">. 1903. “The Heredity of Albinism.” </w:t>
      </w:r>
      <w:r w:rsidRPr="00166055">
        <w:rPr>
          <w:rFonts w:ascii="Times New Roman" w:hAnsi="Times New Roman" w:cs="Times New Roman"/>
          <w:i/>
          <w:iCs/>
          <w:noProof/>
          <w:sz w:val="24"/>
          <w:szCs w:val="24"/>
          <w:lang w:val="en-US"/>
        </w:rPr>
        <w:t>Proceedings of the American Academy of Arts and Sciences</w:t>
      </w:r>
      <w:r w:rsidRPr="00166055">
        <w:rPr>
          <w:rFonts w:ascii="Times New Roman" w:hAnsi="Times New Roman" w:cs="Times New Roman"/>
          <w:noProof/>
          <w:sz w:val="24"/>
          <w:szCs w:val="24"/>
          <w:lang w:val="en-US"/>
        </w:rPr>
        <w:t xml:space="preserve"> 38 (21): 603–22.</w:t>
      </w:r>
    </w:p>
    <w:p w14:paraId="7972604A"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Chang, Hasok. 2012. “Incommensurability: Revisiting the Chemical Revolution.” In </w:t>
      </w:r>
      <w:r w:rsidRPr="00166055">
        <w:rPr>
          <w:rFonts w:ascii="Times New Roman" w:hAnsi="Times New Roman" w:cs="Times New Roman"/>
          <w:i/>
          <w:iCs/>
          <w:noProof/>
          <w:sz w:val="24"/>
          <w:szCs w:val="24"/>
          <w:lang w:val="en-US"/>
        </w:rPr>
        <w:t>Kuhn’s The Structure of Scientific Revolutions Revisited</w:t>
      </w:r>
      <w:r w:rsidRPr="00166055">
        <w:rPr>
          <w:rFonts w:ascii="Times New Roman" w:hAnsi="Times New Roman" w:cs="Times New Roman"/>
          <w:noProof/>
          <w:sz w:val="24"/>
          <w:szCs w:val="24"/>
          <w:lang w:val="en-US"/>
        </w:rPr>
        <w:t>, edited by Vasso Kindi and Theodore Arabatzis, 153–76. New York and London: Routledge.</w:t>
      </w:r>
    </w:p>
    <w:p w14:paraId="33E4E6E7" w14:textId="72015FAA"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lastRenderedPageBreak/>
        <w:t xml:space="preserve">———. 2014. “Epistemic Activities and Systems of Practice: Units of Analysis in Philosophy of Science after the Practical Turn.” In </w:t>
      </w:r>
      <w:r w:rsidRPr="00166055">
        <w:rPr>
          <w:rFonts w:ascii="Times New Roman" w:hAnsi="Times New Roman" w:cs="Times New Roman"/>
          <w:i/>
          <w:iCs/>
          <w:noProof/>
          <w:sz w:val="24"/>
          <w:szCs w:val="24"/>
          <w:lang w:val="en-US"/>
        </w:rPr>
        <w:t>Science after the Practice Turn in the Philosophy, History and Social Studies of Science</w:t>
      </w:r>
      <w:r w:rsidRPr="00166055">
        <w:rPr>
          <w:rFonts w:ascii="Times New Roman" w:hAnsi="Times New Roman" w:cs="Times New Roman"/>
          <w:noProof/>
          <w:sz w:val="24"/>
          <w:szCs w:val="24"/>
          <w:lang w:val="en-US"/>
        </w:rPr>
        <w:t xml:space="preserve">, edited by Léna Soler, Sjoerd Zwart, Michael Lynch, and Vincent Israel-Jost, 67–79. New York and London: Rodopi. </w:t>
      </w:r>
    </w:p>
    <w:p w14:paraId="6F7AF4AC" w14:textId="7686A3F1"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Corcos, Alain F., and Monaghan</w:t>
      </w:r>
      <w:r w:rsidR="0022506C">
        <w:rPr>
          <w:rFonts w:ascii="Times New Roman" w:hAnsi="Times New Roman" w:cs="Times New Roman"/>
          <w:noProof/>
          <w:sz w:val="24"/>
          <w:szCs w:val="24"/>
          <w:lang w:val="en-US"/>
        </w:rPr>
        <w:t>,</w:t>
      </w:r>
      <w:r w:rsidR="0022506C" w:rsidRPr="0022506C">
        <w:rPr>
          <w:rFonts w:ascii="Times New Roman" w:hAnsi="Times New Roman" w:cs="Times New Roman"/>
          <w:noProof/>
          <w:sz w:val="24"/>
          <w:szCs w:val="24"/>
          <w:lang w:val="en-US"/>
        </w:rPr>
        <w:t xml:space="preserve"> </w:t>
      </w:r>
      <w:r w:rsidR="0022506C" w:rsidRPr="00166055">
        <w:rPr>
          <w:rFonts w:ascii="Times New Roman" w:hAnsi="Times New Roman" w:cs="Times New Roman"/>
          <w:noProof/>
          <w:sz w:val="24"/>
          <w:szCs w:val="24"/>
          <w:lang w:val="en-US"/>
        </w:rPr>
        <w:t>Floyd V.</w:t>
      </w:r>
      <w:r w:rsidRPr="00166055">
        <w:rPr>
          <w:rFonts w:ascii="Times New Roman" w:hAnsi="Times New Roman" w:cs="Times New Roman"/>
          <w:noProof/>
          <w:sz w:val="24"/>
          <w:szCs w:val="24"/>
          <w:lang w:val="en-US"/>
        </w:rPr>
        <w:t xml:space="preserve">. 1985. “Role of de Vries in the Recovery of Mendel’s Work I. Was de Vries Really an Independent Discoverer of Mendel?” </w:t>
      </w:r>
      <w:r w:rsidRPr="00166055">
        <w:rPr>
          <w:rFonts w:ascii="Times New Roman" w:hAnsi="Times New Roman" w:cs="Times New Roman"/>
          <w:i/>
          <w:iCs/>
          <w:noProof/>
          <w:sz w:val="24"/>
          <w:szCs w:val="24"/>
          <w:lang w:val="en-US"/>
        </w:rPr>
        <w:t>Journal of Heredity</w:t>
      </w:r>
      <w:r w:rsidRPr="00166055">
        <w:rPr>
          <w:rFonts w:ascii="Times New Roman" w:hAnsi="Times New Roman" w:cs="Times New Roman"/>
          <w:noProof/>
          <w:sz w:val="24"/>
          <w:szCs w:val="24"/>
          <w:lang w:val="en-US"/>
        </w:rPr>
        <w:t xml:space="preserve"> 76 (3): 187–90.</w:t>
      </w:r>
    </w:p>
    <w:p w14:paraId="5B0952A2"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1987. “Correns, an Independent Discovery of Mendelism? II. Was Correns a Real Interpreter of Mendel’s Paper?” </w:t>
      </w:r>
      <w:r w:rsidRPr="00166055">
        <w:rPr>
          <w:rFonts w:ascii="Times New Roman" w:hAnsi="Times New Roman" w:cs="Times New Roman"/>
          <w:i/>
          <w:iCs/>
          <w:noProof/>
          <w:sz w:val="24"/>
          <w:szCs w:val="24"/>
          <w:lang w:val="en-US"/>
        </w:rPr>
        <w:t>Journal of Heredity</w:t>
      </w:r>
      <w:r w:rsidRPr="00166055">
        <w:rPr>
          <w:rFonts w:ascii="Times New Roman" w:hAnsi="Times New Roman" w:cs="Times New Roman"/>
          <w:noProof/>
          <w:sz w:val="24"/>
          <w:szCs w:val="24"/>
          <w:lang w:val="en-US"/>
        </w:rPr>
        <w:t xml:space="preserve"> 78 (6): 404–5.</w:t>
      </w:r>
    </w:p>
    <w:p w14:paraId="0FB3FD47" w14:textId="2B0ECDFE"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Correns,</w:t>
      </w:r>
      <w:r w:rsidR="001E5C78">
        <w:rPr>
          <w:rFonts w:ascii="Times New Roman" w:hAnsi="Times New Roman" w:cs="Times New Roman"/>
          <w:noProof/>
          <w:sz w:val="24"/>
          <w:szCs w:val="24"/>
          <w:lang w:val="en-US"/>
        </w:rPr>
        <w:t xml:space="preserve"> Carl. 1900. “G. Mendels Regel über das Verhalten der Nachkommenschaft d</w:t>
      </w:r>
      <w:r w:rsidRPr="00166055">
        <w:rPr>
          <w:rFonts w:ascii="Times New Roman" w:hAnsi="Times New Roman" w:cs="Times New Roman"/>
          <w:noProof/>
          <w:sz w:val="24"/>
          <w:szCs w:val="24"/>
          <w:lang w:val="en-US"/>
        </w:rPr>
        <w:t xml:space="preserve">er Rassenbastarde.” </w:t>
      </w:r>
      <w:r w:rsidR="001E5C78">
        <w:rPr>
          <w:rFonts w:ascii="Times New Roman" w:hAnsi="Times New Roman" w:cs="Times New Roman"/>
          <w:i/>
          <w:iCs/>
          <w:noProof/>
          <w:sz w:val="24"/>
          <w:szCs w:val="24"/>
          <w:lang w:val="en-US"/>
        </w:rPr>
        <w:t>Berichte d</w:t>
      </w:r>
      <w:r w:rsidRPr="00166055">
        <w:rPr>
          <w:rFonts w:ascii="Times New Roman" w:hAnsi="Times New Roman" w:cs="Times New Roman"/>
          <w:i/>
          <w:iCs/>
          <w:noProof/>
          <w:sz w:val="24"/>
          <w:szCs w:val="24"/>
          <w:lang w:val="en-US"/>
        </w:rPr>
        <w:t>er Deutschen Botanischen Gesellschaft</w:t>
      </w:r>
      <w:r w:rsidRPr="00166055">
        <w:rPr>
          <w:rFonts w:ascii="Times New Roman" w:hAnsi="Times New Roman" w:cs="Times New Roman"/>
          <w:noProof/>
          <w:sz w:val="24"/>
          <w:szCs w:val="24"/>
          <w:lang w:val="en-US"/>
        </w:rPr>
        <w:t xml:space="preserve"> 18 (4): 158–68.</w:t>
      </w:r>
    </w:p>
    <w:p w14:paraId="070839E7" w14:textId="3D53D3E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Darden, Lindley. 1977. “William Bateson and the Promise of Mendelism.” </w:t>
      </w:r>
      <w:r w:rsidRPr="00166055">
        <w:rPr>
          <w:rFonts w:ascii="Times New Roman" w:hAnsi="Times New Roman" w:cs="Times New Roman"/>
          <w:i/>
          <w:iCs/>
          <w:noProof/>
          <w:sz w:val="24"/>
          <w:szCs w:val="24"/>
          <w:lang w:val="en-US"/>
        </w:rPr>
        <w:t>Journal of the History of Biology</w:t>
      </w:r>
      <w:r w:rsidR="001E5C78">
        <w:rPr>
          <w:rFonts w:ascii="Times New Roman" w:hAnsi="Times New Roman" w:cs="Times New Roman"/>
          <w:noProof/>
          <w:sz w:val="24"/>
          <w:szCs w:val="24"/>
          <w:lang w:val="en-US"/>
        </w:rPr>
        <w:t xml:space="preserve"> 10 (1): 87–106.</w:t>
      </w:r>
    </w:p>
    <w:p w14:paraId="61A213BB"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1991. </w:t>
      </w:r>
      <w:r w:rsidRPr="00166055">
        <w:rPr>
          <w:rFonts w:ascii="Times New Roman" w:hAnsi="Times New Roman" w:cs="Times New Roman"/>
          <w:i/>
          <w:iCs/>
          <w:noProof/>
          <w:sz w:val="24"/>
          <w:szCs w:val="24"/>
          <w:lang w:val="en-US"/>
        </w:rPr>
        <w:t>Theory Change in Science: Strategies from Mendelian Genetics</w:t>
      </w:r>
      <w:r w:rsidRPr="00166055">
        <w:rPr>
          <w:rFonts w:ascii="Times New Roman" w:hAnsi="Times New Roman" w:cs="Times New Roman"/>
          <w:noProof/>
          <w:sz w:val="24"/>
          <w:szCs w:val="24"/>
          <w:lang w:val="en-US"/>
        </w:rPr>
        <w:t>. Oxford: Oxford University Press.</w:t>
      </w:r>
    </w:p>
    <w:p w14:paraId="21DBCB58" w14:textId="308E69CA"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Darden, Lindley, and Maull</w:t>
      </w:r>
      <w:r w:rsidR="00581E2F">
        <w:rPr>
          <w:rFonts w:ascii="Times New Roman" w:hAnsi="Times New Roman" w:cs="Times New Roman"/>
          <w:noProof/>
          <w:sz w:val="24"/>
          <w:szCs w:val="24"/>
          <w:lang w:val="en-US"/>
        </w:rPr>
        <w:t>,</w:t>
      </w:r>
      <w:r w:rsidR="00581E2F" w:rsidRPr="00581E2F">
        <w:rPr>
          <w:rFonts w:ascii="Times New Roman" w:hAnsi="Times New Roman" w:cs="Times New Roman"/>
          <w:noProof/>
          <w:sz w:val="24"/>
          <w:szCs w:val="24"/>
          <w:lang w:val="en-US"/>
        </w:rPr>
        <w:t xml:space="preserve"> </w:t>
      </w:r>
      <w:r w:rsidR="00581E2F" w:rsidRPr="00166055">
        <w:rPr>
          <w:rFonts w:ascii="Times New Roman" w:hAnsi="Times New Roman" w:cs="Times New Roman"/>
          <w:noProof/>
          <w:sz w:val="24"/>
          <w:szCs w:val="24"/>
          <w:lang w:val="en-US"/>
        </w:rPr>
        <w:t>Nancy</w:t>
      </w:r>
      <w:r w:rsidRPr="00166055">
        <w:rPr>
          <w:rFonts w:ascii="Times New Roman" w:hAnsi="Times New Roman" w:cs="Times New Roman"/>
          <w:noProof/>
          <w:sz w:val="24"/>
          <w:szCs w:val="24"/>
          <w:lang w:val="en-US"/>
        </w:rPr>
        <w:t xml:space="preserve">. 1977. “Interfield Theories.” </w:t>
      </w:r>
      <w:r w:rsidRPr="00166055">
        <w:rPr>
          <w:rFonts w:ascii="Times New Roman" w:hAnsi="Times New Roman" w:cs="Times New Roman"/>
          <w:i/>
          <w:iCs/>
          <w:noProof/>
          <w:sz w:val="24"/>
          <w:szCs w:val="24"/>
          <w:lang w:val="en-US"/>
        </w:rPr>
        <w:t>Philosophy of Science</w:t>
      </w:r>
      <w:r w:rsidRPr="00166055">
        <w:rPr>
          <w:rFonts w:ascii="Times New Roman" w:hAnsi="Times New Roman" w:cs="Times New Roman"/>
          <w:noProof/>
          <w:sz w:val="24"/>
          <w:szCs w:val="24"/>
          <w:lang w:val="en-US"/>
        </w:rPr>
        <w:t xml:space="preserve"> 44 (1): 43–64.</w:t>
      </w:r>
    </w:p>
    <w:p w14:paraId="0814C3B7"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Darwin, Charles. 1859. </w:t>
      </w:r>
      <w:r w:rsidRPr="00166055">
        <w:rPr>
          <w:rFonts w:ascii="Times New Roman" w:hAnsi="Times New Roman" w:cs="Times New Roman"/>
          <w:i/>
          <w:iCs/>
          <w:noProof/>
          <w:sz w:val="24"/>
          <w:szCs w:val="24"/>
          <w:lang w:val="en-US"/>
        </w:rPr>
        <w:t>On the Origin of Species</w:t>
      </w:r>
      <w:r w:rsidRPr="00166055">
        <w:rPr>
          <w:rFonts w:ascii="Times New Roman" w:hAnsi="Times New Roman" w:cs="Times New Roman"/>
          <w:noProof/>
          <w:sz w:val="24"/>
          <w:szCs w:val="24"/>
          <w:lang w:val="en-US"/>
        </w:rPr>
        <w:t>. London: John Murray.</w:t>
      </w:r>
    </w:p>
    <w:p w14:paraId="1FA507AB"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de Vries, Hugo. 1889. </w:t>
      </w:r>
      <w:r w:rsidRPr="00166055">
        <w:rPr>
          <w:rFonts w:ascii="Times New Roman" w:hAnsi="Times New Roman" w:cs="Times New Roman"/>
          <w:i/>
          <w:iCs/>
          <w:noProof/>
          <w:sz w:val="24"/>
          <w:szCs w:val="24"/>
          <w:lang w:val="en-US"/>
        </w:rPr>
        <w:t>Intracellulare Pangenesis</w:t>
      </w:r>
      <w:r w:rsidRPr="00166055">
        <w:rPr>
          <w:rFonts w:ascii="Times New Roman" w:hAnsi="Times New Roman" w:cs="Times New Roman"/>
          <w:noProof/>
          <w:sz w:val="24"/>
          <w:szCs w:val="24"/>
          <w:lang w:val="en-US"/>
        </w:rPr>
        <w:t>. Jean: Gustav Fischer.</w:t>
      </w:r>
    </w:p>
    <w:p w14:paraId="1923E9D7" w14:textId="55D44E3B"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w:t>
      </w:r>
      <w:r w:rsidR="008F25C3">
        <w:rPr>
          <w:rFonts w:ascii="Times New Roman" w:hAnsi="Times New Roman" w:cs="Times New Roman"/>
          <w:noProof/>
          <w:sz w:val="24"/>
          <w:szCs w:val="24"/>
          <w:lang w:val="en-US"/>
        </w:rPr>
        <w:t>—. 1900a. “Das Spaltungsgesetz d</w:t>
      </w:r>
      <w:r w:rsidRPr="00166055">
        <w:rPr>
          <w:rFonts w:ascii="Times New Roman" w:hAnsi="Times New Roman" w:cs="Times New Roman"/>
          <w:noProof/>
          <w:sz w:val="24"/>
          <w:szCs w:val="24"/>
          <w:lang w:val="en-US"/>
        </w:rPr>
        <w:t xml:space="preserve">er Bastarde (Vorlaufige Mittheilung).” </w:t>
      </w:r>
      <w:r w:rsidR="008F25C3">
        <w:rPr>
          <w:rFonts w:ascii="Times New Roman" w:hAnsi="Times New Roman" w:cs="Times New Roman"/>
          <w:i/>
          <w:iCs/>
          <w:noProof/>
          <w:sz w:val="24"/>
          <w:szCs w:val="24"/>
          <w:lang w:val="en-US"/>
        </w:rPr>
        <w:t>Berichte d</w:t>
      </w:r>
      <w:r w:rsidRPr="00166055">
        <w:rPr>
          <w:rFonts w:ascii="Times New Roman" w:hAnsi="Times New Roman" w:cs="Times New Roman"/>
          <w:i/>
          <w:iCs/>
          <w:noProof/>
          <w:sz w:val="24"/>
          <w:szCs w:val="24"/>
          <w:lang w:val="en-US"/>
        </w:rPr>
        <w:t>er Deutschen Botanischen Gesellschaft</w:t>
      </w:r>
      <w:r w:rsidRPr="00166055">
        <w:rPr>
          <w:rFonts w:ascii="Times New Roman" w:hAnsi="Times New Roman" w:cs="Times New Roman"/>
          <w:noProof/>
          <w:sz w:val="24"/>
          <w:szCs w:val="24"/>
          <w:lang w:val="en-US"/>
        </w:rPr>
        <w:t xml:space="preserve"> 18 (3): 83–90.</w:t>
      </w:r>
    </w:p>
    <w:p w14:paraId="11CE91DC"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1900b. “Sur La Loi de Disjonction Des Hybrides.” </w:t>
      </w:r>
      <w:r w:rsidRPr="00166055">
        <w:rPr>
          <w:rFonts w:ascii="Times New Roman" w:hAnsi="Times New Roman" w:cs="Times New Roman"/>
          <w:i/>
          <w:iCs/>
          <w:noProof/>
          <w:sz w:val="24"/>
          <w:szCs w:val="24"/>
          <w:lang w:val="en-US"/>
        </w:rPr>
        <w:t>Comptes Rendus de I’Academie Des Sciences (Paris)</w:t>
      </w:r>
      <w:r w:rsidRPr="00166055">
        <w:rPr>
          <w:rFonts w:ascii="Times New Roman" w:hAnsi="Times New Roman" w:cs="Times New Roman"/>
          <w:noProof/>
          <w:sz w:val="24"/>
          <w:szCs w:val="24"/>
          <w:lang w:val="en-US"/>
        </w:rPr>
        <w:t xml:space="preserve"> 130: 845–47.</w:t>
      </w:r>
    </w:p>
    <w:p w14:paraId="3CBE539A"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lastRenderedPageBreak/>
        <w:t xml:space="preserve">———. 1900c. “Sur Les Unités Des Caractères Spécifiques et Leur Application À L’étude Des Hybrides.” </w:t>
      </w:r>
      <w:r w:rsidRPr="00166055">
        <w:rPr>
          <w:rFonts w:ascii="Times New Roman" w:hAnsi="Times New Roman" w:cs="Times New Roman"/>
          <w:i/>
          <w:iCs/>
          <w:noProof/>
          <w:sz w:val="24"/>
          <w:szCs w:val="24"/>
          <w:lang w:val="en-US"/>
        </w:rPr>
        <w:t>Revue Générate de Botanique</w:t>
      </w:r>
      <w:r w:rsidRPr="00166055">
        <w:rPr>
          <w:rFonts w:ascii="Times New Roman" w:hAnsi="Times New Roman" w:cs="Times New Roman"/>
          <w:noProof/>
          <w:sz w:val="24"/>
          <w:szCs w:val="24"/>
          <w:lang w:val="en-US"/>
        </w:rPr>
        <w:t xml:space="preserve"> 12: 257–71.</w:t>
      </w:r>
    </w:p>
    <w:p w14:paraId="6C9A1B00"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1966. “The Law of Segregation of Hybrids.” In </w:t>
      </w:r>
      <w:r w:rsidRPr="00166055">
        <w:rPr>
          <w:rFonts w:ascii="Times New Roman" w:hAnsi="Times New Roman" w:cs="Times New Roman"/>
          <w:i/>
          <w:iCs/>
          <w:noProof/>
          <w:sz w:val="24"/>
          <w:szCs w:val="24"/>
          <w:lang w:val="en-US"/>
        </w:rPr>
        <w:t>The Origin of Genetics: A Mendel Source Book</w:t>
      </w:r>
      <w:r w:rsidRPr="00166055">
        <w:rPr>
          <w:rFonts w:ascii="Times New Roman" w:hAnsi="Times New Roman" w:cs="Times New Roman"/>
          <w:noProof/>
          <w:sz w:val="24"/>
          <w:szCs w:val="24"/>
          <w:lang w:val="en-US"/>
        </w:rPr>
        <w:t>, edited by Curt Stern and Eva R. Sherwood, translated by Evelyn Stern, 107–17. San Francisco, CA: W. H. Freeman and Company.</w:t>
      </w:r>
    </w:p>
    <w:p w14:paraId="6F0AC9F4"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Feyerabend, Paul. 1962. “Explanation, Reduction, and Empiricism.” In </w:t>
      </w:r>
      <w:r w:rsidRPr="00166055">
        <w:rPr>
          <w:rFonts w:ascii="Times New Roman" w:hAnsi="Times New Roman" w:cs="Times New Roman"/>
          <w:i/>
          <w:iCs/>
          <w:noProof/>
          <w:sz w:val="24"/>
          <w:szCs w:val="24"/>
          <w:lang w:val="en-US"/>
        </w:rPr>
        <w:t>Scientific Explanation, Space, and Time, (Minnesota Studies in the Philosophy of Science, Volume III)</w:t>
      </w:r>
      <w:r w:rsidRPr="00166055">
        <w:rPr>
          <w:rFonts w:ascii="Times New Roman" w:hAnsi="Times New Roman" w:cs="Times New Roman"/>
          <w:noProof/>
          <w:sz w:val="24"/>
          <w:szCs w:val="24"/>
          <w:lang w:val="en-US"/>
        </w:rPr>
        <w:t>, edited by Herbert Feigl and Grover Maxwell, 28–97. Minneapolis, MN: University of Minnesota Press.</w:t>
      </w:r>
    </w:p>
    <w:p w14:paraId="0BF298B2"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Fleck, Ludwik. 1927. “O Niektórych Swoistych Cechach Myślenia Lekarskiego.” </w:t>
      </w:r>
      <w:r w:rsidRPr="00166055">
        <w:rPr>
          <w:rFonts w:ascii="Times New Roman" w:hAnsi="Times New Roman" w:cs="Times New Roman"/>
          <w:i/>
          <w:iCs/>
          <w:noProof/>
          <w:sz w:val="24"/>
          <w:szCs w:val="24"/>
          <w:lang w:val="en-US"/>
        </w:rPr>
        <w:t>Archiwum Hisrorii I Filozofii Medycyny Oraz Historii Nauk Przyrodniczych</w:t>
      </w:r>
      <w:r w:rsidRPr="00166055">
        <w:rPr>
          <w:rFonts w:ascii="Times New Roman" w:hAnsi="Times New Roman" w:cs="Times New Roman"/>
          <w:noProof/>
          <w:sz w:val="24"/>
          <w:szCs w:val="24"/>
          <w:lang w:val="en-US"/>
        </w:rPr>
        <w:t xml:space="preserve"> 6: 55–64.</w:t>
      </w:r>
    </w:p>
    <w:p w14:paraId="74D88C4C" w14:textId="4900FB18"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1935. </w:t>
      </w:r>
      <w:r w:rsidR="001E5C78">
        <w:rPr>
          <w:rFonts w:ascii="Times New Roman" w:hAnsi="Times New Roman" w:cs="Times New Roman"/>
          <w:i/>
          <w:iCs/>
          <w:noProof/>
          <w:sz w:val="24"/>
          <w:szCs w:val="24"/>
          <w:lang w:val="en-US"/>
        </w:rPr>
        <w:t>Entstehung und Entwicklung einer w</w:t>
      </w:r>
      <w:r w:rsidRPr="00166055">
        <w:rPr>
          <w:rFonts w:ascii="Times New Roman" w:hAnsi="Times New Roman" w:cs="Times New Roman"/>
          <w:i/>
          <w:iCs/>
          <w:noProof/>
          <w:sz w:val="24"/>
          <w:szCs w:val="24"/>
          <w:lang w:val="en-US"/>
        </w:rPr>
        <w:t>issenschaft</w:t>
      </w:r>
      <w:r w:rsidR="001E5C78">
        <w:rPr>
          <w:rFonts w:ascii="Times New Roman" w:hAnsi="Times New Roman" w:cs="Times New Roman"/>
          <w:i/>
          <w:iCs/>
          <w:noProof/>
          <w:sz w:val="24"/>
          <w:szCs w:val="24"/>
          <w:lang w:val="en-US"/>
        </w:rPr>
        <w:t>lichen Tatsache: Einführung in d</w:t>
      </w:r>
      <w:r w:rsidRPr="00166055">
        <w:rPr>
          <w:rFonts w:ascii="Times New Roman" w:hAnsi="Times New Roman" w:cs="Times New Roman"/>
          <w:i/>
          <w:iCs/>
          <w:noProof/>
          <w:sz w:val="24"/>
          <w:szCs w:val="24"/>
          <w:lang w:val="en-US"/>
        </w:rPr>
        <w:t xml:space="preserve">ie Lehre </w:t>
      </w:r>
      <w:r w:rsidR="001E5C78">
        <w:rPr>
          <w:rFonts w:ascii="Times New Roman" w:hAnsi="Times New Roman" w:cs="Times New Roman"/>
          <w:i/>
          <w:iCs/>
          <w:noProof/>
          <w:sz w:val="24"/>
          <w:szCs w:val="24"/>
          <w:lang w:val="en-US"/>
        </w:rPr>
        <w:t>Vom Denkstil u</w:t>
      </w:r>
      <w:r w:rsidRPr="00166055">
        <w:rPr>
          <w:rFonts w:ascii="Times New Roman" w:hAnsi="Times New Roman" w:cs="Times New Roman"/>
          <w:i/>
          <w:iCs/>
          <w:noProof/>
          <w:sz w:val="24"/>
          <w:szCs w:val="24"/>
          <w:lang w:val="en-US"/>
        </w:rPr>
        <w:t>nd Denkkollektiv</w:t>
      </w:r>
      <w:r w:rsidRPr="00166055">
        <w:rPr>
          <w:rFonts w:ascii="Times New Roman" w:hAnsi="Times New Roman" w:cs="Times New Roman"/>
          <w:noProof/>
          <w:sz w:val="24"/>
          <w:szCs w:val="24"/>
          <w:lang w:val="en-US"/>
        </w:rPr>
        <w:t>. Basel: Benno Schwabe &amp; Co.</w:t>
      </w:r>
    </w:p>
    <w:p w14:paraId="328B432F"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1939. “Odpowiedź Na Uwagi Tadeusza Bilikiewicza.” </w:t>
      </w:r>
      <w:r w:rsidRPr="00166055">
        <w:rPr>
          <w:rFonts w:ascii="Times New Roman" w:hAnsi="Times New Roman" w:cs="Times New Roman"/>
          <w:i/>
          <w:iCs/>
          <w:noProof/>
          <w:sz w:val="24"/>
          <w:szCs w:val="24"/>
          <w:lang w:val="en-US"/>
        </w:rPr>
        <w:t>Przeglad Wspolczesny</w:t>
      </w:r>
      <w:r w:rsidRPr="00166055">
        <w:rPr>
          <w:rFonts w:ascii="Times New Roman" w:hAnsi="Times New Roman" w:cs="Times New Roman"/>
          <w:noProof/>
          <w:sz w:val="24"/>
          <w:szCs w:val="24"/>
          <w:lang w:val="en-US"/>
        </w:rPr>
        <w:t xml:space="preserve"> 8–9: 149–56.</w:t>
      </w:r>
    </w:p>
    <w:p w14:paraId="239D3A6B"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Giere, Donald. 2011. “History and Philosophy of Science: Thirty-Five Years Later.” In </w:t>
      </w:r>
      <w:r w:rsidRPr="00166055">
        <w:rPr>
          <w:rFonts w:ascii="Times New Roman" w:hAnsi="Times New Roman" w:cs="Times New Roman"/>
          <w:i/>
          <w:iCs/>
          <w:noProof/>
          <w:sz w:val="24"/>
          <w:szCs w:val="24"/>
          <w:lang w:val="en-US"/>
        </w:rPr>
        <w:t>Integrating History and Philosophy of Science: Problems and Prospects</w:t>
      </w:r>
      <w:r w:rsidRPr="00166055">
        <w:rPr>
          <w:rFonts w:ascii="Times New Roman" w:hAnsi="Times New Roman" w:cs="Times New Roman"/>
          <w:noProof/>
          <w:sz w:val="24"/>
          <w:szCs w:val="24"/>
          <w:lang w:val="en-US"/>
        </w:rPr>
        <w:t>, edited by Seymour Mauskopf and Tad Schmaltz, 59–65. Dordrecht: Springer.</w:t>
      </w:r>
    </w:p>
    <w:p w14:paraId="61D6D444"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Goss, John. 1824. “On the Variation in the Colour of Peas, Occasioned by Cross Impregnation.” </w:t>
      </w:r>
      <w:r w:rsidRPr="00166055">
        <w:rPr>
          <w:rFonts w:ascii="Times New Roman" w:hAnsi="Times New Roman" w:cs="Times New Roman"/>
          <w:i/>
          <w:iCs/>
          <w:noProof/>
          <w:sz w:val="24"/>
          <w:szCs w:val="24"/>
          <w:lang w:val="en-US"/>
        </w:rPr>
        <w:t>Transactions of the Horticultural Society of Londonociety of London</w:t>
      </w:r>
      <w:r w:rsidRPr="00166055">
        <w:rPr>
          <w:rFonts w:ascii="Times New Roman" w:hAnsi="Times New Roman" w:cs="Times New Roman"/>
          <w:noProof/>
          <w:sz w:val="24"/>
          <w:szCs w:val="24"/>
          <w:lang w:val="en-US"/>
        </w:rPr>
        <w:t xml:space="preserve"> 5: 234–36.</w:t>
      </w:r>
    </w:p>
    <w:p w14:paraId="099A13CA" w14:textId="39E1E5F1"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Harwood, Jonathan. 2000. “The Rediscovery of Mendelism in Agricultural Context: Erich von Tschermak as Plant-Breeder.” </w:t>
      </w:r>
      <w:r w:rsidRPr="00166055">
        <w:rPr>
          <w:rFonts w:ascii="Times New Roman" w:hAnsi="Times New Roman" w:cs="Times New Roman"/>
          <w:i/>
          <w:iCs/>
          <w:noProof/>
          <w:sz w:val="24"/>
          <w:szCs w:val="24"/>
          <w:lang w:val="en-US"/>
        </w:rPr>
        <w:t>Comptes Rendus de l’Academie Des Sciences - Serie III</w:t>
      </w:r>
      <w:r w:rsidR="001E5C78">
        <w:rPr>
          <w:rFonts w:ascii="Times New Roman" w:hAnsi="Times New Roman" w:cs="Times New Roman"/>
          <w:noProof/>
          <w:sz w:val="24"/>
          <w:szCs w:val="24"/>
          <w:lang w:val="en-US"/>
        </w:rPr>
        <w:t xml:space="preserve"> 323 (12): 1061–67.</w:t>
      </w:r>
    </w:p>
    <w:p w14:paraId="76F5F31D"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lastRenderedPageBreak/>
        <w:t xml:space="preserve">Hurst, C. C. 1906. “On the Inheritance of Coat Colour in Horses.” </w:t>
      </w:r>
      <w:r w:rsidRPr="00166055">
        <w:rPr>
          <w:rFonts w:ascii="Times New Roman" w:hAnsi="Times New Roman" w:cs="Times New Roman"/>
          <w:i/>
          <w:iCs/>
          <w:noProof/>
          <w:sz w:val="24"/>
          <w:szCs w:val="24"/>
          <w:lang w:val="en-US"/>
        </w:rPr>
        <w:t>Proceedings of the Royal Society of London, Series B</w:t>
      </w:r>
      <w:r w:rsidRPr="00166055">
        <w:rPr>
          <w:rFonts w:ascii="Times New Roman" w:hAnsi="Times New Roman" w:cs="Times New Roman"/>
          <w:noProof/>
          <w:sz w:val="24"/>
          <w:szCs w:val="24"/>
          <w:lang w:val="en-US"/>
        </w:rPr>
        <w:t xml:space="preserve"> 77 (519): 388–94.</w:t>
      </w:r>
    </w:p>
    <w:p w14:paraId="547C8B5B"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Knight, Thomas Andrew. 1799. “An Account of Some Experiments on the Fecundation of Vegetables.” </w:t>
      </w:r>
      <w:r w:rsidRPr="00166055">
        <w:rPr>
          <w:rFonts w:ascii="Times New Roman" w:hAnsi="Times New Roman" w:cs="Times New Roman"/>
          <w:i/>
          <w:iCs/>
          <w:noProof/>
          <w:sz w:val="24"/>
          <w:szCs w:val="24"/>
          <w:lang w:val="en-US"/>
        </w:rPr>
        <w:t>Philosocial Transactions of the Royal Society of London</w:t>
      </w:r>
      <w:r w:rsidRPr="00166055">
        <w:rPr>
          <w:rFonts w:ascii="Times New Roman" w:hAnsi="Times New Roman" w:cs="Times New Roman"/>
          <w:noProof/>
          <w:sz w:val="24"/>
          <w:szCs w:val="24"/>
          <w:lang w:val="en-US"/>
        </w:rPr>
        <w:t xml:space="preserve"> 89: 195–204.</w:t>
      </w:r>
    </w:p>
    <w:p w14:paraId="48FB0A95"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Knoblauch, Hubert. 2010. </w:t>
      </w:r>
      <w:r w:rsidRPr="00166055">
        <w:rPr>
          <w:rFonts w:ascii="Times New Roman" w:hAnsi="Times New Roman" w:cs="Times New Roman"/>
          <w:i/>
          <w:iCs/>
          <w:noProof/>
          <w:sz w:val="24"/>
          <w:szCs w:val="24"/>
          <w:lang w:val="en-US"/>
        </w:rPr>
        <w:t>Wissenssoziologie</w:t>
      </w:r>
      <w:r w:rsidRPr="00166055">
        <w:rPr>
          <w:rFonts w:ascii="Times New Roman" w:hAnsi="Times New Roman" w:cs="Times New Roman"/>
          <w:noProof/>
          <w:sz w:val="24"/>
          <w:szCs w:val="24"/>
          <w:lang w:val="en-US"/>
        </w:rPr>
        <w:t>. Stuttgart: UTB.</w:t>
      </w:r>
    </w:p>
    <w:p w14:paraId="61D1DEE0"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Kuhn, Thomas Samuel. 1962. </w:t>
      </w:r>
      <w:r w:rsidRPr="00166055">
        <w:rPr>
          <w:rFonts w:ascii="Times New Roman" w:hAnsi="Times New Roman" w:cs="Times New Roman"/>
          <w:i/>
          <w:iCs/>
          <w:noProof/>
          <w:sz w:val="24"/>
          <w:szCs w:val="24"/>
          <w:lang w:val="en-US"/>
        </w:rPr>
        <w:t>The Structure of Scientific Revolutions</w:t>
      </w:r>
      <w:r w:rsidRPr="00166055">
        <w:rPr>
          <w:rFonts w:ascii="Times New Roman" w:hAnsi="Times New Roman" w:cs="Times New Roman"/>
          <w:noProof/>
          <w:sz w:val="24"/>
          <w:szCs w:val="24"/>
          <w:lang w:val="en-US"/>
        </w:rPr>
        <w:t>. 1st ed. Chicago, IL: University of Chicago Press.</w:t>
      </w:r>
    </w:p>
    <w:p w14:paraId="4B603508"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1970. </w:t>
      </w:r>
      <w:r w:rsidRPr="00166055">
        <w:rPr>
          <w:rFonts w:ascii="Times New Roman" w:hAnsi="Times New Roman" w:cs="Times New Roman"/>
          <w:i/>
          <w:iCs/>
          <w:noProof/>
          <w:sz w:val="24"/>
          <w:szCs w:val="24"/>
          <w:lang w:val="en-US"/>
        </w:rPr>
        <w:t>The Structure of Scientific Revolutions</w:t>
      </w:r>
      <w:r w:rsidRPr="00166055">
        <w:rPr>
          <w:rFonts w:ascii="Times New Roman" w:hAnsi="Times New Roman" w:cs="Times New Roman"/>
          <w:noProof/>
          <w:sz w:val="24"/>
          <w:szCs w:val="24"/>
          <w:lang w:val="en-US"/>
        </w:rPr>
        <w:t>. 2nd ed. Chicago, IL: University of Chicago Press.</w:t>
      </w:r>
    </w:p>
    <w:p w14:paraId="44DF3ED6"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1974. “Second Thoughts on Paradigms.” In </w:t>
      </w:r>
      <w:r w:rsidRPr="00166055">
        <w:rPr>
          <w:rFonts w:ascii="Times New Roman" w:hAnsi="Times New Roman" w:cs="Times New Roman"/>
          <w:i/>
          <w:iCs/>
          <w:noProof/>
          <w:sz w:val="24"/>
          <w:szCs w:val="24"/>
          <w:lang w:val="en-US"/>
        </w:rPr>
        <w:t>The Structure of Scientific Theories</w:t>
      </w:r>
      <w:r w:rsidRPr="00166055">
        <w:rPr>
          <w:rFonts w:ascii="Times New Roman" w:hAnsi="Times New Roman" w:cs="Times New Roman"/>
          <w:noProof/>
          <w:sz w:val="24"/>
          <w:szCs w:val="24"/>
          <w:lang w:val="en-US"/>
        </w:rPr>
        <w:t>, edited by Frederick Suppe, 1sted., 459–82. Urbana, IL: University of Illinois Press.</w:t>
      </w:r>
    </w:p>
    <w:p w14:paraId="437A63CB"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1977. “Objectivity, Value Judgment, and Theory Choice.” In </w:t>
      </w:r>
      <w:r w:rsidRPr="00166055">
        <w:rPr>
          <w:rFonts w:ascii="Times New Roman" w:hAnsi="Times New Roman" w:cs="Times New Roman"/>
          <w:i/>
          <w:iCs/>
          <w:noProof/>
          <w:sz w:val="24"/>
          <w:szCs w:val="24"/>
          <w:lang w:val="en-US"/>
        </w:rPr>
        <w:t>The Essential Tension: Selected Studies in Scientific Tradition and Change</w:t>
      </w:r>
      <w:r w:rsidRPr="00166055">
        <w:rPr>
          <w:rFonts w:ascii="Times New Roman" w:hAnsi="Times New Roman" w:cs="Times New Roman"/>
          <w:noProof/>
          <w:sz w:val="24"/>
          <w:szCs w:val="24"/>
          <w:lang w:val="en-US"/>
        </w:rPr>
        <w:t>, 320–39. Chicago, IL: University of Chicago Press.</w:t>
      </w:r>
    </w:p>
    <w:p w14:paraId="49534A99" w14:textId="6C0BB206"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1979. “Foreword.” In </w:t>
      </w:r>
      <w:r w:rsidRPr="00166055">
        <w:rPr>
          <w:rFonts w:ascii="Times New Roman" w:hAnsi="Times New Roman" w:cs="Times New Roman"/>
          <w:i/>
          <w:iCs/>
          <w:noProof/>
          <w:sz w:val="24"/>
          <w:szCs w:val="24"/>
          <w:lang w:val="en-US"/>
        </w:rPr>
        <w:t>Genesis and Development of a Scientific Fact</w:t>
      </w:r>
      <w:r w:rsidRPr="00166055">
        <w:rPr>
          <w:rFonts w:ascii="Times New Roman" w:hAnsi="Times New Roman" w:cs="Times New Roman"/>
          <w:noProof/>
          <w:sz w:val="24"/>
          <w:szCs w:val="24"/>
          <w:lang w:val="en-US"/>
        </w:rPr>
        <w:t>, edited by Thaddeus J. Trenn and Robert K. Merton, vii–xii. Chicago, IL: University of Chicago Press.</w:t>
      </w:r>
    </w:p>
    <w:p w14:paraId="1B619FFC" w14:textId="4557CB8E"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1982. “Commensurability, Comparability, Communicability.” </w:t>
      </w:r>
      <w:r w:rsidRPr="00166055">
        <w:rPr>
          <w:rFonts w:ascii="Times New Roman" w:hAnsi="Times New Roman" w:cs="Times New Roman"/>
          <w:i/>
          <w:iCs/>
          <w:noProof/>
          <w:sz w:val="24"/>
          <w:szCs w:val="24"/>
          <w:lang w:val="en-US"/>
        </w:rPr>
        <w:t>PSA: Proceedings of the Biennial Meeting of the Philosophy of Science Association</w:t>
      </w:r>
      <w:r w:rsidRPr="00166055">
        <w:rPr>
          <w:rFonts w:ascii="Times New Roman" w:hAnsi="Times New Roman" w:cs="Times New Roman"/>
          <w:noProof/>
          <w:sz w:val="24"/>
          <w:szCs w:val="24"/>
          <w:lang w:val="en-US"/>
        </w:rPr>
        <w:t xml:space="preserve">, 669–88. </w:t>
      </w:r>
    </w:p>
    <w:p w14:paraId="0B433634"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1983. “Rationality and Theory Choice.” </w:t>
      </w:r>
      <w:r w:rsidRPr="00166055">
        <w:rPr>
          <w:rFonts w:ascii="Times New Roman" w:hAnsi="Times New Roman" w:cs="Times New Roman"/>
          <w:i/>
          <w:iCs/>
          <w:noProof/>
          <w:sz w:val="24"/>
          <w:szCs w:val="24"/>
          <w:lang w:val="en-US"/>
        </w:rPr>
        <w:t>Journal of Philosophy</w:t>
      </w:r>
      <w:r w:rsidRPr="00166055">
        <w:rPr>
          <w:rFonts w:ascii="Times New Roman" w:hAnsi="Times New Roman" w:cs="Times New Roman"/>
          <w:noProof/>
          <w:sz w:val="24"/>
          <w:szCs w:val="24"/>
          <w:lang w:val="en-US"/>
        </w:rPr>
        <w:t xml:space="preserve"> 80 (10). Journal of Philosophy Inc: 563–70.</w:t>
      </w:r>
    </w:p>
    <w:p w14:paraId="2C833073"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1987. “What Are Scientific Revolutions?” In </w:t>
      </w:r>
      <w:r w:rsidRPr="00166055">
        <w:rPr>
          <w:rFonts w:ascii="Times New Roman" w:hAnsi="Times New Roman" w:cs="Times New Roman"/>
          <w:i/>
          <w:iCs/>
          <w:noProof/>
          <w:sz w:val="24"/>
          <w:szCs w:val="24"/>
          <w:lang w:val="en-US"/>
        </w:rPr>
        <w:t>The Probabilistic Revolution</w:t>
      </w:r>
      <w:r w:rsidRPr="00166055">
        <w:rPr>
          <w:rFonts w:ascii="Times New Roman" w:hAnsi="Times New Roman" w:cs="Times New Roman"/>
          <w:noProof/>
          <w:sz w:val="24"/>
          <w:szCs w:val="24"/>
          <w:lang w:val="en-US"/>
        </w:rPr>
        <w:t xml:space="preserve">, edited by L. Krüger, L. Daston, and M. Heidelberger, 7–22. Cambridge: Cambridge University </w:t>
      </w:r>
      <w:r w:rsidRPr="00166055">
        <w:rPr>
          <w:rFonts w:ascii="Times New Roman" w:hAnsi="Times New Roman" w:cs="Times New Roman"/>
          <w:noProof/>
          <w:sz w:val="24"/>
          <w:szCs w:val="24"/>
          <w:lang w:val="en-US"/>
        </w:rPr>
        <w:lastRenderedPageBreak/>
        <w:t>Press.</w:t>
      </w:r>
    </w:p>
    <w:p w14:paraId="3FE67129"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1989. “Possible Worlds in History of Science.” In </w:t>
      </w:r>
      <w:r w:rsidRPr="00166055">
        <w:rPr>
          <w:rFonts w:ascii="Times New Roman" w:hAnsi="Times New Roman" w:cs="Times New Roman"/>
          <w:i/>
          <w:iCs/>
          <w:noProof/>
          <w:sz w:val="24"/>
          <w:szCs w:val="24"/>
          <w:lang w:val="en-US"/>
        </w:rPr>
        <w:t>Possible Worlds in Humanities, Arts and Sciences</w:t>
      </w:r>
      <w:r w:rsidRPr="00166055">
        <w:rPr>
          <w:rFonts w:ascii="Times New Roman" w:hAnsi="Times New Roman" w:cs="Times New Roman"/>
          <w:noProof/>
          <w:sz w:val="24"/>
          <w:szCs w:val="24"/>
          <w:lang w:val="en-US"/>
        </w:rPr>
        <w:t>, edited by S. Allen, 9–32. Berlin: de Gruyter.</w:t>
      </w:r>
    </w:p>
    <w:p w14:paraId="06901361"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1990. “The Road since Structure.” </w:t>
      </w:r>
      <w:r w:rsidRPr="00166055">
        <w:rPr>
          <w:rFonts w:ascii="Times New Roman" w:hAnsi="Times New Roman" w:cs="Times New Roman"/>
          <w:i/>
          <w:iCs/>
          <w:noProof/>
          <w:sz w:val="24"/>
          <w:szCs w:val="24"/>
          <w:lang w:val="en-US"/>
        </w:rPr>
        <w:t>PSA: Proceedings of the Biennial Meeting of the Philosophy of Science Association</w:t>
      </w:r>
      <w:r w:rsidRPr="00166055">
        <w:rPr>
          <w:rFonts w:ascii="Times New Roman" w:hAnsi="Times New Roman" w:cs="Times New Roman"/>
          <w:noProof/>
          <w:sz w:val="24"/>
          <w:szCs w:val="24"/>
          <w:lang w:val="en-US"/>
        </w:rPr>
        <w:t xml:space="preserve"> 2: 3–13. doi:10.1093/bjps/55.1.175.</w:t>
      </w:r>
    </w:p>
    <w:p w14:paraId="60442FC7"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1993. “Afterwords.” In </w:t>
      </w:r>
      <w:r w:rsidRPr="00166055">
        <w:rPr>
          <w:rFonts w:ascii="Times New Roman" w:hAnsi="Times New Roman" w:cs="Times New Roman"/>
          <w:i/>
          <w:iCs/>
          <w:noProof/>
          <w:sz w:val="24"/>
          <w:szCs w:val="24"/>
          <w:lang w:val="en-US"/>
        </w:rPr>
        <w:t>World Change: Thomas Kuhn and the Nature of Science</w:t>
      </w:r>
      <w:r w:rsidRPr="00166055">
        <w:rPr>
          <w:rFonts w:ascii="Times New Roman" w:hAnsi="Times New Roman" w:cs="Times New Roman"/>
          <w:noProof/>
          <w:sz w:val="24"/>
          <w:szCs w:val="24"/>
          <w:lang w:val="en-US"/>
        </w:rPr>
        <w:t>, edited by Paul Horwich, 311–41. Cambridge, MA: MIT Press.</w:t>
      </w:r>
    </w:p>
    <w:p w14:paraId="32E9C055"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2000a. “The Natural and the Human Sciences.” In </w:t>
      </w:r>
      <w:r w:rsidRPr="00166055">
        <w:rPr>
          <w:rFonts w:ascii="Times New Roman" w:hAnsi="Times New Roman" w:cs="Times New Roman"/>
          <w:i/>
          <w:iCs/>
          <w:noProof/>
          <w:sz w:val="24"/>
          <w:szCs w:val="24"/>
          <w:lang w:val="en-US"/>
        </w:rPr>
        <w:t>The Road Since Structure</w:t>
      </w:r>
      <w:r w:rsidRPr="00166055">
        <w:rPr>
          <w:rFonts w:ascii="Times New Roman" w:hAnsi="Times New Roman" w:cs="Times New Roman"/>
          <w:noProof/>
          <w:sz w:val="24"/>
          <w:szCs w:val="24"/>
          <w:lang w:val="en-US"/>
        </w:rPr>
        <w:t>, edited by James Conant and John Haugeland, 216–23. Chicago, IL: University of Chicago Press.</w:t>
      </w:r>
    </w:p>
    <w:p w14:paraId="4C844AF4"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2000b. “The Trouble with the Historical Philosophy of Science.” In </w:t>
      </w:r>
      <w:r w:rsidRPr="00166055">
        <w:rPr>
          <w:rFonts w:ascii="Times New Roman" w:hAnsi="Times New Roman" w:cs="Times New Roman"/>
          <w:i/>
          <w:iCs/>
          <w:noProof/>
          <w:sz w:val="24"/>
          <w:szCs w:val="24"/>
          <w:lang w:val="en-US"/>
        </w:rPr>
        <w:t>The Road Since Structure</w:t>
      </w:r>
      <w:r w:rsidRPr="00166055">
        <w:rPr>
          <w:rFonts w:ascii="Times New Roman" w:hAnsi="Times New Roman" w:cs="Times New Roman"/>
          <w:noProof/>
          <w:sz w:val="24"/>
          <w:szCs w:val="24"/>
          <w:lang w:val="en-US"/>
        </w:rPr>
        <w:t>, edited by James Conant and John Haugeland, 105–20. Chicago, IL: University of Chicago Press.</w:t>
      </w:r>
    </w:p>
    <w:p w14:paraId="0A3C56D3"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Lakatos, Imre. 1968. “Criticism and the Methodology of Scientific Research Programmes.” </w:t>
      </w:r>
      <w:r w:rsidRPr="00166055">
        <w:rPr>
          <w:rFonts w:ascii="Times New Roman" w:hAnsi="Times New Roman" w:cs="Times New Roman"/>
          <w:i/>
          <w:iCs/>
          <w:noProof/>
          <w:sz w:val="24"/>
          <w:szCs w:val="24"/>
          <w:lang w:val="en-US"/>
        </w:rPr>
        <w:t>Proceedings of the Aristotelian Society</w:t>
      </w:r>
      <w:r w:rsidRPr="00166055">
        <w:rPr>
          <w:rFonts w:ascii="Times New Roman" w:hAnsi="Times New Roman" w:cs="Times New Roman"/>
          <w:noProof/>
          <w:sz w:val="24"/>
          <w:szCs w:val="24"/>
          <w:lang w:val="en-US"/>
        </w:rPr>
        <w:t xml:space="preserve"> 69: 149–86.</w:t>
      </w:r>
    </w:p>
    <w:p w14:paraId="47DB8A82" w14:textId="0A508C71"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1978. </w:t>
      </w:r>
      <w:r w:rsidRPr="00166055">
        <w:rPr>
          <w:rFonts w:ascii="Times New Roman" w:hAnsi="Times New Roman" w:cs="Times New Roman"/>
          <w:i/>
          <w:iCs/>
          <w:noProof/>
          <w:sz w:val="24"/>
          <w:szCs w:val="24"/>
          <w:lang w:val="en-US"/>
        </w:rPr>
        <w:t>Falsification and the Methodology of Scientific Research Programmes</w:t>
      </w:r>
      <w:r w:rsidRPr="00166055">
        <w:rPr>
          <w:rFonts w:ascii="Times New Roman" w:hAnsi="Times New Roman" w:cs="Times New Roman"/>
          <w:noProof/>
          <w:sz w:val="24"/>
          <w:szCs w:val="24"/>
          <w:lang w:val="en-US"/>
        </w:rPr>
        <w:t xml:space="preserve">. </w:t>
      </w:r>
      <w:r w:rsidR="002178E4">
        <w:rPr>
          <w:rFonts w:ascii="Times New Roman" w:hAnsi="Times New Roman" w:cs="Times New Roman"/>
          <w:noProof/>
          <w:sz w:val="24"/>
          <w:szCs w:val="24"/>
          <w:lang w:val="en-US"/>
        </w:rPr>
        <w:t xml:space="preserve">In </w:t>
      </w:r>
      <w:r w:rsidRPr="00166055">
        <w:rPr>
          <w:rFonts w:ascii="Times New Roman" w:hAnsi="Times New Roman" w:cs="Times New Roman"/>
          <w:i/>
          <w:iCs/>
          <w:noProof/>
          <w:sz w:val="24"/>
          <w:szCs w:val="24"/>
          <w:lang w:val="en-US"/>
        </w:rPr>
        <w:t>The Methodology of Scientific Research Programme</w:t>
      </w:r>
      <w:r w:rsidR="002178E4">
        <w:rPr>
          <w:rFonts w:ascii="Times New Roman" w:hAnsi="Times New Roman" w:cs="Times New Roman"/>
          <w:noProof/>
          <w:sz w:val="24"/>
          <w:szCs w:val="24"/>
          <w:lang w:val="en-US"/>
        </w:rPr>
        <w:t>, edited by John Worrall and Greogry Currie, 8-101. Cambridge: Cambridge University Press.</w:t>
      </w:r>
    </w:p>
    <w:p w14:paraId="4C5D7D5C"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Laudan, Larry. 1977. </w:t>
      </w:r>
      <w:r w:rsidRPr="00166055">
        <w:rPr>
          <w:rFonts w:ascii="Times New Roman" w:hAnsi="Times New Roman" w:cs="Times New Roman"/>
          <w:i/>
          <w:iCs/>
          <w:noProof/>
          <w:sz w:val="24"/>
          <w:szCs w:val="24"/>
          <w:lang w:val="en-US"/>
        </w:rPr>
        <w:t>Progress and Its Problems</w:t>
      </w:r>
      <w:r w:rsidRPr="00166055">
        <w:rPr>
          <w:rFonts w:ascii="Times New Roman" w:hAnsi="Times New Roman" w:cs="Times New Roman"/>
          <w:noProof/>
          <w:sz w:val="24"/>
          <w:szCs w:val="24"/>
          <w:lang w:val="en-US"/>
        </w:rPr>
        <w:t>. Berkeley and Los Angeles, CA: University of California Press.</w:t>
      </w:r>
    </w:p>
    <w:p w14:paraId="399F0DFC"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Massimi, Michela. 2016. “Four Kinds of Perspectival Truth.” </w:t>
      </w:r>
      <w:r w:rsidRPr="00166055">
        <w:rPr>
          <w:rFonts w:ascii="Times New Roman" w:hAnsi="Times New Roman" w:cs="Times New Roman"/>
          <w:i/>
          <w:iCs/>
          <w:noProof/>
          <w:sz w:val="24"/>
          <w:szCs w:val="24"/>
          <w:lang w:val="en-US"/>
        </w:rPr>
        <w:t>Philosophy and Phenomenological Research</w:t>
      </w:r>
      <w:r w:rsidRPr="00166055">
        <w:rPr>
          <w:rFonts w:ascii="Times New Roman" w:hAnsi="Times New Roman" w:cs="Times New Roman"/>
          <w:noProof/>
          <w:sz w:val="24"/>
          <w:szCs w:val="24"/>
          <w:lang w:val="en-US"/>
        </w:rPr>
        <w:t>, 1–18. doi:10.1111/phpr.12300.</w:t>
      </w:r>
    </w:p>
    <w:p w14:paraId="25E8550A"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Mendel, Gregor. 1865. “Versuche Über Pflanzenhybriden.” </w:t>
      </w:r>
      <w:r w:rsidRPr="00166055">
        <w:rPr>
          <w:rFonts w:ascii="Times New Roman" w:hAnsi="Times New Roman" w:cs="Times New Roman"/>
          <w:i/>
          <w:iCs/>
          <w:noProof/>
          <w:sz w:val="24"/>
          <w:szCs w:val="24"/>
          <w:lang w:val="en-US"/>
        </w:rPr>
        <w:t xml:space="preserve">Verhandlungen Des </w:t>
      </w:r>
      <w:r w:rsidRPr="00166055">
        <w:rPr>
          <w:rFonts w:ascii="Times New Roman" w:hAnsi="Times New Roman" w:cs="Times New Roman"/>
          <w:i/>
          <w:iCs/>
          <w:noProof/>
          <w:sz w:val="24"/>
          <w:szCs w:val="24"/>
          <w:lang w:val="en-US"/>
        </w:rPr>
        <w:lastRenderedPageBreak/>
        <w:t>Naturforschenden Vereins Brünn</w:t>
      </w:r>
      <w:r w:rsidRPr="00166055">
        <w:rPr>
          <w:rFonts w:ascii="Times New Roman" w:hAnsi="Times New Roman" w:cs="Times New Roman"/>
          <w:noProof/>
          <w:sz w:val="24"/>
          <w:szCs w:val="24"/>
          <w:lang w:val="en-US"/>
        </w:rPr>
        <w:t xml:space="preserve"> 4 (Abhandlungen): 3–47.</w:t>
      </w:r>
    </w:p>
    <w:p w14:paraId="5D1327F7" w14:textId="5ED17939"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Monaghan, Floyd V., and Corcos</w:t>
      </w:r>
      <w:r w:rsidR="00151D95">
        <w:rPr>
          <w:rFonts w:ascii="Times New Roman" w:hAnsi="Times New Roman" w:cs="Times New Roman"/>
          <w:noProof/>
          <w:sz w:val="24"/>
          <w:szCs w:val="24"/>
          <w:lang w:val="en-US"/>
        </w:rPr>
        <w:t>,</w:t>
      </w:r>
      <w:r w:rsidR="00151D95" w:rsidRPr="00151D95">
        <w:rPr>
          <w:rFonts w:ascii="Times New Roman" w:hAnsi="Times New Roman" w:cs="Times New Roman"/>
          <w:noProof/>
          <w:sz w:val="24"/>
          <w:szCs w:val="24"/>
          <w:lang w:val="en-US"/>
        </w:rPr>
        <w:t xml:space="preserve"> </w:t>
      </w:r>
      <w:r w:rsidR="00151D95" w:rsidRPr="00166055">
        <w:rPr>
          <w:rFonts w:ascii="Times New Roman" w:hAnsi="Times New Roman" w:cs="Times New Roman"/>
          <w:noProof/>
          <w:sz w:val="24"/>
          <w:szCs w:val="24"/>
          <w:lang w:val="en-US"/>
        </w:rPr>
        <w:t>Alain F.</w:t>
      </w:r>
      <w:r w:rsidRPr="00166055">
        <w:rPr>
          <w:rFonts w:ascii="Times New Roman" w:hAnsi="Times New Roman" w:cs="Times New Roman"/>
          <w:noProof/>
          <w:sz w:val="24"/>
          <w:szCs w:val="24"/>
          <w:lang w:val="en-US"/>
        </w:rPr>
        <w:t xml:space="preserve">. 1986. “Tschermak: A Non-Discoverer of Mendelism, I. An Historical Note.” </w:t>
      </w:r>
      <w:r w:rsidRPr="00166055">
        <w:rPr>
          <w:rFonts w:ascii="Times New Roman" w:hAnsi="Times New Roman" w:cs="Times New Roman"/>
          <w:i/>
          <w:iCs/>
          <w:noProof/>
          <w:sz w:val="24"/>
          <w:szCs w:val="24"/>
          <w:lang w:val="en-US"/>
        </w:rPr>
        <w:t>Journal of Heredity</w:t>
      </w:r>
      <w:r w:rsidRPr="00166055">
        <w:rPr>
          <w:rFonts w:ascii="Times New Roman" w:hAnsi="Times New Roman" w:cs="Times New Roman"/>
          <w:noProof/>
          <w:sz w:val="24"/>
          <w:szCs w:val="24"/>
          <w:lang w:val="en-US"/>
        </w:rPr>
        <w:t xml:space="preserve"> 77: 468–69.</w:t>
      </w:r>
    </w:p>
    <w:p w14:paraId="42F10593"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1990. “The Real Objective of Mendel’s Paper.” </w:t>
      </w:r>
      <w:r w:rsidRPr="00166055">
        <w:rPr>
          <w:rFonts w:ascii="Times New Roman" w:hAnsi="Times New Roman" w:cs="Times New Roman"/>
          <w:i/>
          <w:iCs/>
          <w:noProof/>
          <w:sz w:val="24"/>
          <w:szCs w:val="24"/>
          <w:lang w:val="en-US"/>
        </w:rPr>
        <w:t>Biology and Philosophy</w:t>
      </w:r>
      <w:r w:rsidRPr="00166055">
        <w:rPr>
          <w:rFonts w:ascii="Times New Roman" w:hAnsi="Times New Roman" w:cs="Times New Roman"/>
          <w:noProof/>
          <w:sz w:val="24"/>
          <w:szCs w:val="24"/>
          <w:lang w:val="en-US"/>
        </w:rPr>
        <w:t xml:space="preserve"> 5 (3): 267–92.</w:t>
      </w:r>
    </w:p>
    <w:p w14:paraId="336F9FE3"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Morgan, Thomas Hunt. 1926. </w:t>
      </w:r>
      <w:r w:rsidRPr="00166055">
        <w:rPr>
          <w:rFonts w:ascii="Times New Roman" w:hAnsi="Times New Roman" w:cs="Times New Roman"/>
          <w:i/>
          <w:iCs/>
          <w:noProof/>
          <w:sz w:val="24"/>
          <w:szCs w:val="24"/>
          <w:lang w:val="en-US"/>
        </w:rPr>
        <w:t>The Theory of the Gene</w:t>
      </w:r>
      <w:r w:rsidRPr="00166055">
        <w:rPr>
          <w:rFonts w:ascii="Times New Roman" w:hAnsi="Times New Roman" w:cs="Times New Roman"/>
          <w:noProof/>
          <w:sz w:val="24"/>
          <w:szCs w:val="24"/>
          <w:lang w:val="en-US"/>
        </w:rPr>
        <w:t>. New Haven, CT: Yale University Press.</w:t>
      </w:r>
    </w:p>
    <w:p w14:paraId="5C5585E1" w14:textId="60524D93"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Morgan, Thomas Hunt, Sturtevant</w:t>
      </w:r>
      <w:r w:rsidR="001E7D9C">
        <w:rPr>
          <w:rFonts w:ascii="Times New Roman" w:hAnsi="Times New Roman" w:cs="Times New Roman"/>
          <w:noProof/>
          <w:sz w:val="24"/>
          <w:szCs w:val="24"/>
          <w:lang w:val="en-US"/>
        </w:rPr>
        <w:t>,</w:t>
      </w:r>
      <w:r w:rsidR="001E7D9C" w:rsidRPr="001E7D9C">
        <w:rPr>
          <w:rFonts w:ascii="Times New Roman" w:hAnsi="Times New Roman" w:cs="Times New Roman"/>
          <w:noProof/>
          <w:sz w:val="24"/>
          <w:szCs w:val="24"/>
          <w:lang w:val="en-US"/>
        </w:rPr>
        <w:t xml:space="preserve"> </w:t>
      </w:r>
      <w:r w:rsidR="001E7D9C" w:rsidRPr="00166055">
        <w:rPr>
          <w:rFonts w:ascii="Times New Roman" w:hAnsi="Times New Roman" w:cs="Times New Roman"/>
          <w:noProof/>
          <w:sz w:val="24"/>
          <w:szCs w:val="24"/>
          <w:lang w:val="en-US"/>
        </w:rPr>
        <w:t>Alfred Henry</w:t>
      </w:r>
      <w:r w:rsidRPr="00166055">
        <w:rPr>
          <w:rFonts w:ascii="Times New Roman" w:hAnsi="Times New Roman" w:cs="Times New Roman"/>
          <w:noProof/>
          <w:sz w:val="24"/>
          <w:szCs w:val="24"/>
          <w:lang w:val="en-US"/>
        </w:rPr>
        <w:t>, Muller</w:t>
      </w:r>
      <w:r w:rsidR="001E7D9C">
        <w:rPr>
          <w:rFonts w:ascii="Times New Roman" w:hAnsi="Times New Roman" w:cs="Times New Roman"/>
          <w:noProof/>
          <w:sz w:val="24"/>
          <w:szCs w:val="24"/>
          <w:lang w:val="en-US"/>
        </w:rPr>
        <w:t>,</w:t>
      </w:r>
      <w:r w:rsidR="001E7D9C" w:rsidRPr="001E7D9C">
        <w:rPr>
          <w:rFonts w:ascii="Times New Roman" w:hAnsi="Times New Roman" w:cs="Times New Roman"/>
          <w:noProof/>
          <w:sz w:val="24"/>
          <w:szCs w:val="24"/>
          <w:lang w:val="en-US"/>
        </w:rPr>
        <w:t xml:space="preserve"> </w:t>
      </w:r>
      <w:r w:rsidR="001E7D9C" w:rsidRPr="00166055">
        <w:rPr>
          <w:rFonts w:ascii="Times New Roman" w:hAnsi="Times New Roman" w:cs="Times New Roman"/>
          <w:noProof/>
          <w:sz w:val="24"/>
          <w:szCs w:val="24"/>
          <w:lang w:val="en-US"/>
        </w:rPr>
        <w:t>Hermann Joseph</w:t>
      </w:r>
      <w:r w:rsidRPr="00166055">
        <w:rPr>
          <w:rFonts w:ascii="Times New Roman" w:hAnsi="Times New Roman" w:cs="Times New Roman"/>
          <w:noProof/>
          <w:sz w:val="24"/>
          <w:szCs w:val="24"/>
          <w:lang w:val="en-US"/>
        </w:rPr>
        <w:t>, and Bridges</w:t>
      </w:r>
      <w:r w:rsidR="001E7D9C">
        <w:rPr>
          <w:rFonts w:ascii="Times New Roman" w:hAnsi="Times New Roman" w:cs="Times New Roman"/>
          <w:noProof/>
          <w:sz w:val="24"/>
          <w:szCs w:val="24"/>
          <w:lang w:val="en-US"/>
        </w:rPr>
        <w:t>,</w:t>
      </w:r>
      <w:r w:rsidR="001E7D9C" w:rsidRPr="001E7D9C">
        <w:rPr>
          <w:rFonts w:ascii="Times New Roman" w:hAnsi="Times New Roman" w:cs="Times New Roman"/>
          <w:noProof/>
          <w:sz w:val="24"/>
          <w:szCs w:val="24"/>
          <w:lang w:val="en-US"/>
        </w:rPr>
        <w:t xml:space="preserve"> </w:t>
      </w:r>
      <w:r w:rsidR="001E7D9C" w:rsidRPr="00166055">
        <w:rPr>
          <w:rFonts w:ascii="Times New Roman" w:hAnsi="Times New Roman" w:cs="Times New Roman"/>
          <w:noProof/>
          <w:sz w:val="24"/>
          <w:szCs w:val="24"/>
          <w:lang w:val="en-US"/>
        </w:rPr>
        <w:t>Calvin Blackman</w:t>
      </w:r>
      <w:r w:rsidRPr="00166055">
        <w:rPr>
          <w:rFonts w:ascii="Times New Roman" w:hAnsi="Times New Roman" w:cs="Times New Roman"/>
          <w:noProof/>
          <w:sz w:val="24"/>
          <w:szCs w:val="24"/>
          <w:lang w:val="en-US"/>
        </w:rPr>
        <w:t xml:space="preserve">. 1915. </w:t>
      </w:r>
      <w:r w:rsidRPr="00166055">
        <w:rPr>
          <w:rFonts w:ascii="Times New Roman" w:hAnsi="Times New Roman" w:cs="Times New Roman"/>
          <w:i/>
          <w:iCs/>
          <w:noProof/>
          <w:sz w:val="24"/>
          <w:szCs w:val="24"/>
          <w:lang w:val="en-US"/>
        </w:rPr>
        <w:t>The Mechanism of Mendelian Heredity</w:t>
      </w:r>
      <w:r w:rsidRPr="00166055">
        <w:rPr>
          <w:rFonts w:ascii="Times New Roman" w:hAnsi="Times New Roman" w:cs="Times New Roman"/>
          <w:noProof/>
          <w:sz w:val="24"/>
          <w:szCs w:val="24"/>
          <w:lang w:val="en-US"/>
        </w:rPr>
        <w:t>. New York: Henry Holt and Company.</w:t>
      </w:r>
    </w:p>
    <w:p w14:paraId="57FDEE57"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Mößner, Nicola. 2011. “Thought Styles and Paradigms: A Comparative Study of Ludwik Fleck and Thomas S. Kuhn.” </w:t>
      </w:r>
      <w:r w:rsidRPr="00166055">
        <w:rPr>
          <w:rFonts w:ascii="Times New Roman" w:hAnsi="Times New Roman" w:cs="Times New Roman"/>
          <w:i/>
          <w:iCs/>
          <w:noProof/>
          <w:sz w:val="24"/>
          <w:szCs w:val="24"/>
          <w:lang w:val="en-US"/>
        </w:rPr>
        <w:t>Studies in History and Philosophy of Science</w:t>
      </w:r>
      <w:r w:rsidRPr="00166055">
        <w:rPr>
          <w:rFonts w:ascii="Times New Roman" w:hAnsi="Times New Roman" w:cs="Times New Roman"/>
          <w:noProof/>
          <w:sz w:val="24"/>
          <w:szCs w:val="24"/>
          <w:lang w:val="en-US"/>
        </w:rPr>
        <w:t xml:space="preserve"> 42 (2): 362–71.</w:t>
      </w:r>
    </w:p>
    <w:p w14:paraId="43AD6522" w14:textId="7E21A353"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Müller-Wille, Staffan, and Orel</w:t>
      </w:r>
      <w:r w:rsidR="00B15CC2">
        <w:rPr>
          <w:rFonts w:ascii="Times New Roman" w:hAnsi="Times New Roman" w:cs="Times New Roman"/>
          <w:noProof/>
          <w:sz w:val="24"/>
          <w:szCs w:val="24"/>
          <w:lang w:val="en-US"/>
        </w:rPr>
        <w:t>,</w:t>
      </w:r>
      <w:r w:rsidR="00B15CC2" w:rsidRPr="00B15CC2">
        <w:rPr>
          <w:rFonts w:ascii="Times New Roman" w:hAnsi="Times New Roman" w:cs="Times New Roman"/>
          <w:noProof/>
          <w:sz w:val="24"/>
          <w:szCs w:val="24"/>
          <w:lang w:val="en-US"/>
        </w:rPr>
        <w:t xml:space="preserve"> </w:t>
      </w:r>
      <w:r w:rsidR="00B15CC2" w:rsidRPr="00166055">
        <w:rPr>
          <w:rFonts w:ascii="Times New Roman" w:hAnsi="Times New Roman" w:cs="Times New Roman"/>
          <w:noProof/>
          <w:sz w:val="24"/>
          <w:szCs w:val="24"/>
          <w:lang w:val="en-US"/>
        </w:rPr>
        <w:t>Vitezslav</w:t>
      </w:r>
      <w:r w:rsidRPr="00166055">
        <w:rPr>
          <w:rFonts w:ascii="Times New Roman" w:hAnsi="Times New Roman" w:cs="Times New Roman"/>
          <w:noProof/>
          <w:sz w:val="24"/>
          <w:szCs w:val="24"/>
          <w:lang w:val="en-US"/>
        </w:rPr>
        <w:t xml:space="preserve">. 2007. “From Linnaean Species to Mendelian Factors: Elements of Hybridism, 1751-1870.” </w:t>
      </w:r>
      <w:r w:rsidRPr="00166055">
        <w:rPr>
          <w:rFonts w:ascii="Times New Roman" w:hAnsi="Times New Roman" w:cs="Times New Roman"/>
          <w:i/>
          <w:iCs/>
          <w:noProof/>
          <w:sz w:val="24"/>
          <w:szCs w:val="24"/>
          <w:lang w:val="en-US"/>
        </w:rPr>
        <w:t>Annals of Science</w:t>
      </w:r>
      <w:r w:rsidRPr="00166055">
        <w:rPr>
          <w:rFonts w:ascii="Times New Roman" w:hAnsi="Times New Roman" w:cs="Times New Roman"/>
          <w:noProof/>
          <w:sz w:val="24"/>
          <w:szCs w:val="24"/>
          <w:lang w:val="en-US"/>
        </w:rPr>
        <w:t xml:space="preserve"> 64 (2): 171–215.</w:t>
      </w:r>
    </w:p>
    <w:p w14:paraId="6E0DA7E9"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Nagel, Ernest. 1961. </w:t>
      </w:r>
      <w:r w:rsidRPr="00166055">
        <w:rPr>
          <w:rFonts w:ascii="Times New Roman" w:hAnsi="Times New Roman" w:cs="Times New Roman"/>
          <w:i/>
          <w:iCs/>
          <w:noProof/>
          <w:sz w:val="24"/>
          <w:szCs w:val="24"/>
          <w:lang w:val="en-US"/>
        </w:rPr>
        <w:t>The Structure of Science: Problems in the Logic of Scientific Explanation</w:t>
      </w:r>
      <w:r w:rsidRPr="00166055">
        <w:rPr>
          <w:rFonts w:ascii="Times New Roman" w:hAnsi="Times New Roman" w:cs="Times New Roman"/>
          <w:noProof/>
          <w:sz w:val="24"/>
          <w:szCs w:val="24"/>
          <w:lang w:val="en-US"/>
        </w:rPr>
        <w:t>. New York: Harcourt, Brace &amp; World.</w:t>
      </w:r>
    </w:p>
    <w:p w14:paraId="1CEF7854"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Nickles, Thomas. 2003. “Normal Science: From Logic to Case-Based and Model-Based Reasoning.” In </w:t>
      </w:r>
      <w:r w:rsidRPr="00166055">
        <w:rPr>
          <w:rFonts w:ascii="Times New Roman" w:hAnsi="Times New Roman" w:cs="Times New Roman"/>
          <w:i/>
          <w:iCs/>
          <w:noProof/>
          <w:sz w:val="24"/>
          <w:szCs w:val="24"/>
          <w:lang w:val="en-US"/>
        </w:rPr>
        <w:t>Thomas Kuhn</w:t>
      </w:r>
      <w:r w:rsidRPr="00166055">
        <w:rPr>
          <w:rFonts w:ascii="Times New Roman" w:hAnsi="Times New Roman" w:cs="Times New Roman"/>
          <w:noProof/>
          <w:sz w:val="24"/>
          <w:szCs w:val="24"/>
          <w:lang w:val="en-US"/>
        </w:rPr>
        <w:t>, edited by Thomas Nickles, 142–77. Cambridge: Cambridge University Press.</w:t>
      </w:r>
    </w:p>
    <w:p w14:paraId="29E7EA89"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2012. “Some Puzzles about Kuhn’s Exemplars.” In </w:t>
      </w:r>
      <w:r w:rsidRPr="00166055">
        <w:rPr>
          <w:rFonts w:ascii="Times New Roman" w:hAnsi="Times New Roman" w:cs="Times New Roman"/>
          <w:i/>
          <w:iCs/>
          <w:noProof/>
          <w:sz w:val="24"/>
          <w:szCs w:val="24"/>
          <w:lang w:val="en-US"/>
        </w:rPr>
        <w:t>Kuhn’s The Structure of Scientific Revolutions</w:t>
      </w:r>
      <w:r w:rsidRPr="00166055">
        <w:rPr>
          <w:rFonts w:ascii="Times New Roman" w:hAnsi="Times New Roman" w:cs="Times New Roman"/>
          <w:noProof/>
          <w:sz w:val="24"/>
          <w:szCs w:val="24"/>
          <w:lang w:val="en-US"/>
        </w:rPr>
        <w:t>, edited by Vasso Kindi and Theodore Arabatzis, 112–33. London and New York: Routledge.</w:t>
      </w:r>
    </w:p>
    <w:p w14:paraId="411D5034" w14:textId="19D16155"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lastRenderedPageBreak/>
        <w:t xml:space="preserve">Olby, Robert. 1979. “Mendel No Mendelian?” </w:t>
      </w:r>
      <w:r w:rsidRPr="00166055">
        <w:rPr>
          <w:rFonts w:ascii="Times New Roman" w:hAnsi="Times New Roman" w:cs="Times New Roman"/>
          <w:i/>
          <w:iCs/>
          <w:noProof/>
          <w:sz w:val="24"/>
          <w:szCs w:val="24"/>
          <w:lang w:val="en-US"/>
        </w:rPr>
        <w:t>History of Science</w:t>
      </w:r>
      <w:r w:rsidRPr="00166055">
        <w:rPr>
          <w:rFonts w:ascii="Times New Roman" w:hAnsi="Times New Roman" w:cs="Times New Roman"/>
          <w:noProof/>
          <w:sz w:val="24"/>
          <w:szCs w:val="24"/>
          <w:lang w:val="en-US"/>
        </w:rPr>
        <w:t xml:space="preserve"> 17 (1): 53–72. </w:t>
      </w:r>
    </w:p>
    <w:p w14:paraId="1C9AAAD7" w14:textId="0C8C6FF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1985. </w:t>
      </w:r>
      <w:r w:rsidRPr="00166055">
        <w:rPr>
          <w:rFonts w:ascii="Times New Roman" w:hAnsi="Times New Roman" w:cs="Times New Roman"/>
          <w:i/>
          <w:iCs/>
          <w:noProof/>
          <w:sz w:val="24"/>
          <w:szCs w:val="24"/>
          <w:lang w:val="en-US"/>
        </w:rPr>
        <w:t>Origins of Mendelism</w:t>
      </w:r>
      <w:r w:rsidRPr="00166055">
        <w:rPr>
          <w:rFonts w:ascii="Times New Roman" w:hAnsi="Times New Roman" w:cs="Times New Roman"/>
          <w:noProof/>
          <w:sz w:val="24"/>
          <w:szCs w:val="24"/>
          <w:lang w:val="en-US"/>
        </w:rPr>
        <w:t>. 2</w:t>
      </w:r>
      <w:r w:rsidR="00B15CC2">
        <w:rPr>
          <w:rFonts w:ascii="Times New Roman" w:hAnsi="Times New Roman" w:cs="Times New Roman"/>
          <w:noProof/>
          <w:sz w:val="24"/>
          <w:szCs w:val="24"/>
          <w:lang w:val="en-US"/>
        </w:rPr>
        <w:t xml:space="preserve">nd </w:t>
      </w:r>
      <w:r w:rsidRPr="00166055">
        <w:rPr>
          <w:rFonts w:ascii="Times New Roman" w:hAnsi="Times New Roman" w:cs="Times New Roman"/>
          <w:noProof/>
          <w:sz w:val="24"/>
          <w:szCs w:val="24"/>
          <w:lang w:val="en-US"/>
        </w:rPr>
        <w:t>ed. Chicago, IL: University of Chicago Press.</w:t>
      </w:r>
    </w:p>
    <w:p w14:paraId="7498CCAC"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Polanyi, Michael. 1966. </w:t>
      </w:r>
      <w:r w:rsidRPr="00166055">
        <w:rPr>
          <w:rFonts w:ascii="Times New Roman" w:hAnsi="Times New Roman" w:cs="Times New Roman"/>
          <w:i/>
          <w:iCs/>
          <w:noProof/>
          <w:sz w:val="24"/>
          <w:szCs w:val="24"/>
          <w:lang w:val="en-US"/>
        </w:rPr>
        <w:t>The Tacit Dimension</w:t>
      </w:r>
      <w:r w:rsidRPr="00166055">
        <w:rPr>
          <w:rFonts w:ascii="Times New Roman" w:hAnsi="Times New Roman" w:cs="Times New Roman"/>
          <w:noProof/>
          <w:sz w:val="24"/>
          <w:szCs w:val="24"/>
          <w:lang w:val="en-US"/>
        </w:rPr>
        <w:t>. London: Routledge and Kegan Paul.</w:t>
      </w:r>
    </w:p>
    <w:p w14:paraId="24F0E922"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Popper, Karl. 1959. </w:t>
      </w:r>
      <w:r w:rsidRPr="00166055">
        <w:rPr>
          <w:rFonts w:ascii="Times New Roman" w:hAnsi="Times New Roman" w:cs="Times New Roman"/>
          <w:i/>
          <w:iCs/>
          <w:noProof/>
          <w:sz w:val="24"/>
          <w:szCs w:val="24"/>
          <w:lang w:val="en-US"/>
        </w:rPr>
        <w:t>The Logic of Scientific Discovery</w:t>
      </w:r>
      <w:r w:rsidRPr="00166055">
        <w:rPr>
          <w:rFonts w:ascii="Times New Roman" w:hAnsi="Times New Roman" w:cs="Times New Roman"/>
          <w:noProof/>
          <w:sz w:val="24"/>
          <w:szCs w:val="24"/>
          <w:lang w:val="en-US"/>
        </w:rPr>
        <w:t>. 1sted. London: Hutchinson &amp; Co.</w:t>
      </w:r>
    </w:p>
    <w:p w14:paraId="492C8090"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Punnett, Reginald Crundall. 1905. </w:t>
      </w:r>
      <w:r w:rsidRPr="00166055">
        <w:rPr>
          <w:rFonts w:ascii="Times New Roman" w:hAnsi="Times New Roman" w:cs="Times New Roman"/>
          <w:i/>
          <w:iCs/>
          <w:noProof/>
          <w:sz w:val="24"/>
          <w:szCs w:val="24"/>
          <w:lang w:val="en-US"/>
        </w:rPr>
        <w:t>Mendelism</w:t>
      </w:r>
      <w:r w:rsidRPr="00166055">
        <w:rPr>
          <w:rFonts w:ascii="Times New Roman" w:hAnsi="Times New Roman" w:cs="Times New Roman"/>
          <w:noProof/>
          <w:sz w:val="24"/>
          <w:szCs w:val="24"/>
          <w:lang w:val="en-US"/>
        </w:rPr>
        <w:t>. London: Macmillan and Co., Limited.</w:t>
      </w:r>
    </w:p>
    <w:p w14:paraId="4B4CEB87" w14:textId="0A7753CB"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Raynor, G. H., and Doncaster</w:t>
      </w:r>
      <w:r w:rsidR="001E7D9C">
        <w:rPr>
          <w:rFonts w:ascii="Times New Roman" w:hAnsi="Times New Roman" w:cs="Times New Roman"/>
          <w:noProof/>
          <w:sz w:val="24"/>
          <w:szCs w:val="24"/>
          <w:lang w:val="en-US"/>
        </w:rPr>
        <w:t>,</w:t>
      </w:r>
      <w:r w:rsidR="001E7D9C" w:rsidRPr="001E7D9C">
        <w:rPr>
          <w:rFonts w:ascii="Times New Roman" w:hAnsi="Times New Roman" w:cs="Times New Roman"/>
          <w:noProof/>
          <w:sz w:val="24"/>
          <w:szCs w:val="24"/>
          <w:lang w:val="en-US"/>
        </w:rPr>
        <w:t xml:space="preserve"> </w:t>
      </w:r>
      <w:r w:rsidR="001E7D9C">
        <w:rPr>
          <w:rFonts w:ascii="Times New Roman" w:hAnsi="Times New Roman" w:cs="Times New Roman"/>
          <w:noProof/>
          <w:sz w:val="24"/>
          <w:szCs w:val="24"/>
          <w:lang w:val="en-US"/>
        </w:rPr>
        <w:t>L</w:t>
      </w:r>
      <w:r w:rsidRPr="00166055">
        <w:rPr>
          <w:rFonts w:ascii="Times New Roman" w:hAnsi="Times New Roman" w:cs="Times New Roman"/>
          <w:noProof/>
          <w:sz w:val="24"/>
          <w:szCs w:val="24"/>
          <w:lang w:val="en-US"/>
        </w:rPr>
        <w:t xml:space="preserve">. 1905. “Experiments on Heredity and Sex-Determination in Abraxas Grossulariata.” In </w:t>
      </w:r>
      <w:r w:rsidRPr="00166055">
        <w:rPr>
          <w:rFonts w:ascii="Times New Roman" w:hAnsi="Times New Roman" w:cs="Times New Roman"/>
          <w:i/>
          <w:iCs/>
          <w:noProof/>
          <w:sz w:val="24"/>
          <w:szCs w:val="24"/>
          <w:lang w:val="en-US"/>
        </w:rPr>
        <w:t xml:space="preserve">In Report of the 74th Meeting of the British Association </w:t>
      </w:r>
      <w:r w:rsidR="00526DF2">
        <w:rPr>
          <w:rFonts w:ascii="Times New Roman" w:hAnsi="Times New Roman" w:cs="Times New Roman"/>
          <w:i/>
          <w:iCs/>
          <w:noProof/>
          <w:sz w:val="24"/>
          <w:szCs w:val="24"/>
          <w:lang w:val="en-US"/>
        </w:rPr>
        <w:t>for the Ad</w:t>
      </w:r>
      <w:r w:rsidRPr="00166055">
        <w:rPr>
          <w:rFonts w:ascii="Times New Roman" w:hAnsi="Times New Roman" w:cs="Times New Roman"/>
          <w:i/>
          <w:iCs/>
          <w:noProof/>
          <w:sz w:val="24"/>
          <w:szCs w:val="24"/>
          <w:lang w:val="en-US"/>
        </w:rPr>
        <w:t>vancement of Science, Cambridge 1904</w:t>
      </w:r>
      <w:r w:rsidRPr="00166055">
        <w:rPr>
          <w:rFonts w:ascii="Times New Roman" w:hAnsi="Times New Roman" w:cs="Times New Roman"/>
          <w:noProof/>
          <w:sz w:val="24"/>
          <w:szCs w:val="24"/>
          <w:lang w:val="en-US"/>
        </w:rPr>
        <w:t>, 594–95. London: John Murray.</w:t>
      </w:r>
    </w:p>
    <w:p w14:paraId="60F4845D"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Rouse, J. 2003. “Kuhn’s Philosophy of Scientific Practice.” In </w:t>
      </w:r>
      <w:r w:rsidRPr="00166055">
        <w:rPr>
          <w:rFonts w:ascii="Times New Roman" w:hAnsi="Times New Roman" w:cs="Times New Roman"/>
          <w:i/>
          <w:iCs/>
          <w:noProof/>
          <w:sz w:val="24"/>
          <w:szCs w:val="24"/>
          <w:lang w:val="en-US"/>
        </w:rPr>
        <w:t>Thomas Kuhn</w:t>
      </w:r>
      <w:r w:rsidRPr="00166055">
        <w:rPr>
          <w:rFonts w:ascii="Times New Roman" w:hAnsi="Times New Roman" w:cs="Times New Roman"/>
          <w:noProof/>
          <w:sz w:val="24"/>
          <w:szCs w:val="24"/>
          <w:lang w:val="en-US"/>
        </w:rPr>
        <w:t>, edited by Thomas Nickles, 101–21. Cambridge: Cambridge University Press.</w:t>
      </w:r>
    </w:p>
    <w:p w14:paraId="1F86DA53" w14:textId="1E3C8B21"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Sandler, Iris, and Sandler</w:t>
      </w:r>
      <w:r w:rsidR="001E7D9C">
        <w:rPr>
          <w:rFonts w:ascii="Times New Roman" w:hAnsi="Times New Roman" w:cs="Times New Roman"/>
          <w:noProof/>
          <w:sz w:val="24"/>
          <w:szCs w:val="24"/>
          <w:lang w:val="en-US"/>
        </w:rPr>
        <w:t>,</w:t>
      </w:r>
      <w:r w:rsidR="001E7D9C" w:rsidRPr="001E7D9C">
        <w:rPr>
          <w:rFonts w:ascii="Times New Roman" w:hAnsi="Times New Roman" w:cs="Times New Roman"/>
          <w:noProof/>
          <w:sz w:val="24"/>
          <w:szCs w:val="24"/>
          <w:lang w:val="en-US"/>
        </w:rPr>
        <w:t xml:space="preserve"> </w:t>
      </w:r>
      <w:r w:rsidR="001E7D9C" w:rsidRPr="00166055">
        <w:rPr>
          <w:rFonts w:ascii="Times New Roman" w:hAnsi="Times New Roman" w:cs="Times New Roman"/>
          <w:noProof/>
          <w:sz w:val="24"/>
          <w:szCs w:val="24"/>
          <w:lang w:val="en-US"/>
        </w:rPr>
        <w:t>Laurence</w:t>
      </w:r>
      <w:r w:rsidRPr="00166055">
        <w:rPr>
          <w:rFonts w:ascii="Times New Roman" w:hAnsi="Times New Roman" w:cs="Times New Roman"/>
          <w:noProof/>
          <w:sz w:val="24"/>
          <w:szCs w:val="24"/>
          <w:lang w:val="en-US"/>
        </w:rPr>
        <w:t xml:space="preserve">. 1985. “A Conceptual Ambiguity That Contributed to the Neglect of Mendel’s Paper.” </w:t>
      </w:r>
      <w:r w:rsidRPr="00166055">
        <w:rPr>
          <w:rFonts w:ascii="Times New Roman" w:hAnsi="Times New Roman" w:cs="Times New Roman"/>
          <w:i/>
          <w:iCs/>
          <w:noProof/>
          <w:sz w:val="24"/>
          <w:szCs w:val="24"/>
          <w:lang w:val="en-US"/>
        </w:rPr>
        <w:t>History and Philosophy of the Life Sciences</w:t>
      </w:r>
      <w:r w:rsidRPr="00166055">
        <w:rPr>
          <w:rFonts w:ascii="Times New Roman" w:hAnsi="Times New Roman" w:cs="Times New Roman"/>
          <w:noProof/>
          <w:sz w:val="24"/>
          <w:szCs w:val="24"/>
          <w:lang w:val="en-US"/>
        </w:rPr>
        <w:t xml:space="preserve"> 7 (1): 3–70.</w:t>
      </w:r>
    </w:p>
    <w:p w14:paraId="13726345"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Sankey, Howard. 1993. “Kuhn’s Changing Concept of Incommensurability.” </w:t>
      </w:r>
      <w:r w:rsidRPr="00166055">
        <w:rPr>
          <w:rFonts w:ascii="Times New Roman" w:hAnsi="Times New Roman" w:cs="Times New Roman"/>
          <w:i/>
          <w:iCs/>
          <w:noProof/>
          <w:sz w:val="24"/>
          <w:szCs w:val="24"/>
          <w:lang w:val="en-US"/>
        </w:rPr>
        <w:t>Bristish Journal for the Philosophy of Science</w:t>
      </w:r>
      <w:r w:rsidRPr="00166055">
        <w:rPr>
          <w:rFonts w:ascii="Times New Roman" w:hAnsi="Times New Roman" w:cs="Times New Roman"/>
          <w:noProof/>
          <w:sz w:val="24"/>
          <w:szCs w:val="24"/>
          <w:lang w:val="en-US"/>
        </w:rPr>
        <w:t xml:space="preserve"> 44 (4): 759–74.</w:t>
      </w:r>
    </w:p>
    <w:p w14:paraId="2656FBA0"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1994. </w:t>
      </w:r>
      <w:r w:rsidRPr="00166055">
        <w:rPr>
          <w:rFonts w:ascii="Times New Roman" w:hAnsi="Times New Roman" w:cs="Times New Roman"/>
          <w:i/>
          <w:iCs/>
          <w:noProof/>
          <w:sz w:val="24"/>
          <w:szCs w:val="24"/>
          <w:lang w:val="en-US"/>
        </w:rPr>
        <w:t>The Incommensurability Thesis</w:t>
      </w:r>
      <w:r w:rsidRPr="00166055">
        <w:rPr>
          <w:rFonts w:ascii="Times New Roman" w:hAnsi="Times New Roman" w:cs="Times New Roman"/>
          <w:noProof/>
          <w:sz w:val="24"/>
          <w:szCs w:val="24"/>
          <w:lang w:val="en-US"/>
        </w:rPr>
        <w:t>. Aldershot: Avebury.</w:t>
      </w:r>
    </w:p>
    <w:p w14:paraId="71FFED62"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Seton, A. 1824. “Note by the Secretary.” </w:t>
      </w:r>
      <w:r w:rsidRPr="00166055">
        <w:rPr>
          <w:rFonts w:ascii="Times New Roman" w:hAnsi="Times New Roman" w:cs="Times New Roman"/>
          <w:i/>
          <w:iCs/>
          <w:noProof/>
          <w:sz w:val="24"/>
          <w:szCs w:val="24"/>
          <w:lang w:val="en-US"/>
        </w:rPr>
        <w:t>Transactions of the Horticultural Society of London</w:t>
      </w:r>
      <w:r w:rsidRPr="00166055">
        <w:rPr>
          <w:rFonts w:ascii="Times New Roman" w:hAnsi="Times New Roman" w:cs="Times New Roman"/>
          <w:noProof/>
          <w:sz w:val="24"/>
          <w:szCs w:val="24"/>
          <w:lang w:val="en-US"/>
        </w:rPr>
        <w:t xml:space="preserve"> 5: 236–37.</w:t>
      </w:r>
    </w:p>
    <w:p w14:paraId="0242B4A7"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Skopek, Jeffrey M. 2011. “Principles, Exemplars, and Uses of History in Early 20th Century Genetics.” </w:t>
      </w:r>
      <w:r w:rsidRPr="00166055">
        <w:rPr>
          <w:rFonts w:ascii="Times New Roman" w:hAnsi="Times New Roman" w:cs="Times New Roman"/>
          <w:i/>
          <w:iCs/>
          <w:noProof/>
          <w:sz w:val="24"/>
          <w:szCs w:val="24"/>
          <w:lang w:val="en-US"/>
        </w:rPr>
        <w:t>Studies in History and Philosophy of Biological and Biomedical Sciences</w:t>
      </w:r>
      <w:r w:rsidRPr="00166055">
        <w:rPr>
          <w:rFonts w:ascii="Times New Roman" w:hAnsi="Times New Roman" w:cs="Times New Roman"/>
          <w:noProof/>
          <w:sz w:val="24"/>
          <w:szCs w:val="24"/>
          <w:lang w:val="en-US"/>
        </w:rPr>
        <w:t xml:space="preserve"> 42 (2): 210–25.</w:t>
      </w:r>
    </w:p>
    <w:p w14:paraId="54191B72" w14:textId="37E68C2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Soler, Léna, Zwart</w:t>
      </w:r>
      <w:r w:rsidR="001E7D9C">
        <w:rPr>
          <w:rFonts w:ascii="Times New Roman" w:hAnsi="Times New Roman" w:cs="Times New Roman"/>
          <w:noProof/>
          <w:sz w:val="24"/>
          <w:szCs w:val="24"/>
          <w:lang w:val="en-US"/>
        </w:rPr>
        <w:t>,</w:t>
      </w:r>
      <w:r w:rsidR="001E7D9C" w:rsidRPr="001E7D9C">
        <w:rPr>
          <w:rFonts w:ascii="Times New Roman" w:hAnsi="Times New Roman" w:cs="Times New Roman"/>
          <w:noProof/>
          <w:sz w:val="24"/>
          <w:szCs w:val="24"/>
          <w:lang w:val="en-US"/>
        </w:rPr>
        <w:t xml:space="preserve"> </w:t>
      </w:r>
      <w:r w:rsidR="001E7D9C" w:rsidRPr="00166055">
        <w:rPr>
          <w:rFonts w:ascii="Times New Roman" w:hAnsi="Times New Roman" w:cs="Times New Roman"/>
          <w:noProof/>
          <w:sz w:val="24"/>
          <w:szCs w:val="24"/>
          <w:lang w:val="en-US"/>
        </w:rPr>
        <w:t>Sjoerd</w:t>
      </w:r>
      <w:r w:rsidRPr="00166055">
        <w:rPr>
          <w:rFonts w:ascii="Times New Roman" w:hAnsi="Times New Roman" w:cs="Times New Roman"/>
          <w:noProof/>
          <w:sz w:val="24"/>
          <w:szCs w:val="24"/>
          <w:lang w:val="en-US"/>
        </w:rPr>
        <w:t xml:space="preserve">, Lynch, </w:t>
      </w:r>
      <w:r w:rsidR="001E7D9C" w:rsidRPr="00166055">
        <w:rPr>
          <w:rFonts w:ascii="Times New Roman" w:hAnsi="Times New Roman" w:cs="Times New Roman"/>
          <w:noProof/>
          <w:sz w:val="24"/>
          <w:szCs w:val="24"/>
          <w:lang w:val="en-US"/>
        </w:rPr>
        <w:t>Michael</w:t>
      </w:r>
      <w:r w:rsidR="001E7D9C">
        <w:rPr>
          <w:rFonts w:ascii="Times New Roman" w:hAnsi="Times New Roman" w:cs="Times New Roman"/>
          <w:noProof/>
          <w:sz w:val="24"/>
          <w:szCs w:val="24"/>
          <w:lang w:val="en-US"/>
        </w:rPr>
        <w:t>,</w:t>
      </w:r>
      <w:r w:rsidR="001E7D9C" w:rsidRPr="00166055">
        <w:rPr>
          <w:rFonts w:ascii="Times New Roman" w:hAnsi="Times New Roman" w:cs="Times New Roman"/>
          <w:noProof/>
          <w:sz w:val="24"/>
          <w:szCs w:val="24"/>
          <w:lang w:val="en-US"/>
        </w:rPr>
        <w:t xml:space="preserve"> </w:t>
      </w:r>
      <w:r w:rsidRPr="00166055">
        <w:rPr>
          <w:rFonts w:ascii="Times New Roman" w:hAnsi="Times New Roman" w:cs="Times New Roman"/>
          <w:noProof/>
          <w:sz w:val="24"/>
          <w:szCs w:val="24"/>
          <w:lang w:val="en-US"/>
        </w:rPr>
        <w:t>and Israel-Jost</w:t>
      </w:r>
      <w:r w:rsidR="001E7D9C">
        <w:rPr>
          <w:rFonts w:ascii="Times New Roman" w:hAnsi="Times New Roman" w:cs="Times New Roman"/>
          <w:noProof/>
          <w:sz w:val="24"/>
          <w:szCs w:val="24"/>
          <w:lang w:val="en-US"/>
        </w:rPr>
        <w:t>,</w:t>
      </w:r>
      <w:r w:rsidR="001E7D9C" w:rsidRPr="001E7D9C">
        <w:rPr>
          <w:rFonts w:ascii="Times New Roman" w:hAnsi="Times New Roman" w:cs="Times New Roman"/>
          <w:noProof/>
          <w:sz w:val="24"/>
          <w:szCs w:val="24"/>
          <w:lang w:val="en-US"/>
        </w:rPr>
        <w:t xml:space="preserve"> </w:t>
      </w:r>
      <w:r w:rsidR="001E7D9C" w:rsidRPr="00166055">
        <w:rPr>
          <w:rFonts w:ascii="Times New Roman" w:hAnsi="Times New Roman" w:cs="Times New Roman"/>
          <w:noProof/>
          <w:sz w:val="24"/>
          <w:szCs w:val="24"/>
          <w:lang w:val="en-US"/>
        </w:rPr>
        <w:t>Vincent</w:t>
      </w:r>
      <w:r w:rsidRPr="00166055">
        <w:rPr>
          <w:rFonts w:ascii="Times New Roman" w:hAnsi="Times New Roman" w:cs="Times New Roman"/>
          <w:noProof/>
          <w:sz w:val="24"/>
          <w:szCs w:val="24"/>
          <w:lang w:val="en-US"/>
        </w:rPr>
        <w:t xml:space="preserve">. 2014. “Introduction.” In </w:t>
      </w:r>
      <w:r w:rsidRPr="00166055">
        <w:rPr>
          <w:rFonts w:ascii="Times New Roman" w:hAnsi="Times New Roman" w:cs="Times New Roman"/>
          <w:i/>
          <w:iCs/>
          <w:noProof/>
          <w:sz w:val="24"/>
          <w:szCs w:val="24"/>
          <w:lang w:val="en-US"/>
        </w:rPr>
        <w:t>Science after the Practice Turn in the Philosophy, History and Social Studies of Science</w:t>
      </w:r>
      <w:r w:rsidRPr="00166055">
        <w:rPr>
          <w:rFonts w:ascii="Times New Roman" w:hAnsi="Times New Roman" w:cs="Times New Roman"/>
          <w:noProof/>
          <w:sz w:val="24"/>
          <w:szCs w:val="24"/>
          <w:lang w:val="en-US"/>
        </w:rPr>
        <w:t xml:space="preserve">, edited by Léna Soler, Sjoerd Zwart, Michael Lynch, and Vincent Israel-Jost, 1–43. New </w:t>
      </w:r>
      <w:r w:rsidRPr="00166055">
        <w:rPr>
          <w:rFonts w:ascii="Times New Roman" w:hAnsi="Times New Roman" w:cs="Times New Roman"/>
          <w:noProof/>
          <w:sz w:val="24"/>
          <w:szCs w:val="24"/>
          <w:lang w:val="en-US"/>
        </w:rPr>
        <w:lastRenderedPageBreak/>
        <w:t>York: Routledge.</w:t>
      </w:r>
    </w:p>
    <w:p w14:paraId="623EC7C5" w14:textId="5E4DB38F"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Suppe, Frederick, ed. 1977. </w:t>
      </w:r>
      <w:r w:rsidRPr="00166055">
        <w:rPr>
          <w:rFonts w:ascii="Times New Roman" w:hAnsi="Times New Roman" w:cs="Times New Roman"/>
          <w:i/>
          <w:iCs/>
          <w:noProof/>
          <w:sz w:val="24"/>
          <w:szCs w:val="24"/>
          <w:lang w:val="en-US"/>
        </w:rPr>
        <w:t>The Structure of Scientific Theories</w:t>
      </w:r>
      <w:r w:rsidRPr="00166055">
        <w:rPr>
          <w:rFonts w:ascii="Times New Roman" w:hAnsi="Times New Roman" w:cs="Times New Roman"/>
          <w:noProof/>
          <w:sz w:val="24"/>
          <w:szCs w:val="24"/>
          <w:lang w:val="en-US"/>
        </w:rPr>
        <w:t>. 2</w:t>
      </w:r>
      <w:r w:rsidR="00270152">
        <w:rPr>
          <w:rFonts w:ascii="Times New Roman" w:hAnsi="Times New Roman" w:cs="Times New Roman"/>
          <w:noProof/>
          <w:sz w:val="24"/>
          <w:szCs w:val="24"/>
          <w:lang w:val="en-US"/>
        </w:rPr>
        <w:t xml:space="preserve">nd </w:t>
      </w:r>
      <w:r w:rsidRPr="00166055">
        <w:rPr>
          <w:rFonts w:ascii="Times New Roman" w:hAnsi="Times New Roman" w:cs="Times New Roman"/>
          <w:noProof/>
          <w:sz w:val="24"/>
          <w:szCs w:val="24"/>
          <w:lang w:val="en-US"/>
        </w:rPr>
        <w:t>ed. Urbana, IL: University of Illinois Press.</w:t>
      </w:r>
    </w:p>
    <w:p w14:paraId="1D82BBDE"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Toulmin, Stephen Edelston. 1972. </w:t>
      </w:r>
      <w:r w:rsidRPr="00166055">
        <w:rPr>
          <w:rFonts w:ascii="Times New Roman" w:hAnsi="Times New Roman" w:cs="Times New Roman"/>
          <w:i/>
          <w:iCs/>
          <w:noProof/>
          <w:sz w:val="24"/>
          <w:szCs w:val="24"/>
          <w:lang w:val="en-US"/>
        </w:rPr>
        <w:t>Human Understanding</w:t>
      </w:r>
      <w:r w:rsidRPr="00166055">
        <w:rPr>
          <w:rFonts w:ascii="Times New Roman" w:hAnsi="Times New Roman" w:cs="Times New Roman"/>
          <w:noProof/>
          <w:sz w:val="24"/>
          <w:szCs w:val="24"/>
          <w:lang w:val="en-US"/>
        </w:rPr>
        <w:t>. Princeton, NJ: Princeton University Press.</w:t>
      </w:r>
    </w:p>
    <w:p w14:paraId="3B6DEB52" w14:textId="085F9F9C"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Tsch</w:t>
      </w:r>
      <w:r w:rsidR="00270152">
        <w:rPr>
          <w:rFonts w:ascii="Times New Roman" w:hAnsi="Times New Roman" w:cs="Times New Roman"/>
          <w:noProof/>
          <w:sz w:val="24"/>
          <w:szCs w:val="24"/>
          <w:lang w:val="en-US"/>
        </w:rPr>
        <w:t>ermak, Erich von. 1900a. “Über k</w:t>
      </w:r>
      <w:r w:rsidRPr="00166055">
        <w:rPr>
          <w:rFonts w:ascii="Times New Roman" w:hAnsi="Times New Roman" w:cs="Times New Roman"/>
          <w:noProof/>
          <w:sz w:val="24"/>
          <w:szCs w:val="24"/>
          <w:lang w:val="en-US"/>
        </w:rPr>
        <w:t>ünstli</w:t>
      </w:r>
      <w:r w:rsidR="00270152">
        <w:rPr>
          <w:rFonts w:ascii="Times New Roman" w:hAnsi="Times New Roman" w:cs="Times New Roman"/>
          <w:noProof/>
          <w:sz w:val="24"/>
          <w:szCs w:val="24"/>
          <w:lang w:val="en-US"/>
        </w:rPr>
        <w:t>che Kreuzung b</w:t>
      </w:r>
      <w:r w:rsidRPr="00166055">
        <w:rPr>
          <w:rFonts w:ascii="Times New Roman" w:hAnsi="Times New Roman" w:cs="Times New Roman"/>
          <w:noProof/>
          <w:sz w:val="24"/>
          <w:szCs w:val="24"/>
          <w:lang w:val="en-US"/>
        </w:rPr>
        <w:t xml:space="preserve">ei Pisum Sativum.” </w:t>
      </w:r>
      <w:r w:rsidR="00270152">
        <w:rPr>
          <w:rFonts w:ascii="Times New Roman" w:hAnsi="Times New Roman" w:cs="Times New Roman"/>
          <w:i/>
          <w:iCs/>
          <w:noProof/>
          <w:sz w:val="24"/>
          <w:szCs w:val="24"/>
          <w:lang w:val="en-US"/>
        </w:rPr>
        <w:t>Berichte d</w:t>
      </w:r>
      <w:r w:rsidRPr="00166055">
        <w:rPr>
          <w:rFonts w:ascii="Times New Roman" w:hAnsi="Times New Roman" w:cs="Times New Roman"/>
          <w:i/>
          <w:iCs/>
          <w:noProof/>
          <w:sz w:val="24"/>
          <w:szCs w:val="24"/>
          <w:lang w:val="en-US"/>
        </w:rPr>
        <w:t>er Deutschen Botanischen Gesellschaft</w:t>
      </w:r>
      <w:r w:rsidRPr="00166055">
        <w:rPr>
          <w:rFonts w:ascii="Times New Roman" w:hAnsi="Times New Roman" w:cs="Times New Roman"/>
          <w:noProof/>
          <w:sz w:val="24"/>
          <w:szCs w:val="24"/>
          <w:lang w:val="en-US"/>
        </w:rPr>
        <w:t xml:space="preserve"> 18 (6): 232–39.</w:t>
      </w:r>
    </w:p>
    <w:p w14:paraId="02E9810F" w14:textId="1C8036CB"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19</w:t>
      </w:r>
      <w:r w:rsidR="00270152">
        <w:rPr>
          <w:rFonts w:ascii="Times New Roman" w:hAnsi="Times New Roman" w:cs="Times New Roman"/>
          <w:noProof/>
          <w:sz w:val="24"/>
          <w:szCs w:val="24"/>
          <w:lang w:val="en-US"/>
        </w:rPr>
        <w:t>00b. “Über künstliche Kreuzung b</w:t>
      </w:r>
      <w:r w:rsidRPr="00166055">
        <w:rPr>
          <w:rFonts w:ascii="Times New Roman" w:hAnsi="Times New Roman" w:cs="Times New Roman"/>
          <w:noProof/>
          <w:sz w:val="24"/>
          <w:szCs w:val="24"/>
          <w:lang w:val="en-US"/>
        </w:rPr>
        <w:t xml:space="preserve">ei Pisum Sativum.” </w:t>
      </w:r>
      <w:r w:rsidR="00270152">
        <w:rPr>
          <w:rFonts w:ascii="Times New Roman" w:hAnsi="Times New Roman" w:cs="Times New Roman"/>
          <w:i/>
          <w:iCs/>
          <w:noProof/>
          <w:sz w:val="24"/>
          <w:szCs w:val="24"/>
          <w:lang w:val="en-US"/>
        </w:rPr>
        <w:t>Zeitschrift für d</w:t>
      </w:r>
      <w:r w:rsidRPr="00166055">
        <w:rPr>
          <w:rFonts w:ascii="Times New Roman" w:hAnsi="Times New Roman" w:cs="Times New Roman"/>
          <w:i/>
          <w:iCs/>
          <w:noProof/>
          <w:sz w:val="24"/>
          <w:szCs w:val="24"/>
          <w:lang w:val="en-US"/>
        </w:rPr>
        <w:t>as Landwirtschaftliche Versuchswesen in Oesterreich</w:t>
      </w:r>
      <w:r w:rsidRPr="00166055">
        <w:rPr>
          <w:rFonts w:ascii="Times New Roman" w:hAnsi="Times New Roman" w:cs="Times New Roman"/>
          <w:noProof/>
          <w:sz w:val="24"/>
          <w:szCs w:val="24"/>
          <w:lang w:val="en-US"/>
        </w:rPr>
        <w:t xml:space="preserve"> 3: 465–555.</w:t>
      </w:r>
    </w:p>
    <w:p w14:paraId="5308CEE0"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 1950. “Concerning Artifical Crossing in Pisum Sativum.” </w:t>
      </w:r>
      <w:r w:rsidRPr="00166055">
        <w:rPr>
          <w:rFonts w:ascii="Times New Roman" w:hAnsi="Times New Roman" w:cs="Times New Roman"/>
          <w:i/>
          <w:iCs/>
          <w:noProof/>
          <w:sz w:val="24"/>
          <w:szCs w:val="24"/>
          <w:lang w:val="en-US"/>
        </w:rPr>
        <w:t>Genetics</w:t>
      </w:r>
      <w:r w:rsidRPr="00166055">
        <w:rPr>
          <w:rFonts w:ascii="Times New Roman" w:hAnsi="Times New Roman" w:cs="Times New Roman"/>
          <w:noProof/>
          <w:sz w:val="24"/>
          <w:szCs w:val="24"/>
          <w:lang w:val="en-US"/>
        </w:rPr>
        <w:t xml:space="preserve"> 35 (5 (2)): 42–47.</w:t>
      </w:r>
    </w:p>
    <w:p w14:paraId="13F54A96" w14:textId="77777777"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166055">
        <w:rPr>
          <w:rFonts w:ascii="Times New Roman" w:hAnsi="Times New Roman" w:cs="Times New Roman"/>
          <w:noProof/>
          <w:sz w:val="24"/>
          <w:szCs w:val="24"/>
          <w:lang w:val="en-US"/>
        </w:rPr>
        <w:t xml:space="preserve">Waters, C. Kenneth. 2014. “Shifting Attention from Theory to Practice in Philosophy of Biology.” In </w:t>
      </w:r>
      <w:r w:rsidRPr="00166055">
        <w:rPr>
          <w:rFonts w:ascii="Times New Roman" w:hAnsi="Times New Roman" w:cs="Times New Roman"/>
          <w:i/>
          <w:iCs/>
          <w:noProof/>
          <w:sz w:val="24"/>
          <w:szCs w:val="24"/>
          <w:lang w:val="en-US"/>
        </w:rPr>
        <w:t>New Directions in the Philosophy of Science</w:t>
      </w:r>
      <w:r w:rsidRPr="00166055">
        <w:rPr>
          <w:rFonts w:ascii="Times New Roman" w:hAnsi="Times New Roman" w:cs="Times New Roman"/>
          <w:noProof/>
          <w:sz w:val="24"/>
          <w:szCs w:val="24"/>
          <w:lang w:val="en-US"/>
        </w:rPr>
        <w:t>, edited by Maria Carla Galavotti, Dennis Dieks, Wenceslao J. Gonzalez, Stephan Hartmann, Thomas Uebel, and Marcel Weber, 121–39. Dordrecht: Springer.</w:t>
      </w:r>
    </w:p>
    <w:p w14:paraId="443B137D" w14:textId="33F03939" w:rsidR="00166055" w:rsidRPr="00166055" w:rsidRDefault="00166055" w:rsidP="00166055">
      <w:pPr>
        <w:widowControl w:val="0"/>
        <w:autoSpaceDE w:val="0"/>
        <w:autoSpaceDN w:val="0"/>
        <w:adjustRightInd w:val="0"/>
        <w:spacing w:before="100" w:after="100" w:line="480" w:lineRule="auto"/>
        <w:ind w:left="480" w:hanging="480"/>
        <w:rPr>
          <w:rFonts w:ascii="Times New Roman" w:hAnsi="Times New Roman" w:cs="Times New Roman"/>
          <w:noProof/>
          <w:sz w:val="24"/>
        </w:rPr>
      </w:pPr>
      <w:r w:rsidRPr="00166055">
        <w:rPr>
          <w:rFonts w:ascii="Times New Roman" w:hAnsi="Times New Roman" w:cs="Times New Roman"/>
          <w:noProof/>
          <w:sz w:val="24"/>
          <w:szCs w:val="24"/>
          <w:lang w:val="en-US"/>
        </w:rPr>
        <w:t xml:space="preserve">Weismann, August. 1892. </w:t>
      </w:r>
      <w:r w:rsidR="00270152">
        <w:rPr>
          <w:rFonts w:ascii="Times New Roman" w:hAnsi="Times New Roman" w:cs="Times New Roman"/>
          <w:i/>
          <w:iCs/>
          <w:noProof/>
          <w:sz w:val="24"/>
          <w:szCs w:val="24"/>
          <w:lang w:val="en-US"/>
        </w:rPr>
        <w:t>Das Keimplasma: Eine Theorie d</w:t>
      </w:r>
      <w:r w:rsidRPr="00166055">
        <w:rPr>
          <w:rFonts w:ascii="Times New Roman" w:hAnsi="Times New Roman" w:cs="Times New Roman"/>
          <w:i/>
          <w:iCs/>
          <w:noProof/>
          <w:sz w:val="24"/>
          <w:szCs w:val="24"/>
          <w:lang w:val="en-US"/>
        </w:rPr>
        <w:t>er Vererbung</w:t>
      </w:r>
      <w:r w:rsidRPr="00166055">
        <w:rPr>
          <w:rFonts w:ascii="Times New Roman" w:hAnsi="Times New Roman" w:cs="Times New Roman"/>
          <w:noProof/>
          <w:sz w:val="24"/>
          <w:szCs w:val="24"/>
          <w:lang w:val="en-US"/>
        </w:rPr>
        <w:t>. Jena: Gustav Fischer.</w:t>
      </w:r>
    </w:p>
    <w:p w14:paraId="7F448480" w14:textId="613DEB0F" w:rsidR="002D48A7" w:rsidRDefault="00367530" w:rsidP="00166055">
      <w:pPr>
        <w:widowControl w:val="0"/>
        <w:autoSpaceDE w:val="0"/>
        <w:autoSpaceDN w:val="0"/>
        <w:adjustRightInd w:val="0"/>
        <w:spacing w:before="100" w:after="100" w:line="480" w:lineRule="auto"/>
        <w:ind w:left="480" w:hanging="480"/>
        <w:rPr>
          <w:rFonts w:ascii="Times New Roman" w:hAnsi="Times New Roman"/>
          <w:sz w:val="24"/>
          <w:szCs w:val="24"/>
          <w:lang w:val="en-US"/>
        </w:rPr>
      </w:pPr>
      <w:r w:rsidRPr="0008661E">
        <w:rPr>
          <w:rFonts w:ascii="Times New Roman" w:hAnsi="Times New Roman"/>
          <w:sz w:val="24"/>
          <w:szCs w:val="24"/>
          <w:lang w:val="en-US"/>
        </w:rPr>
        <w:fldChar w:fldCharType="end"/>
      </w:r>
    </w:p>
    <w:p w14:paraId="382D56B6" w14:textId="2484C7A0" w:rsidR="002D48A7" w:rsidRPr="0008661E" w:rsidRDefault="00F17F67" w:rsidP="007F4842">
      <w:pPr>
        <w:widowControl w:val="0"/>
        <w:autoSpaceDE w:val="0"/>
        <w:autoSpaceDN w:val="0"/>
        <w:adjustRightInd w:val="0"/>
        <w:spacing w:before="100" w:after="100" w:line="480" w:lineRule="auto"/>
        <w:ind w:left="480" w:hanging="480"/>
        <w:rPr>
          <w:rFonts w:ascii="Times New Roman" w:hAnsi="Times New Roman"/>
          <w:sz w:val="24"/>
          <w:szCs w:val="24"/>
          <w:lang w:val="en-US"/>
        </w:rPr>
      </w:pPr>
      <w:r>
        <w:rPr>
          <w:rFonts w:ascii="Times New Roman" w:hAnsi="Times New Roman"/>
          <w:sz w:val="24"/>
          <w:szCs w:val="24"/>
          <w:lang w:val="en-US"/>
        </w:rPr>
        <w:t xml:space="preserve">  </w:t>
      </w:r>
    </w:p>
    <w:sectPr w:rsidR="002D48A7" w:rsidRPr="0008661E" w:rsidSect="00E01B99">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92969B" w15:done="0"/>
  <w15:commentEx w15:paraId="53064E11" w15:done="0"/>
  <w15:commentEx w15:paraId="070972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2969B" w16cid:durableId="1E241F84"/>
  <w16cid:commentId w16cid:paraId="53064E11" w16cid:durableId="1E253A1B"/>
  <w16cid:commentId w16cid:paraId="070972EF" w16cid:durableId="1E253A9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49F4C" w14:textId="77777777" w:rsidR="00FE3D9D" w:rsidRDefault="00FE3D9D" w:rsidP="0067297B">
      <w:pPr>
        <w:spacing w:after="0" w:line="240" w:lineRule="auto"/>
      </w:pPr>
      <w:r>
        <w:separator/>
      </w:r>
    </w:p>
  </w:endnote>
  <w:endnote w:type="continuationSeparator" w:id="0">
    <w:p w14:paraId="54FFDDEE" w14:textId="77777777" w:rsidR="00FE3D9D" w:rsidRDefault="00FE3D9D" w:rsidP="0067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altName w:val="Tahoma"/>
    <w:charset w:val="00"/>
    <w:family w:val="swiss"/>
    <w:pitch w:val="variable"/>
    <w:sig w:usb0="E0002AFF" w:usb1="C000247B" w:usb2="00000009" w:usb3="00000000" w:csb0="000001FF" w:csb1="00000000"/>
  </w:font>
  <w:font w:name="SimSun">
    <w:altName w:val="宋体"/>
    <w:charset w:val="86"/>
    <w:family w:val="auto"/>
    <w:pitch w:val="variable"/>
    <w:sig w:usb0="00000003" w:usb1="288F0000" w:usb2="00000016" w:usb3="00000000" w:csb0="00040001" w:csb1="00000000"/>
  </w:font>
  <w:font w:name="Times New Roman Italic">
    <w:panose1 w:val="02020503050405090304"/>
    <w:charset w:val="00"/>
    <w:family w:val="auto"/>
    <w:pitch w:val="variable"/>
    <w:sig w:usb0="E0000AFF" w:usb1="00007843" w:usb2="00000001" w:usb3="00000000" w:csb0="000001B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164F" w14:textId="77777777" w:rsidR="00FE3D9D" w:rsidRDefault="00FE3D9D" w:rsidP="004D3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F84DE" w14:textId="77777777" w:rsidR="00FE3D9D" w:rsidRDefault="00FE3D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3A62" w14:textId="0CC029EE" w:rsidR="00FE3D9D" w:rsidRDefault="00FE3D9D" w:rsidP="004D3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497">
      <w:rPr>
        <w:rStyle w:val="PageNumber"/>
        <w:noProof/>
      </w:rPr>
      <w:t>1</w:t>
    </w:r>
    <w:r>
      <w:rPr>
        <w:rStyle w:val="PageNumber"/>
      </w:rPr>
      <w:fldChar w:fldCharType="end"/>
    </w:r>
  </w:p>
  <w:p w14:paraId="53647271" w14:textId="77777777" w:rsidR="00FE3D9D" w:rsidRDefault="00FE3D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2EB7A" w14:textId="77777777" w:rsidR="00FE3D9D" w:rsidRDefault="00FE3D9D" w:rsidP="0067297B">
      <w:pPr>
        <w:spacing w:after="0" w:line="240" w:lineRule="auto"/>
      </w:pPr>
      <w:r>
        <w:separator/>
      </w:r>
    </w:p>
  </w:footnote>
  <w:footnote w:type="continuationSeparator" w:id="0">
    <w:p w14:paraId="48EE4599" w14:textId="77777777" w:rsidR="00FE3D9D" w:rsidRDefault="00FE3D9D" w:rsidP="0067297B">
      <w:pPr>
        <w:spacing w:after="0" w:line="240" w:lineRule="auto"/>
      </w:pPr>
      <w:r>
        <w:continuationSeparator/>
      </w:r>
    </w:p>
  </w:footnote>
  <w:footnote w:id="1">
    <w:p w14:paraId="5AA7477A" w14:textId="2E5FB7FB" w:rsidR="00FE3D9D" w:rsidRPr="00C01861" w:rsidRDefault="00FE3D9D" w:rsidP="00C01861">
      <w:pPr>
        <w:widowControl w:val="0"/>
        <w:autoSpaceDE w:val="0"/>
        <w:autoSpaceDN w:val="0"/>
        <w:adjustRightInd w:val="0"/>
        <w:spacing w:after="0" w:line="240" w:lineRule="auto"/>
        <w:rPr>
          <w:rFonts w:cs="Times New Roman"/>
          <w:sz w:val="18"/>
          <w:szCs w:val="18"/>
          <w:lang w:val="en-US"/>
        </w:rPr>
      </w:pPr>
      <w:r w:rsidRPr="00330659">
        <w:rPr>
          <w:rStyle w:val="FootnoteReference"/>
        </w:rPr>
        <w:footnoteRef/>
      </w:r>
      <w:r w:rsidRPr="00C01861">
        <w:rPr>
          <w:sz w:val="18"/>
          <w:szCs w:val="18"/>
        </w:rPr>
        <w:t xml:space="preserve"> </w:t>
      </w:r>
      <w:r w:rsidRPr="00C01861">
        <w:rPr>
          <w:sz w:val="18"/>
          <w:szCs w:val="18"/>
          <w:lang w:val="en-US"/>
        </w:rPr>
        <w:t>It should be noted that Bird’s claim is not that there is an apparently lacking</w:t>
      </w:r>
      <w:r>
        <w:rPr>
          <w:sz w:val="18"/>
          <w:szCs w:val="18"/>
          <w:lang w:val="en-US"/>
        </w:rPr>
        <w:t xml:space="preserve"> influence of Kuhn’s work in contemporary</w:t>
      </w:r>
      <w:r w:rsidRPr="00C01861">
        <w:rPr>
          <w:sz w:val="18"/>
          <w:szCs w:val="18"/>
          <w:lang w:val="en-US"/>
        </w:rPr>
        <w:t xml:space="preserve"> philosophy of science</w:t>
      </w:r>
      <w:r>
        <w:rPr>
          <w:sz w:val="18"/>
          <w:szCs w:val="18"/>
          <w:lang w:val="en-US"/>
        </w:rPr>
        <w:t xml:space="preserve">. Rather what Bird explicitly means is that </w:t>
      </w:r>
      <w:r w:rsidRPr="00C01861">
        <w:rPr>
          <w:sz w:val="18"/>
          <w:szCs w:val="18"/>
          <w:lang w:val="en-US"/>
        </w:rPr>
        <w:t>“</w:t>
      </w:r>
      <w:r w:rsidRPr="00C01861">
        <w:rPr>
          <w:rFonts w:cs="Times New Roman"/>
          <w:sz w:val="18"/>
          <w:szCs w:val="18"/>
          <w:lang w:val="en-US"/>
        </w:rPr>
        <w:t xml:space="preserve">there is no specifically Kuhnian school </w:t>
      </w:r>
      <w:r>
        <w:rPr>
          <w:rFonts w:cs="Times New Roman"/>
          <w:sz w:val="18"/>
          <w:szCs w:val="18"/>
          <w:lang w:val="en-US"/>
        </w:rPr>
        <w:t>i</w:t>
      </w:r>
      <w:r w:rsidRPr="00C01861">
        <w:rPr>
          <w:rFonts w:cs="Times New Roman"/>
          <w:sz w:val="18"/>
          <w:szCs w:val="18"/>
          <w:lang w:val="en-US"/>
        </w:rPr>
        <w:t>n the philosophy of science. Nor is Kuhn’s most characteristic thesis—the thesis of incommensurability—regarded any longer as having the philosophical significance that Kuhn claimed for it.”</w:t>
      </w:r>
      <w:r>
        <w:rPr>
          <w:rFonts w:cs="Times New Roman"/>
          <w:sz w:val="18"/>
          <w:szCs w:val="18"/>
          <w:lang w:val="en-US"/>
        </w:rPr>
        <w:t xml:space="preserve"> </w:t>
      </w:r>
      <w:r>
        <w:rPr>
          <w:rFonts w:cs="Times New Roman"/>
          <w:sz w:val="18"/>
          <w:szCs w:val="18"/>
          <w:lang w:val="en-US"/>
        </w:rPr>
        <w:fldChar w:fldCharType="begin" w:fldLock="1"/>
      </w:r>
      <w:r>
        <w:rPr>
          <w:rFonts w:cs="Times New Roman"/>
          <w:sz w:val="18"/>
          <w:szCs w:val="18"/>
          <w:lang w:val="en-US"/>
        </w:rPr>
        <w:instrText>ADDIN CSL_CITATION { "citationItems" : [ { "id" : "ITEM-1", "itemData" : { "author" : [ { "dropping-particle" : "", "family" : "Bird", "given" : "Alexander", "non-dropping-particle" : "", "parse-names" : false, "suffix" : "" } ], "container-title" : "Studies in History and Philosophy of Science", "id" : "ITEM-1", "issue" : "3", "issued" : { "date-parts" : [ [ "2002" ] ] }, "page" : "443-463", "title" : "Kuhn's Wrong Turning", "type" : "article-journal", "volume" : "33" }, "locator" : "443-444", "uris" : [ "http://www.mendeley.com/documents/?uuid=d6292e77-253a-41dd-9845-dd6a92a0919a" ] } ], "mendeley" : { "formattedCitation" : "(Bird 2002, 443\u201344)", "plainTextFormattedCitation" : "(Bird 2002, 443\u201344)", "previouslyFormattedCitation" : "(Bird 2002, 443\u201344)" }, "properties" : { "noteIndex" : 0 }, "schema" : "https://github.com/citation-style-language/schema/raw/master/csl-citation.json" }</w:instrText>
      </w:r>
      <w:r>
        <w:rPr>
          <w:rFonts w:cs="Times New Roman"/>
          <w:sz w:val="18"/>
          <w:szCs w:val="18"/>
          <w:lang w:val="en-US"/>
        </w:rPr>
        <w:fldChar w:fldCharType="separate"/>
      </w:r>
      <w:r w:rsidRPr="00C01861">
        <w:rPr>
          <w:rFonts w:cs="Times New Roman"/>
          <w:noProof/>
          <w:sz w:val="18"/>
          <w:szCs w:val="18"/>
          <w:lang w:val="en-US"/>
        </w:rPr>
        <w:t>(Bird 2002, 443–44)</w:t>
      </w:r>
      <w:r>
        <w:rPr>
          <w:rFonts w:cs="Times New Roman"/>
          <w:sz w:val="18"/>
          <w:szCs w:val="18"/>
          <w:lang w:val="en-US"/>
        </w:rPr>
        <w:fldChar w:fldCharType="end"/>
      </w:r>
    </w:p>
  </w:footnote>
  <w:footnote w:id="2">
    <w:p w14:paraId="44A1C5BF" w14:textId="337DFA80" w:rsidR="00FE3D9D" w:rsidRPr="000A7715" w:rsidRDefault="00FE3D9D" w:rsidP="00DC7D1A">
      <w:pPr>
        <w:pStyle w:val="FootnoteText"/>
        <w:spacing w:after="0" w:line="240" w:lineRule="auto"/>
        <w:rPr>
          <w:lang w:val="en-US"/>
        </w:rPr>
      </w:pPr>
      <w:r w:rsidRPr="00330659">
        <w:rPr>
          <w:rStyle w:val="FootnoteReference"/>
        </w:rPr>
        <w:footnoteRef/>
      </w:r>
      <w:r>
        <w:t xml:space="preserve"> </w:t>
      </w:r>
      <w:r>
        <w:rPr>
          <w:lang w:val="en-US"/>
        </w:rPr>
        <w:t>It should be highlighted that I am sympathetic to Bird’s view that Kuhn made a “wrong turning”, but I only accept a weaker version of the paradox of Kuhn’s legacy. The crucial difference is that Bird is explicit on the point that Kuhn’s “wrong turning” made his legacy in the philosophy of science today extraordinarily thin, while I contend that without Kuhn’s “wrong turning”, his work would have been more promising and better received.</w:t>
      </w:r>
    </w:p>
  </w:footnote>
  <w:footnote w:id="3">
    <w:p w14:paraId="2D408150" w14:textId="29ADC201" w:rsidR="00FE3D9D" w:rsidRPr="008011D5" w:rsidRDefault="00FE3D9D" w:rsidP="008011D5">
      <w:pPr>
        <w:pStyle w:val="NormalWeb"/>
        <w:spacing w:before="0" w:beforeAutospacing="0" w:after="0" w:afterAutospacing="0" w:line="0" w:lineRule="atLeast"/>
        <w:rPr>
          <w:rFonts w:asciiTheme="minorHAnsi" w:hAnsiTheme="minorHAnsi"/>
          <w:sz w:val="18"/>
          <w:szCs w:val="18"/>
          <w:lang w:eastAsia="en-US"/>
        </w:rPr>
      </w:pPr>
      <w:r w:rsidRPr="00330659">
        <w:rPr>
          <w:rStyle w:val="FootnoteReference"/>
        </w:rPr>
        <w:footnoteRef/>
      </w:r>
      <w:r w:rsidRPr="008011D5">
        <w:rPr>
          <w:rFonts w:asciiTheme="minorHAnsi" w:hAnsiTheme="minorHAnsi"/>
          <w:sz w:val="18"/>
          <w:szCs w:val="18"/>
        </w:rPr>
        <w:t xml:space="preserve"> </w:t>
      </w:r>
      <w:r>
        <w:rPr>
          <w:rFonts w:asciiTheme="minorHAnsi" w:hAnsiTheme="minorHAnsi"/>
          <w:sz w:val="18"/>
          <w:szCs w:val="18"/>
        </w:rPr>
        <w:t xml:space="preserve">Lakatos is explicit on the point that his “research programme” is a reconstruction of “paradigm” in his defence of Popperian philosophy of science against Kuhn’s challenge: </w:t>
      </w:r>
      <w:r w:rsidRPr="008011D5">
        <w:rPr>
          <w:rFonts w:asciiTheme="minorHAnsi" w:hAnsiTheme="minorHAnsi"/>
          <w:sz w:val="18"/>
          <w:szCs w:val="18"/>
          <w:lang w:val="en-US"/>
        </w:rPr>
        <w:t>“</w:t>
      </w:r>
      <w:r w:rsidRPr="008011D5">
        <w:rPr>
          <w:rFonts w:asciiTheme="minorHAnsi" w:hAnsiTheme="minorHAnsi"/>
          <w:bCs/>
          <w:sz w:val="18"/>
          <w:szCs w:val="18"/>
          <w:lang w:eastAsia="en-US"/>
        </w:rPr>
        <w:t>Indeed, my concept of a 'research-programme’ may be construed as an objective, ‘third-world' reconstruction of Kuhn's concept of 'paradigm': thus the Kuhnian 'Gestalt-switch' can be performed without removing one's Popperian spectacles.</w:t>
      </w:r>
      <w:r w:rsidRPr="008011D5">
        <w:rPr>
          <w:rFonts w:asciiTheme="minorHAnsi" w:hAnsiTheme="minorHAnsi"/>
          <w:sz w:val="18"/>
          <w:szCs w:val="18"/>
          <w:lang w:val="en-US"/>
        </w:rPr>
        <w:t>”</w:t>
      </w:r>
      <w:r>
        <w:rPr>
          <w:rFonts w:asciiTheme="minorHAnsi" w:hAnsiTheme="minorHAnsi"/>
          <w:sz w:val="18"/>
          <w:szCs w:val="18"/>
          <w:lang w:val="en-US"/>
        </w:rPr>
        <w:t xml:space="preserve"> </w:t>
      </w:r>
      <w:r>
        <w:rPr>
          <w:rFonts w:asciiTheme="minorHAnsi" w:hAnsiTheme="minorHAnsi"/>
          <w:sz w:val="18"/>
          <w:szCs w:val="18"/>
          <w:lang w:val="en-US"/>
        </w:rPr>
        <w:fldChar w:fldCharType="begin" w:fldLock="1"/>
      </w:r>
      <w:r>
        <w:rPr>
          <w:rFonts w:asciiTheme="minorHAnsi" w:hAnsiTheme="minorHAnsi"/>
          <w:sz w:val="18"/>
          <w:szCs w:val="18"/>
          <w:lang w:val="en-US"/>
        </w:rPr>
        <w:instrText>ADDIN CSL_CITATION { "citationItems" : [ { "id" : "ITEM-1", "itemData" : { "author" : [ { "dropping-particle" : "", "family" : "Lakatos", "given" : "Imre", "non-dropping-particle" : "", "parse-names" : false, "suffix" : "" } ], "container-title" : "Proceedings of the Aristotelian Society", "id" : "ITEM-1", "issued" : { "date-parts" : [ [ "1968" ] ] }, "page" : "149-186", "title" : "Criticism and the Methodology of Scientific Research Programmes", "type" : "article-journal", "volume" : "69" }, "locator" : "182n87", "uris" : [ "http://www.mendeley.com/documents/?uuid=83eca606-187c-44e8-95bb-3c99e111916a" ] } ], "mendeley" : { "formattedCitation" : "(Lakatos 1968, 182n87)", "plainTextFormattedCitation" : "(Lakatos 1968, 182n87)", "previouslyFormattedCitation" : "(Lakatos 1968, 182n87)" }, "properties" : { "noteIndex" : 0 }, "schema" : "https://github.com/citation-style-language/schema/raw/master/csl-citation.json" }</w:instrText>
      </w:r>
      <w:r>
        <w:rPr>
          <w:rFonts w:asciiTheme="minorHAnsi" w:hAnsiTheme="minorHAnsi"/>
          <w:sz w:val="18"/>
          <w:szCs w:val="18"/>
          <w:lang w:val="en-US"/>
        </w:rPr>
        <w:fldChar w:fldCharType="separate"/>
      </w:r>
      <w:r w:rsidRPr="00593750">
        <w:rPr>
          <w:rFonts w:asciiTheme="minorHAnsi" w:hAnsiTheme="minorHAnsi"/>
          <w:noProof/>
          <w:sz w:val="18"/>
          <w:szCs w:val="18"/>
          <w:lang w:val="en-US"/>
        </w:rPr>
        <w:t>(Lakatos 1968, 182n87)</w:t>
      </w:r>
      <w:r>
        <w:rPr>
          <w:rFonts w:asciiTheme="minorHAnsi" w:hAnsiTheme="minorHAnsi"/>
          <w:sz w:val="18"/>
          <w:szCs w:val="18"/>
          <w:lang w:val="en-US"/>
        </w:rPr>
        <w:fldChar w:fldCharType="end"/>
      </w:r>
    </w:p>
  </w:footnote>
  <w:footnote w:id="4">
    <w:p w14:paraId="52E2FC9E" w14:textId="09A84946" w:rsidR="00FE3D9D" w:rsidRPr="008011D5" w:rsidRDefault="00FE3D9D" w:rsidP="008011D5">
      <w:pPr>
        <w:pStyle w:val="FootnoteText"/>
        <w:spacing w:after="0" w:line="0" w:lineRule="atLeast"/>
        <w:rPr>
          <w:lang w:val="en-US"/>
        </w:rPr>
      </w:pPr>
      <w:r w:rsidRPr="00330659">
        <w:rPr>
          <w:rStyle w:val="FootnoteReference"/>
        </w:rPr>
        <w:footnoteRef/>
      </w:r>
      <w:r w:rsidRPr="008011D5">
        <w:t xml:space="preserve"> </w:t>
      </w:r>
      <w:r>
        <w:t xml:space="preserve">Laudan’s conception of research tradition is an alternative to Kuhn’s paradigm and Lakatos’ research programme as the unit of analysis in the history of science: </w:t>
      </w:r>
      <w:r w:rsidRPr="008011D5">
        <w:rPr>
          <w:lang w:val="en-US"/>
        </w:rPr>
        <w:t xml:space="preserve">“[I]t has been suggested by Kuhn and Lakatos that </w:t>
      </w:r>
      <w:r w:rsidRPr="008011D5">
        <w:rPr>
          <w:i/>
          <w:lang w:val="en-US"/>
        </w:rPr>
        <w:t>the more general theories</w:t>
      </w:r>
      <w:r w:rsidRPr="008011D5">
        <w:rPr>
          <w:lang w:val="en-US"/>
        </w:rPr>
        <w:t xml:space="preserve">, rather than the more specific ones, </w:t>
      </w:r>
      <w:r w:rsidRPr="008011D5">
        <w:rPr>
          <w:i/>
          <w:lang w:val="en-US"/>
        </w:rPr>
        <w:t>are the primary tool for understanding and appraising scientific progress</w:t>
      </w:r>
      <w:r w:rsidRPr="008011D5">
        <w:rPr>
          <w:lang w:val="en-US"/>
        </w:rPr>
        <w:t xml:space="preserve">… I share this conviction in principle, but find that accounts hitherto given of what these larger theories are, and how they evolve, are not fully satisfactory… [T]his chapter will be devoted to outlining a new account of the more global theories (which I shall be calling </w:t>
      </w:r>
      <w:r w:rsidRPr="008011D5">
        <w:rPr>
          <w:i/>
          <w:lang w:val="en-US"/>
        </w:rPr>
        <w:t>research traditions</w:t>
      </w:r>
      <w:r w:rsidRPr="008011D5">
        <w:rPr>
          <w:lang w:val="en-US"/>
        </w:rPr>
        <w:t xml:space="preserve">).” </w:t>
      </w:r>
      <w:r w:rsidRPr="008011D5">
        <w:rPr>
          <w:lang w:val="en-US"/>
        </w:rPr>
        <w:fldChar w:fldCharType="begin" w:fldLock="1"/>
      </w:r>
      <w:r>
        <w:rPr>
          <w:lang w:val="en-US"/>
        </w:rPr>
        <w:instrText>ADDIN CSL_CITATION { "citationItems" : [ { "id" : "ITEM-1", "itemData" : { "author" : [ { "dropping-particle" : "", "family" : "Laudan", "given" : "Larry", "non-dropping-particle" : "", "parse-names" : false, "suffix" : "" } ], "id" : "ITEM-1", "issued" : { "date-parts" : [ [ "1977" ] ] }, "publisher" : "University of California Press", "publisher-place" : "Berkeley and Los Angeles, CA", "title" : "Progress and its Problems", "type" : "book" }, "locator" : "72", "uris" : [ "http://www.mendeley.com/documents/?uuid=27089d24-6827-48ab-9e05-b1dc9ea73405" ] } ], "mendeley" : { "formattedCitation" : "(Laudan 1977, 72)", "plainTextFormattedCitation" : "(Laudan 1977, 72)", "previouslyFormattedCitation" : "(Laudan 1977, 72)" }, "properties" : { "noteIndex" : 0 }, "schema" : "https://github.com/citation-style-language/schema/raw/master/csl-citation.json" }</w:instrText>
      </w:r>
      <w:r w:rsidRPr="008011D5">
        <w:rPr>
          <w:lang w:val="en-US"/>
        </w:rPr>
        <w:fldChar w:fldCharType="separate"/>
      </w:r>
      <w:r w:rsidRPr="00593750">
        <w:rPr>
          <w:noProof/>
          <w:lang w:val="en-US"/>
        </w:rPr>
        <w:t>(Laudan 1977, 72)</w:t>
      </w:r>
      <w:r w:rsidRPr="008011D5">
        <w:rPr>
          <w:lang w:val="en-US"/>
        </w:rPr>
        <w:fldChar w:fldCharType="end"/>
      </w:r>
    </w:p>
  </w:footnote>
  <w:footnote w:id="5">
    <w:p w14:paraId="3513C425" w14:textId="76F05217" w:rsidR="00FE3D9D" w:rsidRPr="008011D5" w:rsidRDefault="00FE3D9D" w:rsidP="008011D5">
      <w:pPr>
        <w:pStyle w:val="NormalWeb"/>
        <w:spacing w:before="0" w:beforeAutospacing="0" w:after="0" w:afterAutospacing="0" w:line="0" w:lineRule="atLeast"/>
        <w:rPr>
          <w:rFonts w:asciiTheme="minorHAnsi" w:hAnsiTheme="minorHAnsi"/>
          <w:sz w:val="18"/>
          <w:szCs w:val="18"/>
          <w:lang w:eastAsia="en-US"/>
        </w:rPr>
      </w:pPr>
      <w:r w:rsidRPr="00330659">
        <w:rPr>
          <w:rStyle w:val="FootnoteReference"/>
        </w:rPr>
        <w:footnoteRef/>
      </w:r>
      <w:r w:rsidRPr="008011D5">
        <w:rPr>
          <w:rFonts w:asciiTheme="minorHAnsi" w:hAnsiTheme="minorHAnsi"/>
          <w:sz w:val="18"/>
          <w:szCs w:val="18"/>
        </w:rPr>
        <w:t xml:space="preserve"> </w:t>
      </w:r>
      <w:r>
        <w:rPr>
          <w:rFonts w:asciiTheme="minorHAnsi" w:hAnsiTheme="minorHAnsi"/>
          <w:sz w:val="18"/>
          <w:szCs w:val="18"/>
        </w:rPr>
        <w:t xml:space="preserve">Although Darden and Maull’s conception of field is also influenced by Stephen Toulmin’s conception of discipline </w:t>
      </w:r>
      <w:r>
        <w:rPr>
          <w:rFonts w:asciiTheme="minorHAnsi" w:hAnsiTheme="minorHAnsi"/>
          <w:sz w:val="18"/>
          <w:szCs w:val="18"/>
        </w:rPr>
        <w:fldChar w:fldCharType="begin" w:fldLock="1"/>
      </w:r>
      <w:r>
        <w:rPr>
          <w:rFonts w:asciiTheme="minorHAnsi" w:hAnsiTheme="minorHAnsi"/>
          <w:sz w:val="18"/>
          <w:szCs w:val="18"/>
        </w:rPr>
        <w:instrText>ADDIN CSL_CITATION { "citationItems" : [ { "id" : "ITEM-1", "itemData" : { "author" : [ { "dropping-particle" : "", "family" : "Toulmin", "given" : "Stephen Edelston", "non-dropping-particle" : "", "parse-names" : false, "suffix" : "" } ], "id" : "ITEM-1", "issued" : { "date-parts" : [ [ "1972" ] ] }, "publisher" : "Princeton University Press", "publisher-place" : "Princeton, NJ", "title" : "Human Understanding", "type" : "book" }, "suppress-author" : 1, "uris" : [ "http://www.mendeley.com/documents/?uuid=10247dfe-55eb-4131-97eb-0dbd9072108c" ] } ], "mendeley" : { "formattedCitation" : "(1972)", "plainTextFormattedCitation" : "(1972)", "previouslyFormattedCitation" : "(1972)" }, "properties" : { "noteIndex" : 0 }, "schema" : "https://github.com/citation-style-language/schema/raw/master/csl-citation.json" }</w:instrText>
      </w:r>
      <w:r>
        <w:rPr>
          <w:rFonts w:asciiTheme="minorHAnsi" w:hAnsiTheme="minorHAnsi"/>
          <w:sz w:val="18"/>
          <w:szCs w:val="18"/>
        </w:rPr>
        <w:fldChar w:fldCharType="separate"/>
      </w:r>
      <w:r w:rsidRPr="00827E1C">
        <w:rPr>
          <w:rFonts w:asciiTheme="minorHAnsi" w:hAnsiTheme="minorHAnsi"/>
          <w:noProof/>
          <w:sz w:val="18"/>
          <w:szCs w:val="18"/>
        </w:rPr>
        <w:t>(1972)</w:t>
      </w:r>
      <w:r>
        <w:rPr>
          <w:rFonts w:asciiTheme="minorHAnsi" w:hAnsiTheme="minorHAnsi"/>
          <w:sz w:val="18"/>
          <w:szCs w:val="18"/>
        </w:rPr>
        <w:fldChar w:fldCharType="end"/>
      </w:r>
      <w:r>
        <w:rPr>
          <w:rFonts w:asciiTheme="minorHAnsi" w:hAnsiTheme="minorHAnsi"/>
          <w:sz w:val="18"/>
          <w:szCs w:val="18"/>
        </w:rPr>
        <w:t xml:space="preserve">, it follows the trend in the philosophy of science at that time to adopt a broader unit of analysis, led by Kuhn and Lakatos: </w:t>
      </w:r>
      <w:r w:rsidRPr="008011D5">
        <w:rPr>
          <w:rFonts w:asciiTheme="minorHAnsi" w:hAnsiTheme="minorHAnsi"/>
          <w:sz w:val="18"/>
          <w:szCs w:val="18"/>
          <w:lang w:val="en-US"/>
        </w:rPr>
        <w:t>“</w:t>
      </w:r>
      <w:r w:rsidRPr="008011D5">
        <w:rPr>
          <w:rFonts w:asciiTheme="minorHAnsi" w:hAnsiTheme="minorHAnsi"/>
          <w:sz w:val="18"/>
          <w:szCs w:val="18"/>
          <w:lang w:eastAsia="en-US"/>
        </w:rPr>
        <w:t>Other current broader categories include Imre Lakatos's ‘research programme,’ … and Thomas Kuhn's ‘paradigm’ or ‘disciplinary matrix’…</w:t>
      </w:r>
      <w:r w:rsidRPr="008011D5">
        <w:rPr>
          <w:rFonts w:asciiTheme="minorHAnsi" w:hAnsiTheme="minorHAnsi"/>
          <w:sz w:val="18"/>
          <w:szCs w:val="18"/>
          <w:lang w:val="en-US"/>
        </w:rPr>
        <w:t xml:space="preserve">” </w:t>
      </w:r>
      <w:r w:rsidRPr="008011D5">
        <w:rPr>
          <w:rFonts w:asciiTheme="minorHAnsi" w:hAnsiTheme="minorHAnsi"/>
          <w:sz w:val="18"/>
          <w:szCs w:val="18"/>
          <w:lang w:val="en-US"/>
        </w:rPr>
        <w:fldChar w:fldCharType="begin" w:fldLock="1"/>
      </w:r>
      <w:r>
        <w:rPr>
          <w:rFonts w:asciiTheme="minorHAnsi" w:hAnsiTheme="minorHAnsi"/>
          <w:sz w:val="18"/>
          <w:szCs w:val="18"/>
          <w:lang w:val="en-US"/>
        </w:rPr>
        <w:instrText>ADDIN CSL_CITATION { "citationItems" : [ { "id" : "ITEM-1", "itemData" : { "author" : [ { "dropping-particle" : "", "family" : "Darden", "given" : "Lindley", "non-dropping-particle" : "", "parse-names" : false, "suffix" : "" }, { "dropping-particle" : "", "family" : "Maull", "given" : "Nancy", "non-dropping-particle" : "", "parse-names" : false, "suffix" : "" } ], "container-title" : "Philosophy of Science", "id" : "ITEM-1", "issue" : "1", "issued" : { "date-parts" : [ [ "1977" ] ] }, "page" : "43-64", "title" : "Interfield Theories", "type" : "article-journal", "volume" : "44" }, "locator" : "45n5", "uris" : [ "http://www.mendeley.com/documents/?uuid=0b25d6ec-a1a7-4c6c-8580-274890f34d03" ] } ], "mendeley" : { "formattedCitation" : "(Darden and Maull 1977, 45n5)", "plainTextFormattedCitation" : "(Darden and Maull 1977, 45n5)", "previouslyFormattedCitation" : "(Darden and Maull 1977, 45n5)" }, "properties" : { "noteIndex" : 0 }, "schema" : "https://github.com/citation-style-language/schema/raw/master/csl-citation.json" }</w:instrText>
      </w:r>
      <w:r w:rsidRPr="008011D5">
        <w:rPr>
          <w:rFonts w:asciiTheme="minorHAnsi" w:hAnsiTheme="minorHAnsi"/>
          <w:sz w:val="18"/>
          <w:szCs w:val="18"/>
          <w:lang w:val="en-US"/>
        </w:rPr>
        <w:fldChar w:fldCharType="separate"/>
      </w:r>
      <w:r w:rsidRPr="00593750">
        <w:rPr>
          <w:rFonts w:asciiTheme="minorHAnsi" w:hAnsiTheme="minorHAnsi"/>
          <w:noProof/>
          <w:sz w:val="18"/>
          <w:szCs w:val="18"/>
          <w:lang w:val="en-US"/>
        </w:rPr>
        <w:t>(Darden and Maull 1977, 45n5)</w:t>
      </w:r>
      <w:r w:rsidRPr="008011D5">
        <w:rPr>
          <w:rFonts w:asciiTheme="minorHAnsi" w:hAnsiTheme="minorHAnsi"/>
          <w:sz w:val="18"/>
          <w:szCs w:val="18"/>
          <w:lang w:val="en-US"/>
        </w:rPr>
        <w:fldChar w:fldCharType="end"/>
      </w:r>
    </w:p>
  </w:footnote>
  <w:footnote w:id="6">
    <w:p w14:paraId="713F0064" w14:textId="2C2E1816" w:rsidR="00FE3D9D" w:rsidRPr="00B839DA" w:rsidRDefault="00FE3D9D" w:rsidP="007A25F2">
      <w:pPr>
        <w:widowControl w:val="0"/>
        <w:autoSpaceDE w:val="0"/>
        <w:autoSpaceDN w:val="0"/>
        <w:adjustRightInd w:val="0"/>
        <w:spacing w:after="0" w:line="240" w:lineRule="auto"/>
        <w:rPr>
          <w:rFonts w:cs="Verdana"/>
          <w:color w:val="000026"/>
          <w:sz w:val="18"/>
          <w:szCs w:val="18"/>
          <w:lang w:val="en-US"/>
        </w:rPr>
      </w:pPr>
      <w:r w:rsidRPr="00330659">
        <w:rPr>
          <w:rStyle w:val="FootnoteReference"/>
        </w:rPr>
        <w:footnoteRef/>
      </w:r>
      <w:r w:rsidRPr="00B839DA">
        <w:rPr>
          <w:sz w:val="18"/>
          <w:szCs w:val="18"/>
        </w:rPr>
        <w:t xml:space="preserve"> It should be noted that </w:t>
      </w:r>
      <w:r w:rsidRPr="00B839DA">
        <w:rPr>
          <w:rFonts w:cs="Verdana"/>
          <w:color w:val="000026"/>
          <w:sz w:val="18"/>
          <w:szCs w:val="18"/>
          <w:lang w:val="en-US"/>
        </w:rPr>
        <w:t xml:space="preserve">this </w:t>
      </w:r>
      <w:r>
        <w:rPr>
          <w:rFonts w:cs="Verdana"/>
          <w:color w:val="000026"/>
          <w:sz w:val="18"/>
          <w:szCs w:val="18"/>
          <w:lang w:val="en-US"/>
        </w:rPr>
        <w:t xml:space="preserve">distinction </w:t>
      </w:r>
      <w:r w:rsidRPr="00B839DA">
        <w:rPr>
          <w:rFonts w:cs="Verdana"/>
          <w:color w:val="000026"/>
          <w:sz w:val="18"/>
          <w:szCs w:val="18"/>
          <w:lang w:val="en-US"/>
        </w:rPr>
        <w:t>was not a novel idea in the first place</w:t>
      </w:r>
      <w:r>
        <w:rPr>
          <w:rFonts w:cs="Verdana"/>
          <w:color w:val="000026"/>
          <w:sz w:val="18"/>
          <w:szCs w:val="18"/>
          <w:lang w:val="en-US"/>
        </w:rPr>
        <w:t xml:space="preserve"> (i.e. the first edition of </w:t>
      </w:r>
      <w:r w:rsidRPr="00C001C1">
        <w:rPr>
          <w:rFonts w:cs="Verdana"/>
          <w:i/>
          <w:color w:val="000026"/>
          <w:sz w:val="18"/>
          <w:szCs w:val="18"/>
          <w:lang w:val="en-US"/>
        </w:rPr>
        <w:t>SSR</w:t>
      </w:r>
      <w:r>
        <w:rPr>
          <w:rFonts w:cs="Verdana"/>
          <w:color w:val="000026"/>
          <w:sz w:val="18"/>
          <w:szCs w:val="18"/>
          <w:lang w:val="en-US"/>
        </w:rPr>
        <w:t>)</w:t>
      </w:r>
      <w:r w:rsidRPr="00B839DA">
        <w:rPr>
          <w:rFonts w:cs="Verdana"/>
          <w:color w:val="000026"/>
          <w:sz w:val="18"/>
          <w:szCs w:val="18"/>
          <w:lang w:val="en-US"/>
        </w:rPr>
        <w:t xml:space="preserve">, but </w:t>
      </w:r>
      <w:r>
        <w:rPr>
          <w:rFonts w:cs="Verdana"/>
          <w:color w:val="000026"/>
          <w:sz w:val="18"/>
          <w:szCs w:val="18"/>
          <w:lang w:val="en-US"/>
        </w:rPr>
        <w:t xml:space="preserve">was introduced in the postscript of the second edition of </w:t>
      </w:r>
      <w:r w:rsidRPr="00C001C1">
        <w:rPr>
          <w:rFonts w:cs="Verdana"/>
          <w:i/>
          <w:color w:val="000026"/>
          <w:sz w:val="18"/>
          <w:szCs w:val="18"/>
          <w:lang w:val="en-US"/>
        </w:rPr>
        <w:t>SSR</w:t>
      </w:r>
      <w:r>
        <w:rPr>
          <w:rFonts w:cs="Verdana"/>
          <w:color w:val="000026"/>
          <w:sz w:val="18"/>
          <w:szCs w:val="18"/>
          <w:lang w:val="en-US"/>
        </w:rPr>
        <w:t xml:space="preserve"> as a response to the criticism that there were too many different senses of paradigm. Nevertheless, it does not undermine the novelty of Kuhn’s distinction between paradigm as disciplinary matrix and paradigm as exemplar.</w:t>
      </w:r>
    </w:p>
  </w:footnote>
  <w:footnote w:id="7">
    <w:p w14:paraId="7AA33852" w14:textId="0F333D5A" w:rsidR="00FE3D9D" w:rsidRPr="009B42C2" w:rsidRDefault="00FE3D9D" w:rsidP="009B42C2">
      <w:pPr>
        <w:pStyle w:val="FootnoteText"/>
        <w:spacing w:after="0" w:line="0" w:lineRule="atLeast"/>
        <w:rPr>
          <w:lang w:val="en-US"/>
        </w:rPr>
      </w:pPr>
      <w:r w:rsidRPr="00330659">
        <w:rPr>
          <w:rStyle w:val="FootnoteReference"/>
        </w:rPr>
        <w:footnoteRef/>
      </w:r>
      <w:r w:rsidRPr="009B42C2">
        <w:t xml:space="preserve"> </w:t>
      </w:r>
      <w:r w:rsidRPr="009B42C2">
        <w:rPr>
          <w:rFonts w:cstheme="majorHAnsi"/>
        </w:rPr>
        <w:t>Symbolic generalisations are symbolic expressions of scientific hypotheses, which can be manipulated mathematically. Newton’s second law (i.e. F = ma) is such a case.</w:t>
      </w:r>
    </w:p>
  </w:footnote>
  <w:footnote w:id="8">
    <w:p w14:paraId="2E1677EB" w14:textId="349E8364" w:rsidR="00FE3D9D" w:rsidRPr="006E49A8" w:rsidRDefault="00FE3D9D" w:rsidP="006E49A8">
      <w:pPr>
        <w:pStyle w:val="FootnoteText"/>
        <w:spacing w:after="0" w:line="0" w:lineRule="atLeast"/>
        <w:rPr>
          <w:lang w:val="en-US"/>
        </w:rPr>
      </w:pPr>
      <w:r w:rsidRPr="00330659">
        <w:rPr>
          <w:rStyle w:val="FootnoteReference"/>
        </w:rPr>
        <w:footnoteRef/>
      </w:r>
      <w:r w:rsidRPr="006E49A8">
        <w:t xml:space="preserve"> </w:t>
      </w:r>
      <w:r w:rsidRPr="006E49A8">
        <w:rPr>
          <w:rFonts w:cstheme="majorHAnsi"/>
        </w:rPr>
        <w:t>The values of a disciplinary matrix, which are shared by the members under it, include accuracy, consistency, scope, simplicity, fruitfulness</w:t>
      </w:r>
      <w:r>
        <w:rPr>
          <w:rFonts w:cstheme="majorHAnsi"/>
        </w:rPr>
        <w:t>,</w:t>
      </w:r>
      <w:r w:rsidRPr="006E49A8">
        <w:rPr>
          <w:rFonts w:cstheme="majorHAnsi"/>
        </w:rPr>
        <w:t xml:space="preserve"> and so on.</w:t>
      </w:r>
    </w:p>
  </w:footnote>
  <w:footnote w:id="9">
    <w:p w14:paraId="4737122B" w14:textId="747CA211" w:rsidR="00FE3D9D" w:rsidRPr="00620BE1" w:rsidRDefault="00FE3D9D" w:rsidP="00620BE1">
      <w:pPr>
        <w:pStyle w:val="FootnoteText"/>
        <w:spacing w:after="0" w:line="0" w:lineRule="atLeast"/>
        <w:rPr>
          <w:lang w:val="en-US"/>
        </w:rPr>
      </w:pPr>
      <w:r w:rsidRPr="00330659">
        <w:rPr>
          <w:rStyle w:val="FootnoteReference"/>
        </w:rPr>
        <w:footnoteRef/>
      </w:r>
      <w:r w:rsidRPr="00620BE1">
        <w:t xml:space="preserve"> </w:t>
      </w:r>
      <w:r w:rsidRPr="00620BE1">
        <w:rPr>
          <w:rFonts w:cstheme="majorHAnsi"/>
        </w:rPr>
        <w:t>Models, for Kuhn</w:t>
      </w:r>
      <w:r>
        <w:rPr>
          <w:rFonts w:cstheme="majorHAnsi"/>
        </w:rPr>
        <w:t xml:space="preserve"> </w:t>
      </w:r>
      <w:r>
        <w:rPr>
          <w:rFonts w:cstheme="majorHAnsi"/>
        </w:rPr>
        <w:fldChar w:fldCharType="begin" w:fldLock="1"/>
      </w:r>
      <w:r>
        <w:rPr>
          <w:rFonts w:cstheme="majorHAnsi"/>
        </w:rPr>
        <w:instrText>ADDIN CSL_CITATION { "citationItems" : [ { "id" : "ITEM-1", "itemData" : { "author" : [ { "dropping-particle" : "", "family" : "Kuhn", "given" : "Thomas Samuel", "non-dropping-particle" : "", "parse-names" : false, "suffix" : "" } ], "edition" : "2nd", "id" : "ITEM-1", "issued" : { "date-parts" : [ [ "1970" ] ] }, "publisher" : "University of Chicago Press", "publisher-place" : "Chicago, IL", "title" : "The Structure of Scientific Revolutions", "type" : "book" }, "locator" : "184", "suppress-author" : 1, "uris" : [ "http://www.mendeley.com/documents/?uuid=bdadb4d5-5622-49a8-89f9-43f6b3b7e8aa" ] } ], "mendeley" : { "formattedCitation" : "(1970, 184)", "plainTextFormattedCitation" : "(1970, 184)", "previouslyFormattedCitation" : "(1970, 184)" }, "properties" : { "noteIndex" : 0 }, "schema" : "https://github.com/citation-style-language/schema/raw/master/csl-citation.json" }</w:instrText>
      </w:r>
      <w:r>
        <w:rPr>
          <w:rFonts w:cstheme="majorHAnsi"/>
        </w:rPr>
        <w:fldChar w:fldCharType="separate"/>
      </w:r>
      <w:r w:rsidRPr="00593750">
        <w:rPr>
          <w:rFonts w:cstheme="majorHAnsi"/>
          <w:noProof/>
        </w:rPr>
        <w:t>(1970, 184)</w:t>
      </w:r>
      <w:r>
        <w:rPr>
          <w:rFonts w:cstheme="majorHAnsi"/>
        </w:rPr>
        <w:fldChar w:fldCharType="end"/>
      </w:r>
      <w:r w:rsidRPr="00620BE1">
        <w:rPr>
          <w:rFonts w:cstheme="majorHAnsi"/>
        </w:rPr>
        <w:t>, designate two different classes. On the one hand, models include “the metaphysical commitments” or “ontological models” like the belief that the heat of a body is the kinetic energy of its constituent particles. On the other hand, models also encompass the “heuristic models and analogies” in accordance with which phenomena from a given class may be treated as if they were something else entirely. Take an example from Mendelian genetics: Genes carried on chromosomes can be understood as beads strung on a wire.</w:t>
      </w:r>
    </w:p>
  </w:footnote>
  <w:footnote w:id="10">
    <w:p w14:paraId="6F554333" w14:textId="6E7B62B6" w:rsidR="00FE3D9D" w:rsidRPr="002F58A5" w:rsidRDefault="00FE3D9D" w:rsidP="00527517">
      <w:pPr>
        <w:pStyle w:val="FootnoteText"/>
        <w:spacing w:after="0" w:line="240" w:lineRule="auto"/>
        <w:rPr>
          <w:lang w:val="en-US"/>
        </w:rPr>
      </w:pPr>
      <w:r w:rsidRPr="00330659">
        <w:rPr>
          <w:rStyle w:val="FootnoteReference"/>
        </w:rPr>
        <w:footnoteRef/>
      </w:r>
      <w:r w:rsidRPr="00385B84">
        <w:t xml:space="preserve"> </w:t>
      </w:r>
      <w:r w:rsidRPr="00385B84">
        <w:rPr>
          <w:lang w:val="en-US"/>
        </w:rPr>
        <w:t xml:space="preserve">Michael Polanyi’s book </w:t>
      </w:r>
      <w:r w:rsidRPr="00385B84">
        <w:rPr>
          <w:lang w:val="en-US"/>
        </w:rPr>
        <w:fldChar w:fldCharType="begin" w:fldLock="1"/>
      </w:r>
      <w:r>
        <w:rPr>
          <w:lang w:val="en-US"/>
        </w:rPr>
        <w:instrText>ADDIN CSL_CITATION { "citationItems" : [ { "id" : "ITEM-1", "itemData" : { "author" : [ { "dropping-particle" : "", "family" : "Polanyi", "given" : "Michael", "non-dropping-particle" : "", "parse-names" : false, "suffix" : "" } ], "id" : "ITEM-1", "issued" : { "date-parts" : [ [ "1966" ] ] }, "publisher" : "Routledge and Kegan Paul", "publisher-place" : "London", "title" : "The Tacit Dimension", "type" : "book" }, "suppress-author" : 1, "uris" : [ "http://www.mendeley.com/documents/?uuid=285be54b-f263-465f-a2e8-3b66b77bc916" ] } ], "mendeley" : { "formattedCitation" : "(1966)", "plainTextFormattedCitation" : "(1966)", "previouslyFormattedCitation" : "(1966)" }, "properties" : { "noteIndex" : 0 }, "schema" : "https://github.com/citation-style-language/schema/raw/master/csl-citation.json" }</w:instrText>
      </w:r>
      <w:r w:rsidRPr="00385B84">
        <w:rPr>
          <w:lang w:val="en-US"/>
        </w:rPr>
        <w:fldChar w:fldCharType="separate"/>
      </w:r>
      <w:r w:rsidRPr="00385B84">
        <w:rPr>
          <w:noProof/>
          <w:lang w:val="en-US"/>
        </w:rPr>
        <w:t>(1966)</w:t>
      </w:r>
      <w:r w:rsidRPr="00385B84">
        <w:rPr>
          <w:lang w:val="en-US"/>
        </w:rPr>
        <w:fldChar w:fldCharType="end"/>
      </w:r>
      <w:r w:rsidRPr="00385B84">
        <w:rPr>
          <w:lang w:val="en-US"/>
        </w:rPr>
        <w:t xml:space="preserve"> is an exception.</w:t>
      </w:r>
    </w:p>
  </w:footnote>
  <w:footnote w:id="11">
    <w:p w14:paraId="154EF29F" w14:textId="56DC1EF4" w:rsidR="00FE3D9D" w:rsidRPr="00CD03A0" w:rsidRDefault="00FE3D9D" w:rsidP="003D6B23">
      <w:pPr>
        <w:pStyle w:val="FootnoteText"/>
        <w:spacing w:after="0" w:line="240" w:lineRule="atLeast"/>
        <w:rPr>
          <w:lang w:val="en-US"/>
        </w:rPr>
      </w:pPr>
      <w:r w:rsidRPr="00330659">
        <w:rPr>
          <w:rStyle w:val="FootnoteReference"/>
        </w:rPr>
        <w:footnoteRef/>
      </w:r>
      <w:r>
        <w:t xml:space="preserve"> The claim that the incommensurability thesis is Kuhn’s novel contribution seems controversial to some. </w:t>
      </w:r>
      <w:r>
        <w:rPr>
          <w:lang w:val="en-US"/>
        </w:rPr>
        <w:t xml:space="preserve">In the same year when the first edition of </w:t>
      </w:r>
      <w:r w:rsidRPr="00CD03A0">
        <w:rPr>
          <w:i/>
          <w:lang w:val="en-US"/>
        </w:rPr>
        <w:t>SSR</w:t>
      </w:r>
      <w:r>
        <w:rPr>
          <w:lang w:val="en-US"/>
        </w:rPr>
        <w:t xml:space="preserve"> was published, Paul Feyerabend </w:t>
      </w:r>
      <w:r>
        <w:rPr>
          <w:lang w:val="en-US"/>
        </w:rPr>
        <w:fldChar w:fldCharType="begin" w:fldLock="1"/>
      </w:r>
      <w:r>
        <w:rPr>
          <w:lang w:val="en-US"/>
        </w:rPr>
        <w:instrText>ADDIN CSL_CITATION { "citationItems" : [ { "id" : "ITEM-1", "itemData" : { "author" : [ { "dropping-particle" : "", "family" : "Feyerabend", "given" : "Paul", "non-dropping-particle" : "", "parse-names" : false, "suffix" : "" } ], "container-title" : "Scientific Explanation, Space, and Time, (Minnesota Studies in the Philosophy of Science, Volume III)", "editor" : [ { "dropping-particle" : "", "family" : "Feigl", "given" : "Herbert", "non-dropping-particle" : "", "parse-names" : false, "suffix" : "" }, { "dropping-particle" : "", "family" : "Maxwell", "given" : "Grover", "non-dropping-particle" : "", "parse-names" : false, "suffix" : "" } ], "id" : "ITEM-1", "issued" : { "date-parts" : [ [ "1962" ] ] }, "page" : "28-97", "publisher" : "University of Minnesota Press", "publisher-place" : "Minneapolis, MN", "title" : "Explanation, Reduction, and Empiricism", "type" : "chapter" }, "suppress-author" : 1, "uris" : [ "http://www.mendeley.com/documents/?uuid=744568af-64d2-426c-bf85-5c2b77652566" ] } ], "mendeley" : { "formattedCitation" : "(1962)", "plainTextFormattedCitation" : "(1962)", "previouslyFormattedCitation" : "(1962)" }, "properties" : { "noteIndex" : 0 }, "schema" : "https://github.com/citation-style-language/schema/raw/master/csl-citation.json" }</w:instrText>
      </w:r>
      <w:r>
        <w:rPr>
          <w:lang w:val="en-US"/>
        </w:rPr>
        <w:fldChar w:fldCharType="separate"/>
      </w:r>
      <w:r w:rsidRPr="00E73F42">
        <w:rPr>
          <w:noProof/>
          <w:lang w:val="en-US"/>
        </w:rPr>
        <w:t>(1962)</w:t>
      </w:r>
      <w:r>
        <w:rPr>
          <w:lang w:val="en-US"/>
        </w:rPr>
        <w:fldChar w:fldCharType="end"/>
      </w:r>
      <w:r>
        <w:rPr>
          <w:lang w:val="en-US"/>
        </w:rPr>
        <w:t xml:space="preserve"> proposed his thesis of incommensurability. Fleck </w:t>
      </w:r>
      <w:r>
        <w:rPr>
          <w:lang w:val="en-US"/>
        </w:rPr>
        <w:fldChar w:fldCharType="begin" w:fldLock="1"/>
      </w:r>
      <w:r>
        <w:rPr>
          <w:lang w:val="en-US"/>
        </w:rPr>
        <w:instrText>ADDIN CSL_CITATION { "citationItems" : [ { "id" : "ITEM-1", "itemData" : { "author" : [ { "dropping-particle" : "", "family" : "Fleck", "given" : "Ludwik", "non-dropping-particle" : "", "parse-names" : false, "suffix" : "" } ], "container-title" : "Archiwum Hisrorii i Filozofii Medycyny oraz Historii Nauk Przyrodniczych", "id" : "ITEM-1", "issued" : { "date-parts" : [ [ "1927" ] ] }, "page" : "55-64", "title" : "O niekt\u00f3rych swoistych cechach my\u015blenia lekarskiego", "type" : "article-journal", "volume" : "6" }, "suppress-author" : 1, "uris" : [ "http://www.mendeley.com/documents/?uuid=0cfc55da-b3af-445a-8a5d-81158c4e24c2" ] }, { "id" : "ITEM-2", "itemData" : { "author" : [ { "dropping-particle" : "", "family" : "Fleck", "given" : "Ludwik", "non-dropping-particle" : "", "parse-names" : false, "suffix" : "" } ], "container-title" : "Przeglad Wspolczesny", "id" : "ITEM-2", "issued" : { "date-parts" : [ [ "1939" ] ] }, "page" : "149-156", "title" : "Odpowied\u017a na uwagi Tadeusza Bilikiewicza", "type" : "article-journal", "volume" : "8-9" }, "suppress-author" : 1, "uris" : [ "http://www.mendeley.com/documents/?uuid=29c4b410-2c3d-43c0-917a-fc840a352879" ] } ], "mendeley" : { "formattedCitation" : "(1927; 1939)", "plainTextFormattedCitation" : "(1927; 1939)", "previouslyFormattedCitation" : "(1927; 1939)" }, "properties" : { "noteIndex" : 0 }, "schema" : "https://github.com/citation-style-language/schema/raw/master/csl-citation.json" }</w:instrText>
      </w:r>
      <w:r>
        <w:rPr>
          <w:lang w:val="en-US"/>
        </w:rPr>
        <w:fldChar w:fldCharType="separate"/>
      </w:r>
      <w:r w:rsidRPr="00063B83">
        <w:rPr>
          <w:noProof/>
          <w:lang w:val="en-US"/>
        </w:rPr>
        <w:t>(1927; 1939)</w:t>
      </w:r>
      <w:r>
        <w:rPr>
          <w:lang w:val="en-US"/>
        </w:rPr>
        <w:fldChar w:fldCharType="end"/>
      </w:r>
      <w:r>
        <w:rPr>
          <w:lang w:val="en-US"/>
        </w:rPr>
        <w:t xml:space="preserve"> talked of the incommensurability of concepts or ideas even earlier. However, it is novel to formulate the incommensurability thesis in terms of paradigm. It is in this sense that the (paradigm-based) incommensurability thesis is Kuhn’s another novel contribution.</w:t>
      </w:r>
    </w:p>
  </w:footnote>
  <w:footnote w:id="12">
    <w:p w14:paraId="06E89EAD" w14:textId="691CA0F0" w:rsidR="00FE3D9D" w:rsidRPr="000C0166" w:rsidRDefault="00FE3D9D">
      <w:pPr>
        <w:pStyle w:val="FootnoteText"/>
        <w:rPr>
          <w:lang w:val="en-US"/>
        </w:rPr>
      </w:pPr>
      <w:r w:rsidRPr="00330659">
        <w:rPr>
          <w:rStyle w:val="FootnoteReference"/>
        </w:rPr>
        <w:footnoteRef/>
      </w:r>
      <w:r>
        <w:t xml:space="preserve"> </w:t>
      </w:r>
      <w:r>
        <w:rPr>
          <w:lang w:val="en-US"/>
        </w:rPr>
        <w:t xml:space="preserve">It should be noted that Kuhn is very explicit on the point that incommensurability does not imply incomparability. </w:t>
      </w:r>
    </w:p>
  </w:footnote>
  <w:footnote w:id="13">
    <w:p w14:paraId="48C90A9F" w14:textId="1C424CC1" w:rsidR="00FE3D9D" w:rsidRPr="00BE11B4" w:rsidRDefault="00FE3D9D" w:rsidP="00981F35">
      <w:pPr>
        <w:pStyle w:val="FootnoteText"/>
        <w:spacing w:after="0" w:line="0" w:lineRule="atLeast"/>
        <w:rPr>
          <w:lang w:val="en-US"/>
        </w:rPr>
      </w:pPr>
      <w:r w:rsidRPr="00330659">
        <w:rPr>
          <w:rStyle w:val="FootnoteReference"/>
        </w:rPr>
        <w:footnoteRef/>
      </w:r>
      <w:r>
        <w:t xml:space="preserve"> </w:t>
      </w:r>
      <w:r>
        <w:rPr>
          <w:lang w:val="en-US"/>
        </w:rPr>
        <w:t>It should be noted that Kuhn’s “Second thoughts on paradigm” was not a post-1970 work, since it was written for the 1969 Illinois Symposium on the structure of scientific theories, although it was published for the first time in the conference volume edited by Suppe in 1974.</w:t>
      </w:r>
    </w:p>
  </w:footnote>
  <w:footnote w:id="14">
    <w:p w14:paraId="1BFFBD5C" w14:textId="4C97864B" w:rsidR="00FE3D9D" w:rsidRPr="004F22B7" w:rsidRDefault="00FE3D9D" w:rsidP="004F22B7">
      <w:pPr>
        <w:pStyle w:val="FootnoteText"/>
        <w:spacing w:after="0" w:line="0" w:lineRule="atLeast"/>
        <w:rPr>
          <w:lang w:val="en-US"/>
        </w:rPr>
      </w:pPr>
      <w:r w:rsidRPr="00330659">
        <w:rPr>
          <w:rStyle w:val="FootnoteReference"/>
        </w:rPr>
        <w:footnoteRef/>
      </w:r>
      <w:r>
        <w:t xml:space="preserve"> </w:t>
      </w:r>
      <w:r>
        <w:rPr>
          <w:lang w:val="en-US"/>
        </w:rPr>
        <w:t xml:space="preserve">Kuhn never used the phrases “methodological incommensurability”, “semantic incommensurability”, or “cognitive/perceptual incommensurability”. For a fuller articulation of the three aspects of Kuhn’s incommensurability thesis, see Sankey </w:t>
      </w:r>
      <w:r>
        <w:rPr>
          <w:lang w:val="en-US"/>
        </w:rPr>
        <w:fldChar w:fldCharType="begin" w:fldLock="1"/>
      </w:r>
      <w:r>
        <w:rPr>
          <w:lang w:val="en-US"/>
        </w:rPr>
        <w:instrText>ADDIN CSL_CITATION { "citationItems" : [ { "id" : "ITEM-1", "itemData" : { "author" : [ { "dropping-particle" : "", "family" : "Sankey", "given" : "Howard", "non-dropping-particle" : "", "parse-names" : false, "suffix" : "" } ], "container-title" : "Bristish Journal for the Philosophy of Science", "id" : "ITEM-1", "issue" : "4", "issued" : { "date-parts" : [ [ "1993" ] ] }, "page" : "759-774", "title" : "Kuhn's Changing Concept of Incommensurability", "type" : "article-journal", "volume" : "44" }, "suppress-author" : 1, "uris" : [ "http://www.mendeley.com/documents/?uuid=4c9d2d86-ad26-43f8-bd15-f39469f69c79" ] }, { "id" : "ITEM-2", "itemData" : { "author" : [ { "dropping-particle" : "", "family" : "Sankey", "given" : "Howard", "non-dropping-particle" : "", "parse-names" : false, "suffix" : "" } ], "id" : "ITEM-2", "issued" : { "date-parts" : [ [ "1994" ] ] }, "publisher" : "Avebury", "publisher-place" : "Aldershot", "title" : "The Incommensurability Thesis", "type" : "book" }, "suppress-author" : 1, "uris" : [ "http://www.mendeley.com/documents/?uuid=167872d3-23f2-4da4-9082-cd19b20f28df" ] } ], "mendeley" : { "formattedCitation" : "(1993; 1994)", "plainTextFormattedCitation" : "(1993; 1994)", "previouslyFormattedCitation" : "(1993; 1994)" }, "properties" : { "noteIndex" : 0 }, "schema" : "https://github.com/citation-style-language/schema/raw/master/csl-citation.json" }</w:instrText>
      </w:r>
      <w:r>
        <w:rPr>
          <w:lang w:val="en-US"/>
        </w:rPr>
        <w:fldChar w:fldCharType="separate"/>
      </w:r>
      <w:r w:rsidRPr="009334FF">
        <w:rPr>
          <w:noProof/>
          <w:lang w:val="en-US"/>
        </w:rPr>
        <w:t>(1993; 1994)</w:t>
      </w:r>
      <w:r>
        <w:rPr>
          <w:lang w:val="en-US"/>
        </w:rPr>
        <w:fldChar w:fldCharType="end"/>
      </w:r>
      <w:r>
        <w:rPr>
          <w:lang w:val="en-US"/>
        </w:rPr>
        <w:t>.</w:t>
      </w:r>
    </w:p>
  </w:footnote>
  <w:footnote w:id="15">
    <w:p w14:paraId="619E9748" w14:textId="10247DA6" w:rsidR="00FE3D9D" w:rsidRPr="00CA3C50" w:rsidRDefault="00FE3D9D">
      <w:pPr>
        <w:pStyle w:val="FootnoteText"/>
        <w:rPr>
          <w:lang w:val="en-US"/>
        </w:rPr>
      </w:pPr>
      <w:r w:rsidRPr="00330659">
        <w:rPr>
          <w:rStyle w:val="FootnoteReference"/>
        </w:rPr>
        <w:footnoteRef/>
      </w:r>
      <w:r>
        <w:t xml:space="preserve"> </w:t>
      </w:r>
      <w:r>
        <w:rPr>
          <w:lang w:val="en-US"/>
        </w:rPr>
        <w:t xml:space="preserve">Kuhn’s original expression in the text is “differences in method, problem-field, and standards of solution”. </w:t>
      </w:r>
      <w:r>
        <w:rPr>
          <w:lang w:val="en-US"/>
        </w:rPr>
        <w:fldChar w:fldCharType="begin" w:fldLock="1"/>
      </w:r>
      <w:r>
        <w:rPr>
          <w:lang w:val="en-US"/>
        </w:rPr>
        <w:instrText>ADDIN CSL_CITATION { "citationItems" : [ { "id" : "ITEM-1", "itemData" : { "DOI" : "10.2307/192452", "ISSN" : "0270-8647", "abstract" : "The author's concept of incommensurability is explicated by elaborating the claim that some terms essential to the formulation of older theories defy translation into the language of more recent ones. Defense of this claim rests on the distinction between interpreting a theory in a later language and translating the theory into it. The former is both possible and essential, the latter neither. The interpretation/translation distinction is then applied to Kitcher's critique of incommensurability and Quine's conception of a translation manual, both of which take reference-preservation as the sole semantic criterion of translational adequacy. The paper concludes by enquiring about the additional criteria a successful translation must satisfy.", "author" : [ { "dropping-particle" : "", "family" : "Kuhn", "given" : "Thomas Samuel", "non-dropping-particle" : "", "parse-names" : false, "suffix" : "" } ], "container-title" : "PSA: Proceedings of the Biennial Meeting of the Philosophy of Science Association", "id" : "ITEM-1", "issued" : { "date-parts" : [ [ "1982" ] ] }, "page" : "669-688", "title" : "Commensurability, comparability, communicability", "type" : "article-journal" }, "locator" : "684n3", "uris" : [ "http://www.mendeley.com/documents/?uuid=de4f35b1-9049-4ae3-9149-f9ef76f10e35" ] } ], "mendeley" : { "formattedCitation" : "(Kuhn 1982, 684n3)", "plainTextFormattedCitation" : "(Kuhn 1982, 684n3)", "previouslyFormattedCitation" : "(Kuhn 1982, 684n3)" }, "properties" : { "noteIndex" : 0 }, "schema" : "https://github.com/citation-style-language/schema/raw/master/csl-citation.json" }</w:instrText>
      </w:r>
      <w:r>
        <w:rPr>
          <w:lang w:val="en-US"/>
        </w:rPr>
        <w:fldChar w:fldCharType="separate"/>
      </w:r>
      <w:r w:rsidRPr="00384DA3">
        <w:rPr>
          <w:noProof/>
          <w:lang w:val="en-US"/>
        </w:rPr>
        <w:t>(Kuhn 1982, 684n3)</w:t>
      </w:r>
      <w:r>
        <w:rPr>
          <w:lang w:val="en-US"/>
        </w:rPr>
        <w:fldChar w:fldCharType="end"/>
      </w:r>
    </w:p>
  </w:footnote>
  <w:footnote w:id="16">
    <w:p w14:paraId="412665A4" w14:textId="68C8E954" w:rsidR="00FE3D9D" w:rsidRPr="00663971" w:rsidRDefault="00FE3D9D" w:rsidP="00663971">
      <w:pPr>
        <w:pStyle w:val="FootnoteText"/>
        <w:spacing w:after="0" w:line="0" w:lineRule="atLeast"/>
        <w:rPr>
          <w:lang w:val="en-US"/>
        </w:rPr>
      </w:pPr>
      <w:r w:rsidRPr="00330659">
        <w:rPr>
          <w:rStyle w:val="FootnoteReference"/>
        </w:rPr>
        <w:footnoteRef/>
      </w:r>
      <w:r>
        <w:t xml:space="preserve"> </w:t>
      </w:r>
      <w:r>
        <w:rPr>
          <w:lang w:val="en-US"/>
        </w:rPr>
        <w:t xml:space="preserve">However, Nickles </w:t>
      </w:r>
      <w:r>
        <w:rPr>
          <w:lang w:val="en-US"/>
        </w:rPr>
        <w:fldChar w:fldCharType="begin" w:fldLock="1"/>
      </w:r>
      <w:r>
        <w:rPr>
          <w:lang w:val="en-US"/>
        </w:rPr>
        <w:instrText>ADDIN CSL_CITATION { "citationItems" : [ { "id" : "ITEM-1", "itemData" : { "author" : [ { "dropping-particle" : "", "family" : "Nickles", "given" : "Thomas", "non-dropping-particle" : "", "parse-names" : false, "suffix" : "" } ], "chapter-number" : "6", "container-title" : "Kuhn's The Structure of Scientific Revolutions", "editor" : [ { "dropping-particle" : "", "family" : "Kindi", "given" : "Vasso", "non-dropping-particle" : "", "parse-names" : false, "suffix" : "" }, { "dropping-particle" : "", "family" : "Arabatzis", "given" : "Theodore", "non-dropping-particle" : "", "parse-names" : false, "suffix" : "" } ], "id" : "ITEM-1", "issued" : { "date-parts" : [ [ "2012" ] ] }, "page" : "112-133", "publisher" : "Routledge", "publisher-place" : "London and New York", "title" : "Some Puzzles about Kuhn's Exemplars", "type" : "chapter" }, "suppress-author" : 1, "uris" : [ "http://www.mendeley.com/documents/?uuid=c1b5ccbd-4353-4c9a-9154-457a4b930ab5" ] } ], "mendeley" : { "formattedCitation" : "(2012)", "plainTextFormattedCitation" : "(2012)", "previouslyFormattedCitation" : "(2012)" }, "properties" : { "noteIndex" : 0 }, "schema" : "https://github.com/citation-style-language/schema/raw/master/csl-citation.json" }</w:instrText>
      </w:r>
      <w:r>
        <w:rPr>
          <w:lang w:val="en-US"/>
        </w:rPr>
        <w:fldChar w:fldCharType="separate"/>
      </w:r>
      <w:r w:rsidRPr="00663971">
        <w:rPr>
          <w:noProof/>
          <w:lang w:val="en-US"/>
        </w:rPr>
        <w:t>(2012)</w:t>
      </w:r>
      <w:r>
        <w:rPr>
          <w:lang w:val="en-US"/>
        </w:rPr>
        <w:fldChar w:fldCharType="end"/>
      </w:r>
      <w:r>
        <w:rPr>
          <w:lang w:val="en-US"/>
        </w:rPr>
        <w:t xml:space="preserve"> still pays insufficient attention to articulate the process of the construction of an exemplar.</w:t>
      </w:r>
    </w:p>
  </w:footnote>
  <w:footnote w:id="17">
    <w:p w14:paraId="6E1A79DC" w14:textId="77777777" w:rsidR="00FE3D9D" w:rsidRPr="003D0833" w:rsidRDefault="00FE3D9D" w:rsidP="003E3898">
      <w:pPr>
        <w:pStyle w:val="FootnoteText"/>
        <w:spacing w:after="0" w:line="0" w:lineRule="atLeast"/>
        <w:rPr>
          <w:lang w:val="en-US"/>
        </w:rPr>
      </w:pPr>
      <w:r w:rsidRPr="00330659">
        <w:rPr>
          <w:rStyle w:val="FootnoteReference"/>
        </w:rPr>
        <w:footnoteRef/>
      </w:r>
      <w:r>
        <w:t xml:space="preserve"> </w:t>
      </w:r>
      <w:r>
        <w:rPr>
          <w:lang w:val="en-US"/>
        </w:rPr>
        <w:t xml:space="preserve">There are a few attempts to employ the notion of exemplar to analyse some history cases. For example, Darden </w:t>
      </w:r>
      <w:r>
        <w:rPr>
          <w:lang w:val="en-US"/>
        </w:rPr>
        <w:fldChar w:fldCharType="begin" w:fldLock="1"/>
      </w:r>
      <w:r>
        <w:rPr>
          <w:lang w:val="en-US"/>
        </w:rPr>
        <w:instrText>ADDIN CSL_CITATION { "citationItems" : [ { "id" : "ITEM-1", "itemData" : { "author" : [ { "dropping-particle" : "", "family" : "Darden", "given" : "Lindley", "non-dropping-particle" : "", "parse-names" : false, "suffix" : "" } ], "id" : "ITEM-1", "issued" : { "date-parts" : [ [ "1991" ] ] }, "publisher" : "Oxford University Press", "publisher-place" : "Oxford", "title" : "Theory Change in Science: Strategies from Mendelian Genetics", "type" : "book" }, "suppress-author" : 1, "uris" : [ "http://www.mendeley.com/documents/?uuid=663964e3-9948-4dc8-8482-ce749e9240f6", "http://www.mendeley.com/documents/?uuid=454ff40d-4a95-4d99-aa48-422bc3ad4881" ] } ], "mendeley" : { "formattedCitation" : "(1991)", "plainTextFormattedCitation" : "(1991)", "previouslyFormattedCitation" : "(1991)" }, "properties" : { "noteIndex" : 0 }, "schema" : "https://github.com/citation-style-language/schema/raw/master/csl-citation.json" }</w:instrText>
      </w:r>
      <w:r>
        <w:rPr>
          <w:lang w:val="en-US"/>
        </w:rPr>
        <w:fldChar w:fldCharType="separate"/>
      </w:r>
      <w:r w:rsidRPr="00A77BBF">
        <w:rPr>
          <w:noProof/>
          <w:lang w:val="en-US"/>
        </w:rPr>
        <w:t>(1991)</w:t>
      </w:r>
      <w:r>
        <w:rPr>
          <w:lang w:val="en-US"/>
        </w:rPr>
        <w:fldChar w:fldCharType="end"/>
      </w:r>
      <w:r>
        <w:rPr>
          <w:lang w:val="en-US"/>
        </w:rPr>
        <w:t xml:space="preserve"> analyses the explanatory virtue of the hybrid crossing in terms of exemplar, while Skopek </w:t>
      </w:r>
      <w:r>
        <w:rPr>
          <w:lang w:val="en-US"/>
        </w:rPr>
        <w:fldChar w:fldCharType="begin" w:fldLock="1"/>
      </w:r>
      <w:r>
        <w:rPr>
          <w:lang w:val="en-US"/>
        </w:rPr>
        <w:instrText>ADDIN CSL_CITATION { "citationItems" : [ { "id" : "ITEM-1", "itemData" : { "author" : [ { "dropping-particle" : "", "family" : "Skopek", "given" : "Jeffrey M.", "non-dropping-particle" : "", "parse-names" : false, "suffix" : "" } ], "container-title" : "Studies in history and philosophy of Biological and Biomedical Sciences", "id" : "ITEM-1", "issue" : "2", "issued" : { "date-parts" : [ [ "2011" ] ] }, "page" : "210-225", "title" : "Principles, Exemplars, and Uses of history in Early 20th Century Genetics", "type" : "article-journal", "volume" : "42" }, "suppress-author" : 1, "uris" : [ "http://www.mendeley.com/documents/?uuid=a763b60b-28e4-4f54-a31c-4d887da0db38", "http://www.mendeley.com/documents/?uuid=5f659e4f-b953-46e2-8fd5-b6a574fc6919" ] } ], "mendeley" : { "formattedCitation" : "(2011)", "plainTextFormattedCitation" : "(2011)", "previouslyFormattedCitation" : "(2011)" }, "properties" : { "noteIndex" : 0 }, "schema" : "https://github.com/citation-style-language/schema/raw/master/csl-citation.json" }</w:instrText>
      </w:r>
      <w:r>
        <w:rPr>
          <w:lang w:val="en-US"/>
        </w:rPr>
        <w:fldChar w:fldCharType="separate"/>
      </w:r>
      <w:r w:rsidRPr="005E72BD">
        <w:rPr>
          <w:noProof/>
          <w:lang w:val="en-US"/>
        </w:rPr>
        <w:t>(2011)</w:t>
      </w:r>
      <w:r>
        <w:rPr>
          <w:lang w:val="en-US"/>
        </w:rPr>
        <w:fldChar w:fldCharType="end"/>
      </w:r>
      <w:r>
        <w:rPr>
          <w:lang w:val="en-US"/>
        </w:rPr>
        <w:t xml:space="preserve"> explores the pedagogical virtue of Mendel’s work on peas in terms of exemplar. Unfortunately, the exemplars, for both Darden and Skopek, are simply construed as the examples in the textbook.</w:t>
      </w:r>
    </w:p>
  </w:footnote>
  <w:footnote w:id="18">
    <w:p w14:paraId="163F92B6" w14:textId="38A98B51" w:rsidR="00FE3D9D" w:rsidRPr="00135D4B" w:rsidRDefault="00FE3D9D" w:rsidP="00135D4B">
      <w:pPr>
        <w:pStyle w:val="FootnoteText"/>
        <w:spacing w:after="0" w:line="0" w:lineRule="atLeast"/>
        <w:rPr>
          <w:lang w:val="en-US"/>
        </w:rPr>
      </w:pPr>
      <w:r w:rsidRPr="00330659">
        <w:rPr>
          <w:rStyle w:val="FootnoteReference"/>
        </w:rPr>
        <w:footnoteRef/>
      </w:r>
      <w:r>
        <w:t xml:space="preserve"> </w:t>
      </w:r>
      <w:r>
        <w:rPr>
          <w:lang w:val="en-US"/>
        </w:rPr>
        <w:t xml:space="preserve">NIckles </w:t>
      </w:r>
      <w:r>
        <w:rPr>
          <w:lang w:val="en-US"/>
        </w:rPr>
        <w:fldChar w:fldCharType="begin" w:fldLock="1"/>
      </w:r>
      <w:r>
        <w:rPr>
          <w:lang w:val="en-US"/>
        </w:rPr>
        <w:instrText>ADDIN CSL_CITATION { "citationItems" : [ { "id" : "ITEM-1", "itemData" : { "author" : [ { "dropping-particle" : "", "family" : "Nickles", "given" : "Thomas", "non-dropping-particle" : "", "parse-names" : false, "suffix" : "" } ], "chapter-number" : "6", "container-title" : "Kuhn's The Structure of Scientific Revolutions", "editor" : [ { "dropping-particle" : "", "family" : "Kindi", "given" : "Vasso", "non-dropping-particle" : "", "parse-names" : false, "suffix" : "" }, { "dropping-particle" : "", "family" : "Arabatzis", "given" : "Theodore", "non-dropping-particle" : "", "parse-names" : false, "suffix" : "" } ], "id" : "ITEM-1", "issued" : { "date-parts" : [ [ "2012" ] ] }, "page" : "112-133", "publisher" : "Routledge", "publisher-place" : "London and New York", "title" : "Some Puzzles about Kuhn's Exemplars", "type" : "chapter" }, "locator" : "128", "suppress-author" : 1, "uris" : [ "http://www.mendeley.com/documents/?uuid=c1b5ccbd-4353-4c9a-9154-457a4b930ab5" ] } ], "mendeley" : { "formattedCitation" : "(2012, 128)", "plainTextFormattedCitation" : "(2012, 128)", "previouslyFormattedCitation" : "(2012, 128)" }, "properties" : { "noteIndex" : 0 }, "schema" : "https://github.com/citation-style-language/schema/raw/master/csl-citation.json" }</w:instrText>
      </w:r>
      <w:r>
        <w:rPr>
          <w:lang w:val="en-US"/>
        </w:rPr>
        <w:fldChar w:fldCharType="separate"/>
      </w:r>
      <w:r w:rsidRPr="00135D4B">
        <w:rPr>
          <w:noProof/>
          <w:lang w:val="en-US"/>
        </w:rPr>
        <w:t>(2012, 128)</w:t>
      </w:r>
      <w:r>
        <w:rPr>
          <w:lang w:val="en-US"/>
        </w:rPr>
        <w:fldChar w:fldCharType="end"/>
      </w:r>
      <w:r>
        <w:rPr>
          <w:lang w:val="en-US"/>
        </w:rPr>
        <w:t xml:space="preserve"> asks a similar question: “What makes something an exemplar, a problem-cum-solution of the sort that is selected for inclusion in a textbook, widely cited by experts in the field, or the design of an instrument or a technique?”</w:t>
      </w:r>
    </w:p>
  </w:footnote>
  <w:footnote w:id="19">
    <w:p w14:paraId="5320411F" w14:textId="0274E8FF" w:rsidR="00FE3D9D" w:rsidRPr="00D73AFE" w:rsidRDefault="00FE3D9D" w:rsidP="00AE2BCD">
      <w:pPr>
        <w:pStyle w:val="FootnoteText"/>
        <w:spacing w:line="0" w:lineRule="atLeast"/>
        <w:rPr>
          <w:lang w:val="en-US"/>
        </w:rPr>
      </w:pPr>
      <w:r w:rsidRPr="00330659">
        <w:rPr>
          <w:rStyle w:val="FootnoteReference"/>
        </w:rPr>
        <w:footnoteRef/>
      </w:r>
      <w:r>
        <w:t xml:space="preserve"> As I have mentioned, </w:t>
      </w:r>
      <w:r>
        <w:rPr>
          <w:lang w:val="en-US"/>
        </w:rPr>
        <w:t>Kuhn</w:t>
      </w:r>
      <w:r>
        <w:rPr>
          <w:lang w:val="en-US"/>
        </w:rPr>
        <w:fldChar w:fldCharType="begin" w:fldLock="1"/>
      </w:r>
      <w:r>
        <w:rPr>
          <w:lang w:val="en-US"/>
        </w:rPr>
        <w:instrText>ADDIN CSL_CITATION { "citationItems" : [ { "id" : "ITEM-1", "itemData" : { "author" : [ { "dropping-particle" : "", "family" : "Kuhn", "given" : "Thomas Samuel", "non-dropping-particle" : "", "parse-names" : false, "suffix" : "" } ], "container-title" : "The Essential Tension: Selected Studies in Scientific Tradition and Change", "id" : "ITEM-1", "issued" : { "date-parts" : [ [ "1977" ] ] }, "page" : "320-339", "publisher" : "University of Chicago Press", "publisher-place" : "Chicago, IL", "title" : "Objectivity, Value Judgment, and Theory Choice", "type" : "chapter" }, "suppress-author" : 1, "uris" : [ "http://www.mendeley.com/documents/?uuid=dd85a517-4a00-4cba-8106-854b5ac1f942", "http://www.mendeley.com/documents/?uuid=a7c00225-bc27-407c-9a4a-375a1b7dc8c4" ] } ], "mendeley" : { "formattedCitation" : "(1977)", "manualFormatting" : " (1977)", "plainTextFormattedCitation" : "(1977)", "previouslyFormattedCitation" : "(1977)" }, "properties" : { "noteIndex" : 0 }, "schema" : "https://github.com/citation-style-language/schema/raw/master/csl-citation.json" }</w:instrText>
      </w:r>
      <w:r>
        <w:rPr>
          <w:lang w:val="en-US"/>
        </w:rPr>
        <w:fldChar w:fldCharType="separate"/>
      </w:r>
      <w:r>
        <w:rPr>
          <w:noProof/>
          <w:lang w:val="en-US"/>
        </w:rPr>
        <w:t xml:space="preserve"> (</w:t>
      </w:r>
      <w:r w:rsidRPr="00656F15">
        <w:rPr>
          <w:noProof/>
          <w:lang w:val="en-US"/>
        </w:rPr>
        <w:t>1977)</w:t>
      </w:r>
      <w:r>
        <w:rPr>
          <w:lang w:val="en-US"/>
        </w:rPr>
        <w:fldChar w:fldCharType="end"/>
      </w:r>
      <w:r>
        <w:rPr>
          <w:lang w:val="en-US"/>
        </w:rPr>
        <w:t xml:space="preserve"> listed five main characteristics of a good theory (or a paradigm). However the theory (or the paradigm) here refers obviously to a disciplinary matrix rather than an exemplar.</w:t>
      </w:r>
    </w:p>
  </w:footnote>
  <w:footnote w:id="20">
    <w:p w14:paraId="7A4656C7" w14:textId="71D24C7E" w:rsidR="00FE3D9D" w:rsidRPr="00FD5207" w:rsidRDefault="00FE3D9D" w:rsidP="00CA32D6">
      <w:pPr>
        <w:pStyle w:val="FootnoteText"/>
        <w:spacing w:after="0" w:line="240" w:lineRule="auto"/>
        <w:rPr>
          <w:lang w:val="en-US"/>
        </w:rPr>
      </w:pPr>
      <w:r w:rsidRPr="00330659">
        <w:rPr>
          <w:rStyle w:val="FootnoteReference"/>
        </w:rPr>
        <w:footnoteRef/>
      </w:r>
      <w:r>
        <w:t xml:space="preserve"> </w:t>
      </w:r>
      <w:r>
        <w:rPr>
          <w:lang w:val="en-US"/>
        </w:rPr>
        <w:t xml:space="preserve">The conception of exemplar is certainly applicable to many disciplines, including logic and mathematics. But the one discussed in the paper is only applicable to the empirical sciences. </w:t>
      </w:r>
    </w:p>
  </w:footnote>
  <w:footnote w:id="21">
    <w:p w14:paraId="610C0CCE" w14:textId="22BADEDF" w:rsidR="00FE3D9D" w:rsidRPr="00C33D2D" w:rsidRDefault="00FE3D9D" w:rsidP="003679A8">
      <w:pPr>
        <w:pStyle w:val="FootnoteText"/>
        <w:spacing w:after="0" w:line="240" w:lineRule="auto"/>
        <w:rPr>
          <w:lang w:val="en-US"/>
        </w:rPr>
      </w:pPr>
      <w:r w:rsidRPr="00330659">
        <w:rPr>
          <w:rStyle w:val="FootnoteReference"/>
        </w:rPr>
        <w:footnoteRef/>
      </w:r>
      <w:r>
        <w:t xml:space="preserve"> </w:t>
      </w:r>
      <w:r>
        <w:rPr>
          <w:lang w:val="en-US"/>
        </w:rPr>
        <w:t>An example of the patterns of reasoning is the hypothetico-deductive (H-D) model of confirmation, which applies an H-D model of logic to confirm a hypothesis by designing and undertaking the experiments.</w:t>
      </w:r>
    </w:p>
  </w:footnote>
  <w:footnote w:id="22">
    <w:p w14:paraId="1261EB9E" w14:textId="16CB39B5" w:rsidR="00FE3D9D" w:rsidRPr="001E4AB3" w:rsidRDefault="00FE3D9D" w:rsidP="001E4AB3">
      <w:pPr>
        <w:pStyle w:val="FootnoteText"/>
        <w:spacing w:after="0" w:line="0" w:lineRule="atLeast"/>
        <w:rPr>
          <w:lang w:val="en-US"/>
        </w:rPr>
      </w:pPr>
      <w:r w:rsidRPr="00330659">
        <w:rPr>
          <w:rStyle w:val="FootnoteReference"/>
        </w:rPr>
        <w:footnoteRef/>
      </w:r>
      <w:r w:rsidRPr="00177DBC">
        <w:t xml:space="preserve"> </w:t>
      </w:r>
      <w:r w:rsidRPr="00177DBC">
        <w:rPr>
          <w:rFonts w:cs="Times New Roman"/>
        </w:rPr>
        <w:t>Note that I have to emphasise here that there is no universal account of theoretical construction. We have to delve into the historical context to study the process of hypothesisation</w:t>
      </w:r>
      <w:r>
        <w:rPr>
          <w:rFonts w:cs="Times New Roman"/>
        </w:rPr>
        <w:t>. For example. S</w:t>
      </w:r>
      <w:r w:rsidRPr="00177DBC">
        <w:rPr>
          <w:rFonts w:cs="Times New Roman"/>
        </w:rPr>
        <w:t>ome hypothesisaiton</w:t>
      </w:r>
      <w:r>
        <w:rPr>
          <w:rFonts w:cs="Times New Roman"/>
        </w:rPr>
        <w:t>s are</w:t>
      </w:r>
      <w:r w:rsidRPr="00177DBC">
        <w:rPr>
          <w:rFonts w:cs="Times New Roman"/>
        </w:rPr>
        <w:t xml:space="preserve"> better </w:t>
      </w:r>
      <w:r w:rsidRPr="001E4AB3">
        <w:rPr>
          <w:rFonts w:cs="Times New Roman"/>
        </w:rPr>
        <w:t xml:space="preserve">characterised as modelling, while others are better as the discovery of mechanism. </w:t>
      </w:r>
    </w:p>
  </w:footnote>
  <w:footnote w:id="23">
    <w:p w14:paraId="4EBDDBF9" w14:textId="1CBCD863" w:rsidR="00FE3D9D" w:rsidRPr="0002366D" w:rsidRDefault="00FE3D9D" w:rsidP="0002366D">
      <w:pPr>
        <w:pStyle w:val="FootnoteText"/>
        <w:spacing w:after="0" w:line="240" w:lineRule="auto"/>
        <w:rPr>
          <w:lang w:val="en-US"/>
        </w:rPr>
      </w:pPr>
      <w:r w:rsidRPr="00330659">
        <w:rPr>
          <w:rStyle w:val="FootnoteReference"/>
        </w:rPr>
        <w:footnoteRef/>
      </w:r>
      <w:r>
        <w:t xml:space="preserve"> </w:t>
      </w:r>
      <w:r>
        <w:rPr>
          <w:lang w:val="en-US"/>
        </w:rPr>
        <w:t xml:space="preserve">I take a scientific school as a research community, which is similar to Kuhn’s paradigm </w:t>
      </w:r>
      <w:r>
        <w:rPr>
          <w:lang w:val="en-US"/>
        </w:rPr>
        <w:fldChar w:fldCharType="begin" w:fldLock="1"/>
      </w:r>
      <w:r>
        <w:rPr>
          <w:lang w:val="en-US"/>
        </w:rPr>
        <w:instrText>ADDIN CSL_CITATION { "citationItems" : [ { "id" : "ITEM-1", "itemData" : { "author" : [ { "dropping-particle" : "", "family" : "Kuhn", "given" : "Thomas Samuel", "non-dropping-particle" : "", "parse-names" : false, "suffix" : "" } ], "edition" : "2nd", "id" : "ITEM-1", "issued" : { "date-parts" : [ [ "1970" ] ] }, "publisher" : "University of Chicago Press", "publisher-place" : "Chicago, IL", "title" : "The Structure of Scientific Revolutions", "type" : "book" }, "suppress-author" : 1, "uris" : [ "http://www.mendeley.com/documents/?uuid=bdadb4d5-5622-49a8-89f9-43f6b3b7e8aa" ] } ], "mendeley" : { "formattedCitation" : "(1970)", "plainTextFormattedCitation" : "(1970)", "previouslyFormattedCitation" : "(1970)" }, "properties" : { "noteIndex" : 0 }, "schema" : "https://github.com/citation-style-language/schema/raw/master/csl-citation.json" }</w:instrText>
      </w:r>
      <w:r>
        <w:rPr>
          <w:lang w:val="en-US"/>
        </w:rPr>
        <w:fldChar w:fldCharType="separate"/>
      </w:r>
      <w:r w:rsidRPr="0002366D">
        <w:rPr>
          <w:noProof/>
          <w:lang w:val="en-US"/>
        </w:rPr>
        <w:t>(1970)</w:t>
      </w:r>
      <w:r>
        <w:rPr>
          <w:lang w:val="en-US"/>
        </w:rPr>
        <w:fldChar w:fldCharType="end"/>
      </w:r>
      <w:r>
        <w:rPr>
          <w:lang w:val="en-US"/>
        </w:rPr>
        <w:t xml:space="preserve">, Lakatos’ research programme </w:t>
      </w:r>
      <w:r>
        <w:rPr>
          <w:lang w:val="en-US"/>
        </w:rPr>
        <w:fldChar w:fldCharType="begin" w:fldLock="1"/>
      </w:r>
      <w:r>
        <w:rPr>
          <w:lang w:val="en-US"/>
        </w:rPr>
        <w:instrText>ADDIN CSL_CITATION { "citationItems" : [ { "id" : "ITEM-1", "itemData" : { "ISBN" : "0521280311", "author" : [ { "dropping-particle" : "", "family" : "Lakatos", "given" : "Imre", "non-dropping-particle" : "", "parse-names" : false, "suffix" : "" } ], "container-title" : "The Methodology of Scientific Research Programme", "id" : "ITEM-1", "issued" : { "date-parts" : [ [ "1978" ] ] }, "number-of-pages" : "8-93", "title" : "Chapter 1: Falsification and the Methodology of Scientific Research Programmes", "type" : "book" }, "suppress-author" : 1, "uris" : [ "http://www.mendeley.com/documents/?uuid=23292c4d-c03f-4917-b983-335570baee7f" ] } ], "mendeley" : { "formattedCitation" : "(1978)", "plainTextFormattedCitation" : "(1978)", "previouslyFormattedCitation" : "(1978)" }, "properties" : { "noteIndex" : 0 }, "schema" : "https://github.com/citation-style-language/schema/raw/master/csl-citation.json" }</w:instrText>
      </w:r>
      <w:r>
        <w:rPr>
          <w:lang w:val="en-US"/>
        </w:rPr>
        <w:fldChar w:fldCharType="separate"/>
      </w:r>
      <w:r w:rsidRPr="0002366D">
        <w:rPr>
          <w:noProof/>
          <w:lang w:val="en-US"/>
        </w:rPr>
        <w:t>(1978)</w:t>
      </w:r>
      <w:r>
        <w:rPr>
          <w:lang w:val="en-US"/>
        </w:rPr>
        <w:fldChar w:fldCharType="end"/>
      </w:r>
      <w:r>
        <w:rPr>
          <w:lang w:val="en-US"/>
        </w:rPr>
        <w:t xml:space="preserve">, Laudan’s research tradition </w:t>
      </w:r>
      <w:r>
        <w:rPr>
          <w:lang w:val="en-US"/>
        </w:rPr>
        <w:fldChar w:fldCharType="begin" w:fldLock="1"/>
      </w:r>
      <w:r>
        <w:rPr>
          <w:lang w:val="en-US"/>
        </w:rPr>
        <w:instrText>ADDIN CSL_CITATION { "citationItems" : [ { "id" : "ITEM-1", "itemData" : { "author" : [ { "dropping-particle" : "", "family" : "Laudan", "given" : "Larry", "non-dropping-particle" : "", "parse-names" : false, "suffix" : "" } ], "id" : "ITEM-1", "issued" : { "date-parts" : [ [ "1977" ] ] }, "publisher" : "University of California Press", "publisher-place" : "Berkeley and Los Angeles, CA", "title" : "Progress and its Problems", "type" : "book" }, "suppress-author" : 1, "uris" : [ "http://www.mendeley.com/documents/?uuid=27089d24-6827-48ab-9e05-b1dc9ea73405" ] } ], "mendeley" : { "formattedCitation" : "(1977)", "plainTextFormattedCitation" : "(1977)", "previouslyFormattedCitation" : "(1977)" }, "properties" : { "noteIndex" : 0 }, "schema" : "https://github.com/citation-style-language/schema/raw/master/csl-citation.json" }</w:instrText>
      </w:r>
      <w:r>
        <w:rPr>
          <w:lang w:val="en-US"/>
        </w:rPr>
        <w:fldChar w:fldCharType="separate"/>
      </w:r>
      <w:r w:rsidRPr="0002366D">
        <w:rPr>
          <w:noProof/>
          <w:lang w:val="en-US"/>
        </w:rPr>
        <w:t>(1977)</w:t>
      </w:r>
      <w:r>
        <w:rPr>
          <w:lang w:val="en-US"/>
        </w:rPr>
        <w:fldChar w:fldCharType="end"/>
      </w:r>
      <w:r>
        <w:rPr>
          <w:lang w:val="en-US"/>
        </w:rPr>
        <w:t xml:space="preserve">, and Massimi’s scientific perspective </w:t>
      </w:r>
      <w:r>
        <w:rPr>
          <w:lang w:val="en-US"/>
        </w:rPr>
        <w:fldChar w:fldCharType="begin" w:fldLock="1"/>
      </w:r>
      <w:r>
        <w:rPr>
          <w:lang w:val="en-US"/>
        </w:rPr>
        <w:instrText>ADDIN CSL_CITATION { "citationItems" : [ { "id" : "ITEM-1", "itemData" : { "DOI" : "10.1111/phpr.12300", "ISSN" : "19331592", "abstract" : "In this paper, I assess recent claims in philosophy of science about scientific perspectivism being compatible with realism. I clarify the rationale for scientific perspectivism and the problems and challenges that perspectivism faces in delivering a form of realism. In particular, I concentrate my attention on truth, and on ways in which truth can be understood in perspectival terms. I offer a cost-benefit analysis of each of them and defend a version that in my view is most promising in living up to realist expectations.", "author" : [ { "dropping-particle" : "", "family" : "Massimi", "given" : "Michela", "non-dropping-particle" : "", "parse-names" : false, "suffix" : "" } ], "container-title" : "Philosophy and Phenomenological Research", "id" : "ITEM-1", "issued" : { "date-parts" : [ [ "2016" ] ] }, "page" : "1-18", "title" : "Four Kinds of Perspectival Truth", "type" : "article-journal" }, "suppress-author" : 1, "uris" : [ "http://www.mendeley.com/documents/?uuid=eae2bf8e-cccd-493f-bcf4-4d3e69492406" ] } ], "mendeley" : { "formattedCitation" : "(2016)", "plainTextFormattedCitation" : "(2016)", "previouslyFormattedCitation" : "(2016)" }, "properties" : { "noteIndex" : 0 }, "schema" : "https://github.com/citation-style-language/schema/raw/master/csl-citation.json" }</w:instrText>
      </w:r>
      <w:r>
        <w:rPr>
          <w:lang w:val="en-US"/>
        </w:rPr>
        <w:fldChar w:fldCharType="separate"/>
      </w:r>
      <w:r w:rsidRPr="0002366D">
        <w:rPr>
          <w:noProof/>
          <w:lang w:val="en-US"/>
        </w:rPr>
        <w:t>(2016)</w:t>
      </w:r>
      <w:r>
        <w:rPr>
          <w:lang w:val="en-US"/>
        </w:rPr>
        <w:fldChar w:fldCharType="end"/>
      </w:r>
      <w:r>
        <w:rPr>
          <w:lang w:val="en-US"/>
        </w:rPr>
        <w:t>. Ptolemaic astronomy, Newtonian mechanics, and Mendelian genetics are good examples of scientific schools.</w:t>
      </w:r>
    </w:p>
  </w:footnote>
  <w:footnote w:id="24">
    <w:p w14:paraId="5198CABD" w14:textId="10001CA8" w:rsidR="00FE3D9D" w:rsidRPr="001E4AB3" w:rsidRDefault="00FE3D9D" w:rsidP="001E4AB3">
      <w:pPr>
        <w:spacing w:after="0" w:line="0" w:lineRule="atLeast"/>
        <w:rPr>
          <w:sz w:val="18"/>
          <w:szCs w:val="18"/>
        </w:rPr>
      </w:pPr>
      <w:r w:rsidRPr="00330659">
        <w:rPr>
          <w:rStyle w:val="FootnoteReference"/>
        </w:rPr>
        <w:footnoteRef/>
      </w:r>
      <w:r w:rsidRPr="001E4AB3">
        <w:rPr>
          <w:sz w:val="18"/>
          <w:szCs w:val="18"/>
        </w:rPr>
        <w:t xml:space="preserve"> </w:t>
      </w:r>
      <w:r>
        <w:rPr>
          <w:sz w:val="18"/>
          <w:szCs w:val="18"/>
        </w:rPr>
        <w:t>Although I emphasised</w:t>
      </w:r>
      <w:r w:rsidRPr="001E4AB3">
        <w:rPr>
          <w:sz w:val="18"/>
          <w:szCs w:val="18"/>
        </w:rPr>
        <w:t xml:space="preserve"> that one of the most important contributions of an exemplary practice is the definition of research problems, it is unlikely for a scientist to begin his studies without an initial problem, which was a well-defined</w:t>
      </w:r>
      <w:r>
        <w:rPr>
          <w:sz w:val="18"/>
          <w:szCs w:val="18"/>
        </w:rPr>
        <w:t xml:space="preserve"> research problem. These</w:t>
      </w:r>
      <w:r w:rsidRPr="001E4AB3">
        <w:rPr>
          <w:sz w:val="18"/>
          <w:szCs w:val="18"/>
        </w:rPr>
        <w:t xml:space="preserve"> initial problems might not be interesting at all for the subsequent development of the studies. A classical example is that the initial problem that inspired Morgan to conduct experiments on </w:t>
      </w:r>
      <w:r w:rsidRPr="001E4AB3">
        <w:rPr>
          <w:i/>
          <w:sz w:val="18"/>
          <w:szCs w:val="18"/>
        </w:rPr>
        <w:t>Drosophila</w:t>
      </w:r>
      <w:r w:rsidRPr="001E4AB3">
        <w:rPr>
          <w:sz w:val="18"/>
          <w:szCs w:val="18"/>
        </w:rPr>
        <w:t xml:space="preserve"> was in search for an experimental approach to evolution, but he finally made a great achievement on solving the problems of </w:t>
      </w:r>
      <w:r w:rsidRPr="001E4AB3">
        <w:rPr>
          <w:i/>
          <w:sz w:val="18"/>
          <w:szCs w:val="18"/>
        </w:rPr>
        <w:t>Drosophila</w:t>
      </w:r>
      <w:r w:rsidRPr="001E4AB3">
        <w:rPr>
          <w:sz w:val="18"/>
          <w:szCs w:val="18"/>
        </w:rPr>
        <w:t>’s heredity. It is also likely that an initial problem is re-formulated in new terms.</w:t>
      </w:r>
    </w:p>
  </w:footnote>
  <w:footnote w:id="25">
    <w:p w14:paraId="6B7912E6" w14:textId="45FC5E11" w:rsidR="00FE3D9D" w:rsidRPr="004A1A3A" w:rsidRDefault="00FE3D9D" w:rsidP="004A1A3A">
      <w:pPr>
        <w:pStyle w:val="FootnoteText"/>
        <w:spacing w:after="0" w:line="0" w:lineRule="atLeast"/>
        <w:rPr>
          <w:lang w:val="en-US"/>
        </w:rPr>
      </w:pPr>
      <w:r w:rsidRPr="00330659">
        <w:rPr>
          <w:rStyle w:val="FootnoteReference"/>
        </w:rPr>
        <w:footnoteRef/>
      </w:r>
      <w:r w:rsidRPr="004A1A3A">
        <w:t xml:space="preserve"> </w:t>
      </w:r>
      <w:r w:rsidRPr="004A1A3A">
        <w:rPr>
          <w:rFonts w:cs="Times New Roman"/>
        </w:rPr>
        <w:t>It is worth noting that correspondence is a weaker notion than determination. Mendel never used the notion of determination,</w:t>
      </w:r>
      <w:r>
        <w:rPr>
          <w:rFonts w:cs="Times New Roman"/>
        </w:rPr>
        <w:t xml:space="preserve"> or causation in MH3</w:t>
      </w:r>
      <w:r w:rsidRPr="004A1A3A">
        <w:rPr>
          <w:rFonts w:cs="Times New Roman"/>
        </w:rPr>
        <w:t>.</w:t>
      </w:r>
    </w:p>
  </w:footnote>
  <w:footnote w:id="26">
    <w:p w14:paraId="15E816CF" w14:textId="0548D391" w:rsidR="00FE3D9D" w:rsidRPr="00EA6B66" w:rsidRDefault="00FE3D9D" w:rsidP="008110F6">
      <w:pPr>
        <w:pStyle w:val="FootnoteText"/>
        <w:spacing w:after="0" w:line="0" w:lineRule="atLeast"/>
        <w:rPr>
          <w:lang w:val="en-US"/>
        </w:rPr>
      </w:pPr>
      <w:r w:rsidRPr="00330659">
        <w:rPr>
          <w:rStyle w:val="FootnoteReference"/>
        </w:rPr>
        <w:footnoteRef/>
      </w:r>
      <w:r w:rsidRPr="00EA6B66">
        <w:t xml:space="preserve"> </w:t>
      </w:r>
      <w:r w:rsidRPr="00EA6B66">
        <w:rPr>
          <w:rFonts w:cs="Times New Roman"/>
        </w:rPr>
        <w:t xml:space="preserve">I have to emphasise that the origin of genetics from Mendel to </w:t>
      </w:r>
      <w:r>
        <w:rPr>
          <w:rFonts w:cs="Times New Roman"/>
        </w:rPr>
        <w:t>Bateson discussed in this paper</w:t>
      </w:r>
      <w:r w:rsidRPr="00EA6B66">
        <w:rPr>
          <w:rFonts w:cs="Times New Roman"/>
        </w:rPr>
        <w:t xml:space="preserve"> is definitely not a complete and comprehensive picture of the origin of genetics. As the title of Olby’s book </w:t>
      </w:r>
      <w:r w:rsidRPr="00EA6B66">
        <w:rPr>
          <w:rFonts w:cs="Times New Roman"/>
          <w:i/>
        </w:rPr>
        <w:t>Origins of Mendelism</w:t>
      </w:r>
      <w:r w:rsidRPr="00EA6B66">
        <w:rPr>
          <w:rFonts w:cs="Times New Roman"/>
        </w:rPr>
        <w:t xml:space="preserve"> has suggested, there are multiple origins of genetics. What I focus on here is only one path to genetics. More precisely speaking, my task is to explore a new </w:t>
      </w:r>
      <w:r>
        <w:rPr>
          <w:rFonts w:cs="Times New Roman"/>
        </w:rPr>
        <w:t>exemplar-based</w:t>
      </w:r>
      <w:r w:rsidRPr="00EA6B66">
        <w:rPr>
          <w:rFonts w:cs="Times New Roman"/>
        </w:rPr>
        <w:t xml:space="preserve"> way to analyse and understand the development from Mendel’s </w:t>
      </w:r>
      <w:r w:rsidRPr="00EA6B66">
        <w:rPr>
          <w:rFonts w:cs="Times New Roman"/>
        </w:rPr>
        <w:fldChar w:fldCharType="begin" w:fldLock="1"/>
      </w:r>
      <w:r>
        <w:rPr>
          <w:rFonts w:cs="Times New Roman"/>
        </w:rPr>
        <w:instrText>ADDIN CSL_CITATION { "citationItems" : [ { "id" : "ITEM-1", "itemData" : { "author" : [ { "dropping-particle" : "", "family" : "Mendel", "given" : "Gregor", "non-dropping-particle" : "", "parse-names" : false, "suffix" : "" } ], "container-title" : "Verhandlungen des naturforschenden Vereins Br\u00fcnn", "id" : "ITEM-1", "issue" : "Abhandlungen", "issued" : { "date-parts" : [ [ "1865" ] ] }, "page" : "3-47", "title" : "Versuche \u00fcber Pflanzenhybriden", "type" : "article-journal", "volume" : "4" }, "suppress-author" : 1, "uris" : [ "http://www.mendeley.com/documents/?uuid=a796b0d2-78b0-491c-bdd8-7a4305c2b64e", "http://www.mendeley.com/documents/?uuid=74859f55-9d87-475a-a535-be0a89ffdfe8" ] } ], "mendeley" : { "formattedCitation" : "(1865)", "plainTextFormattedCitation" : "(1865)", "previouslyFormattedCitation" : "(1865)" }, "properties" : { "noteIndex" : 0 }, "schema" : "https://github.com/citation-style-language/schema/raw/master/csl-citation.json" }</w:instrText>
      </w:r>
      <w:r w:rsidRPr="00EA6B66">
        <w:rPr>
          <w:rFonts w:cs="Times New Roman"/>
        </w:rPr>
        <w:fldChar w:fldCharType="separate"/>
      </w:r>
      <w:r w:rsidRPr="00D23ACB">
        <w:rPr>
          <w:rFonts w:cs="Times New Roman"/>
          <w:noProof/>
        </w:rPr>
        <w:t>(1865)</w:t>
      </w:r>
      <w:r w:rsidRPr="00EA6B66">
        <w:rPr>
          <w:rFonts w:cs="Times New Roman"/>
        </w:rPr>
        <w:fldChar w:fldCharType="end"/>
      </w:r>
      <w:r w:rsidRPr="00EA6B66">
        <w:rPr>
          <w:rFonts w:cs="Times New Roman"/>
        </w:rPr>
        <w:t xml:space="preserve">, de Vries’ </w:t>
      </w:r>
      <w:r w:rsidRPr="00EA6B66">
        <w:rPr>
          <w:rFonts w:cs="Times New Roman"/>
        </w:rPr>
        <w:fldChar w:fldCharType="begin" w:fldLock="1"/>
      </w:r>
      <w:r>
        <w:rPr>
          <w:rFonts w:cs="Times New Roman"/>
        </w:rPr>
        <w:instrText>ADDIN CSL_CITATION { "citationItems" : [ { "id" : "ITEM-1", "itemData" : { "author" : [ { "dropping-particle" : "", "family" : "Vries", "given" : "Hugo", "non-dropping-particle" : "de", "parse-names" : false, "suffix" : "" } ], "container-title" : "Comptes Rendus de I'Academie des Sciences (Paris)", "id" : "ITEM-1", "issued" : { "date-parts" : [ [ "1900" ] ] }, "page" : "845-847", "title" : "Sur la loi de disjonction des hybrides", "type" : "article-journal", "volume" : "130" }, "suppress-author" : 1, "uris" : [ "http://www.mendeley.com/documents/?uuid=7b34e3c2-bfb8-4e3f-9262-716281bf9128", "http://www.mendeley.com/documents/?uuid=67179d6f-80a2-4b1b-b889-2be9f5ce5122" ] }, { "id" : "ITEM-2", "itemData" : { "author" : [ { "dropping-particle" : "", "family" : "Vries", "given" : "Hugo", "non-dropping-particle" : "de", "parse-names" : false, "suffix" : "" } ], "container-title" : "Berichte der deutschen botanischen Gesellschaft", "id" : "ITEM-2", "issue" : "3", "issued" : { "date-parts" : [ [ "1900" ] ] }, "page" : "83-90", "title" : "Das Spaltungsgesetz der Bastarde (Vorlaufige Mittheilung)", "type" : "article-journal", "volume" : "18" }, "suppress-author" : 1, "uris" : [ "http://www.mendeley.com/documents/?uuid=e91ac8c4-461b-4716-9ddd-32a3dcaaaa3a", "http://www.mendeley.com/documents/?uuid=dce9a4b2-c6ad-4e1d-bbd8-f2cbdb41969e", "http://www.mendeley.com/documents/?uuid=b6145d4c-f4c7-41cd-9813-e1bb8da13c7e" ] }, { "id" : "ITEM-3", "itemData" : { "author" : [ { "dropping-particle" : "", "family" : "Vries", "given" : "Hugo", "non-dropping-particle" : "de", "parse-names" : false, "suffix" : "" } ], "container-title" : "Revue g\u00e9n\u00e9rate de botanique", "id" : "ITEM-3", "issued" : { "date-parts" : [ [ "1900" ] ] }, "page" : "257-271", "title" : "Sur les unit\u00e9s des caract\u00e8res sp\u00e9cifiques et leur application \u00e0 l'\u00e9tude des hybrides", "type" : "article-journal", "volume" : "12" }, "suppress-author" : 1, "uris" : [ "http://www.mendeley.com/documents/?uuid=1c57b81e-823e-4361-9432-f5631f1ed294", "http://www.mendeley.com/documents/?uuid=3032c487-4e50-4900-a112-664716be5b25", "http://www.mendeley.com/documents/?uuid=e4881712-4d27-4d76-bcd9-a549b6618897" ] } ], "mendeley" : { "formattedCitation" : "(1900b; 1900a; 1900c)", "plainTextFormattedCitation" : "(1900b; 1900a; 1900c)", "previouslyFormattedCitation" : "(1900b; 1900a; 1900c)" }, "properties" : { "noteIndex" : 0 }, "schema" : "https://github.com/citation-style-language/schema/raw/master/csl-citation.json" }</w:instrText>
      </w:r>
      <w:r w:rsidRPr="00EA6B66">
        <w:rPr>
          <w:rFonts w:cs="Times New Roman"/>
        </w:rPr>
        <w:fldChar w:fldCharType="separate"/>
      </w:r>
      <w:r w:rsidRPr="00D23ACB">
        <w:rPr>
          <w:rFonts w:cs="Times New Roman"/>
          <w:noProof/>
        </w:rPr>
        <w:t>(1900b; 1900a; 1900c)</w:t>
      </w:r>
      <w:r w:rsidRPr="00EA6B66">
        <w:rPr>
          <w:rFonts w:cs="Times New Roman"/>
        </w:rPr>
        <w:fldChar w:fldCharType="end"/>
      </w:r>
      <w:r w:rsidRPr="00EA6B66">
        <w:rPr>
          <w:rFonts w:cs="Times New Roman"/>
        </w:rPr>
        <w:t xml:space="preserve">, Correns’ </w:t>
      </w:r>
      <w:r w:rsidRPr="00EA6B66">
        <w:rPr>
          <w:rFonts w:cs="Times New Roman"/>
        </w:rPr>
        <w:fldChar w:fldCharType="begin" w:fldLock="1"/>
      </w:r>
      <w:r w:rsidRPr="00EA6B66">
        <w:rPr>
          <w:rFonts w:cs="Times New Roman"/>
        </w:rPr>
        <w:instrText>ADDIN CSL_CITATION { "citationItems" : [ { "id" : "ITEM-1", "itemData" : { "author" : [ { "dropping-particle" : "", "family" : "Correns", "given" : "Carl", "non-dropping-particle" : "", "parse-names" : false, "suffix" : "" } ], "container-title" : "Berichte der deutschen botanischen Gesellschaft", "id" : "ITEM-1", "issue" : "4", "issued" : { "date-parts" : [ [ "1900" ] ] }, "page" : "158-168", "title" : "G. Mendels Regel \u00fcber das Verhalten der Nachkommenschaft der Rassenbastarde", "type" : "article-journal", "volume" : "18" }, "suppress-author" : 1, "uris" : [ "http://www.mendeley.com/documents/?uuid=89740074-5d1b-46fd-8c21-8e63d2f33497", "http://www.mendeley.com/documents/?uuid=c19466c1-9443-4aa1-a583-49df28d390a0" ] } ], "mendeley" : { "formattedCitation" : "(1900)", "plainTextFormattedCitation" : "(1900)", "previouslyFormattedCitation" : "(1900)" }, "properties" : { "noteIndex" : 0 }, "schema" : "https://github.com/citation-style-language/schema/raw/master/csl-citation.json" }</w:instrText>
      </w:r>
      <w:r w:rsidRPr="00EA6B66">
        <w:rPr>
          <w:rFonts w:cs="Times New Roman"/>
        </w:rPr>
        <w:fldChar w:fldCharType="separate"/>
      </w:r>
      <w:r w:rsidRPr="00EA6B66">
        <w:rPr>
          <w:rFonts w:cs="Times New Roman"/>
          <w:noProof/>
        </w:rPr>
        <w:t>(1900)</w:t>
      </w:r>
      <w:r w:rsidRPr="00EA6B66">
        <w:rPr>
          <w:rFonts w:cs="Times New Roman"/>
        </w:rPr>
        <w:fldChar w:fldCharType="end"/>
      </w:r>
      <w:r w:rsidRPr="00EA6B66">
        <w:rPr>
          <w:rFonts w:cs="Times New Roman"/>
        </w:rPr>
        <w:t xml:space="preserve">, Tschermak’s </w:t>
      </w:r>
      <w:r w:rsidRPr="00EA6B66">
        <w:rPr>
          <w:rFonts w:cs="Times New Roman"/>
        </w:rPr>
        <w:fldChar w:fldCharType="begin" w:fldLock="1"/>
      </w:r>
      <w:r>
        <w:rPr>
          <w:rFonts w:cs="Times New Roman"/>
        </w:rPr>
        <w:instrText>ADDIN CSL_CITATION { "citationItems" : [ { "id" : "ITEM-1", "itemData" : { "author" : [ { "dropping-particle" : "von", "family" : "Tschermak", "given" : "Erich", "non-dropping-particle" : "", "parse-names" : false, "suffix" : "" } ], "container-title" : "Berichte der deutschen botanischen Gesellschaft", "id" : "ITEM-1", "issue" : "6", "issued" : { "date-parts" : [ [ "1900" ] ] }, "page" : "232-239", "title" : "\u00dcber k\u00fcnstliche Kreuzung bei Pisum sativum", "type" : "article-journal", "volume" : "18" }, "suppress-author" : 1, "uris" : [ "http://www.mendeley.com/documents/?uuid=35a4c22a-a7d9-44c9-9c6f-1e7081787eda", "http://www.mendeley.com/documents/?uuid=ea10b503-0a1f-4e3d-a72b-c7b17e2de30f" ] }, { "id" : "ITEM-2", "itemData" : { "author" : [ { "dropping-particle" : "von", "family" : "Tschermak", "given" : "Erich", "non-dropping-particle" : "", "parse-names" : false, "suffix" : "" } ], "container-title" : "Zeitschrift f\u00fcr das landwirtschaftliche Versuchswesen in Oesterreich", "id" : "ITEM-2", "issued" : { "date-parts" : [ [ "1900" ] ] }, "page" : "465-555", "title" : "\u00dcber k\u00fcnstliche Kreuzung bei Pisum sativum", "type" : "article-journal", "volume" : "3" }, "suppress-author" : 1, "uris" : [ "http://www.mendeley.com/documents/?uuid=869bf95a-a675-4f3e-9250-47776a264b11", "http://www.mendeley.com/documents/?uuid=f8bde524-2c8a-44e3-9c57-3a10d5b0918d" ] } ], "mendeley" : { "formattedCitation" : "(1900a; 1900b)", "plainTextFormattedCitation" : "(1900a; 1900b)", "previouslyFormattedCitation" : "(1900a; 1900b)" }, "properties" : { "noteIndex" : 0 }, "schema" : "https://github.com/citation-style-language/schema/raw/master/csl-citation.json" }</w:instrText>
      </w:r>
      <w:r w:rsidRPr="00EA6B66">
        <w:rPr>
          <w:rFonts w:cs="Times New Roman"/>
        </w:rPr>
        <w:fldChar w:fldCharType="separate"/>
      </w:r>
      <w:r w:rsidRPr="000D357B">
        <w:rPr>
          <w:rFonts w:cs="Times New Roman"/>
          <w:noProof/>
        </w:rPr>
        <w:t>(1900a; 1900b)</w:t>
      </w:r>
      <w:r w:rsidRPr="00EA6B66">
        <w:rPr>
          <w:rFonts w:cs="Times New Roman"/>
        </w:rPr>
        <w:fldChar w:fldCharType="end"/>
      </w:r>
      <w:r w:rsidRPr="00EA6B66">
        <w:rPr>
          <w:rFonts w:cs="Times New Roman"/>
        </w:rPr>
        <w:t xml:space="preserve"> to Bateson’s work </w:t>
      </w:r>
      <w:r w:rsidRPr="00EA6B66">
        <w:rPr>
          <w:rFonts w:cs="Times New Roman"/>
        </w:rPr>
        <w:fldChar w:fldCharType="begin" w:fldLock="1"/>
      </w:r>
      <w:r>
        <w:rPr>
          <w:rFonts w:cs="Times New Roman"/>
        </w:rPr>
        <w:instrText>ADDIN CSL_CITATION { "citationItems" : [ { "id" : "ITEM-1", "itemData" : { "author" : [ { "dropping-particle" : "", "family" : "Bateson", "given" : "William", "non-dropping-particle" : "", "parse-names" : false, "suffix" : "" } ], "id" : "ITEM-1", "issued" : { "date-parts" : [ [ "1902" ] ] }, "publisher" : "Cambridge University Press", "publisher-place" : "Cambridge", "title" : "Mendel's Principles of Heredity: A Defence", "type" : "book" }, "suppress-author" : 1, "uris" : [ "http://www.mendeley.com/documents/?uuid=14387670-cd79-4b6a-a41d-4d1390f7fa2a", "http://www.mendeley.com/documents/?uuid=fdeaa435-0317-460a-b90a-494d37e9ab1d" ] } ], "mendeley" : { "formattedCitation" : "(1902)", "plainTextFormattedCitation" : "(1902)", "previouslyFormattedCitation" : "(1902)" }, "properties" : { "noteIndex" : 0 }, "schema" : "https://github.com/citation-style-language/schema/raw/master/csl-citation.json" }</w:instrText>
      </w:r>
      <w:r w:rsidRPr="00EA6B66">
        <w:rPr>
          <w:rFonts w:cs="Times New Roman"/>
        </w:rPr>
        <w:fldChar w:fldCharType="separate"/>
      </w:r>
      <w:r w:rsidRPr="00467807">
        <w:rPr>
          <w:rFonts w:cs="Times New Roman"/>
          <w:noProof/>
        </w:rPr>
        <w:t>(1902)</w:t>
      </w:r>
      <w:r w:rsidRPr="00EA6B66">
        <w:rPr>
          <w:rFonts w:cs="Times New Roman"/>
        </w:rPr>
        <w:fldChar w:fldCharType="end"/>
      </w:r>
      <w:r w:rsidRPr="00EA6B66">
        <w:rPr>
          <w:rFonts w:cs="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8CD8" w14:textId="2C71A14E" w:rsidR="00A25497" w:rsidRPr="00A25497" w:rsidRDefault="00A25497" w:rsidP="00A25497">
    <w:pPr>
      <w:pStyle w:val="Header"/>
      <w:jc w:val="right"/>
      <w:rPr>
        <w:i/>
      </w:rPr>
    </w:pPr>
    <w:r>
      <w:t xml:space="preserve">Forthcoming in </w:t>
    </w:r>
    <w:r w:rsidRPr="00A25497">
      <w:rPr>
        <w:i/>
      </w:rPr>
      <w:t>Synthese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CB"/>
    <w:multiLevelType w:val="hybridMultilevel"/>
    <w:tmpl w:val="9EBE8BA0"/>
    <w:lvl w:ilvl="0" w:tplc="FB22F128">
      <w:start w:val="1"/>
      <w:numFmt w:val="bullet"/>
      <w:lvlText w:val="•"/>
      <w:lvlJc w:val="left"/>
      <w:pPr>
        <w:tabs>
          <w:tab w:val="num" w:pos="720"/>
        </w:tabs>
        <w:ind w:left="720" w:hanging="360"/>
      </w:pPr>
      <w:rPr>
        <w:rFonts w:ascii="Arial" w:hAnsi="Arial" w:hint="default"/>
      </w:rPr>
    </w:lvl>
    <w:lvl w:ilvl="1" w:tplc="2A509CE0" w:tentative="1">
      <w:start w:val="1"/>
      <w:numFmt w:val="bullet"/>
      <w:lvlText w:val="•"/>
      <w:lvlJc w:val="left"/>
      <w:pPr>
        <w:tabs>
          <w:tab w:val="num" w:pos="1440"/>
        </w:tabs>
        <w:ind w:left="1440" w:hanging="360"/>
      </w:pPr>
      <w:rPr>
        <w:rFonts w:ascii="Arial" w:hAnsi="Arial" w:hint="default"/>
      </w:rPr>
    </w:lvl>
    <w:lvl w:ilvl="2" w:tplc="B5563258" w:tentative="1">
      <w:start w:val="1"/>
      <w:numFmt w:val="bullet"/>
      <w:lvlText w:val="•"/>
      <w:lvlJc w:val="left"/>
      <w:pPr>
        <w:tabs>
          <w:tab w:val="num" w:pos="2160"/>
        </w:tabs>
        <w:ind w:left="2160" w:hanging="360"/>
      </w:pPr>
      <w:rPr>
        <w:rFonts w:ascii="Arial" w:hAnsi="Arial" w:hint="default"/>
      </w:rPr>
    </w:lvl>
    <w:lvl w:ilvl="3" w:tplc="AC469868" w:tentative="1">
      <w:start w:val="1"/>
      <w:numFmt w:val="bullet"/>
      <w:lvlText w:val="•"/>
      <w:lvlJc w:val="left"/>
      <w:pPr>
        <w:tabs>
          <w:tab w:val="num" w:pos="2880"/>
        </w:tabs>
        <w:ind w:left="2880" w:hanging="360"/>
      </w:pPr>
      <w:rPr>
        <w:rFonts w:ascii="Arial" w:hAnsi="Arial" w:hint="default"/>
      </w:rPr>
    </w:lvl>
    <w:lvl w:ilvl="4" w:tplc="5352E562" w:tentative="1">
      <w:start w:val="1"/>
      <w:numFmt w:val="bullet"/>
      <w:lvlText w:val="•"/>
      <w:lvlJc w:val="left"/>
      <w:pPr>
        <w:tabs>
          <w:tab w:val="num" w:pos="3600"/>
        </w:tabs>
        <w:ind w:left="3600" w:hanging="360"/>
      </w:pPr>
      <w:rPr>
        <w:rFonts w:ascii="Arial" w:hAnsi="Arial" w:hint="default"/>
      </w:rPr>
    </w:lvl>
    <w:lvl w:ilvl="5" w:tplc="962C997A" w:tentative="1">
      <w:start w:val="1"/>
      <w:numFmt w:val="bullet"/>
      <w:lvlText w:val="•"/>
      <w:lvlJc w:val="left"/>
      <w:pPr>
        <w:tabs>
          <w:tab w:val="num" w:pos="4320"/>
        </w:tabs>
        <w:ind w:left="4320" w:hanging="360"/>
      </w:pPr>
      <w:rPr>
        <w:rFonts w:ascii="Arial" w:hAnsi="Arial" w:hint="default"/>
      </w:rPr>
    </w:lvl>
    <w:lvl w:ilvl="6" w:tplc="45E4ACD6" w:tentative="1">
      <w:start w:val="1"/>
      <w:numFmt w:val="bullet"/>
      <w:lvlText w:val="•"/>
      <w:lvlJc w:val="left"/>
      <w:pPr>
        <w:tabs>
          <w:tab w:val="num" w:pos="5040"/>
        </w:tabs>
        <w:ind w:left="5040" w:hanging="360"/>
      </w:pPr>
      <w:rPr>
        <w:rFonts w:ascii="Arial" w:hAnsi="Arial" w:hint="default"/>
      </w:rPr>
    </w:lvl>
    <w:lvl w:ilvl="7" w:tplc="0F407320" w:tentative="1">
      <w:start w:val="1"/>
      <w:numFmt w:val="bullet"/>
      <w:lvlText w:val="•"/>
      <w:lvlJc w:val="left"/>
      <w:pPr>
        <w:tabs>
          <w:tab w:val="num" w:pos="5760"/>
        </w:tabs>
        <w:ind w:left="5760" w:hanging="360"/>
      </w:pPr>
      <w:rPr>
        <w:rFonts w:ascii="Arial" w:hAnsi="Arial" w:hint="default"/>
      </w:rPr>
    </w:lvl>
    <w:lvl w:ilvl="8" w:tplc="F20ECDFA" w:tentative="1">
      <w:start w:val="1"/>
      <w:numFmt w:val="bullet"/>
      <w:lvlText w:val="•"/>
      <w:lvlJc w:val="left"/>
      <w:pPr>
        <w:tabs>
          <w:tab w:val="num" w:pos="6480"/>
        </w:tabs>
        <w:ind w:left="6480" w:hanging="360"/>
      </w:pPr>
      <w:rPr>
        <w:rFonts w:ascii="Arial" w:hAnsi="Arial" w:hint="default"/>
      </w:rPr>
    </w:lvl>
  </w:abstractNum>
  <w:abstractNum w:abstractNumId="1">
    <w:nsid w:val="059B490E"/>
    <w:multiLevelType w:val="hybridMultilevel"/>
    <w:tmpl w:val="A3F2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5378B"/>
    <w:multiLevelType w:val="hybridMultilevel"/>
    <w:tmpl w:val="F9A4BD5A"/>
    <w:lvl w:ilvl="0" w:tplc="E1F076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5F08CB"/>
    <w:multiLevelType w:val="hybridMultilevel"/>
    <w:tmpl w:val="FE8840BE"/>
    <w:lvl w:ilvl="0" w:tplc="9AE26D50">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096F1027"/>
    <w:multiLevelType w:val="hybridMultilevel"/>
    <w:tmpl w:val="B89A83C4"/>
    <w:lvl w:ilvl="0" w:tplc="8FEE0CE4">
      <w:start w:val="1"/>
      <w:numFmt w:val="bullet"/>
      <w:lvlText w:val="•"/>
      <w:lvlJc w:val="left"/>
      <w:pPr>
        <w:tabs>
          <w:tab w:val="num" w:pos="720"/>
        </w:tabs>
        <w:ind w:left="720" w:hanging="360"/>
      </w:pPr>
      <w:rPr>
        <w:rFonts w:ascii="Arial" w:hAnsi="Arial" w:hint="default"/>
      </w:rPr>
    </w:lvl>
    <w:lvl w:ilvl="1" w:tplc="F12A57F0" w:tentative="1">
      <w:start w:val="1"/>
      <w:numFmt w:val="bullet"/>
      <w:lvlText w:val="•"/>
      <w:lvlJc w:val="left"/>
      <w:pPr>
        <w:tabs>
          <w:tab w:val="num" w:pos="1440"/>
        </w:tabs>
        <w:ind w:left="1440" w:hanging="360"/>
      </w:pPr>
      <w:rPr>
        <w:rFonts w:ascii="Arial" w:hAnsi="Arial" w:hint="default"/>
      </w:rPr>
    </w:lvl>
    <w:lvl w:ilvl="2" w:tplc="1166B930" w:tentative="1">
      <w:start w:val="1"/>
      <w:numFmt w:val="bullet"/>
      <w:lvlText w:val="•"/>
      <w:lvlJc w:val="left"/>
      <w:pPr>
        <w:tabs>
          <w:tab w:val="num" w:pos="2160"/>
        </w:tabs>
        <w:ind w:left="2160" w:hanging="360"/>
      </w:pPr>
      <w:rPr>
        <w:rFonts w:ascii="Arial" w:hAnsi="Arial" w:hint="default"/>
      </w:rPr>
    </w:lvl>
    <w:lvl w:ilvl="3" w:tplc="E5D6CF6E" w:tentative="1">
      <w:start w:val="1"/>
      <w:numFmt w:val="bullet"/>
      <w:lvlText w:val="•"/>
      <w:lvlJc w:val="left"/>
      <w:pPr>
        <w:tabs>
          <w:tab w:val="num" w:pos="2880"/>
        </w:tabs>
        <w:ind w:left="2880" w:hanging="360"/>
      </w:pPr>
      <w:rPr>
        <w:rFonts w:ascii="Arial" w:hAnsi="Arial" w:hint="default"/>
      </w:rPr>
    </w:lvl>
    <w:lvl w:ilvl="4" w:tplc="61E028D8" w:tentative="1">
      <w:start w:val="1"/>
      <w:numFmt w:val="bullet"/>
      <w:lvlText w:val="•"/>
      <w:lvlJc w:val="left"/>
      <w:pPr>
        <w:tabs>
          <w:tab w:val="num" w:pos="3600"/>
        </w:tabs>
        <w:ind w:left="3600" w:hanging="360"/>
      </w:pPr>
      <w:rPr>
        <w:rFonts w:ascii="Arial" w:hAnsi="Arial" w:hint="default"/>
      </w:rPr>
    </w:lvl>
    <w:lvl w:ilvl="5" w:tplc="331866EC" w:tentative="1">
      <w:start w:val="1"/>
      <w:numFmt w:val="bullet"/>
      <w:lvlText w:val="•"/>
      <w:lvlJc w:val="left"/>
      <w:pPr>
        <w:tabs>
          <w:tab w:val="num" w:pos="4320"/>
        </w:tabs>
        <w:ind w:left="4320" w:hanging="360"/>
      </w:pPr>
      <w:rPr>
        <w:rFonts w:ascii="Arial" w:hAnsi="Arial" w:hint="default"/>
      </w:rPr>
    </w:lvl>
    <w:lvl w:ilvl="6" w:tplc="E974973A" w:tentative="1">
      <w:start w:val="1"/>
      <w:numFmt w:val="bullet"/>
      <w:lvlText w:val="•"/>
      <w:lvlJc w:val="left"/>
      <w:pPr>
        <w:tabs>
          <w:tab w:val="num" w:pos="5040"/>
        </w:tabs>
        <w:ind w:left="5040" w:hanging="360"/>
      </w:pPr>
      <w:rPr>
        <w:rFonts w:ascii="Arial" w:hAnsi="Arial" w:hint="default"/>
      </w:rPr>
    </w:lvl>
    <w:lvl w:ilvl="7" w:tplc="066A5520" w:tentative="1">
      <w:start w:val="1"/>
      <w:numFmt w:val="bullet"/>
      <w:lvlText w:val="•"/>
      <w:lvlJc w:val="left"/>
      <w:pPr>
        <w:tabs>
          <w:tab w:val="num" w:pos="5760"/>
        </w:tabs>
        <w:ind w:left="5760" w:hanging="360"/>
      </w:pPr>
      <w:rPr>
        <w:rFonts w:ascii="Arial" w:hAnsi="Arial" w:hint="default"/>
      </w:rPr>
    </w:lvl>
    <w:lvl w:ilvl="8" w:tplc="19C01894" w:tentative="1">
      <w:start w:val="1"/>
      <w:numFmt w:val="bullet"/>
      <w:lvlText w:val="•"/>
      <w:lvlJc w:val="left"/>
      <w:pPr>
        <w:tabs>
          <w:tab w:val="num" w:pos="6480"/>
        </w:tabs>
        <w:ind w:left="6480" w:hanging="360"/>
      </w:pPr>
      <w:rPr>
        <w:rFonts w:ascii="Arial" w:hAnsi="Arial" w:hint="default"/>
      </w:rPr>
    </w:lvl>
  </w:abstractNum>
  <w:abstractNum w:abstractNumId="5">
    <w:nsid w:val="15D95679"/>
    <w:multiLevelType w:val="hybridMultilevel"/>
    <w:tmpl w:val="4518105E"/>
    <w:lvl w:ilvl="0" w:tplc="4250571A">
      <w:start w:val="1"/>
      <w:numFmt w:val="bullet"/>
      <w:lvlText w:val="•"/>
      <w:lvlJc w:val="left"/>
      <w:pPr>
        <w:tabs>
          <w:tab w:val="num" w:pos="720"/>
        </w:tabs>
        <w:ind w:left="720" w:hanging="360"/>
      </w:pPr>
      <w:rPr>
        <w:rFonts w:ascii="Arial" w:hAnsi="Arial" w:hint="default"/>
      </w:rPr>
    </w:lvl>
    <w:lvl w:ilvl="1" w:tplc="F94C9C1E" w:tentative="1">
      <w:start w:val="1"/>
      <w:numFmt w:val="bullet"/>
      <w:lvlText w:val="•"/>
      <w:lvlJc w:val="left"/>
      <w:pPr>
        <w:tabs>
          <w:tab w:val="num" w:pos="1440"/>
        </w:tabs>
        <w:ind w:left="1440" w:hanging="360"/>
      </w:pPr>
      <w:rPr>
        <w:rFonts w:ascii="Arial" w:hAnsi="Arial" w:hint="default"/>
      </w:rPr>
    </w:lvl>
    <w:lvl w:ilvl="2" w:tplc="D634125A" w:tentative="1">
      <w:start w:val="1"/>
      <w:numFmt w:val="bullet"/>
      <w:lvlText w:val="•"/>
      <w:lvlJc w:val="left"/>
      <w:pPr>
        <w:tabs>
          <w:tab w:val="num" w:pos="2160"/>
        </w:tabs>
        <w:ind w:left="2160" w:hanging="360"/>
      </w:pPr>
      <w:rPr>
        <w:rFonts w:ascii="Arial" w:hAnsi="Arial" w:hint="default"/>
      </w:rPr>
    </w:lvl>
    <w:lvl w:ilvl="3" w:tplc="7E74A2A0" w:tentative="1">
      <w:start w:val="1"/>
      <w:numFmt w:val="bullet"/>
      <w:lvlText w:val="•"/>
      <w:lvlJc w:val="left"/>
      <w:pPr>
        <w:tabs>
          <w:tab w:val="num" w:pos="2880"/>
        </w:tabs>
        <w:ind w:left="2880" w:hanging="360"/>
      </w:pPr>
      <w:rPr>
        <w:rFonts w:ascii="Arial" w:hAnsi="Arial" w:hint="default"/>
      </w:rPr>
    </w:lvl>
    <w:lvl w:ilvl="4" w:tplc="485A371A" w:tentative="1">
      <w:start w:val="1"/>
      <w:numFmt w:val="bullet"/>
      <w:lvlText w:val="•"/>
      <w:lvlJc w:val="left"/>
      <w:pPr>
        <w:tabs>
          <w:tab w:val="num" w:pos="3600"/>
        </w:tabs>
        <w:ind w:left="3600" w:hanging="360"/>
      </w:pPr>
      <w:rPr>
        <w:rFonts w:ascii="Arial" w:hAnsi="Arial" w:hint="default"/>
      </w:rPr>
    </w:lvl>
    <w:lvl w:ilvl="5" w:tplc="706C7B78" w:tentative="1">
      <w:start w:val="1"/>
      <w:numFmt w:val="bullet"/>
      <w:lvlText w:val="•"/>
      <w:lvlJc w:val="left"/>
      <w:pPr>
        <w:tabs>
          <w:tab w:val="num" w:pos="4320"/>
        </w:tabs>
        <w:ind w:left="4320" w:hanging="360"/>
      </w:pPr>
      <w:rPr>
        <w:rFonts w:ascii="Arial" w:hAnsi="Arial" w:hint="default"/>
      </w:rPr>
    </w:lvl>
    <w:lvl w:ilvl="6" w:tplc="2ABCFB80" w:tentative="1">
      <w:start w:val="1"/>
      <w:numFmt w:val="bullet"/>
      <w:lvlText w:val="•"/>
      <w:lvlJc w:val="left"/>
      <w:pPr>
        <w:tabs>
          <w:tab w:val="num" w:pos="5040"/>
        </w:tabs>
        <w:ind w:left="5040" w:hanging="360"/>
      </w:pPr>
      <w:rPr>
        <w:rFonts w:ascii="Arial" w:hAnsi="Arial" w:hint="default"/>
      </w:rPr>
    </w:lvl>
    <w:lvl w:ilvl="7" w:tplc="11DC835C" w:tentative="1">
      <w:start w:val="1"/>
      <w:numFmt w:val="bullet"/>
      <w:lvlText w:val="•"/>
      <w:lvlJc w:val="left"/>
      <w:pPr>
        <w:tabs>
          <w:tab w:val="num" w:pos="5760"/>
        </w:tabs>
        <w:ind w:left="5760" w:hanging="360"/>
      </w:pPr>
      <w:rPr>
        <w:rFonts w:ascii="Arial" w:hAnsi="Arial" w:hint="default"/>
      </w:rPr>
    </w:lvl>
    <w:lvl w:ilvl="8" w:tplc="DB363CE8" w:tentative="1">
      <w:start w:val="1"/>
      <w:numFmt w:val="bullet"/>
      <w:lvlText w:val="•"/>
      <w:lvlJc w:val="left"/>
      <w:pPr>
        <w:tabs>
          <w:tab w:val="num" w:pos="6480"/>
        </w:tabs>
        <w:ind w:left="6480" w:hanging="360"/>
      </w:pPr>
      <w:rPr>
        <w:rFonts w:ascii="Arial" w:hAnsi="Arial" w:hint="default"/>
      </w:rPr>
    </w:lvl>
  </w:abstractNum>
  <w:abstractNum w:abstractNumId="6">
    <w:nsid w:val="181A5A88"/>
    <w:multiLevelType w:val="hybridMultilevel"/>
    <w:tmpl w:val="B2B0935C"/>
    <w:lvl w:ilvl="0" w:tplc="E1F076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C192960"/>
    <w:multiLevelType w:val="hybridMultilevel"/>
    <w:tmpl w:val="E57E9CFA"/>
    <w:lvl w:ilvl="0" w:tplc="8DD8170A">
      <w:start w:val="1"/>
      <w:numFmt w:val="bullet"/>
      <w:lvlText w:val="•"/>
      <w:lvlJc w:val="left"/>
      <w:pPr>
        <w:tabs>
          <w:tab w:val="num" w:pos="720"/>
        </w:tabs>
        <w:ind w:left="720" w:hanging="360"/>
      </w:pPr>
      <w:rPr>
        <w:rFonts w:ascii="Arial" w:hAnsi="Arial" w:hint="default"/>
      </w:rPr>
    </w:lvl>
    <w:lvl w:ilvl="1" w:tplc="62A6077E" w:tentative="1">
      <w:start w:val="1"/>
      <w:numFmt w:val="bullet"/>
      <w:lvlText w:val="•"/>
      <w:lvlJc w:val="left"/>
      <w:pPr>
        <w:tabs>
          <w:tab w:val="num" w:pos="1440"/>
        </w:tabs>
        <w:ind w:left="1440" w:hanging="360"/>
      </w:pPr>
      <w:rPr>
        <w:rFonts w:ascii="Arial" w:hAnsi="Arial" w:hint="default"/>
      </w:rPr>
    </w:lvl>
    <w:lvl w:ilvl="2" w:tplc="BD2CFB86" w:tentative="1">
      <w:start w:val="1"/>
      <w:numFmt w:val="bullet"/>
      <w:lvlText w:val="•"/>
      <w:lvlJc w:val="left"/>
      <w:pPr>
        <w:tabs>
          <w:tab w:val="num" w:pos="2160"/>
        </w:tabs>
        <w:ind w:left="2160" w:hanging="360"/>
      </w:pPr>
      <w:rPr>
        <w:rFonts w:ascii="Arial" w:hAnsi="Arial" w:hint="default"/>
      </w:rPr>
    </w:lvl>
    <w:lvl w:ilvl="3" w:tplc="E7BCA8D2" w:tentative="1">
      <w:start w:val="1"/>
      <w:numFmt w:val="bullet"/>
      <w:lvlText w:val="•"/>
      <w:lvlJc w:val="left"/>
      <w:pPr>
        <w:tabs>
          <w:tab w:val="num" w:pos="2880"/>
        </w:tabs>
        <w:ind w:left="2880" w:hanging="360"/>
      </w:pPr>
      <w:rPr>
        <w:rFonts w:ascii="Arial" w:hAnsi="Arial" w:hint="default"/>
      </w:rPr>
    </w:lvl>
    <w:lvl w:ilvl="4" w:tplc="0E7E6A06" w:tentative="1">
      <w:start w:val="1"/>
      <w:numFmt w:val="bullet"/>
      <w:lvlText w:val="•"/>
      <w:lvlJc w:val="left"/>
      <w:pPr>
        <w:tabs>
          <w:tab w:val="num" w:pos="3600"/>
        </w:tabs>
        <w:ind w:left="3600" w:hanging="360"/>
      </w:pPr>
      <w:rPr>
        <w:rFonts w:ascii="Arial" w:hAnsi="Arial" w:hint="default"/>
      </w:rPr>
    </w:lvl>
    <w:lvl w:ilvl="5" w:tplc="C19C1410" w:tentative="1">
      <w:start w:val="1"/>
      <w:numFmt w:val="bullet"/>
      <w:lvlText w:val="•"/>
      <w:lvlJc w:val="left"/>
      <w:pPr>
        <w:tabs>
          <w:tab w:val="num" w:pos="4320"/>
        </w:tabs>
        <w:ind w:left="4320" w:hanging="360"/>
      </w:pPr>
      <w:rPr>
        <w:rFonts w:ascii="Arial" w:hAnsi="Arial" w:hint="default"/>
      </w:rPr>
    </w:lvl>
    <w:lvl w:ilvl="6" w:tplc="05F60A08" w:tentative="1">
      <w:start w:val="1"/>
      <w:numFmt w:val="bullet"/>
      <w:lvlText w:val="•"/>
      <w:lvlJc w:val="left"/>
      <w:pPr>
        <w:tabs>
          <w:tab w:val="num" w:pos="5040"/>
        </w:tabs>
        <w:ind w:left="5040" w:hanging="360"/>
      </w:pPr>
      <w:rPr>
        <w:rFonts w:ascii="Arial" w:hAnsi="Arial" w:hint="default"/>
      </w:rPr>
    </w:lvl>
    <w:lvl w:ilvl="7" w:tplc="51A2285E" w:tentative="1">
      <w:start w:val="1"/>
      <w:numFmt w:val="bullet"/>
      <w:lvlText w:val="•"/>
      <w:lvlJc w:val="left"/>
      <w:pPr>
        <w:tabs>
          <w:tab w:val="num" w:pos="5760"/>
        </w:tabs>
        <w:ind w:left="5760" w:hanging="360"/>
      </w:pPr>
      <w:rPr>
        <w:rFonts w:ascii="Arial" w:hAnsi="Arial" w:hint="default"/>
      </w:rPr>
    </w:lvl>
    <w:lvl w:ilvl="8" w:tplc="11B24138" w:tentative="1">
      <w:start w:val="1"/>
      <w:numFmt w:val="bullet"/>
      <w:lvlText w:val="•"/>
      <w:lvlJc w:val="left"/>
      <w:pPr>
        <w:tabs>
          <w:tab w:val="num" w:pos="6480"/>
        </w:tabs>
        <w:ind w:left="6480" w:hanging="360"/>
      </w:pPr>
      <w:rPr>
        <w:rFonts w:ascii="Arial" w:hAnsi="Arial" w:hint="default"/>
      </w:rPr>
    </w:lvl>
  </w:abstractNum>
  <w:abstractNum w:abstractNumId="8">
    <w:nsid w:val="24062CFF"/>
    <w:multiLevelType w:val="hybridMultilevel"/>
    <w:tmpl w:val="C25AA234"/>
    <w:lvl w:ilvl="0" w:tplc="E1F076E2">
      <w:start w:val="1"/>
      <w:numFmt w:val="bullet"/>
      <w:lvlText w:val=""/>
      <w:lvlJc w:val="left"/>
      <w:pPr>
        <w:ind w:left="690" w:hanging="480"/>
      </w:pPr>
      <w:rPr>
        <w:rFonts w:ascii="Symbol" w:hAnsi="Symbol" w:hint="default"/>
        <w:color w:val="auto"/>
      </w:rPr>
    </w:lvl>
    <w:lvl w:ilvl="1" w:tplc="04090003" w:tentative="1">
      <w:start w:val="1"/>
      <w:numFmt w:val="bullet"/>
      <w:lvlText w:val=""/>
      <w:lvlJc w:val="left"/>
      <w:pPr>
        <w:ind w:left="1170" w:hanging="480"/>
      </w:pPr>
      <w:rPr>
        <w:rFonts w:ascii="Wingdings" w:hAnsi="Wingdings" w:hint="default"/>
      </w:rPr>
    </w:lvl>
    <w:lvl w:ilvl="2" w:tplc="04090005"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3" w:tentative="1">
      <w:start w:val="1"/>
      <w:numFmt w:val="bullet"/>
      <w:lvlText w:val=""/>
      <w:lvlJc w:val="left"/>
      <w:pPr>
        <w:ind w:left="2610" w:hanging="480"/>
      </w:pPr>
      <w:rPr>
        <w:rFonts w:ascii="Wingdings" w:hAnsi="Wingdings" w:hint="default"/>
      </w:rPr>
    </w:lvl>
    <w:lvl w:ilvl="5" w:tplc="04090005"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3" w:tentative="1">
      <w:start w:val="1"/>
      <w:numFmt w:val="bullet"/>
      <w:lvlText w:val=""/>
      <w:lvlJc w:val="left"/>
      <w:pPr>
        <w:ind w:left="4050" w:hanging="480"/>
      </w:pPr>
      <w:rPr>
        <w:rFonts w:ascii="Wingdings" w:hAnsi="Wingdings" w:hint="default"/>
      </w:rPr>
    </w:lvl>
    <w:lvl w:ilvl="8" w:tplc="04090005" w:tentative="1">
      <w:start w:val="1"/>
      <w:numFmt w:val="bullet"/>
      <w:lvlText w:val=""/>
      <w:lvlJc w:val="left"/>
      <w:pPr>
        <w:ind w:left="4530" w:hanging="480"/>
      </w:pPr>
      <w:rPr>
        <w:rFonts w:ascii="Wingdings" w:hAnsi="Wingdings" w:hint="default"/>
      </w:rPr>
    </w:lvl>
  </w:abstractNum>
  <w:abstractNum w:abstractNumId="9">
    <w:nsid w:val="249528DB"/>
    <w:multiLevelType w:val="hybridMultilevel"/>
    <w:tmpl w:val="1A8A665A"/>
    <w:lvl w:ilvl="0" w:tplc="4AB8D22A">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32C26D73"/>
    <w:multiLevelType w:val="hybridMultilevel"/>
    <w:tmpl w:val="234EBE72"/>
    <w:lvl w:ilvl="0" w:tplc="AFA615F6">
      <w:start w:val="1"/>
      <w:numFmt w:val="bullet"/>
      <w:lvlText w:val="•"/>
      <w:lvlJc w:val="left"/>
      <w:pPr>
        <w:tabs>
          <w:tab w:val="num" w:pos="720"/>
        </w:tabs>
        <w:ind w:left="720" w:hanging="360"/>
      </w:pPr>
      <w:rPr>
        <w:rFonts w:ascii="Arial" w:hAnsi="Arial" w:hint="default"/>
      </w:rPr>
    </w:lvl>
    <w:lvl w:ilvl="1" w:tplc="DCFE7ECE" w:tentative="1">
      <w:start w:val="1"/>
      <w:numFmt w:val="bullet"/>
      <w:lvlText w:val="•"/>
      <w:lvlJc w:val="left"/>
      <w:pPr>
        <w:tabs>
          <w:tab w:val="num" w:pos="1440"/>
        </w:tabs>
        <w:ind w:left="1440" w:hanging="360"/>
      </w:pPr>
      <w:rPr>
        <w:rFonts w:ascii="Arial" w:hAnsi="Arial" w:hint="default"/>
      </w:rPr>
    </w:lvl>
    <w:lvl w:ilvl="2" w:tplc="16D67424" w:tentative="1">
      <w:start w:val="1"/>
      <w:numFmt w:val="bullet"/>
      <w:lvlText w:val="•"/>
      <w:lvlJc w:val="left"/>
      <w:pPr>
        <w:tabs>
          <w:tab w:val="num" w:pos="2160"/>
        </w:tabs>
        <w:ind w:left="2160" w:hanging="360"/>
      </w:pPr>
      <w:rPr>
        <w:rFonts w:ascii="Arial" w:hAnsi="Arial" w:hint="default"/>
      </w:rPr>
    </w:lvl>
    <w:lvl w:ilvl="3" w:tplc="EE606956" w:tentative="1">
      <w:start w:val="1"/>
      <w:numFmt w:val="bullet"/>
      <w:lvlText w:val="•"/>
      <w:lvlJc w:val="left"/>
      <w:pPr>
        <w:tabs>
          <w:tab w:val="num" w:pos="2880"/>
        </w:tabs>
        <w:ind w:left="2880" w:hanging="360"/>
      </w:pPr>
      <w:rPr>
        <w:rFonts w:ascii="Arial" w:hAnsi="Arial" w:hint="default"/>
      </w:rPr>
    </w:lvl>
    <w:lvl w:ilvl="4" w:tplc="7EF86CFC" w:tentative="1">
      <w:start w:val="1"/>
      <w:numFmt w:val="bullet"/>
      <w:lvlText w:val="•"/>
      <w:lvlJc w:val="left"/>
      <w:pPr>
        <w:tabs>
          <w:tab w:val="num" w:pos="3600"/>
        </w:tabs>
        <w:ind w:left="3600" w:hanging="360"/>
      </w:pPr>
      <w:rPr>
        <w:rFonts w:ascii="Arial" w:hAnsi="Arial" w:hint="default"/>
      </w:rPr>
    </w:lvl>
    <w:lvl w:ilvl="5" w:tplc="890CF6E0" w:tentative="1">
      <w:start w:val="1"/>
      <w:numFmt w:val="bullet"/>
      <w:lvlText w:val="•"/>
      <w:lvlJc w:val="left"/>
      <w:pPr>
        <w:tabs>
          <w:tab w:val="num" w:pos="4320"/>
        </w:tabs>
        <w:ind w:left="4320" w:hanging="360"/>
      </w:pPr>
      <w:rPr>
        <w:rFonts w:ascii="Arial" w:hAnsi="Arial" w:hint="default"/>
      </w:rPr>
    </w:lvl>
    <w:lvl w:ilvl="6" w:tplc="AF445F44" w:tentative="1">
      <w:start w:val="1"/>
      <w:numFmt w:val="bullet"/>
      <w:lvlText w:val="•"/>
      <w:lvlJc w:val="left"/>
      <w:pPr>
        <w:tabs>
          <w:tab w:val="num" w:pos="5040"/>
        </w:tabs>
        <w:ind w:left="5040" w:hanging="360"/>
      </w:pPr>
      <w:rPr>
        <w:rFonts w:ascii="Arial" w:hAnsi="Arial" w:hint="default"/>
      </w:rPr>
    </w:lvl>
    <w:lvl w:ilvl="7" w:tplc="32C8A32A" w:tentative="1">
      <w:start w:val="1"/>
      <w:numFmt w:val="bullet"/>
      <w:lvlText w:val="•"/>
      <w:lvlJc w:val="left"/>
      <w:pPr>
        <w:tabs>
          <w:tab w:val="num" w:pos="5760"/>
        </w:tabs>
        <w:ind w:left="5760" w:hanging="360"/>
      </w:pPr>
      <w:rPr>
        <w:rFonts w:ascii="Arial" w:hAnsi="Arial" w:hint="default"/>
      </w:rPr>
    </w:lvl>
    <w:lvl w:ilvl="8" w:tplc="2EA27212" w:tentative="1">
      <w:start w:val="1"/>
      <w:numFmt w:val="bullet"/>
      <w:lvlText w:val="•"/>
      <w:lvlJc w:val="left"/>
      <w:pPr>
        <w:tabs>
          <w:tab w:val="num" w:pos="6480"/>
        </w:tabs>
        <w:ind w:left="6480" w:hanging="360"/>
      </w:pPr>
      <w:rPr>
        <w:rFonts w:ascii="Arial" w:hAnsi="Arial" w:hint="default"/>
      </w:rPr>
    </w:lvl>
  </w:abstractNum>
  <w:abstractNum w:abstractNumId="11">
    <w:nsid w:val="360477B4"/>
    <w:multiLevelType w:val="hybridMultilevel"/>
    <w:tmpl w:val="B214353A"/>
    <w:lvl w:ilvl="0" w:tplc="E27C5F2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379E7894"/>
    <w:multiLevelType w:val="hybridMultilevel"/>
    <w:tmpl w:val="4DFE6AF4"/>
    <w:lvl w:ilvl="0" w:tplc="8DDA8A04">
      <w:start w:val="1"/>
      <w:numFmt w:val="bullet"/>
      <w:lvlText w:val="•"/>
      <w:lvlJc w:val="left"/>
      <w:pPr>
        <w:tabs>
          <w:tab w:val="num" w:pos="720"/>
        </w:tabs>
        <w:ind w:left="720" w:hanging="360"/>
      </w:pPr>
      <w:rPr>
        <w:rFonts w:ascii="Arial" w:hAnsi="Arial" w:hint="default"/>
      </w:rPr>
    </w:lvl>
    <w:lvl w:ilvl="1" w:tplc="1D4A078A" w:tentative="1">
      <w:start w:val="1"/>
      <w:numFmt w:val="bullet"/>
      <w:lvlText w:val="•"/>
      <w:lvlJc w:val="left"/>
      <w:pPr>
        <w:tabs>
          <w:tab w:val="num" w:pos="1440"/>
        </w:tabs>
        <w:ind w:left="1440" w:hanging="360"/>
      </w:pPr>
      <w:rPr>
        <w:rFonts w:ascii="Arial" w:hAnsi="Arial" w:hint="default"/>
      </w:rPr>
    </w:lvl>
    <w:lvl w:ilvl="2" w:tplc="A8DEC244" w:tentative="1">
      <w:start w:val="1"/>
      <w:numFmt w:val="bullet"/>
      <w:lvlText w:val="•"/>
      <w:lvlJc w:val="left"/>
      <w:pPr>
        <w:tabs>
          <w:tab w:val="num" w:pos="2160"/>
        </w:tabs>
        <w:ind w:left="2160" w:hanging="360"/>
      </w:pPr>
      <w:rPr>
        <w:rFonts w:ascii="Arial" w:hAnsi="Arial" w:hint="default"/>
      </w:rPr>
    </w:lvl>
    <w:lvl w:ilvl="3" w:tplc="5EBCBD2E" w:tentative="1">
      <w:start w:val="1"/>
      <w:numFmt w:val="bullet"/>
      <w:lvlText w:val="•"/>
      <w:lvlJc w:val="left"/>
      <w:pPr>
        <w:tabs>
          <w:tab w:val="num" w:pos="2880"/>
        </w:tabs>
        <w:ind w:left="2880" w:hanging="360"/>
      </w:pPr>
      <w:rPr>
        <w:rFonts w:ascii="Arial" w:hAnsi="Arial" w:hint="default"/>
      </w:rPr>
    </w:lvl>
    <w:lvl w:ilvl="4" w:tplc="0F266218" w:tentative="1">
      <w:start w:val="1"/>
      <w:numFmt w:val="bullet"/>
      <w:lvlText w:val="•"/>
      <w:lvlJc w:val="left"/>
      <w:pPr>
        <w:tabs>
          <w:tab w:val="num" w:pos="3600"/>
        </w:tabs>
        <w:ind w:left="3600" w:hanging="360"/>
      </w:pPr>
      <w:rPr>
        <w:rFonts w:ascii="Arial" w:hAnsi="Arial" w:hint="default"/>
      </w:rPr>
    </w:lvl>
    <w:lvl w:ilvl="5" w:tplc="CCCC4020" w:tentative="1">
      <w:start w:val="1"/>
      <w:numFmt w:val="bullet"/>
      <w:lvlText w:val="•"/>
      <w:lvlJc w:val="left"/>
      <w:pPr>
        <w:tabs>
          <w:tab w:val="num" w:pos="4320"/>
        </w:tabs>
        <w:ind w:left="4320" w:hanging="360"/>
      </w:pPr>
      <w:rPr>
        <w:rFonts w:ascii="Arial" w:hAnsi="Arial" w:hint="default"/>
      </w:rPr>
    </w:lvl>
    <w:lvl w:ilvl="6" w:tplc="5D32D640" w:tentative="1">
      <w:start w:val="1"/>
      <w:numFmt w:val="bullet"/>
      <w:lvlText w:val="•"/>
      <w:lvlJc w:val="left"/>
      <w:pPr>
        <w:tabs>
          <w:tab w:val="num" w:pos="5040"/>
        </w:tabs>
        <w:ind w:left="5040" w:hanging="360"/>
      </w:pPr>
      <w:rPr>
        <w:rFonts w:ascii="Arial" w:hAnsi="Arial" w:hint="default"/>
      </w:rPr>
    </w:lvl>
    <w:lvl w:ilvl="7" w:tplc="E2883CBE" w:tentative="1">
      <w:start w:val="1"/>
      <w:numFmt w:val="bullet"/>
      <w:lvlText w:val="•"/>
      <w:lvlJc w:val="left"/>
      <w:pPr>
        <w:tabs>
          <w:tab w:val="num" w:pos="5760"/>
        </w:tabs>
        <w:ind w:left="5760" w:hanging="360"/>
      </w:pPr>
      <w:rPr>
        <w:rFonts w:ascii="Arial" w:hAnsi="Arial" w:hint="default"/>
      </w:rPr>
    </w:lvl>
    <w:lvl w:ilvl="8" w:tplc="C5D63846" w:tentative="1">
      <w:start w:val="1"/>
      <w:numFmt w:val="bullet"/>
      <w:lvlText w:val="•"/>
      <w:lvlJc w:val="left"/>
      <w:pPr>
        <w:tabs>
          <w:tab w:val="num" w:pos="6480"/>
        </w:tabs>
        <w:ind w:left="6480" w:hanging="360"/>
      </w:pPr>
      <w:rPr>
        <w:rFonts w:ascii="Arial" w:hAnsi="Arial" w:hint="default"/>
      </w:rPr>
    </w:lvl>
  </w:abstractNum>
  <w:abstractNum w:abstractNumId="13">
    <w:nsid w:val="389E56FC"/>
    <w:multiLevelType w:val="hybridMultilevel"/>
    <w:tmpl w:val="553C6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98167A"/>
    <w:multiLevelType w:val="hybridMultilevel"/>
    <w:tmpl w:val="0484B214"/>
    <w:lvl w:ilvl="0" w:tplc="370E65B2">
      <w:start w:val="1"/>
      <w:numFmt w:val="bullet"/>
      <w:lvlText w:val="•"/>
      <w:lvlJc w:val="left"/>
      <w:pPr>
        <w:tabs>
          <w:tab w:val="num" w:pos="720"/>
        </w:tabs>
        <w:ind w:left="720" w:hanging="360"/>
      </w:pPr>
      <w:rPr>
        <w:rFonts w:ascii="Arial" w:hAnsi="Arial" w:hint="default"/>
      </w:rPr>
    </w:lvl>
    <w:lvl w:ilvl="1" w:tplc="FE327616" w:tentative="1">
      <w:start w:val="1"/>
      <w:numFmt w:val="bullet"/>
      <w:lvlText w:val="•"/>
      <w:lvlJc w:val="left"/>
      <w:pPr>
        <w:tabs>
          <w:tab w:val="num" w:pos="1440"/>
        </w:tabs>
        <w:ind w:left="1440" w:hanging="360"/>
      </w:pPr>
      <w:rPr>
        <w:rFonts w:ascii="Arial" w:hAnsi="Arial" w:hint="default"/>
      </w:rPr>
    </w:lvl>
    <w:lvl w:ilvl="2" w:tplc="C7220290" w:tentative="1">
      <w:start w:val="1"/>
      <w:numFmt w:val="bullet"/>
      <w:lvlText w:val="•"/>
      <w:lvlJc w:val="left"/>
      <w:pPr>
        <w:tabs>
          <w:tab w:val="num" w:pos="2160"/>
        </w:tabs>
        <w:ind w:left="2160" w:hanging="360"/>
      </w:pPr>
      <w:rPr>
        <w:rFonts w:ascii="Arial" w:hAnsi="Arial" w:hint="default"/>
      </w:rPr>
    </w:lvl>
    <w:lvl w:ilvl="3" w:tplc="B2249ECA" w:tentative="1">
      <w:start w:val="1"/>
      <w:numFmt w:val="bullet"/>
      <w:lvlText w:val="•"/>
      <w:lvlJc w:val="left"/>
      <w:pPr>
        <w:tabs>
          <w:tab w:val="num" w:pos="2880"/>
        </w:tabs>
        <w:ind w:left="2880" w:hanging="360"/>
      </w:pPr>
      <w:rPr>
        <w:rFonts w:ascii="Arial" w:hAnsi="Arial" w:hint="default"/>
      </w:rPr>
    </w:lvl>
    <w:lvl w:ilvl="4" w:tplc="5BF404A4" w:tentative="1">
      <w:start w:val="1"/>
      <w:numFmt w:val="bullet"/>
      <w:lvlText w:val="•"/>
      <w:lvlJc w:val="left"/>
      <w:pPr>
        <w:tabs>
          <w:tab w:val="num" w:pos="3600"/>
        </w:tabs>
        <w:ind w:left="3600" w:hanging="360"/>
      </w:pPr>
      <w:rPr>
        <w:rFonts w:ascii="Arial" w:hAnsi="Arial" w:hint="default"/>
      </w:rPr>
    </w:lvl>
    <w:lvl w:ilvl="5" w:tplc="75B2C00A" w:tentative="1">
      <w:start w:val="1"/>
      <w:numFmt w:val="bullet"/>
      <w:lvlText w:val="•"/>
      <w:lvlJc w:val="left"/>
      <w:pPr>
        <w:tabs>
          <w:tab w:val="num" w:pos="4320"/>
        </w:tabs>
        <w:ind w:left="4320" w:hanging="360"/>
      </w:pPr>
      <w:rPr>
        <w:rFonts w:ascii="Arial" w:hAnsi="Arial" w:hint="default"/>
      </w:rPr>
    </w:lvl>
    <w:lvl w:ilvl="6" w:tplc="B13CEB08" w:tentative="1">
      <w:start w:val="1"/>
      <w:numFmt w:val="bullet"/>
      <w:lvlText w:val="•"/>
      <w:lvlJc w:val="left"/>
      <w:pPr>
        <w:tabs>
          <w:tab w:val="num" w:pos="5040"/>
        </w:tabs>
        <w:ind w:left="5040" w:hanging="360"/>
      </w:pPr>
      <w:rPr>
        <w:rFonts w:ascii="Arial" w:hAnsi="Arial" w:hint="default"/>
      </w:rPr>
    </w:lvl>
    <w:lvl w:ilvl="7" w:tplc="182CC28A" w:tentative="1">
      <w:start w:val="1"/>
      <w:numFmt w:val="bullet"/>
      <w:lvlText w:val="•"/>
      <w:lvlJc w:val="left"/>
      <w:pPr>
        <w:tabs>
          <w:tab w:val="num" w:pos="5760"/>
        </w:tabs>
        <w:ind w:left="5760" w:hanging="360"/>
      </w:pPr>
      <w:rPr>
        <w:rFonts w:ascii="Arial" w:hAnsi="Arial" w:hint="default"/>
      </w:rPr>
    </w:lvl>
    <w:lvl w:ilvl="8" w:tplc="D64E109C" w:tentative="1">
      <w:start w:val="1"/>
      <w:numFmt w:val="bullet"/>
      <w:lvlText w:val="•"/>
      <w:lvlJc w:val="left"/>
      <w:pPr>
        <w:tabs>
          <w:tab w:val="num" w:pos="6480"/>
        </w:tabs>
        <w:ind w:left="6480" w:hanging="360"/>
      </w:pPr>
      <w:rPr>
        <w:rFonts w:ascii="Arial" w:hAnsi="Arial" w:hint="default"/>
      </w:rPr>
    </w:lvl>
  </w:abstractNum>
  <w:abstractNum w:abstractNumId="15">
    <w:nsid w:val="3F3F1C19"/>
    <w:multiLevelType w:val="hybridMultilevel"/>
    <w:tmpl w:val="B0EA744C"/>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950D6A"/>
    <w:multiLevelType w:val="hybridMultilevel"/>
    <w:tmpl w:val="EA1485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9480F"/>
    <w:multiLevelType w:val="hybridMultilevel"/>
    <w:tmpl w:val="4C2219B0"/>
    <w:lvl w:ilvl="0" w:tplc="D076F3CC">
      <w:start w:val="1"/>
      <w:numFmt w:val="bullet"/>
      <w:lvlText w:val="o"/>
      <w:lvlJc w:val="left"/>
      <w:pPr>
        <w:tabs>
          <w:tab w:val="num" w:pos="720"/>
        </w:tabs>
        <w:ind w:left="720" w:hanging="360"/>
      </w:pPr>
      <w:rPr>
        <w:rFonts w:ascii="Courier New" w:hAnsi="Courier New" w:hint="default"/>
      </w:rPr>
    </w:lvl>
    <w:lvl w:ilvl="1" w:tplc="64EADE60" w:tentative="1">
      <w:start w:val="1"/>
      <w:numFmt w:val="bullet"/>
      <w:lvlText w:val="o"/>
      <w:lvlJc w:val="left"/>
      <w:pPr>
        <w:tabs>
          <w:tab w:val="num" w:pos="1440"/>
        </w:tabs>
        <w:ind w:left="1440" w:hanging="360"/>
      </w:pPr>
      <w:rPr>
        <w:rFonts w:ascii="Courier New" w:hAnsi="Courier New" w:hint="default"/>
      </w:rPr>
    </w:lvl>
    <w:lvl w:ilvl="2" w:tplc="B6627EFC" w:tentative="1">
      <w:start w:val="1"/>
      <w:numFmt w:val="bullet"/>
      <w:lvlText w:val="o"/>
      <w:lvlJc w:val="left"/>
      <w:pPr>
        <w:tabs>
          <w:tab w:val="num" w:pos="2160"/>
        </w:tabs>
        <w:ind w:left="2160" w:hanging="360"/>
      </w:pPr>
      <w:rPr>
        <w:rFonts w:ascii="Courier New" w:hAnsi="Courier New" w:hint="default"/>
      </w:rPr>
    </w:lvl>
    <w:lvl w:ilvl="3" w:tplc="011040A8" w:tentative="1">
      <w:start w:val="1"/>
      <w:numFmt w:val="bullet"/>
      <w:lvlText w:val="o"/>
      <w:lvlJc w:val="left"/>
      <w:pPr>
        <w:tabs>
          <w:tab w:val="num" w:pos="2880"/>
        </w:tabs>
        <w:ind w:left="2880" w:hanging="360"/>
      </w:pPr>
      <w:rPr>
        <w:rFonts w:ascii="Courier New" w:hAnsi="Courier New" w:hint="default"/>
      </w:rPr>
    </w:lvl>
    <w:lvl w:ilvl="4" w:tplc="E580E684" w:tentative="1">
      <w:start w:val="1"/>
      <w:numFmt w:val="bullet"/>
      <w:lvlText w:val="o"/>
      <w:lvlJc w:val="left"/>
      <w:pPr>
        <w:tabs>
          <w:tab w:val="num" w:pos="3600"/>
        </w:tabs>
        <w:ind w:left="3600" w:hanging="360"/>
      </w:pPr>
      <w:rPr>
        <w:rFonts w:ascii="Courier New" w:hAnsi="Courier New" w:hint="default"/>
      </w:rPr>
    </w:lvl>
    <w:lvl w:ilvl="5" w:tplc="1C741454" w:tentative="1">
      <w:start w:val="1"/>
      <w:numFmt w:val="bullet"/>
      <w:lvlText w:val="o"/>
      <w:lvlJc w:val="left"/>
      <w:pPr>
        <w:tabs>
          <w:tab w:val="num" w:pos="4320"/>
        </w:tabs>
        <w:ind w:left="4320" w:hanging="360"/>
      </w:pPr>
      <w:rPr>
        <w:rFonts w:ascii="Courier New" w:hAnsi="Courier New" w:hint="default"/>
      </w:rPr>
    </w:lvl>
    <w:lvl w:ilvl="6" w:tplc="4964103E" w:tentative="1">
      <w:start w:val="1"/>
      <w:numFmt w:val="bullet"/>
      <w:lvlText w:val="o"/>
      <w:lvlJc w:val="left"/>
      <w:pPr>
        <w:tabs>
          <w:tab w:val="num" w:pos="5040"/>
        </w:tabs>
        <w:ind w:left="5040" w:hanging="360"/>
      </w:pPr>
      <w:rPr>
        <w:rFonts w:ascii="Courier New" w:hAnsi="Courier New" w:hint="default"/>
      </w:rPr>
    </w:lvl>
    <w:lvl w:ilvl="7" w:tplc="71C4C8DA" w:tentative="1">
      <w:start w:val="1"/>
      <w:numFmt w:val="bullet"/>
      <w:lvlText w:val="o"/>
      <w:lvlJc w:val="left"/>
      <w:pPr>
        <w:tabs>
          <w:tab w:val="num" w:pos="5760"/>
        </w:tabs>
        <w:ind w:left="5760" w:hanging="360"/>
      </w:pPr>
      <w:rPr>
        <w:rFonts w:ascii="Courier New" w:hAnsi="Courier New" w:hint="default"/>
      </w:rPr>
    </w:lvl>
    <w:lvl w:ilvl="8" w:tplc="F86AA7B0" w:tentative="1">
      <w:start w:val="1"/>
      <w:numFmt w:val="bullet"/>
      <w:lvlText w:val="o"/>
      <w:lvlJc w:val="left"/>
      <w:pPr>
        <w:tabs>
          <w:tab w:val="num" w:pos="6480"/>
        </w:tabs>
        <w:ind w:left="6480" w:hanging="360"/>
      </w:pPr>
      <w:rPr>
        <w:rFonts w:ascii="Courier New" w:hAnsi="Courier New" w:hint="default"/>
      </w:rPr>
    </w:lvl>
  </w:abstractNum>
  <w:abstractNum w:abstractNumId="18">
    <w:nsid w:val="56966F64"/>
    <w:multiLevelType w:val="hybridMultilevel"/>
    <w:tmpl w:val="226265C0"/>
    <w:lvl w:ilvl="0" w:tplc="7690F878">
      <w:start w:val="1"/>
      <w:numFmt w:val="decimal"/>
      <w:lvlText w:val="%1)"/>
      <w:lvlJc w:val="left"/>
      <w:pPr>
        <w:ind w:left="1080" w:hanging="360"/>
      </w:pPr>
      <w:rPr>
        <w:rFonts w:hint="default"/>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num w:numId="1">
    <w:abstractNumId w:val="14"/>
  </w:num>
  <w:num w:numId="2">
    <w:abstractNumId w:val="7"/>
  </w:num>
  <w:num w:numId="3">
    <w:abstractNumId w:val="0"/>
  </w:num>
  <w:num w:numId="4">
    <w:abstractNumId w:val="10"/>
  </w:num>
  <w:num w:numId="5">
    <w:abstractNumId w:val="12"/>
  </w:num>
  <w:num w:numId="6">
    <w:abstractNumId w:val="4"/>
  </w:num>
  <w:num w:numId="7">
    <w:abstractNumId w:val="17"/>
  </w:num>
  <w:num w:numId="8">
    <w:abstractNumId w:val="5"/>
  </w:num>
  <w:num w:numId="9">
    <w:abstractNumId w:val="9"/>
  </w:num>
  <w:num w:numId="10">
    <w:abstractNumId w:val="3"/>
  </w:num>
  <w:num w:numId="11">
    <w:abstractNumId w:val="8"/>
  </w:num>
  <w:num w:numId="12">
    <w:abstractNumId w:val="6"/>
  </w:num>
  <w:num w:numId="13">
    <w:abstractNumId w:val="2"/>
  </w:num>
  <w:num w:numId="14">
    <w:abstractNumId w:val="1"/>
  </w:num>
  <w:num w:numId="15">
    <w:abstractNumId w:val="13"/>
  </w:num>
  <w:num w:numId="16">
    <w:abstractNumId w:val="11"/>
  </w:num>
  <w:num w:numId="17">
    <w:abstractNumId w:val="18"/>
  </w:num>
  <w:num w:numId="18">
    <w:abstractNumId w:val="16"/>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 MacKenzie">
    <w15:presenceInfo w15:providerId="Windows Live" w15:userId="6a46ad935e1dd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FB"/>
    <w:rsid w:val="00001E66"/>
    <w:rsid w:val="00002224"/>
    <w:rsid w:val="00002B35"/>
    <w:rsid w:val="00004DF5"/>
    <w:rsid w:val="00004F70"/>
    <w:rsid w:val="000059E4"/>
    <w:rsid w:val="00005A8B"/>
    <w:rsid w:val="00006CCD"/>
    <w:rsid w:val="00010059"/>
    <w:rsid w:val="0001006C"/>
    <w:rsid w:val="000112B4"/>
    <w:rsid w:val="0001394D"/>
    <w:rsid w:val="00014C31"/>
    <w:rsid w:val="00015095"/>
    <w:rsid w:val="00015367"/>
    <w:rsid w:val="0001636D"/>
    <w:rsid w:val="00016BA2"/>
    <w:rsid w:val="00020A3B"/>
    <w:rsid w:val="00021007"/>
    <w:rsid w:val="00021C8C"/>
    <w:rsid w:val="0002366D"/>
    <w:rsid w:val="000255A0"/>
    <w:rsid w:val="00027575"/>
    <w:rsid w:val="000347A0"/>
    <w:rsid w:val="000378E7"/>
    <w:rsid w:val="000425F8"/>
    <w:rsid w:val="00044E6F"/>
    <w:rsid w:val="000476A4"/>
    <w:rsid w:val="0005073B"/>
    <w:rsid w:val="00052B82"/>
    <w:rsid w:val="00054350"/>
    <w:rsid w:val="0005489A"/>
    <w:rsid w:val="000565C4"/>
    <w:rsid w:val="00061A81"/>
    <w:rsid w:val="00063B83"/>
    <w:rsid w:val="00074492"/>
    <w:rsid w:val="000812FC"/>
    <w:rsid w:val="00082D38"/>
    <w:rsid w:val="0008301D"/>
    <w:rsid w:val="000841A9"/>
    <w:rsid w:val="000854F3"/>
    <w:rsid w:val="00085BE4"/>
    <w:rsid w:val="000862DE"/>
    <w:rsid w:val="0008661E"/>
    <w:rsid w:val="00086DD6"/>
    <w:rsid w:val="0009013C"/>
    <w:rsid w:val="00093993"/>
    <w:rsid w:val="00095226"/>
    <w:rsid w:val="000A369C"/>
    <w:rsid w:val="000A3D78"/>
    <w:rsid w:val="000A5D79"/>
    <w:rsid w:val="000A6677"/>
    <w:rsid w:val="000A6686"/>
    <w:rsid w:val="000A7715"/>
    <w:rsid w:val="000B0A5C"/>
    <w:rsid w:val="000B1749"/>
    <w:rsid w:val="000B608F"/>
    <w:rsid w:val="000B6155"/>
    <w:rsid w:val="000C0166"/>
    <w:rsid w:val="000C0CDD"/>
    <w:rsid w:val="000C1A38"/>
    <w:rsid w:val="000C4273"/>
    <w:rsid w:val="000C69BE"/>
    <w:rsid w:val="000C6F01"/>
    <w:rsid w:val="000C7D0F"/>
    <w:rsid w:val="000D0235"/>
    <w:rsid w:val="000D0DE5"/>
    <w:rsid w:val="000D2F62"/>
    <w:rsid w:val="000D357B"/>
    <w:rsid w:val="000D5A49"/>
    <w:rsid w:val="000D6065"/>
    <w:rsid w:val="000D687B"/>
    <w:rsid w:val="000D6D99"/>
    <w:rsid w:val="000E08CF"/>
    <w:rsid w:val="000E0BBF"/>
    <w:rsid w:val="000E0BF4"/>
    <w:rsid w:val="000E0DC7"/>
    <w:rsid w:val="000E18D9"/>
    <w:rsid w:val="000E26B8"/>
    <w:rsid w:val="000E4AE5"/>
    <w:rsid w:val="000E5AD5"/>
    <w:rsid w:val="000F175D"/>
    <w:rsid w:val="000F4443"/>
    <w:rsid w:val="0010004E"/>
    <w:rsid w:val="00107B35"/>
    <w:rsid w:val="0011021C"/>
    <w:rsid w:val="001110DF"/>
    <w:rsid w:val="0011639F"/>
    <w:rsid w:val="00116837"/>
    <w:rsid w:val="00117DF5"/>
    <w:rsid w:val="00120017"/>
    <w:rsid w:val="0012296B"/>
    <w:rsid w:val="001237C7"/>
    <w:rsid w:val="00124E7A"/>
    <w:rsid w:val="00125AE2"/>
    <w:rsid w:val="00125D86"/>
    <w:rsid w:val="0012774C"/>
    <w:rsid w:val="00130029"/>
    <w:rsid w:val="001309D7"/>
    <w:rsid w:val="00130E42"/>
    <w:rsid w:val="0013187B"/>
    <w:rsid w:val="00132DA3"/>
    <w:rsid w:val="00133626"/>
    <w:rsid w:val="00134D81"/>
    <w:rsid w:val="001354AC"/>
    <w:rsid w:val="00135D4B"/>
    <w:rsid w:val="001374DD"/>
    <w:rsid w:val="001429BE"/>
    <w:rsid w:val="00143CC1"/>
    <w:rsid w:val="001449D8"/>
    <w:rsid w:val="00151D95"/>
    <w:rsid w:val="00154E68"/>
    <w:rsid w:val="00154FF9"/>
    <w:rsid w:val="00157225"/>
    <w:rsid w:val="00161B90"/>
    <w:rsid w:val="00163A91"/>
    <w:rsid w:val="001649CC"/>
    <w:rsid w:val="00165163"/>
    <w:rsid w:val="00166055"/>
    <w:rsid w:val="001759D4"/>
    <w:rsid w:val="001822CA"/>
    <w:rsid w:val="00182E88"/>
    <w:rsid w:val="00184810"/>
    <w:rsid w:val="00186DD1"/>
    <w:rsid w:val="00195009"/>
    <w:rsid w:val="001962E3"/>
    <w:rsid w:val="001A4E22"/>
    <w:rsid w:val="001B3C7A"/>
    <w:rsid w:val="001B4F7A"/>
    <w:rsid w:val="001B6E36"/>
    <w:rsid w:val="001C413D"/>
    <w:rsid w:val="001C52EC"/>
    <w:rsid w:val="001C64AB"/>
    <w:rsid w:val="001D152F"/>
    <w:rsid w:val="001D35AE"/>
    <w:rsid w:val="001D49DC"/>
    <w:rsid w:val="001D71B1"/>
    <w:rsid w:val="001E0FE3"/>
    <w:rsid w:val="001E2329"/>
    <w:rsid w:val="001E3B39"/>
    <w:rsid w:val="001E41D4"/>
    <w:rsid w:val="001E4AB3"/>
    <w:rsid w:val="001E5C78"/>
    <w:rsid w:val="001E6801"/>
    <w:rsid w:val="001E7420"/>
    <w:rsid w:val="001E7561"/>
    <w:rsid w:val="001E7D9C"/>
    <w:rsid w:val="001F348A"/>
    <w:rsid w:val="001F6B2B"/>
    <w:rsid w:val="001F7127"/>
    <w:rsid w:val="00200189"/>
    <w:rsid w:val="00200781"/>
    <w:rsid w:val="002035CB"/>
    <w:rsid w:val="00205570"/>
    <w:rsid w:val="00205580"/>
    <w:rsid w:val="0021324F"/>
    <w:rsid w:val="00213353"/>
    <w:rsid w:val="00216291"/>
    <w:rsid w:val="002178E4"/>
    <w:rsid w:val="002210D4"/>
    <w:rsid w:val="00224970"/>
    <w:rsid w:val="0022506C"/>
    <w:rsid w:val="002255F4"/>
    <w:rsid w:val="00226E56"/>
    <w:rsid w:val="00233D8C"/>
    <w:rsid w:val="00236ED2"/>
    <w:rsid w:val="00240249"/>
    <w:rsid w:val="002458E7"/>
    <w:rsid w:val="0025142A"/>
    <w:rsid w:val="00251A6D"/>
    <w:rsid w:val="002542BA"/>
    <w:rsid w:val="00257DCC"/>
    <w:rsid w:val="00260AFD"/>
    <w:rsid w:val="002610FC"/>
    <w:rsid w:val="00261B91"/>
    <w:rsid w:val="00270152"/>
    <w:rsid w:val="00271FDA"/>
    <w:rsid w:val="002728BE"/>
    <w:rsid w:val="0027563E"/>
    <w:rsid w:val="002769B3"/>
    <w:rsid w:val="00277742"/>
    <w:rsid w:val="0027782D"/>
    <w:rsid w:val="00280704"/>
    <w:rsid w:val="00282776"/>
    <w:rsid w:val="00282C73"/>
    <w:rsid w:val="0028360F"/>
    <w:rsid w:val="00283767"/>
    <w:rsid w:val="002837E8"/>
    <w:rsid w:val="002858C2"/>
    <w:rsid w:val="002918A4"/>
    <w:rsid w:val="002A0593"/>
    <w:rsid w:val="002A5EE2"/>
    <w:rsid w:val="002A63C0"/>
    <w:rsid w:val="002B1C5C"/>
    <w:rsid w:val="002B1D86"/>
    <w:rsid w:val="002B28D4"/>
    <w:rsid w:val="002B3999"/>
    <w:rsid w:val="002C2FBB"/>
    <w:rsid w:val="002C322E"/>
    <w:rsid w:val="002D1248"/>
    <w:rsid w:val="002D4042"/>
    <w:rsid w:val="002D48A7"/>
    <w:rsid w:val="002D4C6C"/>
    <w:rsid w:val="002D6168"/>
    <w:rsid w:val="002D6DC6"/>
    <w:rsid w:val="002E0AD8"/>
    <w:rsid w:val="002E4E35"/>
    <w:rsid w:val="002E5B39"/>
    <w:rsid w:val="002E7516"/>
    <w:rsid w:val="002F07C4"/>
    <w:rsid w:val="002F28CC"/>
    <w:rsid w:val="002F486A"/>
    <w:rsid w:val="002F58A5"/>
    <w:rsid w:val="00302671"/>
    <w:rsid w:val="003034A8"/>
    <w:rsid w:val="00304FB3"/>
    <w:rsid w:val="00307BCD"/>
    <w:rsid w:val="003130A4"/>
    <w:rsid w:val="00325407"/>
    <w:rsid w:val="00326560"/>
    <w:rsid w:val="00330659"/>
    <w:rsid w:val="00331F20"/>
    <w:rsid w:val="0033269F"/>
    <w:rsid w:val="003348A3"/>
    <w:rsid w:val="003352E8"/>
    <w:rsid w:val="00337845"/>
    <w:rsid w:val="00342657"/>
    <w:rsid w:val="003433E2"/>
    <w:rsid w:val="00343EB6"/>
    <w:rsid w:val="0034659B"/>
    <w:rsid w:val="0035502A"/>
    <w:rsid w:val="003561B2"/>
    <w:rsid w:val="00357626"/>
    <w:rsid w:val="00357ADE"/>
    <w:rsid w:val="00362E69"/>
    <w:rsid w:val="0036390C"/>
    <w:rsid w:val="00363E63"/>
    <w:rsid w:val="00367530"/>
    <w:rsid w:val="003679A8"/>
    <w:rsid w:val="003701F1"/>
    <w:rsid w:val="003713C5"/>
    <w:rsid w:val="00372998"/>
    <w:rsid w:val="00372AC5"/>
    <w:rsid w:val="00373401"/>
    <w:rsid w:val="00373A7E"/>
    <w:rsid w:val="00373ADD"/>
    <w:rsid w:val="00375077"/>
    <w:rsid w:val="00375C82"/>
    <w:rsid w:val="00375FCC"/>
    <w:rsid w:val="00384C0A"/>
    <w:rsid w:val="00384DA3"/>
    <w:rsid w:val="00385B84"/>
    <w:rsid w:val="0039263D"/>
    <w:rsid w:val="00392B33"/>
    <w:rsid w:val="00392F99"/>
    <w:rsid w:val="003931AD"/>
    <w:rsid w:val="00393A65"/>
    <w:rsid w:val="00393AC9"/>
    <w:rsid w:val="00397D5B"/>
    <w:rsid w:val="003A1388"/>
    <w:rsid w:val="003A7FE4"/>
    <w:rsid w:val="003B100E"/>
    <w:rsid w:val="003B2B21"/>
    <w:rsid w:val="003B2ED3"/>
    <w:rsid w:val="003B5DE6"/>
    <w:rsid w:val="003B6B35"/>
    <w:rsid w:val="003C1044"/>
    <w:rsid w:val="003C75E9"/>
    <w:rsid w:val="003D2D0F"/>
    <w:rsid w:val="003D2D8E"/>
    <w:rsid w:val="003D2EA5"/>
    <w:rsid w:val="003D3B04"/>
    <w:rsid w:val="003D6B23"/>
    <w:rsid w:val="003D706A"/>
    <w:rsid w:val="003E0040"/>
    <w:rsid w:val="003E3898"/>
    <w:rsid w:val="003E4952"/>
    <w:rsid w:val="003E5BF0"/>
    <w:rsid w:val="003E6084"/>
    <w:rsid w:val="003E7DE7"/>
    <w:rsid w:val="003F1A75"/>
    <w:rsid w:val="003F2BFF"/>
    <w:rsid w:val="00400155"/>
    <w:rsid w:val="0040021D"/>
    <w:rsid w:val="00400397"/>
    <w:rsid w:val="00400856"/>
    <w:rsid w:val="004165FC"/>
    <w:rsid w:val="0042003E"/>
    <w:rsid w:val="00421836"/>
    <w:rsid w:val="00424F36"/>
    <w:rsid w:val="004259B5"/>
    <w:rsid w:val="004326EC"/>
    <w:rsid w:val="00435885"/>
    <w:rsid w:val="00435B7D"/>
    <w:rsid w:val="00436F8C"/>
    <w:rsid w:val="00437945"/>
    <w:rsid w:val="00451558"/>
    <w:rsid w:val="00455D52"/>
    <w:rsid w:val="00457C9A"/>
    <w:rsid w:val="00461B77"/>
    <w:rsid w:val="00461BC8"/>
    <w:rsid w:val="00461C65"/>
    <w:rsid w:val="00463C5D"/>
    <w:rsid w:val="00464764"/>
    <w:rsid w:val="00464B64"/>
    <w:rsid w:val="00465E82"/>
    <w:rsid w:val="0046737A"/>
    <w:rsid w:val="00467807"/>
    <w:rsid w:val="00470782"/>
    <w:rsid w:val="004738E6"/>
    <w:rsid w:val="004756E5"/>
    <w:rsid w:val="0047608A"/>
    <w:rsid w:val="00480C8D"/>
    <w:rsid w:val="00486298"/>
    <w:rsid w:val="00486B95"/>
    <w:rsid w:val="0048744F"/>
    <w:rsid w:val="00490BEB"/>
    <w:rsid w:val="004925D8"/>
    <w:rsid w:val="004927D1"/>
    <w:rsid w:val="00493FF0"/>
    <w:rsid w:val="00496ADC"/>
    <w:rsid w:val="0049766D"/>
    <w:rsid w:val="004A00C2"/>
    <w:rsid w:val="004A1A3A"/>
    <w:rsid w:val="004A32B5"/>
    <w:rsid w:val="004A3DB1"/>
    <w:rsid w:val="004A42A8"/>
    <w:rsid w:val="004A5DE6"/>
    <w:rsid w:val="004A79BA"/>
    <w:rsid w:val="004A7A38"/>
    <w:rsid w:val="004A7EEE"/>
    <w:rsid w:val="004B1A92"/>
    <w:rsid w:val="004B3E42"/>
    <w:rsid w:val="004C0FFB"/>
    <w:rsid w:val="004C76F2"/>
    <w:rsid w:val="004D02F2"/>
    <w:rsid w:val="004D0AA8"/>
    <w:rsid w:val="004D3882"/>
    <w:rsid w:val="004D4EB2"/>
    <w:rsid w:val="004D62FF"/>
    <w:rsid w:val="004D79C9"/>
    <w:rsid w:val="004E02C5"/>
    <w:rsid w:val="004E0438"/>
    <w:rsid w:val="004E7560"/>
    <w:rsid w:val="004F176F"/>
    <w:rsid w:val="004F19CB"/>
    <w:rsid w:val="004F22B7"/>
    <w:rsid w:val="004F57E8"/>
    <w:rsid w:val="005014FE"/>
    <w:rsid w:val="005027F4"/>
    <w:rsid w:val="005071B2"/>
    <w:rsid w:val="005076AC"/>
    <w:rsid w:val="005116A9"/>
    <w:rsid w:val="00514F25"/>
    <w:rsid w:val="00520F51"/>
    <w:rsid w:val="005241CB"/>
    <w:rsid w:val="00524530"/>
    <w:rsid w:val="00524FB2"/>
    <w:rsid w:val="00525649"/>
    <w:rsid w:val="00525D92"/>
    <w:rsid w:val="00526DF2"/>
    <w:rsid w:val="00527517"/>
    <w:rsid w:val="00527915"/>
    <w:rsid w:val="00533F44"/>
    <w:rsid w:val="005411BA"/>
    <w:rsid w:val="005415EF"/>
    <w:rsid w:val="0055034F"/>
    <w:rsid w:val="00553AB4"/>
    <w:rsid w:val="00554296"/>
    <w:rsid w:val="00554811"/>
    <w:rsid w:val="005609C0"/>
    <w:rsid w:val="005618C3"/>
    <w:rsid w:val="00570011"/>
    <w:rsid w:val="00576870"/>
    <w:rsid w:val="005770C9"/>
    <w:rsid w:val="00577B52"/>
    <w:rsid w:val="00581E2F"/>
    <w:rsid w:val="00583B32"/>
    <w:rsid w:val="00583CAF"/>
    <w:rsid w:val="0058544B"/>
    <w:rsid w:val="005865C5"/>
    <w:rsid w:val="0058700A"/>
    <w:rsid w:val="005913AD"/>
    <w:rsid w:val="00593750"/>
    <w:rsid w:val="00594433"/>
    <w:rsid w:val="005944A4"/>
    <w:rsid w:val="005969BF"/>
    <w:rsid w:val="005A0091"/>
    <w:rsid w:val="005A1B0B"/>
    <w:rsid w:val="005A3FFF"/>
    <w:rsid w:val="005A49A5"/>
    <w:rsid w:val="005B2747"/>
    <w:rsid w:val="005B30F5"/>
    <w:rsid w:val="005B3913"/>
    <w:rsid w:val="005B3CE7"/>
    <w:rsid w:val="005B53D0"/>
    <w:rsid w:val="005B54BE"/>
    <w:rsid w:val="005C2CB8"/>
    <w:rsid w:val="005C2EE0"/>
    <w:rsid w:val="005C3027"/>
    <w:rsid w:val="005C4E5C"/>
    <w:rsid w:val="005C6AF9"/>
    <w:rsid w:val="005D1829"/>
    <w:rsid w:val="005D3B2F"/>
    <w:rsid w:val="005D3CC4"/>
    <w:rsid w:val="005D705C"/>
    <w:rsid w:val="005D72F3"/>
    <w:rsid w:val="005E1F57"/>
    <w:rsid w:val="005E334F"/>
    <w:rsid w:val="005E763B"/>
    <w:rsid w:val="005F0AA3"/>
    <w:rsid w:val="005F0B64"/>
    <w:rsid w:val="005F1215"/>
    <w:rsid w:val="005F6852"/>
    <w:rsid w:val="0060642F"/>
    <w:rsid w:val="00606B47"/>
    <w:rsid w:val="00606C48"/>
    <w:rsid w:val="0061146F"/>
    <w:rsid w:val="0061317F"/>
    <w:rsid w:val="00620BE1"/>
    <w:rsid w:val="00624167"/>
    <w:rsid w:val="00624C57"/>
    <w:rsid w:val="006272A0"/>
    <w:rsid w:val="00627831"/>
    <w:rsid w:val="00630675"/>
    <w:rsid w:val="00634401"/>
    <w:rsid w:val="00635C39"/>
    <w:rsid w:val="00637BEA"/>
    <w:rsid w:val="006427C2"/>
    <w:rsid w:val="00643CDB"/>
    <w:rsid w:val="00645D69"/>
    <w:rsid w:val="00645E7F"/>
    <w:rsid w:val="00650165"/>
    <w:rsid w:val="00651823"/>
    <w:rsid w:val="00654A7D"/>
    <w:rsid w:val="00655877"/>
    <w:rsid w:val="00656F15"/>
    <w:rsid w:val="00662649"/>
    <w:rsid w:val="00663971"/>
    <w:rsid w:val="0066522D"/>
    <w:rsid w:val="00666E6E"/>
    <w:rsid w:val="00667B93"/>
    <w:rsid w:val="00671F51"/>
    <w:rsid w:val="0067297B"/>
    <w:rsid w:val="0068248D"/>
    <w:rsid w:val="006841FF"/>
    <w:rsid w:val="006861A0"/>
    <w:rsid w:val="00686F08"/>
    <w:rsid w:val="0069180D"/>
    <w:rsid w:val="006953F8"/>
    <w:rsid w:val="006A0EA8"/>
    <w:rsid w:val="006A511F"/>
    <w:rsid w:val="006A5A38"/>
    <w:rsid w:val="006A5CAE"/>
    <w:rsid w:val="006A5D8C"/>
    <w:rsid w:val="006B1F46"/>
    <w:rsid w:val="006B4E51"/>
    <w:rsid w:val="006B51D6"/>
    <w:rsid w:val="006C4144"/>
    <w:rsid w:val="006C4307"/>
    <w:rsid w:val="006C7DEC"/>
    <w:rsid w:val="006D157F"/>
    <w:rsid w:val="006D188A"/>
    <w:rsid w:val="006E1D1B"/>
    <w:rsid w:val="006E3BFD"/>
    <w:rsid w:val="006E49A8"/>
    <w:rsid w:val="006F220A"/>
    <w:rsid w:val="006F4069"/>
    <w:rsid w:val="006F6512"/>
    <w:rsid w:val="006F760B"/>
    <w:rsid w:val="006F7F18"/>
    <w:rsid w:val="00700D3F"/>
    <w:rsid w:val="007026D2"/>
    <w:rsid w:val="00702CDB"/>
    <w:rsid w:val="007031AB"/>
    <w:rsid w:val="00705811"/>
    <w:rsid w:val="00705A24"/>
    <w:rsid w:val="0070698F"/>
    <w:rsid w:val="00706A8D"/>
    <w:rsid w:val="007136DE"/>
    <w:rsid w:val="00716986"/>
    <w:rsid w:val="00725A72"/>
    <w:rsid w:val="00730324"/>
    <w:rsid w:val="0073059A"/>
    <w:rsid w:val="0073133C"/>
    <w:rsid w:val="0073167D"/>
    <w:rsid w:val="00732473"/>
    <w:rsid w:val="007372C7"/>
    <w:rsid w:val="0074491D"/>
    <w:rsid w:val="00744CCF"/>
    <w:rsid w:val="007534E1"/>
    <w:rsid w:val="00753562"/>
    <w:rsid w:val="007609E1"/>
    <w:rsid w:val="00765A2C"/>
    <w:rsid w:val="007662A8"/>
    <w:rsid w:val="007724CF"/>
    <w:rsid w:val="007726C4"/>
    <w:rsid w:val="00776C45"/>
    <w:rsid w:val="00780BE0"/>
    <w:rsid w:val="00783857"/>
    <w:rsid w:val="00784047"/>
    <w:rsid w:val="00784243"/>
    <w:rsid w:val="00784D07"/>
    <w:rsid w:val="007862BF"/>
    <w:rsid w:val="007865E6"/>
    <w:rsid w:val="00793545"/>
    <w:rsid w:val="007937D0"/>
    <w:rsid w:val="00795C9F"/>
    <w:rsid w:val="00797589"/>
    <w:rsid w:val="007A24D8"/>
    <w:rsid w:val="007A25F2"/>
    <w:rsid w:val="007A5342"/>
    <w:rsid w:val="007A565A"/>
    <w:rsid w:val="007A5F01"/>
    <w:rsid w:val="007A7FB5"/>
    <w:rsid w:val="007B1A9D"/>
    <w:rsid w:val="007B1E1C"/>
    <w:rsid w:val="007B2E98"/>
    <w:rsid w:val="007B6565"/>
    <w:rsid w:val="007C3068"/>
    <w:rsid w:val="007C4F0D"/>
    <w:rsid w:val="007C6430"/>
    <w:rsid w:val="007C7266"/>
    <w:rsid w:val="007C76CE"/>
    <w:rsid w:val="007C7714"/>
    <w:rsid w:val="007C798A"/>
    <w:rsid w:val="007D256A"/>
    <w:rsid w:val="007D2CEE"/>
    <w:rsid w:val="007D4445"/>
    <w:rsid w:val="007D5803"/>
    <w:rsid w:val="007D58E9"/>
    <w:rsid w:val="007D5F5E"/>
    <w:rsid w:val="007E14AB"/>
    <w:rsid w:val="007E2F9E"/>
    <w:rsid w:val="007E4FF9"/>
    <w:rsid w:val="007E6CB9"/>
    <w:rsid w:val="007E7997"/>
    <w:rsid w:val="007F0908"/>
    <w:rsid w:val="007F27C2"/>
    <w:rsid w:val="007F4842"/>
    <w:rsid w:val="007F48BF"/>
    <w:rsid w:val="007F7415"/>
    <w:rsid w:val="0080051A"/>
    <w:rsid w:val="008011D5"/>
    <w:rsid w:val="00801271"/>
    <w:rsid w:val="008110F6"/>
    <w:rsid w:val="00814343"/>
    <w:rsid w:val="0081514A"/>
    <w:rsid w:val="00816769"/>
    <w:rsid w:val="008178B1"/>
    <w:rsid w:val="008212DA"/>
    <w:rsid w:val="008224F8"/>
    <w:rsid w:val="00823A82"/>
    <w:rsid w:val="00823B65"/>
    <w:rsid w:val="00823CB2"/>
    <w:rsid w:val="008275F8"/>
    <w:rsid w:val="00827E1C"/>
    <w:rsid w:val="00832CB0"/>
    <w:rsid w:val="00833E27"/>
    <w:rsid w:val="00834FA5"/>
    <w:rsid w:val="008405B1"/>
    <w:rsid w:val="00841EC4"/>
    <w:rsid w:val="00847D6F"/>
    <w:rsid w:val="0085501C"/>
    <w:rsid w:val="008570D0"/>
    <w:rsid w:val="008573AB"/>
    <w:rsid w:val="00864816"/>
    <w:rsid w:val="00864B90"/>
    <w:rsid w:val="00864BB2"/>
    <w:rsid w:val="00867124"/>
    <w:rsid w:val="00871018"/>
    <w:rsid w:val="0087550B"/>
    <w:rsid w:val="008768F3"/>
    <w:rsid w:val="00892033"/>
    <w:rsid w:val="00896232"/>
    <w:rsid w:val="008A1399"/>
    <w:rsid w:val="008A282A"/>
    <w:rsid w:val="008A3F08"/>
    <w:rsid w:val="008A4773"/>
    <w:rsid w:val="008B09DB"/>
    <w:rsid w:val="008B1592"/>
    <w:rsid w:val="008B3050"/>
    <w:rsid w:val="008B447D"/>
    <w:rsid w:val="008B50E9"/>
    <w:rsid w:val="008B7572"/>
    <w:rsid w:val="008C414C"/>
    <w:rsid w:val="008C43EF"/>
    <w:rsid w:val="008C46BE"/>
    <w:rsid w:val="008C4E2D"/>
    <w:rsid w:val="008D3CF5"/>
    <w:rsid w:val="008D3F41"/>
    <w:rsid w:val="008D5076"/>
    <w:rsid w:val="008D523A"/>
    <w:rsid w:val="008D78D5"/>
    <w:rsid w:val="008E3E2F"/>
    <w:rsid w:val="008E4B7D"/>
    <w:rsid w:val="008F0834"/>
    <w:rsid w:val="008F11DA"/>
    <w:rsid w:val="008F25C3"/>
    <w:rsid w:val="008F2765"/>
    <w:rsid w:val="008F5F8D"/>
    <w:rsid w:val="008F6C3A"/>
    <w:rsid w:val="00900767"/>
    <w:rsid w:val="009012B6"/>
    <w:rsid w:val="009016C0"/>
    <w:rsid w:val="00902645"/>
    <w:rsid w:val="00902BA6"/>
    <w:rsid w:val="00910F73"/>
    <w:rsid w:val="00913365"/>
    <w:rsid w:val="009171EA"/>
    <w:rsid w:val="009178A9"/>
    <w:rsid w:val="00917A0B"/>
    <w:rsid w:val="00921FBD"/>
    <w:rsid w:val="00924450"/>
    <w:rsid w:val="00926083"/>
    <w:rsid w:val="0092758B"/>
    <w:rsid w:val="00931D12"/>
    <w:rsid w:val="0093227E"/>
    <w:rsid w:val="009334FF"/>
    <w:rsid w:val="00933CE6"/>
    <w:rsid w:val="0093435B"/>
    <w:rsid w:val="00940644"/>
    <w:rsid w:val="00943E0D"/>
    <w:rsid w:val="009443C9"/>
    <w:rsid w:val="00946EE7"/>
    <w:rsid w:val="00954182"/>
    <w:rsid w:val="00954DCE"/>
    <w:rsid w:val="009556CB"/>
    <w:rsid w:val="0096167C"/>
    <w:rsid w:val="0096297F"/>
    <w:rsid w:val="009740C2"/>
    <w:rsid w:val="00981F35"/>
    <w:rsid w:val="00982D8F"/>
    <w:rsid w:val="00985403"/>
    <w:rsid w:val="009858ED"/>
    <w:rsid w:val="00990B1A"/>
    <w:rsid w:val="00991BFF"/>
    <w:rsid w:val="009925D6"/>
    <w:rsid w:val="0099285F"/>
    <w:rsid w:val="009A3634"/>
    <w:rsid w:val="009A382F"/>
    <w:rsid w:val="009A415F"/>
    <w:rsid w:val="009A4C68"/>
    <w:rsid w:val="009B0BC8"/>
    <w:rsid w:val="009B2FD2"/>
    <w:rsid w:val="009B355B"/>
    <w:rsid w:val="009B42C2"/>
    <w:rsid w:val="009B48C9"/>
    <w:rsid w:val="009B4ED5"/>
    <w:rsid w:val="009B5D9E"/>
    <w:rsid w:val="009C21F5"/>
    <w:rsid w:val="009C589C"/>
    <w:rsid w:val="009D08D1"/>
    <w:rsid w:val="009D2CB6"/>
    <w:rsid w:val="009D6EAF"/>
    <w:rsid w:val="009E032F"/>
    <w:rsid w:val="009E2181"/>
    <w:rsid w:val="009E274D"/>
    <w:rsid w:val="009E3FE9"/>
    <w:rsid w:val="009E547E"/>
    <w:rsid w:val="009E64C7"/>
    <w:rsid w:val="009E6DAE"/>
    <w:rsid w:val="009F1FCF"/>
    <w:rsid w:val="009F51FE"/>
    <w:rsid w:val="009F7B48"/>
    <w:rsid w:val="00A016D6"/>
    <w:rsid w:val="00A01F31"/>
    <w:rsid w:val="00A04219"/>
    <w:rsid w:val="00A043B5"/>
    <w:rsid w:val="00A05367"/>
    <w:rsid w:val="00A126C5"/>
    <w:rsid w:val="00A12E18"/>
    <w:rsid w:val="00A12F30"/>
    <w:rsid w:val="00A131EC"/>
    <w:rsid w:val="00A1330C"/>
    <w:rsid w:val="00A146DB"/>
    <w:rsid w:val="00A20826"/>
    <w:rsid w:val="00A20CB8"/>
    <w:rsid w:val="00A2186D"/>
    <w:rsid w:val="00A22B2E"/>
    <w:rsid w:val="00A25497"/>
    <w:rsid w:val="00A26C63"/>
    <w:rsid w:val="00A35D46"/>
    <w:rsid w:val="00A37A03"/>
    <w:rsid w:val="00A37BC3"/>
    <w:rsid w:val="00A40A80"/>
    <w:rsid w:val="00A40B9A"/>
    <w:rsid w:val="00A417AF"/>
    <w:rsid w:val="00A41AAD"/>
    <w:rsid w:val="00A465C2"/>
    <w:rsid w:val="00A46C1C"/>
    <w:rsid w:val="00A47F32"/>
    <w:rsid w:val="00A525E2"/>
    <w:rsid w:val="00A537D2"/>
    <w:rsid w:val="00A62A4C"/>
    <w:rsid w:val="00A62E27"/>
    <w:rsid w:val="00A6517D"/>
    <w:rsid w:val="00A65EC1"/>
    <w:rsid w:val="00A71B74"/>
    <w:rsid w:val="00A779BF"/>
    <w:rsid w:val="00A81CA6"/>
    <w:rsid w:val="00A82227"/>
    <w:rsid w:val="00A82B30"/>
    <w:rsid w:val="00A93029"/>
    <w:rsid w:val="00A93814"/>
    <w:rsid w:val="00A93F7B"/>
    <w:rsid w:val="00A9463A"/>
    <w:rsid w:val="00A96586"/>
    <w:rsid w:val="00A96702"/>
    <w:rsid w:val="00A967CF"/>
    <w:rsid w:val="00A973CB"/>
    <w:rsid w:val="00AA1AF9"/>
    <w:rsid w:val="00AA2814"/>
    <w:rsid w:val="00AA51D0"/>
    <w:rsid w:val="00AA6C2E"/>
    <w:rsid w:val="00AB081A"/>
    <w:rsid w:val="00AB1601"/>
    <w:rsid w:val="00AB596E"/>
    <w:rsid w:val="00AB5F81"/>
    <w:rsid w:val="00AB664C"/>
    <w:rsid w:val="00AB6D5C"/>
    <w:rsid w:val="00AC01FB"/>
    <w:rsid w:val="00AC0269"/>
    <w:rsid w:val="00AC3A6E"/>
    <w:rsid w:val="00AC445D"/>
    <w:rsid w:val="00AC70F2"/>
    <w:rsid w:val="00AC7E51"/>
    <w:rsid w:val="00AD0DCE"/>
    <w:rsid w:val="00AD2123"/>
    <w:rsid w:val="00AD24DB"/>
    <w:rsid w:val="00AD3BBA"/>
    <w:rsid w:val="00AD4CE4"/>
    <w:rsid w:val="00AE00D1"/>
    <w:rsid w:val="00AE0D1E"/>
    <w:rsid w:val="00AE2BCD"/>
    <w:rsid w:val="00AF4298"/>
    <w:rsid w:val="00AF613F"/>
    <w:rsid w:val="00B05267"/>
    <w:rsid w:val="00B06C16"/>
    <w:rsid w:val="00B13F25"/>
    <w:rsid w:val="00B15CC2"/>
    <w:rsid w:val="00B16F69"/>
    <w:rsid w:val="00B20594"/>
    <w:rsid w:val="00B20FC4"/>
    <w:rsid w:val="00B219AF"/>
    <w:rsid w:val="00B22BB5"/>
    <w:rsid w:val="00B25E16"/>
    <w:rsid w:val="00B267A7"/>
    <w:rsid w:val="00B26CA9"/>
    <w:rsid w:val="00B30D85"/>
    <w:rsid w:val="00B3279A"/>
    <w:rsid w:val="00B364DC"/>
    <w:rsid w:val="00B36CBB"/>
    <w:rsid w:val="00B3709C"/>
    <w:rsid w:val="00B41301"/>
    <w:rsid w:val="00B4412C"/>
    <w:rsid w:val="00B45E7A"/>
    <w:rsid w:val="00B472F7"/>
    <w:rsid w:val="00B474C5"/>
    <w:rsid w:val="00B47FA0"/>
    <w:rsid w:val="00B506E2"/>
    <w:rsid w:val="00B511BC"/>
    <w:rsid w:val="00B51CF3"/>
    <w:rsid w:val="00B5434A"/>
    <w:rsid w:val="00B55849"/>
    <w:rsid w:val="00B608A9"/>
    <w:rsid w:val="00B649FC"/>
    <w:rsid w:val="00B64DB5"/>
    <w:rsid w:val="00B66AD5"/>
    <w:rsid w:val="00B6773A"/>
    <w:rsid w:val="00B71DBD"/>
    <w:rsid w:val="00B75E31"/>
    <w:rsid w:val="00B808C1"/>
    <w:rsid w:val="00B81B95"/>
    <w:rsid w:val="00B839DA"/>
    <w:rsid w:val="00B854AA"/>
    <w:rsid w:val="00B93687"/>
    <w:rsid w:val="00BA0B9D"/>
    <w:rsid w:val="00BA2EA5"/>
    <w:rsid w:val="00BA3E09"/>
    <w:rsid w:val="00BA4DFF"/>
    <w:rsid w:val="00BA542B"/>
    <w:rsid w:val="00BA60CF"/>
    <w:rsid w:val="00BA722C"/>
    <w:rsid w:val="00BA7AE1"/>
    <w:rsid w:val="00BB2345"/>
    <w:rsid w:val="00BB2823"/>
    <w:rsid w:val="00BB5D78"/>
    <w:rsid w:val="00BB6759"/>
    <w:rsid w:val="00BB73C1"/>
    <w:rsid w:val="00BB7A87"/>
    <w:rsid w:val="00BC034D"/>
    <w:rsid w:val="00BC0359"/>
    <w:rsid w:val="00BC0800"/>
    <w:rsid w:val="00BC57C3"/>
    <w:rsid w:val="00BD3E84"/>
    <w:rsid w:val="00BE0F90"/>
    <w:rsid w:val="00BE11B4"/>
    <w:rsid w:val="00BE1335"/>
    <w:rsid w:val="00BE5374"/>
    <w:rsid w:val="00BE69EC"/>
    <w:rsid w:val="00BE7817"/>
    <w:rsid w:val="00BE78A4"/>
    <w:rsid w:val="00BF7D1D"/>
    <w:rsid w:val="00C001C1"/>
    <w:rsid w:val="00C01861"/>
    <w:rsid w:val="00C0236C"/>
    <w:rsid w:val="00C046D3"/>
    <w:rsid w:val="00C0579D"/>
    <w:rsid w:val="00C1188A"/>
    <w:rsid w:val="00C122EC"/>
    <w:rsid w:val="00C12A09"/>
    <w:rsid w:val="00C216D7"/>
    <w:rsid w:val="00C21A3E"/>
    <w:rsid w:val="00C21EAB"/>
    <w:rsid w:val="00C2234B"/>
    <w:rsid w:val="00C24B3E"/>
    <w:rsid w:val="00C25569"/>
    <w:rsid w:val="00C26CB3"/>
    <w:rsid w:val="00C3009B"/>
    <w:rsid w:val="00C31AB2"/>
    <w:rsid w:val="00C33D2D"/>
    <w:rsid w:val="00C34D9D"/>
    <w:rsid w:val="00C34EC5"/>
    <w:rsid w:val="00C3582D"/>
    <w:rsid w:val="00C37B34"/>
    <w:rsid w:val="00C4371E"/>
    <w:rsid w:val="00C44399"/>
    <w:rsid w:val="00C44543"/>
    <w:rsid w:val="00C46A1F"/>
    <w:rsid w:val="00C46E3F"/>
    <w:rsid w:val="00C50625"/>
    <w:rsid w:val="00C5075C"/>
    <w:rsid w:val="00C56534"/>
    <w:rsid w:val="00C57900"/>
    <w:rsid w:val="00C60055"/>
    <w:rsid w:val="00C60AD7"/>
    <w:rsid w:val="00C64318"/>
    <w:rsid w:val="00C64B4F"/>
    <w:rsid w:val="00C67188"/>
    <w:rsid w:val="00C705ED"/>
    <w:rsid w:val="00C72F4B"/>
    <w:rsid w:val="00C7678A"/>
    <w:rsid w:val="00C76F8C"/>
    <w:rsid w:val="00C801C2"/>
    <w:rsid w:val="00C8142E"/>
    <w:rsid w:val="00C82999"/>
    <w:rsid w:val="00C908D5"/>
    <w:rsid w:val="00C926FA"/>
    <w:rsid w:val="00C92C1A"/>
    <w:rsid w:val="00C935A8"/>
    <w:rsid w:val="00C96D5F"/>
    <w:rsid w:val="00C976D4"/>
    <w:rsid w:val="00CA2ED4"/>
    <w:rsid w:val="00CA32D6"/>
    <w:rsid w:val="00CA3C50"/>
    <w:rsid w:val="00CA59F8"/>
    <w:rsid w:val="00CB177C"/>
    <w:rsid w:val="00CB2089"/>
    <w:rsid w:val="00CB2317"/>
    <w:rsid w:val="00CB24B9"/>
    <w:rsid w:val="00CB286B"/>
    <w:rsid w:val="00CB439F"/>
    <w:rsid w:val="00CB5527"/>
    <w:rsid w:val="00CB6873"/>
    <w:rsid w:val="00CB74E8"/>
    <w:rsid w:val="00CB7543"/>
    <w:rsid w:val="00CC2237"/>
    <w:rsid w:val="00CC3C2E"/>
    <w:rsid w:val="00CC53D5"/>
    <w:rsid w:val="00CC5F64"/>
    <w:rsid w:val="00CC7327"/>
    <w:rsid w:val="00CD03A0"/>
    <w:rsid w:val="00CD1A50"/>
    <w:rsid w:val="00CD2167"/>
    <w:rsid w:val="00CD2D6A"/>
    <w:rsid w:val="00CD4C4B"/>
    <w:rsid w:val="00CD5705"/>
    <w:rsid w:val="00CD70A3"/>
    <w:rsid w:val="00CE0079"/>
    <w:rsid w:val="00CE4621"/>
    <w:rsid w:val="00CE471C"/>
    <w:rsid w:val="00CE73C5"/>
    <w:rsid w:val="00CE7E1F"/>
    <w:rsid w:val="00CF25DA"/>
    <w:rsid w:val="00CF5659"/>
    <w:rsid w:val="00CF698E"/>
    <w:rsid w:val="00CF7971"/>
    <w:rsid w:val="00D0194F"/>
    <w:rsid w:val="00D035E4"/>
    <w:rsid w:val="00D04B22"/>
    <w:rsid w:val="00D0752B"/>
    <w:rsid w:val="00D07B84"/>
    <w:rsid w:val="00D07C0A"/>
    <w:rsid w:val="00D13D46"/>
    <w:rsid w:val="00D142C1"/>
    <w:rsid w:val="00D14B7D"/>
    <w:rsid w:val="00D16957"/>
    <w:rsid w:val="00D17866"/>
    <w:rsid w:val="00D23ACB"/>
    <w:rsid w:val="00D251EB"/>
    <w:rsid w:val="00D34C18"/>
    <w:rsid w:val="00D36E1C"/>
    <w:rsid w:val="00D3766A"/>
    <w:rsid w:val="00D4233C"/>
    <w:rsid w:val="00D4423C"/>
    <w:rsid w:val="00D44B72"/>
    <w:rsid w:val="00D44C02"/>
    <w:rsid w:val="00D4766A"/>
    <w:rsid w:val="00D55DCB"/>
    <w:rsid w:val="00D5733B"/>
    <w:rsid w:val="00D57E6D"/>
    <w:rsid w:val="00D65E28"/>
    <w:rsid w:val="00D73055"/>
    <w:rsid w:val="00D81878"/>
    <w:rsid w:val="00D85E5D"/>
    <w:rsid w:val="00D8678C"/>
    <w:rsid w:val="00D91145"/>
    <w:rsid w:val="00D94FC1"/>
    <w:rsid w:val="00D956B4"/>
    <w:rsid w:val="00D974EC"/>
    <w:rsid w:val="00DA243F"/>
    <w:rsid w:val="00DA2944"/>
    <w:rsid w:val="00DA4660"/>
    <w:rsid w:val="00DA77F1"/>
    <w:rsid w:val="00DB4E27"/>
    <w:rsid w:val="00DB73A3"/>
    <w:rsid w:val="00DC1948"/>
    <w:rsid w:val="00DC2A2C"/>
    <w:rsid w:val="00DC2E3A"/>
    <w:rsid w:val="00DC7085"/>
    <w:rsid w:val="00DC76C7"/>
    <w:rsid w:val="00DC7B9E"/>
    <w:rsid w:val="00DC7D1A"/>
    <w:rsid w:val="00DC7F3E"/>
    <w:rsid w:val="00DD035C"/>
    <w:rsid w:val="00DD3693"/>
    <w:rsid w:val="00DD5448"/>
    <w:rsid w:val="00DE2A7C"/>
    <w:rsid w:val="00DE2D24"/>
    <w:rsid w:val="00DF0768"/>
    <w:rsid w:val="00DF0E02"/>
    <w:rsid w:val="00DF598B"/>
    <w:rsid w:val="00DF7D9C"/>
    <w:rsid w:val="00E00931"/>
    <w:rsid w:val="00E01528"/>
    <w:rsid w:val="00E01B99"/>
    <w:rsid w:val="00E05F6D"/>
    <w:rsid w:val="00E110E4"/>
    <w:rsid w:val="00E117C1"/>
    <w:rsid w:val="00E17339"/>
    <w:rsid w:val="00E17DCE"/>
    <w:rsid w:val="00E2229E"/>
    <w:rsid w:val="00E22749"/>
    <w:rsid w:val="00E22F56"/>
    <w:rsid w:val="00E2659A"/>
    <w:rsid w:val="00E27E2B"/>
    <w:rsid w:val="00E3047B"/>
    <w:rsid w:val="00E311CE"/>
    <w:rsid w:val="00E3122A"/>
    <w:rsid w:val="00E31D53"/>
    <w:rsid w:val="00E32F91"/>
    <w:rsid w:val="00E333ED"/>
    <w:rsid w:val="00E34A5E"/>
    <w:rsid w:val="00E34B75"/>
    <w:rsid w:val="00E445F2"/>
    <w:rsid w:val="00E47949"/>
    <w:rsid w:val="00E51FF9"/>
    <w:rsid w:val="00E54F81"/>
    <w:rsid w:val="00E55C2D"/>
    <w:rsid w:val="00E56DDC"/>
    <w:rsid w:val="00E57667"/>
    <w:rsid w:val="00E62D84"/>
    <w:rsid w:val="00E6499A"/>
    <w:rsid w:val="00E674D2"/>
    <w:rsid w:val="00E71F7A"/>
    <w:rsid w:val="00E7285D"/>
    <w:rsid w:val="00E73F42"/>
    <w:rsid w:val="00E75972"/>
    <w:rsid w:val="00E76152"/>
    <w:rsid w:val="00E768FF"/>
    <w:rsid w:val="00E81EF6"/>
    <w:rsid w:val="00E873B9"/>
    <w:rsid w:val="00E90493"/>
    <w:rsid w:val="00E972CE"/>
    <w:rsid w:val="00E97354"/>
    <w:rsid w:val="00EA117D"/>
    <w:rsid w:val="00EA189E"/>
    <w:rsid w:val="00EA19B5"/>
    <w:rsid w:val="00EA1D47"/>
    <w:rsid w:val="00EA3227"/>
    <w:rsid w:val="00EA331F"/>
    <w:rsid w:val="00EA6B66"/>
    <w:rsid w:val="00EB68D2"/>
    <w:rsid w:val="00EB6CE8"/>
    <w:rsid w:val="00EC2798"/>
    <w:rsid w:val="00EC3B5C"/>
    <w:rsid w:val="00EC4C0D"/>
    <w:rsid w:val="00EC5040"/>
    <w:rsid w:val="00ED2B26"/>
    <w:rsid w:val="00ED59FF"/>
    <w:rsid w:val="00EE0199"/>
    <w:rsid w:val="00EE4A45"/>
    <w:rsid w:val="00EE4EC3"/>
    <w:rsid w:val="00EF0012"/>
    <w:rsid w:val="00EF1A2E"/>
    <w:rsid w:val="00EF2909"/>
    <w:rsid w:val="00EF2F2A"/>
    <w:rsid w:val="00EF333F"/>
    <w:rsid w:val="00EF3EA9"/>
    <w:rsid w:val="00EF72CE"/>
    <w:rsid w:val="00F013B9"/>
    <w:rsid w:val="00F02A22"/>
    <w:rsid w:val="00F0360B"/>
    <w:rsid w:val="00F04261"/>
    <w:rsid w:val="00F067B8"/>
    <w:rsid w:val="00F06C2B"/>
    <w:rsid w:val="00F10B2A"/>
    <w:rsid w:val="00F119A7"/>
    <w:rsid w:val="00F12726"/>
    <w:rsid w:val="00F15F59"/>
    <w:rsid w:val="00F16D0C"/>
    <w:rsid w:val="00F17F67"/>
    <w:rsid w:val="00F209B2"/>
    <w:rsid w:val="00F219D1"/>
    <w:rsid w:val="00F220E4"/>
    <w:rsid w:val="00F22540"/>
    <w:rsid w:val="00F2460E"/>
    <w:rsid w:val="00F26143"/>
    <w:rsid w:val="00F34916"/>
    <w:rsid w:val="00F34E21"/>
    <w:rsid w:val="00F46FA0"/>
    <w:rsid w:val="00F47600"/>
    <w:rsid w:val="00F512D4"/>
    <w:rsid w:val="00F51381"/>
    <w:rsid w:val="00F519BD"/>
    <w:rsid w:val="00F549BE"/>
    <w:rsid w:val="00F62E25"/>
    <w:rsid w:val="00F64072"/>
    <w:rsid w:val="00F64DDE"/>
    <w:rsid w:val="00F66443"/>
    <w:rsid w:val="00F67A44"/>
    <w:rsid w:val="00F703F9"/>
    <w:rsid w:val="00F70E21"/>
    <w:rsid w:val="00F70F9D"/>
    <w:rsid w:val="00F719C2"/>
    <w:rsid w:val="00F74495"/>
    <w:rsid w:val="00F754FC"/>
    <w:rsid w:val="00F769FB"/>
    <w:rsid w:val="00F77E2A"/>
    <w:rsid w:val="00F83C56"/>
    <w:rsid w:val="00F844A0"/>
    <w:rsid w:val="00F925BD"/>
    <w:rsid w:val="00F9273C"/>
    <w:rsid w:val="00F92A26"/>
    <w:rsid w:val="00F96B74"/>
    <w:rsid w:val="00F96BF6"/>
    <w:rsid w:val="00FA010C"/>
    <w:rsid w:val="00FA055F"/>
    <w:rsid w:val="00FC0890"/>
    <w:rsid w:val="00FC0A98"/>
    <w:rsid w:val="00FC2BFE"/>
    <w:rsid w:val="00FC5EB0"/>
    <w:rsid w:val="00FC604E"/>
    <w:rsid w:val="00FC64C4"/>
    <w:rsid w:val="00FD160E"/>
    <w:rsid w:val="00FD248F"/>
    <w:rsid w:val="00FD2BEB"/>
    <w:rsid w:val="00FD5207"/>
    <w:rsid w:val="00FD61C5"/>
    <w:rsid w:val="00FD6343"/>
    <w:rsid w:val="00FD7BCB"/>
    <w:rsid w:val="00FE3D06"/>
    <w:rsid w:val="00FE3D9D"/>
    <w:rsid w:val="00FE4662"/>
    <w:rsid w:val="00FE5E47"/>
    <w:rsid w:val="00FE5EA2"/>
    <w:rsid w:val="00FE6495"/>
    <w:rsid w:val="00FE64A0"/>
    <w:rsid w:val="00FE66DE"/>
    <w:rsid w:val="00FE6A3C"/>
    <w:rsid w:val="00FE7020"/>
    <w:rsid w:val="00FF0C1C"/>
    <w:rsid w:val="00FF37B2"/>
    <w:rsid w:val="00FF3E1B"/>
    <w:rsid w:val="00FF44D0"/>
    <w:rsid w:val="00FF73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A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7C1"/>
    <w:rPr>
      <w:color w:val="0563C1" w:themeColor="hyperlink"/>
      <w:u w:val="single"/>
    </w:rPr>
  </w:style>
  <w:style w:type="paragraph" w:styleId="NormalWeb">
    <w:name w:val="Normal (Web)"/>
    <w:basedOn w:val="Normal"/>
    <w:uiPriority w:val="99"/>
    <w:unhideWhenUsed/>
    <w:rsid w:val="00367530"/>
    <w:pPr>
      <w:spacing w:before="100" w:beforeAutospacing="1" w:after="100" w:afterAutospacing="1" w:line="240" w:lineRule="auto"/>
    </w:pPr>
    <w:rPr>
      <w:rFonts w:ascii="Times" w:hAnsi="Times" w:cs="Times New Roman"/>
      <w:sz w:val="20"/>
      <w:szCs w:val="20"/>
      <w:lang w:eastAsia="zh-CN"/>
    </w:rPr>
  </w:style>
  <w:style w:type="paragraph" w:styleId="ListParagraph">
    <w:name w:val="List Paragraph"/>
    <w:basedOn w:val="Normal"/>
    <w:uiPriority w:val="34"/>
    <w:qFormat/>
    <w:rsid w:val="00C046D3"/>
    <w:pPr>
      <w:spacing w:after="0" w:line="240" w:lineRule="auto"/>
      <w:ind w:firstLineChars="200" w:firstLine="420"/>
    </w:pPr>
    <w:rPr>
      <w:rFonts w:ascii="Times" w:hAnsi="Times"/>
      <w:sz w:val="20"/>
      <w:szCs w:val="20"/>
      <w:lang w:eastAsia="zh-CN"/>
    </w:rPr>
  </w:style>
  <w:style w:type="paragraph" w:styleId="Footer">
    <w:name w:val="footer"/>
    <w:basedOn w:val="Normal"/>
    <w:link w:val="FooterChar"/>
    <w:uiPriority w:val="99"/>
    <w:unhideWhenUsed/>
    <w:rsid w:val="0067297B"/>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67297B"/>
    <w:rPr>
      <w:sz w:val="18"/>
      <w:szCs w:val="18"/>
    </w:rPr>
  </w:style>
  <w:style w:type="character" w:styleId="PageNumber">
    <w:name w:val="page number"/>
    <w:basedOn w:val="DefaultParagraphFont"/>
    <w:uiPriority w:val="99"/>
    <w:semiHidden/>
    <w:unhideWhenUsed/>
    <w:rsid w:val="0067297B"/>
  </w:style>
  <w:style w:type="paragraph" w:styleId="FootnoteText">
    <w:name w:val="footnote text"/>
    <w:basedOn w:val="Normal"/>
    <w:link w:val="FootnoteTextChar"/>
    <w:uiPriority w:val="99"/>
    <w:unhideWhenUsed/>
    <w:rsid w:val="00CD03A0"/>
    <w:pPr>
      <w:snapToGrid w:val="0"/>
    </w:pPr>
    <w:rPr>
      <w:sz w:val="18"/>
      <w:szCs w:val="18"/>
    </w:rPr>
  </w:style>
  <w:style w:type="character" w:customStyle="1" w:styleId="FootnoteTextChar">
    <w:name w:val="Footnote Text Char"/>
    <w:basedOn w:val="DefaultParagraphFont"/>
    <w:link w:val="FootnoteText"/>
    <w:uiPriority w:val="99"/>
    <w:rsid w:val="00CD03A0"/>
    <w:rPr>
      <w:sz w:val="18"/>
      <w:szCs w:val="18"/>
    </w:rPr>
  </w:style>
  <w:style w:type="character" w:styleId="FootnoteReference">
    <w:name w:val="footnote reference"/>
    <w:basedOn w:val="DefaultParagraphFont"/>
    <w:uiPriority w:val="99"/>
    <w:unhideWhenUsed/>
    <w:rsid w:val="00CD03A0"/>
    <w:rPr>
      <w:vertAlign w:val="superscript"/>
    </w:rPr>
  </w:style>
  <w:style w:type="table" w:styleId="TableGrid">
    <w:name w:val="Table Grid"/>
    <w:basedOn w:val="TableNormal"/>
    <w:uiPriority w:val="59"/>
    <w:rsid w:val="006C4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E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EB6"/>
    <w:rPr>
      <w:rFonts w:ascii="Lucida Grande" w:hAnsi="Lucida Grande" w:cs="Lucida Grande"/>
      <w:sz w:val="18"/>
      <w:szCs w:val="18"/>
    </w:rPr>
  </w:style>
  <w:style w:type="character" w:styleId="PlaceholderText">
    <w:name w:val="Placeholder Text"/>
    <w:basedOn w:val="DefaultParagraphFont"/>
    <w:uiPriority w:val="99"/>
    <w:semiHidden/>
    <w:rsid w:val="00D73055"/>
    <w:rPr>
      <w:color w:val="808080"/>
    </w:rPr>
  </w:style>
  <w:style w:type="paragraph" w:styleId="Caption">
    <w:name w:val="caption"/>
    <w:basedOn w:val="Normal"/>
    <w:next w:val="Normal"/>
    <w:uiPriority w:val="35"/>
    <w:unhideWhenUsed/>
    <w:qFormat/>
    <w:rsid w:val="00EA3227"/>
    <w:pPr>
      <w:widowControl w:val="0"/>
      <w:spacing w:after="0" w:line="240" w:lineRule="auto"/>
      <w:jc w:val="both"/>
    </w:pPr>
    <w:rPr>
      <w:rFonts w:asciiTheme="majorHAnsi" w:eastAsia="SimSun" w:hAnsiTheme="majorHAnsi" w:cstheme="majorBidi"/>
      <w:kern w:val="2"/>
      <w:sz w:val="20"/>
      <w:szCs w:val="20"/>
      <w:lang w:eastAsia="zh-CN"/>
    </w:rPr>
  </w:style>
  <w:style w:type="character" w:styleId="EndnoteReference">
    <w:name w:val="endnote reference"/>
    <w:basedOn w:val="DefaultParagraphFont"/>
    <w:uiPriority w:val="99"/>
    <w:semiHidden/>
    <w:unhideWhenUsed/>
    <w:rsid w:val="007D5F5E"/>
    <w:rPr>
      <w:vertAlign w:val="superscript"/>
    </w:rPr>
  </w:style>
  <w:style w:type="character" w:styleId="CommentReference">
    <w:name w:val="annotation reference"/>
    <w:basedOn w:val="DefaultParagraphFont"/>
    <w:uiPriority w:val="99"/>
    <w:semiHidden/>
    <w:unhideWhenUsed/>
    <w:rsid w:val="004756E5"/>
    <w:rPr>
      <w:sz w:val="16"/>
      <w:szCs w:val="16"/>
    </w:rPr>
  </w:style>
  <w:style w:type="paragraph" w:styleId="CommentText">
    <w:name w:val="annotation text"/>
    <w:basedOn w:val="Normal"/>
    <w:link w:val="CommentTextChar"/>
    <w:uiPriority w:val="99"/>
    <w:semiHidden/>
    <w:unhideWhenUsed/>
    <w:rsid w:val="004756E5"/>
    <w:pPr>
      <w:spacing w:line="240" w:lineRule="auto"/>
    </w:pPr>
    <w:rPr>
      <w:sz w:val="20"/>
      <w:szCs w:val="20"/>
    </w:rPr>
  </w:style>
  <w:style w:type="character" w:customStyle="1" w:styleId="CommentTextChar">
    <w:name w:val="Comment Text Char"/>
    <w:basedOn w:val="DefaultParagraphFont"/>
    <w:link w:val="CommentText"/>
    <w:uiPriority w:val="99"/>
    <w:semiHidden/>
    <w:rsid w:val="004756E5"/>
    <w:rPr>
      <w:sz w:val="20"/>
      <w:szCs w:val="20"/>
    </w:rPr>
  </w:style>
  <w:style w:type="paragraph" w:styleId="CommentSubject">
    <w:name w:val="annotation subject"/>
    <w:basedOn w:val="CommentText"/>
    <w:next w:val="CommentText"/>
    <w:link w:val="CommentSubjectChar"/>
    <w:uiPriority w:val="99"/>
    <w:semiHidden/>
    <w:unhideWhenUsed/>
    <w:rsid w:val="004756E5"/>
    <w:rPr>
      <w:b/>
      <w:bCs/>
    </w:rPr>
  </w:style>
  <w:style w:type="character" w:customStyle="1" w:styleId="CommentSubjectChar">
    <w:name w:val="Comment Subject Char"/>
    <w:basedOn w:val="CommentTextChar"/>
    <w:link w:val="CommentSubject"/>
    <w:uiPriority w:val="99"/>
    <w:semiHidden/>
    <w:rsid w:val="004756E5"/>
    <w:rPr>
      <w:b/>
      <w:bCs/>
      <w:sz w:val="20"/>
      <w:szCs w:val="20"/>
    </w:rPr>
  </w:style>
  <w:style w:type="paragraph" w:styleId="Header">
    <w:name w:val="header"/>
    <w:basedOn w:val="Normal"/>
    <w:link w:val="HeaderChar"/>
    <w:uiPriority w:val="99"/>
    <w:unhideWhenUsed/>
    <w:rsid w:val="00A254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54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7C1"/>
    <w:rPr>
      <w:color w:val="0563C1" w:themeColor="hyperlink"/>
      <w:u w:val="single"/>
    </w:rPr>
  </w:style>
  <w:style w:type="paragraph" w:styleId="NormalWeb">
    <w:name w:val="Normal (Web)"/>
    <w:basedOn w:val="Normal"/>
    <w:uiPriority w:val="99"/>
    <w:unhideWhenUsed/>
    <w:rsid w:val="00367530"/>
    <w:pPr>
      <w:spacing w:before="100" w:beforeAutospacing="1" w:after="100" w:afterAutospacing="1" w:line="240" w:lineRule="auto"/>
    </w:pPr>
    <w:rPr>
      <w:rFonts w:ascii="Times" w:hAnsi="Times" w:cs="Times New Roman"/>
      <w:sz w:val="20"/>
      <w:szCs w:val="20"/>
      <w:lang w:eastAsia="zh-CN"/>
    </w:rPr>
  </w:style>
  <w:style w:type="paragraph" w:styleId="ListParagraph">
    <w:name w:val="List Paragraph"/>
    <w:basedOn w:val="Normal"/>
    <w:uiPriority w:val="34"/>
    <w:qFormat/>
    <w:rsid w:val="00C046D3"/>
    <w:pPr>
      <w:spacing w:after="0" w:line="240" w:lineRule="auto"/>
      <w:ind w:firstLineChars="200" w:firstLine="420"/>
    </w:pPr>
    <w:rPr>
      <w:rFonts w:ascii="Times" w:hAnsi="Times"/>
      <w:sz w:val="20"/>
      <w:szCs w:val="20"/>
      <w:lang w:eastAsia="zh-CN"/>
    </w:rPr>
  </w:style>
  <w:style w:type="paragraph" w:styleId="Footer">
    <w:name w:val="footer"/>
    <w:basedOn w:val="Normal"/>
    <w:link w:val="FooterChar"/>
    <w:uiPriority w:val="99"/>
    <w:unhideWhenUsed/>
    <w:rsid w:val="0067297B"/>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67297B"/>
    <w:rPr>
      <w:sz w:val="18"/>
      <w:szCs w:val="18"/>
    </w:rPr>
  </w:style>
  <w:style w:type="character" w:styleId="PageNumber">
    <w:name w:val="page number"/>
    <w:basedOn w:val="DefaultParagraphFont"/>
    <w:uiPriority w:val="99"/>
    <w:semiHidden/>
    <w:unhideWhenUsed/>
    <w:rsid w:val="0067297B"/>
  </w:style>
  <w:style w:type="paragraph" w:styleId="FootnoteText">
    <w:name w:val="footnote text"/>
    <w:basedOn w:val="Normal"/>
    <w:link w:val="FootnoteTextChar"/>
    <w:uiPriority w:val="99"/>
    <w:unhideWhenUsed/>
    <w:rsid w:val="00CD03A0"/>
    <w:pPr>
      <w:snapToGrid w:val="0"/>
    </w:pPr>
    <w:rPr>
      <w:sz w:val="18"/>
      <w:szCs w:val="18"/>
    </w:rPr>
  </w:style>
  <w:style w:type="character" w:customStyle="1" w:styleId="FootnoteTextChar">
    <w:name w:val="Footnote Text Char"/>
    <w:basedOn w:val="DefaultParagraphFont"/>
    <w:link w:val="FootnoteText"/>
    <w:uiPriority w:val="99"/>
    <w:rsid w:val="00CD03A0"/>
    <w:rPr>
      <w:sz w:val="18"/>
      <w:szCs w:val="18"/>
    </w:rPr>
  </w:style>
  <w:style w:type="character" w:styleId="FootnoteReference">
    <w:name w:val="footnote reference"/>
    <w:basedOn w:val="DefaultParagraphFont"/>
    <w:uiPriority w:val="99"/>
    <w:unhideWhenUsed/>
    <w:rsid w:val="00CD03A0"/>
    <w:rPr>
      <w:vertAlign w:val="superscript"/>
    </w:rPr>
  </w:style>
  <w:style w:type="table" w:styleId="TableGrid">
    <w:name w:val="Table Grid"/>
    <w:basedOn w:val="TableNormal"/>
    <w:uiPriority w:val="59"/>
    <w:rsid w:val="006C4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E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EB6"/>
    <w:rPr>
      <w:rFonts w:ascii="Lucida Grande" w:hAnsi="Lucida Grande" w:cs="Lucida Grande"/>
      <w:sz w:val="18"/>
      <w:szCs w:val="18"/>
    </w:rPr>
  </w:style>
  <w:style w:type="character" w:styleId="PlaceholderText">
    <w:name w:val="Placeholder Text"/>
    <w:basedOn w:val="DefaultParagraphFont"/>
    <w:uiPriority w:val="99"/>
    <w:semiHidden/>
    <w:rsid w:val="00D73055"/>
    <w:rPr>
      <w:color w:val="808080"/>
    </w:rPr>
  </w:style>
  <w:style w:type="paragraph" w:styleId="Caption">
    <w:name w:val="caption"/>
    <w:basedOn w:val="Normal"/>
    <w:next w:val="Normal"/>
    <w:uiPriority w:val="35"/>
    <w:unhideWhenUsed/>
    <w:qFormat/>
    <w:rsid w:val="00EA3227"/>
    <w:pPr>
      <w:widowControl w:val="0"/>
      <w:spacing w:after="0" w:line="240" w:lineRule="auto"/>
      <w:jc w:val="both"/>
    </w:pPr>
    <w:rPr>
      <w:rFonts w:asciiTheme="majorHAnsi" w:eastAsia="SimSun" w:hAnsiTheme="majorHAnsi" w:cstheme="majorBidi"/>
      <w:kern w:val="2"/>
      <w:sz w:val="20"/>
      <w:szCs w:val="20"/>
      <w:lang w:eastAsia="zh-CN"/>
    </w:rPr>
  </w:style>
  <w:style w:type="character" w:styleId="EndnoteReference">
    <w:name w:val="endnote reference"/>
    <w:basedOn w:val="DefaultParagraphFont"/>
    <w:uiPriority w:val="99"/>
    <w:semiHidden/>
    <w:unhideWhenUsed/>
    <w:rsid w:val="007D5F5E"/>
    <w:rPr>
      <w:vertAlign w:val="superscript"/>
    </w:rPr>
  </w:style>
  <w:style w:type="character" w:styleId="CommentReference">
    <w:name w:val="annotation reference"/>
    <w:basedOn w:val="DefaultParagraphFont"/>
    <w:uiPriority w:val="99"/>
    <w:semiHidden/>
    <w:unhideWhenUsed/>
    <w:rsid w:val="004756E5"/>
    <w:rPr>
      <w:sz w:val="16"/>
      <w:szCs w:val="16"/>
    </w:rPr>
  </w:style>
  <w:style w:type="paragraph" w:styleId="CommentText">
    <w:name w:val="annotation text"/>
    <w:basedOn w:val="Normal"/>
    <w:link w:val="CommentTextChar"/>
    <w:uiPriority w:val="99"/>
    <w:semiHidden/>
    <w:unhideWhenUsed/>
    <w:rsid w:val="004756E5"/>
    <w:pPr>
      <w:spacing w:line="240" w:lineRule="auto"/>
    </w:pPr>
    <w:rPr>
      <w:sz w:val="20"/>
      <w:szCs w:val="20"/>
    </w:rPr>
  </w:style>
  <w:style w:type="character" w:customStyle="1" w:styleId="CommentTextChar">
    <w:name w:val="Comment Text Char"/>
    <w:basedOn w:val="DefaultParagraphFont"/>
    <w:link w:val="CommentText"/>
    <w:uiPriority w:val="99"/>
    <w:semiHidden/>
    <w:rsid w:val="004756E5"/>
    <w:rPr>
      <w:sz w:val="20"/>
      <w:szCs w:val="20"/>
    </w:rPr>
  </w:style>
  <w:style w:type="paragraph" w:styleId="CommentSubject">
    <w:name w:val="annotation subject"/>
    <w:basedOn w:val="CommentText"/>
    <w:next w:val="CommentText"/>
    <w:link w:val="CommentSubjectChar"/>
    <w:uiPriority w:val="99"/>
    <w:semiHidden/>
    <w:unhideWhenUsed/>
    <w:rsid w:val="004756E5"/>
    <w:rPr>
      <w:b/>
      <w:bCs/>
    </w:rPr>
  </w:style>
  <w:style w:type="character" w:customStyle="1" w:styleId="CommentSubjectChar">
    <w:name w:val="Comment Subject Char"/>
    <w:basedOn w:val="CommentTextChar"/>
    <w:link w:val="CommentSubject"/>
    <w:uiPriority w:val="99"/>
    <w:semiHidden/>
    <w:rsid w:val="004756E5"/>
    <w:rPr>
      <w:b/>
      <w:bCs/>
      <w:sz w:val="20"/>
      <w:szCs w:val="20"/>
    </w:rPr>
  </w:style>
  <w:style w:type="paragraph" w:styleId="Header">
    <w:name w:val="header"/>
    <w:basedOn w:val="Normal"/>
    <w:link w:val="HeaderChar"/>
    <w:uiPriority w:val="99"/>
    <w:unhideWhenUsed/>
    <w:rsid w:val="00A254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4097">
      <w:bodyDiv w:val="1"/>
      <w:marLeft w:val="0"/>
      <w:marRight w:val="0"/>
      <w:marTop w:val="0"/>
      <w:marBottom w:val="0"/>
      <w:divBdr>
        <w:top w:val="none" w:sz="0" w:space="0" w:color="auto"/>
        <w:left w:val="none" w:sz="0" w:space="0" w:color="auto"/>
        <w:bottom w:val="none" w:sz="0" w:space="0" w:color="auto"/>
        <w:right w:val="none" w:sz="0" w:space="0" w:color="auto"/>
      </w:divBdr>
    </w:div>
    <w:div w:id="288512804">
      <w:bodyDiv w:val="1"/>
      <w:marLeft w:val="0"/>
      <w:marRight w:val="0"/>
      <w:marTop w:val="0"/>
      <w:marBottom w:val="0"/>
      <w:divBdr>
        <w:top w:val="none" w:sz="0" w:space="0" w:color="auto"/>
        <w:left w:val="none" w:sz="0" w:space="0" w:color="auto"/>
        <w:bottom w:val="none" w:sz="0" w:space="0" w:color="auto"/>
        <w:right w:val="none" w:sz="0" w:space="0" w:color="auto"/>
      </w:divBdr>
      <w:divsChild>
        <w:div w:id="1991252250">
          <w:marLeft w:val="0"/>
          <w:marRight w:val="0"/>
          <w:marTop w:val="0"/>
          <w:marBottom w:val="0"/>
          <w:divBdr>
            <w:top w:val="none" w:sz="0" w:space="0" w:color="auto"/>
            <w:left w:val="none" w:sz="0" w:space="0" w:color="auto"/>
            <w:bottom w:val="none" w:sz="0" w:space="0" w:color="auto"/>
            <w:right w:val="none" w:sz="0" w:space="0" w:color="auto"/>
          </w:divBdr>
          <w:divsChild>
            <w:div w:id="1740862675">
              <w:marLeft w:val="0"/>
              <w:marRight w:val="0"/>
              <w:marTop w:val="0"/>
              <w:marBottom w:val="0"/>
              <w:divBdr>
                <w:top w:val="none" w:sz="0" w:space="0" w:color="auto"/>
                <w:left w:val="none" w:sz="0" w:space="0" w:color="auto"/>
                <w:bottom w:val="none" w:sz="0" w:space="0" w:color="auto"/>
                <w:right w:val="none" w:sz="0" w:space="0" w:color="auto"/>
              </w:divBdr>
              <w:divsChild>
                <w:div w:id="217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7464">
      <w:bodyDiv w:val="1"/>
      <w:marLeft w:val="0"/>
      <w:marRight w:val="0"/>
      <w:marTop w:val="0"/>
      <w:marBottom w:val="0"/>
      <w:divBdr>
        <w:top w:val="none" w:sz="0" w:space="0" w:color="auto"/>
        <w:left w:val="none" w:sz="0" w:space="0" w:color="auto"/>
        <w:bottom w:val="none" w:sz="0" w:space="0" w:color="auto"/>
        <w:right w:val="none" w:sz="0" w:space="0" w:color="auto"/>
      </w:divBdr>
      <w:divsChild>
        <w:div w:id="1183545643">
          <w:marLeft w:val="547"/>
          <w:marRight w:val="0"/>
          <w:marTop w:val="144"/>
          <w:marBottom w:val="0"/>
          <w:divBdr>
            <w:top w:val="none" w:sz="0" w:space="0" w:color="auto"/>
            <w:left w:val="none" w:sz="0" w:space="0" w:color="auto"/>
            <w:bottom w:val="none" w:sz="0" w:space="0" w:color="auto"/>
            <w:right w:val="none" w:sz="0" w:space="0" w:color="auto"/>
          </w:divBdr>
        </w:div>
      </w:divsChild>
    </w:div>
    <w:div w:id="345526291">
      <w:bodyDiv w:val="1"/>
      <w:marLeft w:val="0"/>
      <w:marRight w:val="0"/>
      <w:marTop w:val="0"/>
      <w:marBottom w:val="0"/>
      <w:divBdr>
        <w:top w:val="none" w:sz="0" w:space="0" w:color="auto"/>
        <w:left w:val="none" w:sz="0" w:space="0" w:color="auto"/>
        <w:bottom w:val="none" w:sz="0" w:space="0" w:color="auto"/>
        <w:right w:val="none" w:sz="0" w:space="0" w:color="auto"/>
      </w:divBdr>
    </w:div>
    <w:div w:id="473134786">
      <w:bodyDiv w:val="1"/>
      <w:marLeft w:val="0"/>
      <w:marRight w:val="0"/>
      <w:marTop w:val="0"/>
      <w:marBottom w:val="0"/>
      <w:divBdr>
        <w:top w:val="none" w:sz="0" w:space="0" w:color="auto"/>
        <w:left w:val="none" w:sz="0" w:space="0" w:color="auto"/>
        <w:bottom w:val="none" w:sz="0" w:space="0" w:color="auto"/>
        <w:right w:val="none" w:sz="0" w:space="0" w:color="auto"/>
      </w:divBdr>
      <w:divsChild>
        <w:div w:id="1050350457">
          <w:marLeft w:val="547"/>
          <w:marRight w:val="0"/>
          <w:marTop w:val="106"/>
          <w:marBottom w:val="0"/>
          <w:divBdr>
            <w:top w:val="none" w:sz="0" w:space="0" w:color="auto"/>
            <w:left w:val="none" w:sz="0" w:space="0" w:color="auto"/>
            <w:bottom w:val="none" w:sz="0" w:space="0" w:color="auto"/>
            <w:right w:val="none" w:sz="0" w:space="0" w:color="auto"/>
          </w:divBdr>
        </w:div>
      </w:divsChild>
    </w:div>
    <w:div w:id="543761551">
      <w:bodyDiv w:val="1"/>
      <w:marLeft w:val="0"/>
      <w:marRight w:val="0"/>
      <w:marTop w:val="0"/>
      <w:marBottom w:val="0"/>
      <w:divBdr>
        <w:top w:val="none" w:sz="0" w:space="0" w:color="auto"/>
        <w:left w:val="none" w:sz="0" w:space="0" w:color="auto"/>
        <w:bottom w:val="none" w:sz="0" w:space="0" w:color="auto"/>
        <w:right w:val="none" w:sz="0" w:space="0" w:color="auto"/>
      </w:divBdr>
      <w:divsChild>
        <w:div w:id="1883593158">
          <w:marLeft w:val="0"/>
          <w:marRight w:val="0"/>
          <w:marTop w:val="0"/>
          <w:marBottom w:val="0"/>
          <w:divBdr>
            <w:top w:val="none" w:sz="0" w:space="0" w:color="auto"/>
            <w:left w:val="none" w:sz="0" w:space="0" w:color="auto"/>
            <w:bottom w:val="none" w:sz="0" w:space="0" w:color="auto"/>
            <w:right w:val="none" w:sz="0" w:space="0" w:color="auto"/>
          </w:divBdr>
          <w:divsChild>
            <w:div w:id="17783093">
              <w:marLeft w:val="0"/>
              <w:marRight w:val="0"/>
              <w:marTop w:val="0"/>
              <w:marBottom w:val="0"/>
              <w:divBdr>
                <w:top w:val="none" w:sz="0" w:space="0" w:color="auto"/>
                <w:left w:val="none" w:sz="0" w:space="0" w:color="auto"/>
                <w:bottom w:val="none" w:sz="0" w:space="0" w:color="auto"/>
                <w:right w:val="none" w:sz="0" w:space="0" w:color="auto"/>
              </w:divBdr>
              <w:divsChild>
                <w:div w:id="18004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870">
      <w:bodyDiv w:val="1"/>
      <w:marLeft w:val="0"/>
      <w:marRight w:val="0"/>
      <w:marTop w:val="0"/>
      <w:marBottom w:val="0"/>
      <w:divBdr>
        <w:top w:val="none" w:sz="0" w:space="0" w:color="auto"/>
        <w:left w:val="none" w:sz="0" w:space="0" w:color="auto"/>
        <w:bottom w:val="none" w:sz="0" w:space="0" w:color="auto"/>
        <w:right w:val="none" w:sz="0" w:space="0" w:color="auto"/>
      </w:divBdr>
    </w:div>
    <w:div w:id="759257667">
      <w:bodyDiv w:val="1"/>
      <w:marLeft w:val="0"/>
      <w:marRight w:val="0"/>
      <w:marTop w:val="0"/>
      <w:marBottom w:val="0"/>
      <w:divBdr>
        <w:top w:val="none" w:sz="0" w:space="0" w:color="auto"/>
        <w:left w:val="none" w:sz="0" w:space="0" w:color="auto"/>
        <w:bottom w:val="none" w:sz="0" w:space="0" w:color="auto"/>
        <w:right w:val="none" w:sz="0" w:space="0" w:color="auto"/>
      </w:divBdr>
    </w:div>
    <w:div w:id="772282141">
      <w:bodyDiv w:val="1"/>
      <w:marLeft w:val="0"/>
      <w:marRight w:val="0"/>
      <w:marTop w:val="0"/>
      <w:marBottom w:val="0"/>
      <w:divBdr>
        <w:top w:val="none" w:sz="0" w:space="0" w:color="auto"/>
        <w:left w:val="none" w:sz="0" w:space="0" w:color="auto"/>
        <w:bottom w:val="none" w:sz="0" w:space="0" w:color="auto"/>
        <w:right w:val="none" w:sz="0" w:space="0" w:color="auto"/>
      </w:divBdr>
      <w:divsChild>
        <w:div w:id="1437553324">
          <w:marLeft w:val="547"/>
          <w:marRight w:val="0"/>
          <w:marTop w:val="144"/>
          <w:marBottom w:val="0"/>
          <w:divBdr>
            <w:top w:val="none" w:sz="0" w:space="0" w:color="auto"/>
            <w:left w:val="none" w:sz="0" w:space="0" w:color="auto"/>
            <w:bottom w:val="none" w:sz="0" w:space="0" w:color="auto"/>
            <w:right w:val="none" w:sz="0" w:space="0" w:color="auto"/>
          </w:divBdr>
        </w:div>
      </w:divsChild>
    </w:div>
    <w:div w:id="800422597">
      <w:bodyDiv w:val="1"/>
      <w:marLeft w:val="0"/>
      <w:marRight w:val="0"/>
      <w:marTop w:val="0"/>
      <w:marBottom w:val="0"/>
      <w:divBdr>
        <w:top w:val="none" w:sz="0" w:space="0" w:color="auto"/>
        <w:left w:val="none" w:sz="0" w:space="0" w:color="auto"/>
        <w:bottom w:val="none" w:sz="0" w:space="0" w:color="auto"/>
        <w:right w:val="none" w:sz="0" w:space="0" w:color="auto"/>
      </w:divBdr>
      <w:divsChild>
        <w:div w:id="128132190">
          <w:marLeft w:val="547"/>
          <w:marRight w:val="0"/>
          <w:marTop w:val="154"/>
          <w:marBottom w:val="0"/>
          <w:divBdr>
            <w:top w:val="none" w:sz="0" w:space="0" w:color="auto"/>
            <w:left w:val="none" w:sz="0" w:space="0" w:color="auto"/>
            <w:bottom w:val="none" w:sz="0" w:space="0" w:color="auto"/>
            <w:right w:val="none" w:sz="0" w:space="0" w:color="auto"/>
          </w:divBdr>
        </w:div>
      </w:divsChild>
    </w:div>
    <w:div w:id="953246424">
      <w:bodyDiv w:val="1"/>
      <w:marLeft w:val="0"/>
      <w:marRight w:val="0"/>
      <w:marTop w:val="0"/>
      <w:marBottom w:val="0"/>
      <w:divBdr>
        <w:top w:val="none" w:sz="0" w:space="0" w:color="auto"/>
        <w:left w:val="none" w:sz="0" w:space="0" w:color="auto"/>
        <w:bottom w:val="none" w:sz="0" w:space="0" w:color="auto"/>
        <w:right w:val="none" w:sz="0" w:space="0" w:color="auto"/>
      </w:divBdr>
    </w:div>
    <w:div w:id="1096248748">
      <w:bodyDiv w:val="1"/>
      <w:marLeft w:val="0"/>
      <w:marRight w:val="0"/>
      <w:marTop w:val="0"/>
      <w:marBottom w:val="0"/>
      <w:divBdr>
        <w:top w:val="none" w:sz="0" w:space="0" w:color="auto"/>
        <w:left w:val="none" w:sz="0" w:space="0" w:color="auto"/>
        <w:bottom w:val="none" w:sz="0" w:space="0" w:color="auto"/>
        <w:right w:val="none" w:sz="0" w:space="0" w:color="auto"/>
      </w:divBdr>
    </w:div>
    <w:div w:id="1133671435">
      <w:bodyDiv w:val="1"/>
      <w:marLeft w:val="0"/>
      <w:marRight w:val="0"/>
      <w:marTop w:val="0"/>
      <w:marBottom w:val="0"/>
      <w:divBdr>
        <w:top w:val="none" w:sz="0" w:space="0" w:color="auto"/>
        <w:left w:val="none" w:sz="0" w:space="0" w:color="auto"/>
        <w:bottom w:val="none" w:sz="0" w:space="0" w:color="auto"/>
        <w:right w:val="none" w:sz="0" w:space="0" w:color="auto"/>
      </w:divBdr>
    </w:div>
    <w:div w:id="1161121198">
      <w:bodyDiv w:val="1"/>
      <w:marLeft w:val="0"/>
      <w:marRight w:val="0"/>
      <w:marTop w:val="0"/>
      <w:marBottom w:val="0"/>
      <w:divBdr>
        <w:top w:val="none" w:sz="0" w:space="0" w:color="auto"/>
        <w:left w:val="none" w:sz="0" w:space="0" w:color="auto"/>
        <w:bottom w:val="none" w:sz="0" w:space="0" w:color="auto"/>
        <w:right w:val="none" w:sz="0" w:space="0" w:color="auto"/>
      </w:divBdr>
      <w:divsChild>
        <w:div w:id="375738288">
          <w:marLeft w:val="0"/>
          <w:marRight w:val="0"/>
          <w:marTop w:val="0"/>
          <w:marBottom w:val="0"/>
          <w:divBdr>
            <w:top w:val="none" w:sz="0" w:space="0" w:color="auto"/>
            <w:left w:val="none" w:sz="0" w:space="0" w:color="auto"/>
            <w:bottom w:val="none" w:sz="0" w:space="0" w:color="auto"/>
            <w:right w:val="none" w:sz="0" w:space="0" w:color="auto"/>
          </w:divBdr>
          <w:divsChild>
            <w:div w:id="1848250293">
              <w:marLeft w:val="0"/>
              <w:marRight w:val="0"/>
              <w:marTop w:val="0"/>
              <w:marBottom w:val="0"/>
              <w:divBdr>
                <w:top w:val="none" w:sz="0" w:space="0" w:color="auto"/>
                <w:left w:val="none" w:sz="0" w:space="0" w:color="auto"/>
                <w:bottom w:val="none" w:sz="0" w:space="0" w:color="auto"/>
                <w:right w:val="none" w:sz="0" w:space="0" w:color="auto"/>
              </w:divBdr>
              <w:divsChild>
                <w:div w:id="18357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0269">
      <w:bodyDiv w:val="1"/>
      <w:marLeft w:val="0"/>
      <w:marRight w:val="0"/>
      <w:marTop w:val="0"/>
      <w:marBottom w:val="0"/>
      <w:divBdr>
        <w:top w:val="none" w:sz="0" w:space="0" w:color="auto"/>
        <w:left w:val="none" w:sz="0" w:space="0" w:color="auto"/>
        <w:bottom w:val="none" w:sz="0" w:space="0" w:color="auto"/>
        <w:right w:val="none" w:sz="0" w:space="0" w:color="auto"/>
      </w:divBdr>
      <w:divsChild>
        <w:div w:id="758792605">
          <w:marLeft w:val="547"/>
          <w:marRight w:val="0"/>
          <w:marTop w:val="144"/>
          <w:marBottom w:val="0"/>
          <w:divBdr>
            <w:top w:val="none" w:sz="0" w:space="0" w:color="auto"/>
            <w:left w:val="none" w:sz="0" w:space="0" w:color="auto"/>
            <w:bottom w:val="none" w:sz="0" w:space="0" w:color="auto"/>
            <w:right w:val="none" w:sz="0" w:space="0" w:color="auto"/>
          </w:divBdr>
        </w:div>
      </w:divsChild>
    </w:div>
    <w:div w:id="1293292501">
      <w:bodyDiv w:val="1"/>
      <w:marLeft w:val="0"/>
      <w:marRight w:val="0"/>
      <w:marTop w:val="0"/>
      <w:marBottom w:val="0"/>
      <w:divBdr>
        <w:top w:val="none" w:sz="0" w:space="0" w:color="auto"/>
        <w:left w:val="none" w:sz="0" w:space="0" w:color="auto"/>
        <w:bottom w:val="none" w:sz="0" w:space="0" w:color="auto"/>
        <w:right w:val="none" w:sz="0" w:space="0" w:color="auto"/>
      </w:divBdr>
      <w:divsChild>
        <w:div w:id="542181842">
          <w:marLeft w:val="547"/>
          <w:marRight w:val="0"/>
          <w:marTop w:val="106"/>
          <w:marBottom w:val="0"/>
          <w:divBdr>
            <w:top w:val="none" w:sz="0" w:space="0" w:color="auto"/>
            <w:left w:val="none" w:sz="0" w:space="0" w:color="auto"/>
            <w:bottom w:val="none" w:sz="0" w:space="0" w:color="auto"/>
            <w:right w:val="none" w:sz="0" w:space="0" w:color="auto"/>
          </w:divBdr>
        </w:div>
      </w:divsChild>
    </w:div>
    <w:div w:id="1364599957">
      <w:bodyDiv w:val="1"/>
      <w:marLeft w:val="0"/>
      <w:marRight w:val="0"/>
      <w:marTop w:val="0"/>
      <w:marBottom w:val="0"/>
      <w:divBdr>
        <w:top w:val="none" w:sz="0" w:space="0" w:color="auto"/>
        <w:left w:val="none" w:sz="0" w:space="0" w:color="auto"/>
        <w:bottom w:val="none" w:sz="0" w:space="0" w:color="auto"/>
        <w:right w:val="none" w:sz="0" w:space="0" w:color="auto"/>
      </w:divBdr>
      <w:divsChild>
        <w:div w:id="1341541121">
          <w:marLeft w:val="547"/>
          <w:marRight w:val="0"/>
          <w:marTop w:val="144"/>
          <w:marBottom w:val="0"/>
          <w:divBdr>
            <w:top w:val="none" w:sz="0" w:space="0" w:color="auto"/>
            <w:left w:val="none" w:sz="0" w:space="0" w:color="auto"/>
            <w:bottom w:val="none" w:sz="0" w:space="0" w:color="auto"/>
            <w:right w:val="none" w:sz="0" w:space="0" w:color="auto"/>
          </w:divBdr>
        </w:div>
        <w:div w:id="638455918">
          <w:marLeft w:val="547"/>
          <w:marRight w:val="0"/>
          <w:marTop w:val="144"/>
          <w:marBottom w:val="0"/>
          <w:divBdr>
            <w:top w:val="none" w:sz="0" w:space="0" w:color="auto"/>
            <w:left w:val="none" w:sz="0" w:space="0" w:color="auto"/>
            <w:bottom w:val="none" w:sz="0" w:space="0" w:color="auto"/>
            <w:right w:val="none" w:sz="0" w:space="0" w:color="auto"/>
          </w:divBdr>
        </w:div>
        <w:div w:id="962543956">
          <w:marLeft w:val="547"/>
          <w:marRight w:val="0"/>
          <w:marTop w:val="144"/>
          <w:marBottom w:val="0"/>
          <w:divBdr>
            <w:top w:val="none" w:sz="0" w:space="0" w:color="auto"/>
            <w:left w:val="none" w:sz="0" w:space="0" w:color="auto"/>
            <w:bottom w:val="none" w:sz="0" w:space="0" w:color="auto"/>
            <w:right w:val="none" w:sz="0" w:space="0" w:color="auto"/>
          </w:divBdr>
        </w:div>
      </w:divsChild>
    </w:div>
    <w:div w:id="1464612621">
      <w:bodyDiv w:val="1"/>
      <w:marLeft w:val="0"/>
      <w:marRight w:val="0"/>
      <w:marTop w:val="0"/>
      <w:marBottom w:val="0"/>
      <w:divBdr>
        <w:top w:val="none" w:sz="0" w:space="0" w:color="auto"/>
        <w:left w:val="none" w:sz="0" w:space="0" w:color="auto"/>
        <w:bottom w:val="none" w:sz="0" w:space="0" w:color="auto"/>
        <w:right w:val="none" w:sz="0" w:space="0" w:color="auto"/>
      </w:divBdr>
    </w:div>
    <w:div w:id="1502424383">
      <w:bodyDiv w:val="1"/>
      <w:marLeft w:val="0"/>
      <w:marRight w:val="0"/>
      <w:marTop w:val="0"/>
      <w:marBottom w:val="0"/>
      <w:divBdr>
        <w:top w:val="none" w:sz="0" w:space="0" w:color="auto"/>
        <w:left w:val="none" w:sz="0" w:space="0" w:color="auto"/>
        <w:bottom w:val="none" w:sz="0" w:space="0" w:color="auto"/>
        <w:right w:val="none" w:sz="0" w:space="0" w:color="auto"/>
      </w:divBdr>
    </w:div>
    <w:div w:id="1514759588">
      <w:bodyDiv w:val="1"/>
      <w:marLeft w:val="0"/>
      <w:marRight w:val="0"/>
      <w:marTop w:val="0"/>
      <w:marBottom w:val="0"/>
      <w:divBdr>
        <w:top w:val="none" w:sz="0" w:space="0" w:color="auto"/>
        <w:left w:val="none" w:sz="0" w:space="0" w:color="auto"/>
        <w:bottom w:val="none" w:sz="0" w:space="0" w:color="auto"/>
        <w:right w:val="none" w:sz="0" w:space="0" w:color="auto"/>
      </w:divBdr>
      <w:divsChild>
        <w:div w:id="898134656">
          <w:marLeft w:val="547"/>
          <w:marRight w:val="0"/>
          <w:marTop w:val="154"/>
          <w:marBottom w:val="0"/>
          <w:divBdr>
            <w:top w:val="none" w:sz="0" w:space="0" w:color="auto"/>
            <w:left w:val="none" w:sz="0" w:space="0" w:color="auto"/>
            <w:bottom w:val="none" w:sz="0" w:space="0" w:color="auto"/>
            <w:right w:val="none" w:sz="0" w:space="0" w:color="auto"/>
          </w:divBdr>
        </w:div>
        <w:div w:id="933317464">
          <w:marLeft w:val="547"/>
          <w:marRight w:val="0"/>
          <w:marTop w:val="154"/>
          <w:marBottom w:val="0"/>
          <w:divBdr>
            <w:top w:val="none" w:sz="0" w:space="0" w:color="auto"/>
            <w:left w:val="none" w:sz="0" w:space="0" w:color="auto"/>
            <w:bottom w:val="none" w:sz="0" w:space="0" w:color="auto"/>
            <w:right w:val="none" w:sz="0" w:space="0" w:color="auto"/>
          </w:divBdr>
        </w:div>
        <w:div w:id="1572888285">
          <w:marLeft w:val="547"/>
          <w:marRight w:val="0"/>
          <w:marTop w:val="154"/>
          <w:marBottom w:val="0"/>
          <w:divBdr>
            <w:top w:val="none" w:sz="0" w:space="0" w:color="auto"/>
            <w:left w:val="none" w:sz="0" w:space="0" w:color="auto"/>
            <w:bottom w:val="none" w:sz="0" w:space="0" w:color="auto"/>
            <w:right w:val="none" w:sz="0" w:space="0" w:color="auto"/>
          </w:divBdr>
        </w:div>
      </w:divsChild>
    </w:div>
    <w:div w:id="1589387043">
      <w:bodyDiv w:val="1"/>
      <w:marLeft w:val="0"/>
      <w:marRight w:val="0"/>
      <w:marTop w:val="0"/>
      <w:marBottom w:val="0"/>
      <w:divBdr>
        <w:top w:val="none" w:sz="0" w:space="0" w:color="auto"/>
        <w:left w:val="none" w:sz="0" w:space="0" w:color="auto"/>
        <w:bottom w:val="none" w:sz="0" w:space="0" w:color="auto"/>
        <w:right w:val="none" w:sz="0" w:space="0" w:color="auto"/>
      </w:divBdr>
    </w:div>
    <w:div w:id="1651901105">
      <w:bodyDiv w:val="1"/>
      <w:marLeft w:val="0"/>
      <w:marRight w:val="0"/>
      <w:marTop w:val="0"/>
      <w:marBottom w:val="0"/>
      <w:divBdr>
        <w:top w:val="none" w:sz="0" w:space="0" w:color="auto"/>
        <w:left w:val="none" w:sz="0" w:space="0" w:color="auto"/>
        <w:bottom w:val="none" w:sz="0" w:space="0" w:color="auto"/>
        <w:right w:val="none" w:sz="0" w:space="0" w:color="auto"/>
      </w:divBdr>
    </w:div>
    <w:div w:id="1857768504">
      <w:bodyDiv w:val="1"/>
      <w:marLeft w:val="0"/>
      <w:marRight w:val="0"/>
      <w:marTop w:val="0"/>
      <w:marBottom w:val="0"/>
      <w:divBdr>
        <w:top w:val="none" w:sz="0" w:space="0" w:color="auto"/>
        <w:left w:val="none" w:sz="0" w:space="0" w:color="auto"/>
        <w:bottom w:val="none" w:sz="0" w:space="0" w:color="auto"/>
        <w:right w:val="none" w:sz="0" w:space="0" w:color="auto"/>
      </w:divBdr>
      <w:divsChild>
        <w:div w:id="673921677">
          <w:marLeft w:val="0"/>
          <w:marRight w:val="0"/>
          <w:marTop w:val="0"/>
          <w:marBottom w:val="0"/>
          <w:divBdr>
            <w:top w:val="none" w:sz="0" w:space="0" w:color="auto"/>
            <w:left w:val="none" w:sz="0" w:space="0" w:color="auto"/>
            <w:bottom w:val="none" w:sz="0" w:space="0" w:color="auto"/>
            <w:right w:val="none" w:sz="0" w:space="0" w:color="auto"/>
          </w:divBdr>
          <w:divsChild>
            <w:div w:id="831021500">
              <w:marLeft w:val="0"/>
              <w:marRight w:val="0"/>
              <w:marTop w:val="0"/>
              <w:marBottom w:val="0"/>
              <w:divBdr>
                <w:top w:val="none" w:sz="0" w:space="0" w:color="auto"/>
                <w:left w:val="none" w:sz="0" w:space="0" w:color="auto"/>
                <w:bottom w:val="none" w:sz="0" w:space="0" w:color="auto"/>
                <w:right w:val="none" w:sz="0" w:space="0" w:color="auto"/>
              </w:divBdr>
              <w:divsChild>
                <w:div w:id="850529249">
                  <w:marLeft w:val="0"/>
                  <w:marRight w:val="0"/>
                  <w:marTop w:val="0"/>
                  <w:marBottom w:val="0"/>
                  <w:divBdr>
                    <w:top w:val="none" w:sz="0" w:space="0" w:color="auto"/>
                    <w:left w:val="none" w:sz="0" w:space="0" w:color="auto"/>
                    <w:bottom w:val="none" w:sz="0" w:space="0" w:color="auto"/>
                    <w:right w:val="none" w:sz="0" w:space="0" w:color="auto"/>
                  </w:divBdr>
                  <w:divsChild>
                    <w:div w:id="1263490389">
                      <w:marLeft w:val="0"/>
                      <w:marRight w:val="0"/>
                      <w:marTop w:val="0"/>
                      <w:marBottom w:val="0"/>
                      <w:divBdr>
                        <w:top w:val="none" w:sz="0" w:space="0" w:color="auto"/>
                        <w:left w:val="none" w:sz="0" w:space="0" w:color="auto"/>
                        <w:bottom w:val="none" w:sz="0" w:space="0" w:color="auto"/>
                        <w:right w:val="none" w:sz="0" w:space="0" w:color="auto"/>
                      </w:divBdr>
                      <w:divsChild>
                        <w:div w:id="239364124">
                          <w:marLeft w:val="0"/>
                          <w:marRight w:val="0"/>
                          <w:marTop w:val="0"/>
                          <w:marBottom w:val="0"/>
                          <w:divBdr>
                            <w:top w:val="none" w:sz="0" w:space="0" w:color="auto"/>
                            <w:left w:val="none" w:sz="0" w:space="0" w:color="auto"/>
                            <w:bottom w:val="none" w:sz="0" w:space="0" w:color="auto"/>
                            <w:right w:val="none" w:sz="0" w:space="0" w:color="auto"/>
                          </w:divBdr>
                          <w:divsChild>
                            <w:div w:id="2141028007">
                              <w:marLeft w:val="0"/>
                              <w:marRight w:val="0"/>
                              <w:marTop w:val="0"/>
                              <w:marBottom w:val="0"/>
                              <w:divBdr>
                                <w:top w:val="none" w:sz="0" w:space="0" w:color="auto"/>
                                <w:left w:val="none" w:sz="0" w:space="0" w:color="auto"/>
                                <w:bottom w:val="none" w:sz="0" w:space="0" w:color="auto"/>
                                <w:right w:val="none" w:sz="0" w:space="0" w:color="auto"/>
                              </w:divBdr>
                              <w:divsChild>
                                <w:div w:id="13575699">
                                  <w:marLeft w:val="0"/>
                                  <w:marRight w:val="0"/>
                                  <w:marTop w:val="0"/>
                                  <w:marBottom w:val="0"/>
                                  <w:divBdr>
                                    <w:top w:val="none" w:sz="0" w:space="0" w:color="auto"/>
                                    <w:left w:val="none" w:sz="0" w:space="0" w:color="auto"/>
                                    <w:bottom w:val="none" w:sz="0" w:space="0" w:color="auto"/>
                                    <w:right w:val="none" w:sz="0" w:space="0" w:color="auto"/>
                                  </w:divBdr>
                                  <w:divsChild>
                                    <w:div w:id="319624556">
                                      <w:marLeft w:val="0"/>
                                      <w:marRight w:val="0"/>
                                      <w:marTop w:val="0"/>
                                      <w:marBottom w:val="0"/>
                                      <w:divBdr>
                                        <w:top w:val="none" w:sz="0" w:space="0" w:color="auto"/>
                                        <w:left w:val="none" w:sz="0" w:space="0" w:color="auto"/>
                                        <w:bottom w:val="none" w:sz="0" w:space="0" w:color="auto"/>
                                        <w:right w:val="none" w:sz="0" w:space="0" w:color="auto"/>
                                      </w:divBdr>
                                      <w:divsChild>
                                        <w:div w:id="24447579">
                                          <w:marLeft w:val="0"/>
                                          <w:marRight w:val="0"/>
                                          <w:marTop w:val="0"/>
                                          <w:marBottom w:val="0"/>
                                          <w:divBdr>
                                            <w:top w:val="none" w:sz="0" w:space="0" w:color="auto"/>
                                            <w:left w:val="none" w:sz="0" w:space="0" w:color="auto"/>
                                            <w:bottom w:val="none" w:sz="0" w:space="0" w:color="auto"/>
                                            <w:right w:val="none" w:sz="0" w:space="0" w:color="auto"/>
                                          </w:divBdr>
                                          <w:divsChild>
                                            <w:div w:id="641543925">
                                              <w:marLeft w:val="0"/>
                                              <w:marRight w:val="0"/>
                                              <w:marTop w:val="0"/>
                                              <w:marBottom w:val="0"/>
                                              <w:divBdr>
                                                <w:top w:val="none" w:sz="0" w:space="0" w:color="auto"/>
                                                <w:left w:val="none" w:sz="0" w:space="0" w:color="auto"/>
                                                <w:bottom w:val="none" w:sz="0" w:space="0" w:color="auto"/>
                                                <w:right w:val="none" w:sz="0" w:space="0" w:color="auto"/>
                                              </w:divBdr>
                                            </w:div>
                                            <w:div w:id="1549418685">
                                              <w:marLeft w:val="0"/>
                                              <w:marRight w:val="0"/>
                                              <w:marTop w:val="0"/>
                                              <w:marBottom w:val="0"/>
                                              <w:divBdr>
                                                <w:top w:val="none" w:sz="0" w:space="0" w:color="auto"/>
                                                <w:left w:val="none" w:sz="0" w:space="0" w:color="auto"/>
                                                <w:bottom w:val="none" w:sz="0" w:space="0" w:color="auto"/>
                                                <w:right w:val="none" w:sz="0" w:space="0" w:color="auto"/>
                                              </w:divBdr>
                                              <w:divsChild>
                                                <w:div w:id="138574977">
                                                  <w:marLeft w:val="0"/>
                                                  <w:marRight w:val="0"/>
                                                  <w:marTop w:val="0"/>
                                                  <w:marBottom w:val="0"/>
                                                  <w:divBdr>
                                                    <w:top w:val="none" w:sz="0" w:space="0" w:color="auto"/>
                                                    <w:left w:val="none" w:sz="0" w:space="0" w:color="auto"/>
                                                    <w:bottom w:val="none" w:sz="0" w:space="0" w:color="auto"/>
                                                    <w:right w:val="none" w:sz="0" w:space="0" w:color="auto"/>
                                                  </w:divBdr>
                                                  <w:divsChild>
                                                    <w:div w:id="439566771">
                                                      <w:marLeft w:val="0"/>
                                                      <w:marRight w:val="0"/>
                                                      <w:marTop w:val="0"/>
                                                      <w:marBottom w:val="0"/>
                                                      <w:divBdr>
                                                        <w:top w:val="none" w:sz="0" w:space="0" w:color="auto"/>
                                                        <w:left w:val="none" w:sz="0" w:space="0" w:color="auto"/>
                                                        <w:bottom w:val="none" w:sz="0" w:space="0" w:color="auto"/>
                                                        <w:right w:val="none" w:sz="0" w:space="0" w:color="auto"/>
                                                      </w:divBdr>
                                                      <w:divsChild>
                                                        <w:div w:id="1715034560">
                                                          <w:marLeft w:val="0"/>
                                                          <w:marRight w:val="0"/>
                                                          <w:marTop w:val="0"/>
                                                          <w:marBottom w:val="0"/>
                                                          <w:divBdr>
                                                            <w:top w:val="none" w:sz="0" w:space="0" w:color="auto"/>
                                                            <w:left w:val="none" w:sz="0" w:space="0" w:color="auto"/>
                                                            <w:bottom w:val="none" w:sz="0" w:space="0" w:color="auto"/>
                                                            <w:right w:val="none" w:sz="0" w:space="0" w:color="auto"/>
                                                          </w:divBdr>
                                                          <w:divsChild>
                                                            <w:div w:id="392702571">
                                                              <w:marLeft w:val="0"/>
                                                              <w:marRight w:val="0"/>
                                                              <w:marTop w:val="0"/>
                                                              <w:marBottom w:val="0"/>
                                                              <w:divBdr>
                                                                <w:top w:val="none" w:sz="0" w:space="0" w:color="auto"/>
                                                                <w:left w:val="none" w:sz="0" w:space="0" w:color="auto"/>
                                                                <w:bottom w:val="none" w:sz="0" w:space="0" w:color="auto"/>
                                                                <w:right w:val="none" w:sz="0" w:space="0" w:color="auto"/>
                                                              </w:divBdr>
                                                              <w:divsChild>
                                                                <w:div w:id="1859588274">
                                                                  <w:marLeft w:val="0"/>
                                                                  <w:marRight w:val="0"/>
                                                                  <w:marTop w:val="0"/>
                                                                  <w:marBottom w:val="0"/>
                                                                  <w:divBdr>
                                                                    <w:top w:val="none" w:sz="0" w:space="0" w:color="auto"/>
                                                                    <w:left w:val="none" w:sz="0" w:space="0" w:color="auto"/>
                                                                    <w:bottom w:val="none" w:sz="0" w:space="0" w:color="auto"/>
                                                                    <w:right w:val="none" w:sz="0" w:space="0" w:color="auto"/>
                                                                  </w:divBdr>
                                                                  <w:divsChild>
                                                                    <w:div w:id="941650317">
                                                                      <w:marLeft w:val="0"/>
                                                                      <w:marRight w:val="0"/>
                                                                      <w:marTop w:val="0"/>
                                                                      <w:marBottom w:val="0"/>
                                                                      <w:divBdr>
                                                                        <w:top w:val="none" w:sz="0" w:space="0" w:color="auto"/>
                                                                        <w:left w:val="none" w:sz="0" w:space="0" w:color="auto"/>
                                                                        <w:bottom w:val="none" w:sz="0" w:space="0" w:color="auto"/>
                                                                        <w:right w:val="none" w:sz="0" w:space="0" w:color="auto"/>
                                                                      </w:divBdr>
                                                                      <w:divsChild>
                                                                        <w:div w:id="1265452665">
                                                                          <w:marLeft w:val="0"/>
                                                                          <w:marRight w:val="0"/>
                                                                          <w:marTop w:val="0"/>
                                                                          <w:marBottom w:val="0"/>
                                                                          <w:divBdr>
                                                                            <w:top w:val="none" w:sz="0" w:space="0" w:color="auto"/>
                                                                            <w:left w:val="none" w:sz="0" w:space="0" w:color="auto"/>
                                                                            <w:bottom w:val="none" w:sz="0" w:space="0" w:color="auto"/>
                                                                            <w:right w:val="none" w:sz="0" w:space="0" w:color="auto"/>
                                                                          </w:divBdr>
                                                                          <w:divsChild>
                                                                            <w:div w:id="624847561">
                                                                              <w:marLeft w:val="0"/>
                                                                              <w:marRight w:val="0"/>
                                                                              <w:marTop w:val="0"/>
                                                                              <w:marBottom w:val="0"/>
                                                                              <w:divBdr>
                                                                                <w:top w:val="none" w:sz="0" w:space="0" w:color="auto"/>
                                                                                <w:left w:val="none" w:sz="0" w:space="0" w:color="auto"/>
                                                                                <w:bottom w:val="none" w:sz="0" w:space="0" w:color="auto"/>
                                                                                <w:right w:val="none" w:sz="0" w:space="0" w:color="auto"/>
                                                                              </w:divBdr>
                                                                              <w:divsChild>
                                                                                <w:div w:id="335890360">
                                                                                  <w:marLeft w:val="0"/>
                                                                                  <w:marRight w:val="0"/>
                                                                                  <w:marTop w:val="0"/>
                                                                                  <w:marBottom w:val="0"/>
                                                                                  <w:divBdr>
                                                                                    <w:top w:val="none" w:sz="0" w:space="0" w:color="auto"/>
                                                                                    <w:left w:val="none" w:sz="0" w:space="0" w:color="auto"/>
                                                                                    <w:bottom w:val="none" w:sz="0" w:space="0" w:color="auto"/>
                                                                                    <w:right w:val="none" w:sz="0" w:space="0" w:color="auto"/>
                                                                                  </w:divBdr>
                                                                                  <w:divsChild>
                                                                                    <w:div w:id="2101171360">
                                                                                      <w:marLeft w:val="0"/>
                                                                                      <w:marRight w:val="0"/>
                                                                                      <w:marTop w:val="0"/>
                                                                                      <w:marBottom w:val="0"/>
                                                                                      <w:divBdr>
                                                                                        <w:top w:val="none" w:sz="0" w:space="0" w:color="auto"/>
                                                                                        <w:left w:val="none" w:sz="0" w:space="0" w:color="auto"/>
                                                                                        <w:bottom w:val="none" w:sz="0" w:space="0" w:color="auto"/>
                                                                                        <w:right w:val="none" w:sz="0" w:space="0" w:color="auto"/>
                                                                                      </w:divBdr>
                                                                                      <w:divsChild>
                                                                                        <w:div w:id="332270739">
                                                                                          <w:marLeft w:val="0"/>
                                                                                          <w:marRight w:val="0"/>
                                                                                          <w:marTop w:val="0"/>
                                                                                          <w:marBottom w:val="0"/>
                                                                                          <w:divBdr>
                                                                                            <w:top w:val="none" w:sz="0" w:space="0" w:color="auto"/>
                                                                                            <w:left w:val="none" w:sz="0" w:space="0" w:color="auto"/>
                                                                                            <w:bottom w:val="none" w:sz="0" w:space="0" w:color="auto"/>
                                                                                            <w:right w:val="none" w:sz="0" w:space="0" w:color="auto"/>
                                                                                          </w:divBdr>
                                                                                          <w:divsChild>
                                                                                            <w:div w:id="660741340">
                                                                                              <w:marLeft w:val="0"/>
                                                                                              <w:marRight w:val="0"/>
                                                                                              <w:marTop w:val="0"/>
                                                                                              <w:marBottom w:val="0"/>
                                                                                              <w:divBdr>
                                                                                                <w:top w:val="none" w:sz="0" w:space="0" w:color="auto"/>
                                                                                                <w:left w:val="none" w:sz="0" w:space="0" w:color="auto"/>
                                                                                                <w:bottom w:val="none" w:sz="0" w:space="0" w:color="auto"/>
                                                                                                <w:right w:val="none" w:sz="0" w:space="0" w:color="auto"/>
                                                                                              </w:divBdr>
                                                                                              <w:divsChild>
                                                                                                <w:div w:id="2049914503">
                                                                                                  <w:marLeft w:val="0"/>
                                                                                                  <w:marRight w:val="0"/>
                                                                                                  <w:marTop w:val="0"/>
                                                                                                  <w:marBottom w:val="0"/>
                                                                                                  <w:divBdr>
                                                                                                    <w:top w:val="none" w:sz="0" w:space="0" w:color="auto"/>
                                                                                                    <w:left w:val="none" w:sz="0" w:space="0" w:color="auto"/>
                                                                                                    <w:bottom w:val="none" w:sz="0" w:space="0" w:color="auto"/>
                                                                                                    <w:right w:val="none" w:sz="0" w:space="0" w:color="auto"/>
                                                                                                  </w:divBdr>
                                                                                                  <w:divsChild>
                                                                                                    <w:div w:id="358629920">
                                                                                                      <w:marLeft w:val="0"/>
                                                                                                      <w:marRight w:val="0"/>
                                                                                                      <w:marTop w:val="0"/>
                                                                                                      <w:marBottom w:val="0"/>
                                                                                                      <w:divBdr>
                                                                                                        <w:top w:val="none" w:sz="0" w:space="0" w:color="auto"/>
                                                                                                        <w:left w:val="none" w:sz="0" w:space="0" w:color="auto"/>
                                                                                                        <w:bottom w:val="none" w:sz="0" w:space="0" w:color="auto"/>
                                                                                                        <w:right w:val="none" w:sz="0" w:space="0" w:color="auto"/>
                                                                                                      </w:divBdr>
                                                                                                      <w:divsChild>
                                                                                                        <w:div w:id="1504318908">
                                                                                                          <w:marLeft w:val="0"/>
                                                                                                          <w:marRight w:val="0"/>
                                                                                                          <w:marTop w:val="0"/>
                                                                                                          <w:marBottom w:val="0"/>
                                                                                                          <w:divBdr>
                                                                                                            <w:top w:val="none" w:sz="0" w:space="0" w:color="auto"/>
                                                                                                            <w:left w:val="none" w:sz="0" w:space="0" w:color="auto"/>
                                                                                                            <w:bottom w:val="none" w:sz="0" w:space="0" w:color="auto"/>
                                                                                                            <w:right w:val="none" w:sz="0" w:space="0" w:color="auto"/>
                                                                                                          </w:divBdr>
                                                                                                          <w:divsChild>
                                                                                                            <w:div w:id="267473473">
                                                                                                              <w:marLeft w:val="0"/>
                                                                                                              <w:marRight w:val="0"/>
                                                                                                              <w:marTop w:val="0"/>
                                                                                                              <w:marBottom w:val="0"/>
                                                                                                              <w:divBdr>
                                                                                                                <w:top w:val="none" w:sz="0" w:space="0" w:color="auto"/>
                                                                                                                <w:left w:val="none" w:sz="0" w:space="0" w:color="auto"/>
                                                                                                                <w:bottom w:val="none" w:sz="0" w:space="0" w:color="auto"/>
                                                                                                                <w:right w:val="none" w:sz="0" w:space="0" w:color="auto"/>
                                                                                                              </w:divBdr>
                                                                                                              <w:divsChild>
                                                                                                                <w:div w:id="1921940944">
                                                                                                                  <w:marLeft w:val="0"/>
                                                                                                                  <w:marRight w:val="0"/>
                                                                                                                  <w:marTop w:val="0"/>
                                                                                                                  <w:marBottom w:val="0"/>
                                                                                                                  <w:divBdr>
                                                                                                                    <w:top w:val="none" w:sz="0" w:space="0" w:color="auto"/>
                                                                                                                    <w:left w:val="none" w:sz="0" w:space="0" w:color="auto"/>
                                                                                                                    <w:bottom w:val="none" w:sz="0" w:space="0" w:color="auto"/>
                                                                                                                    <w:right w:val="none" w:sz="0" w:space="0" w:color="auto"/>
                                                                                                                  </w:divBdr>
                                                                                                                  <w:divsChild>
                                                                                                                    <w:div w:id="149754221">
                                                                                                                      <w:marLeft w:val="0"/>
                                                                                                                      <w:marRight w:val="0"/>
                                                                                                                      <w:marTop w:val="0"/>
                                                                                                                      <w:marBottom w:val="0"/>
                                                                                                                      <w:divBdr>
                                                                                                                        <w:top w:val="none" w:sz="0" w:space="0" w:color="auto"/>
                                                                                                                        <w:left w:val="none" w:sz="0" w:space="0" w:color="auto"/>
                                                                                                                        <w:bottom w:val="none" w:sz="0" w:space="0" w:color="auto"/>
                                                                                                                        <w:right w:val="none" w:sz="0" w:space="0" w:color="auto"/>
                                                                                                                      </w:divBdr>
                                                                                                                      <w:divsChild>
                                                                                                                        <w:div w:id="633023161">
                                                                                                                          <w:marLeft w:val="0"/>
                                                                                                                          <w:marRight w:val="0"/>
                                                                                                                          <w:marTop w:val="0"/>
                                                                                                                          <w:marBottom w:val="0"/>
                                                                                                                          <w:divBdr>
                                                                                                                            <w:top w:val="none" w:sz="0" w:space="0" w:color="auto"/>
                                                                                                                            <w:left w:val="none" w:sz="0" w:space="0" w:color="auto"/>
                                                                                                                            <w:bottom w:val="none" w:sz="0" w:space="0" w:color="auto"/>
                                                                                                                            <w:right w:val="none" w:sz="0" w:space="0" w:color="auto"/>
                                                                                                                          </w:divBdr>
                                                                                                                          <w:divsChild>
                                                                                                                            <w:div w:id="1016808406">
                                                                                                                              <w:marLeft w:val="0"/>
                                                                                                                              <w:marRight w:val="0"/>
                                                                                                                              <w:marTop w:val="0"/>
                                                                                                                              <w:marBottom w:val="0"/>
                                                                                                                              <w:divBdr>
                                                                                                                                <w:top w:val="none" w:sz="0" w:space="0" w:color="auto"/>
                                                                                                                                <w:left w:val="none" w:sz="0" w:space="0" w:color="auto"/>
                                                                                                                                <w:bottom w:val="none" w:sz="0" w:space="0" w:color="auto"/>
                                                                                                                                <w:right w:val="none" w:sz="0" w:space="0" w:color="auto"/>
                                                                                                                              </w:divBdr>
                                                                                                                              <w:divsChild>
                                                                                                                                <w:div w:id="1675181735">
                                                                                                                                  <w:marLeft w:val="0"/>
                                                                                                                                  <w:marRight w:val="0"/>
                                                                                                                                  <w:marTop w:val="0"/>
                                                                                                                                  <w:marBottom w:val="0"/>
                                                                                                                                  <w:divBdr>
                                                                                                                                    <w:top w:val="none" w:sz="0" w:space="0" w:color="auto"/>
                                                                                                                                    <w:left w:val="none" w:sz="0" w:space="0" w:color="auto"/>
                                                                                                                                    <w:bottom w:val="none" w:sz="0" w:space="0" w:color="auto"/>
                                                                                                                                    <w:right w:val="none" w:sz="0" w:space="0" w:color="auto"/>
                                                                                                                                  </w:divBdr>
                                                                                                                                  <w:divsChild>
                                                                                                                                    <w:div w:id="371272022">
                                                                                                                                      <w:marLeft w:val="0"/>
                                                                                                                                      <w:marRight w:val="0"/>
                                                                                                                                      <w:marTop w:val="0"/>
                                                                                                                                      <w:marBottom w:val="0"/>
                                                                                                                                      <w:divBdr>
                                                                                                                                        <w:top w:val="none" w:sz="0" w:space="0" w:color="auto"/>
                                                                                                                                        <w:left w:val="none" w:sz="0" w:space="0" w:color="auto"/>
                                                                                                                                        <w:bottom w:val="none" w:sz="0" w:space="0" w:color="auto"/>
                                                                                                                                        <w:right w:val="none" w:sz="0" w:space="0" w:color="auto"/>
                                                                                                                                      </w:divBdr>
                                                                                                                                      <w:divsChild>
                                                                                                                                        <w:div w:id="171917766">
                                                                                                                                          <w:marLeft w:val="0"/>
                                                                                                                                          <w:marRight w:val="0"/>
                                                                                                                                          <w:marTop w:val="0"/>
                                                                                                                                          <w:marBottom w:val="0"/>
                                                                                                                                          <w:divBdr>
                                                                                                                                            <w:top w:val="none" w:sz="0" w:space="0" w:color="auto"/>
                                                                                                                                            <w:left w:val="none" w:sz="0" w:space="0" w:color="auto"/>
                                                                                                                                            <w:bottom w:val="none" w:sz="0" w:space="0" w:color="auto"/>
                                                                                                                                            <w:right w:val="none" w:sz="0" w:space="0" w:color="auto"/>
                                                                                                                                          </w:divBdr>
                                                                                                                                          <w:divsChild>
                                                                                                                                            <w:div w:id="1648587729">
                                                                                                                                              <w:marLeft w:val="0"/>
                                                                                                                                              <w:marRight w:val="0"/>
                                                                                                                                              <w:marTop w:val="0"/>
                                                                                                                                              <w:marBottom w:val="0"/>
                                                                                                                                              <w:divBdr>
                                                                                                                                                <w:top w:val="none" w:sz="0" w:space="0" w:color="auto"/>
                                                                                                                                                <w:left w:val="none" w:sz="0" w:space="0" w:color="auto"/>
                                                                                                                                                <w:bottom w:val="none" w:sz="0" w:space="0" w:color="auto"/>
                                                                                                                                                <w:right w:val="none" w:sz="0" w:space="0" w:color="auto"/>
                                                                                                                                              </w:divBdr>
                                                                                                                                              <w:divsChild>
                                                                                                                                                <w:div w:id="1626351050">
                                                                                                                                                  <w:marLeft w:val="0"/>
                                                                                                                                                  <w:marRight w:val="0"/>
                                                                                                                                                  <w:marTop w:val="0"/>
                                                                                                                                                  <w:marBottom w:val="0"/>
                                                                                                                                                  <w:divBdr>
                                                                                                                                                    <w:top w:val="none" w:sz="0" w:space="0" w:color="auto"/>
                                                                                                                                                    <w:left w:val="none" w:sz="0" w:space="0" w:color="auto"/>
                                                                                                                                                    <w:bottom w:val="none" w:sz="0" w:space="0" w:color="auto"/>
                                                                                                                                                    <w:right w:val="none" w:sz="0" w:space="0" w:color="auto"/>
                                                                                                                                                  </w:divBdr>
                                                                                                                                                  <w:divsChild>
                                                                                                                                                    <w:div w:id="220219203">
                                                                                                                                                      <w:marLeft w:val="0"/>
                                                                                                                                                      <w:marRight w:val="0"/>
                                                                                                                                                      <w:marTop w:val="0"/>
                                                                                                                                                      <w:marBottom w:val="0"/>
                                                                                                                                                      <w:divBdr>
                                                                                                                                                        <w:top w:val="none" w:sz="0" w:space="0" w:color="auto"/>
                                                                                                                                                        <w:left w:val="none" w:sz="0" w:space="0" w:color="auto"/>
                                                                                                                                                        <w:bottom w:val="none" w:sz="0" w:space="0" w:color="auto"/>
                                                                                                                                                        <w:right w:val="none" w:sz="0" w:space="0" w:color="auto"/>
                                                                                                                                                      </w:divBdr>
                                                                                                                                                      <w:divsChild>
                                                                                                                                                        <w:div w:id="1433164084">
                                                                                                                                                          <w:marLeft w:val="0"/>
                                                                                                                                                          <w:marRight w:val="0"/>
                                                                                                                                                          <w:marTop w:val="0"/>
                                                                                                                                                          <w:marBottom w:val="0"/>
                                                                                                                                                          <w:divBdr>
                                                                                                                                                            <w:top w:val="none" w:sz="0" w:space="0" w:color="auto"/>
                                                                                                                                                            <w:left w:val="none" w:sz="0" w:space="0" w:color="auto"/>
                                                                                                                                                            <w:bottom w:val="none" w:sz="0" w:space="0" w:color="auto"/>
                                                                                                                                                            <w:right w:val="none" w:sz="0" w:space="0" w:color="auto"/>
                                                                                                                                                          </w:divBdr>
                                                                                                                                                          <w:divsChild>
                                                                                                                                                            <w:div w:id="1630626811">
                                                                                                                                                              <w:marLeft w:val="0"/>
                                                                                                                                                              <w:marRight w:val="0"/>
                                                                                                                                                              <w:marTop w:val="0"/>
                                                                                                                                                              <w:marBottom w:val="0"/>
                                                                                                                                                              <w:divBdr>
                                                                                                                                                                <w:top w:val="none" w:sz="0" w:space="0" w:color="auto"/>
                                                                                                                                                                <w:left w:val="none" w:sz="0" w:space="0" w:color="auto"/>
                                                                                                                                                                <w:bottom w:val="none" w:sz="0" w:space="0" w:color="auto"/>
                                                                                                                                                                <w:right w:val="none" w:sz="0" w:space="0" w:color="auto"/>
                                                                                                                                                              </w:divBdr>
                                                                                                                                                              <w:divsChild>
                                                                                                                                                                <w:div w:id="2167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734446">
      <w:bodyDiv w:val="1"/>
      <w:marLeft w:val="0"/>
      <w:marRight w:val="0"/>
      <w:marTop w:val="0"/>
      <w:marBottom w:val="0"/>
      <w:divBdr>
        <w:top w:val="none" w:sz="0" w:space="0" w:color="auto"/>
        <w:left w:val="none" w:sz="0" w:space="0" w:color="auto"/>
        <w:bottom w:val="none" w:sz="0" w:space="0" w:color="auto"/>
        <w:right w:val="none" w:sz="0" w:space="0" w:color="auto"/>
      </w:divBdr>
    </w:div>
    <w:div w:id="20602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5680-38E0-484C-A382-A77063AE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26587</Words>
  <Characters>151547</Characters>
  <Application>Microsoft Macintosh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Yafeng Shan</dc:creator>
  <cp:keywords/>
  <dc:description/>
  <cp:lastModifiedBy>mac</cp:lastModifiedBy>
  <cp:revision>2</cp:revision>
  <cp:lastPrinted>2016-03-23T17:15:00Z</cp:lastPrinted>
  <dcterms:created xsi:type="dcterms:W3CDTF">2018-02-12T14:19:00Z</dcterms:created>
  <dcterms:modified xsi:type="dcterms:W3CDTF">2018-02-12T14:19:00Z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6a2c41e6-4fa2-3a8d-8c63-eba003451d6e</vt:lpwstr>
  </property>
</Properties>
</file>