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9E82" w14:textId="724B9C1E" w:rsidR="006F75A4" w:rsidRDefault="006F75A4" w:rsidP="003E17C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5C">
        <w:rPr>
          <w:rFonts w:ascii="Times New Roman" w:hAnsi="Times New Roman" w:cs="Times New Roman"/>
          <w:b/>
          <w:sz w:val="28"/>
          <w:szCs w:val="28"/>
        </w:rPr>
        <w:t>Can Communities Cause?</w:t>
      </w:r>
    </w:p>
    <w:p w14:paraId="59B11B37" w14:textId="44973A78" w:rsidR="003E17CE" w:rsidRPr="003E17CE" w:rsidRDefault="003E17CE" w:rsidP="003E17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CE">
        <w:rPr>
          <w:rFonts w:ascii="Times New Roman" w:hAnsi="Times New Roman" w:cs="Times New Roman"/>
          <w:b/>
          <w:sz w:val="24"/>
          <w:szCs w:val="24"/>
        </w:rPr>
        <w:t>Christopher Hunter Lean</w:t>
      </w:r>
      <w:r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659B1B2" w14:textId="1465BAF6" w:rsidR="003E17CE" w:rsidRDefault="003E17CE" w:rsidP="00A96039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DC234E7" w14:textId="26EC4038" w:rsidR="001301DF" w:rsidRPr="00BE45FE" w:rsidRDefault="001301DF" w:rsidP="001301DF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E45FE">
        <w:rPr>
          <w:rFonts w:ascii="Times New Roman" w:hAnsi="Times New Roman" w:cs="Times New Roman"/>
          <w:i/>
          <w:sz w:val="24"/>
          <w:szCs w:val="24"/>
        </w:rPr>
        <w:t>Abstract</w:t>
      </w:r>
    </w:p>
    <w:p w14:paraId="5068636F" w14:textId="77777777" w:rsidR="001301DF" w:rsidRDefault="001301DF" w:rsidP="001301D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6C67769" w14:textId="6F5433A0" w:rsidR="00B97C8C" w:rsidRPr="003E17CE" w:rsidRDefault="00A96039" w:rsidP="00A960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E17CE">
        <w:rPr>
          <w:rFonts w:ascii="Times New Roman" w:hAnsi="Times New Roman" w:cs="Times New Roman"/>
          <w:sz w:val="24"/>
          <w:szCs w:val="24"/>
        </w:rPr>
        <w:t>Lynch et al. 2019</w:t>
      </w:r>
      <w:r w:rsidR="006547EB" w:rsidRPr="003E17CE">
        <w:rPr>
          <w:rFonts w:ascii="Times New Roman" w:hAnsi="Times New Roman" w:cs="Times New Roman"/>
          <w:sz w:val="24"/>
          <w:szCs w:val="24"/>
        </w:rPr>
        <w:t xml:space="preserve"> propose an extremely useful framework </w:t>
      </w:r>
      <w:r w:rsidR="006E7ABE" w:rsidRPr="003E17CE">
        <w:rPr>
          <w:rFonts w:ascii="Times New Roman" w:hAnsi="Times New Roman" w:cs="Times New Roman"/>
          <w:sz w:val="24"/>
          <w:szCs w:val="24"/>
        </w:rPr>
        <w:t>to</w:t>
      </w:r>
      <w:r w:rsidR="006547EB" w:rsidRPr="003E17CE">
        <w:rPr>
          <w:rFonts w:ascii="Times New Roman" w:hAnsi="Times New Roman" w:cs="Times New Roman"/>
          <w:sz w:val="24"/>
          <w:szCs w:val="24"/>
        </w:rPr>
        <w:t xml:space="preserve"> assess microbiome </w:t>
      </w:r>
      <w:r w:rsidR="006F75A4" w:rsidRPr="003E17CE">
        <w:rPr>
          <w:rFonts w:ascii="Times New Roman" w:hAnsi="Times New Roman" w:cs="Times New Roman"/>
          <w:sz w:val="24"/>
          <w:szCs w:val="24"/>
        </w:rPr>
        <w:t>research</w:t>
      </w:r>
      <w:r w:rsidR="006547EB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225632" w:rsidRPr="003E17CE">
        <w:rPr>
          <w:rFonts w:ascii="Times New Roman" w:hAnsi="Times New Roman" w:cs="Times New Roman"/>
          <w:sz w:val="24"/>
          <w:szCs w:val="24"/>
        </w:rPr>
        <w:t>By u</w:t>
      </w:r>
      <w:r w:rsidR="007632D6" w:rsidRPr="003E17CE">
        <w:rPr>
          <w:rFonts w:ascii="Times New Roman" w:hAnsi="Times New Roman" w:cs="Times New Roman"/>
          <w:sz w:val="24"/>
          <w:szCs w:val="24"/>
        </w:rPr>
        <w:t>tilising</w:t>
      </w:r>
      <w:r w:rsidR="004D369C" w:rsidRPr="003E17CE">
        <w:rPr>
          <w:rFonts w:ascii="Times New Roman" w:hAnsi="Times New Roman" w:cs="Times New Roman"/>
          <w:sz w:val="24"/>
          <w:szCs w:val="24"/>
        </w:rPr>
        <w:t xml:space="preserve"> advances in the causation </w:t>
      </w:r>
      <w:r w:rsidR="00547F49" w:rsidRPr="003E17CE">
        <w:rPr>
          <w:rFonts w:ascii="Times New Roman" w:hAnsi="Times New Roman" w:cs="Times New Roman"/>
          <w:sz w:val="24"/>
          <w:szCs w:val="24"/>
        </w:rPr>
        <w:t>literature,</w:t>
      </w:r>
      <w:r w:rsidR="006F75A4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4D369C" w:rsidRPr="003E17CE">
        <w:rPr>
          <w:rFonts w:ascii="Times New Roman" w:hAnsi="Times New Roman" w:cs="Times New Roman"/>
          <w:sz w:val="24"/>
          <w:szCs w:val="24"/>
        </w:rPr>
        <w:t>they argue that many of the claims in microbiome research are ‘weak or misleading’</w:t>
      </w:r>
      <w:r w:rsidR="00AC7E2C" w:rsidRPr="003E17CE">
        <w:rPr>
          <w:rFonts w:ascii="Times New Roman" w:hAnsi="Times New Roman" w:cs="Times New Roman"/>
          <w:sz w:val="24"/>
          <w:szCs w:val="24"/>
        </w:rPr>
        <w:t xml:space="preserve"> as the</w:t>
      </w:r>
      <w:r w:rsidR="00225632" w:rsidRPr="003E17CE">
        <w:rPr>
          <w:rFonts w:ascii="Times New Roman" w:hAnsi="Times New Roman" w:cs="Times New Roman"/>
          <w:sz w:val="24"/>
          <w:szCs w:val="24"/>
        </w:rPr>
        <w:t>se claims</w:t>
      </w:r>
      <w:r w:rsidR="00AC7E2C" w:rsidRPr="003E17CE">
        <w:rPr>
          <w:rFonts w:ascii="Times New Roman" w:hAnsi="Times New Roman" w:cs="Times New Roman"/>
          <w:sz w:val="24"/>
          <w:szCs w:val="24"/>
        </w:rPr>
        <w:t xml:space="preserve"> lack stability, specificity, or proportionality</w:t>
      </w:r>
      <w:r w:rsidR="004D369C" w:rsidRPr="003E17CE">
        <w:rPr>
          <w:rFonts w:ascii="Times New Roman" w:hAnsi="Times New Roman" w:cs="Times New Roman"/>
          <w:sz w:val="24"/>
          <w:szCs w:val="24"/>
        </w:rPr>
        <w:t xml:space="preserve">. In the final paragraph before the conclusion they entertain and </w:t>
      </w:r>
      <w:r w:rsidR="00CB6FE3" w:rsidRPr="003E17CE">
        <w:rPr>
          <w:rFonts w:ascii="Times New Roman" w:hAnsi="Times New Roman" w:cs="Times New Roman"/>
          <w:sz w:val="24"/>
          <w:szCs w:val="24"/>
        </w:rPr>
        <w:t xml:space="preserve">rapidly </w:t>
      </w:r>
      <w:r w:rsidR="004D369C" w:rsidRPr="003E17CE">
        <w:rPr>
          <w:rFonts w:ascii="Times New Roman" w:hAnsi="Times New Roman" w:cs="Times New Roman"/>
          <w:sz w:val="24"/>
          <w:szCs w:val="24"/>
        </w:rPr>
        <w:t xml:space="preserve">dismiss the ‘ecological version’ of microbiomes, in which microbiome properties </w:t>
      </w:r>
      <w:r w:rsidR="00AC7E2C" w:rsidRPr="003E17CE">
        <w:rPr>
          <w:rFonts w:ascii="Times New Roman" w:hAnsi="Times New Roman" w:cs="Times New Roman"/>
          <w:sz w:val="24"/>
          <w:szCs w:val="24"/>
        </w:rPr>
        <w:t>are</w:t>
      </w:r>
      <w:r w:rsidR="004D369C" w:rsidRPr="003E17CE">
        <w:rPr>
          <w:rFonts w:ascii="Times New Roman" w:hAnsi="Times New Roman" w:cs="Times New Roman"/>
          <w:sz w:val="24"/>
          <w:szCs w:val="24"/>
        </w:rPr>
        <w:t xml:space="preserve"> emergent </w:t>
      </w:r>
      <w:r w:rsidR="001609BA" w:rsidRPr="003E17CE">
        <w:rPr>
          <w:rFonts w:ascii="Times New Roman" w:hAnsi="Times New Roman" w:cs="Times New Roman"/>
          <w:sz w:val="24"/>
          <w:szCs w:val="24"/>
        </w:rPr>
        <w:t>from their constituent populations and</w:t>
      </w:r>
      <w:r w:rsidR="00AC7E2C" w:rsidRPr="003E17CE">
        <w:rPr>
          <w:rFonts w:ascii="Times New Roman" w:hAnsi="Times New Roman" w:cs="Times New Roman"/>
          <w:sz w:val="24"/>
          <w:szCs w:val="24"/>
        </w:rPr>
        <w:t xml:space="preserve"> can fulfil Koch’s postulates</w:t>
      </w:r>
      <w:r w:rsidR="004D369C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2F09D9" w:rsidRPr="003E17CE">
        <w:rPr>
          <w:rFonts w:ascii="Times New Roman" w:hAnsi="Times New Roman" w:cs="Times New Roman"/>
          <w:sz w:val="24"/>
          <w:szCs w:val="24"/>
        </w:rPr>
        <w:t xml:space="preserve">I </w:t>
      </w:r>
      <w:r w:rsidR="008105C2" w:rsidRPr="003E17CE">
        <w:rPr>
          <w:rFonts w:ascii="Times New Roman" w:hAnsi="Times New Roman" w:cs="Times New Roman"/>
          <w:sz w:val="24"/>
          <w:szCs w:val="24"/>
        </w:rPr>
        <w:t>assess the possibility of microbiome</w:t>
      </w:r>
      <w:r w:rsidR="00BA4FA6" w:rsidRPr="003E17CE">
        <w:rPr>
          <w:rFonts w:ascii="Times New Roman" w:hAnsi="Times New Roman" w:cs="Times New Roman"/>
          <w:sz w:val="24"/>
          <w:szCs w:val="24"/>
        </w:rPr>
        <w:t>s</w:t>
      </w:r>
      <w:r w:rsidR="008105C2" w:rsidRPr="003E17CE">
        <w:rPr>
          <w:rFonts w:ascii="Times New Roman" w:hAnsi="Times New Roman" w:cs="Times New Roman"/>
          <w:sz w:val="24"/>
          <w:szCs w:val="24"/>
        </w:rPr>
        <w:t xml:space="preserve"> having emergent causal efficacy</w:t>
      </w:r>
      <w:r w:rsidR="00AD6176" w:rsidRPr="003E17CE">
        <w:rPr>
          <w:rFonts w:ascii="Times New Roman" w:hAnsi="Times New Roman" w:cs="Times New Roman"/>
          <w:sz w:val="24"/>
          <w:szCs w:val="24"/>
        </w:rPr>
        <w:t xml:space="preserve"> on host health</w:t>
      </w:r>
      <w:r w:rsidR="00903EB1">
        <w:rPr>
          <w:rFonts w:ascii="Times New Roman" w:hAnsi="Times New Roman" w:cs="Times New Roman"/>
          <w:sz w:val="24"/>
          <w:szCs w:val="24"/>
        </w:rPr>
        <w:t xml:space="preserve"> and suggest they can</w:t>
      </w:r>
      <w:r w:rsidR="00AD6176" w:rsidRPr="003E17C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5A089B5" w14:textId="5A576B91" w:rsidR="006547EB" w:rsidRPr="003E17CE" w:rsidRDefault="008105C2" w:rsidP="00A960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E221C" w14:textId="66DFD9E6" w:rsidR="00326F4E" w:rsidRPr="003E17CE" w:rsidRDefault="00326F4E" w:rsidP="004D6FAA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7CE">
        <w:rPr>
          <w:rFonts w:ascii="Times New Roman" w:hAnsi="Times New Roman" w:cs="Times New Roman"/>
          <w:i/>
          <w:iCs/>
          <w:sz w:val="24"/>
          <w:szCs w:val="24"/>
        </w:rPr>
        <w:t>Microbiomes as communities</w:t>
      </w:r>
    </w:p>
    <w:p w14:paraId="34B735D4" w14:textId="77777777" w:rsidR="00B97C8C" w:rsidRPr="003E17CE" w:rsidRDefault="00B97C8C" w:rsidP="004D6FAA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FD72DF" w14:textId="192CADF2" w:rsidR="000C4224" w:rsidRPr="003E17CE" w:rsidRDefault="000C4224" w:rsidP="001F7F5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>Lynch et al.</w:t>
      </w:r>
      <w:r w:rsidR="001F7F5C" w:rsidRPr="003E17CE">
        <w:rPr>
          <w:rFonts w:ascii="Times New Roman" w:hAnsi="Times New Roman" w:cs="Times New Roman"/>
          <w:sz w:val="24"/>
          <w:szCs w:val="24"/>
        </w:rPr>
        <w:t xml:space="preserve"> 2019</w:t>
      </w:r>
      <w:r w:rsidRPr="003E17CE">
        <w:rPr>
          <w:rFonts w:ascii="Times New Roman" w:hAnsi="Times New Roman" w:cs="Times New Roman"/>
          <w:sz w:val="24"/>
          <w:szCs w:val="24"/>
        </w:rPr>
        <w:t xml:space="preserve"> make a </w:t>
      </w:r>
      <w:r w:rsidR="00225632" w:rsidRPr="003E17CE">
        <w:rPr>
          <w:rFonts w:ascii="Times New Roman" w:hAnsi="Times New Roman" w:cs="Times New Roman"/>
          <w:sz w:val="24"/>
          <w:szCs w:val="24"/>
        </w:rPr>
        <w:t>strong</w:t>
      </w:r>
      <w:r w:rsidRPr="003E17CE">
        <w:rPr>
          <w:rFonts w:ascii="Times New Roman" w:hAnsi="Times New Roman" w:cs="Times New Roman"/>
          <w:sz w:val="24"/>
          <w:szCs w:val="24"/>
        </w:rPr>
        <w:t xml:space="preserve"> case for reconsidering the role of microbiomes </w:t>
      </w:r>
      <w:r w:rsidR="009F42B6" w:rsidRPr="003E17CE">
        <w:rPr>
          <w:rFonts w:ascii="Times New Roman" w:hAnsi="Times New Roman" w:cs="Times New Roman"/>
          <w:sz w:val="24"/>
          <w:szCs w:val="24"/>
        </w:rPr>
        <w:t>o</w:t>
      </w:r>
      <w:r w:rsidRPr="003E17CE">
        <w:rPr>
          <w:rFonts w:ascii="Times New Roman" w:hAnsi="Times New Roman" w:cs="Times New Roman"/>
          <w:sz w:val="24"/>
          <w:szCs w:val="24"/>
        </w:rPr>
        <w:t>n health. Health outcomes originally ascribed to functional or compositional microbiomes have been identified as the product of narrow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Pr="003E17CE">
        <w:rPr>
          <w:rFonts w:ascii="Times New Roman" w:hAnsi="Times New Roman" w:cs="Times New Roman"/>
          <w:sz w:val="24"/>
          <w:szCs w:val="24"/>
        </w:rPr>
        <w:t>population subgroups, often only a couple of species of bacteria. This indicates that we should be reductive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 in our causal explanandum</w:t>
      </w:r>
      <w:r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That is, </w:t>
      </w:r>
      <w:r w:rsidR="00225632" w:rsidRPr="003E17CE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3E17CE">
        <w:rPr>
          <w:rFonts w:ascii="Times New Roman" w:hAnsi="Times New Roman" w:cs="Times New Roman"/>
          <w:sz w:val="24"/>
          <w:szCs w:val="24"/>
        </w:rPr>
        <w:t xml:space="preserve">ather than consider the role of </w:t>
      </w:r>
      <w:r w:rsidR="00225632" w:rsidRPr="003E17CE">
        <w:rPr>
          <w:rFonts w:ascii="Times New Roman" w:hAnsi="Times New Roman" w:cs="Times New Roman"/>
          <w:sz w:val="24"/>
          <w:szCs w:val="24"/>
        </w:rPr>
        <w:t>a</w:t>
      </w:r>
      <w:r w:rsidRPr="003E17CE">
        <w:rPr>
          <w:rFonts w:ascii="Times New Roman" w:hAnsi="Times New Roman" w:cs="Times New Roman"/>
          <w:sz w:val="24"/>
          <w:szCs w:val="24"/>
        </w:rPr>
        <w:t xml:space="preserve"> microbiome on health, we should consider the role of 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3E17CE">
        <w:rPr>
          <w:rFonts w:ascii="Times New Roman" w:hAnsi="Times New Roman" w:cs="Times New Roman"/>
          <w:sz w:val="24"/>
          <w:szCs w:val="24"/>
        </w:rPr>
        <w:t>microbial species on health</w:t>
      </w:r>
      <w:r w:rsidR="00A96039" w:rsidRPr="003E17CE">
        <w:rPr>
          <w:rFonts w:ascii="Times New Roman" w:hAnsi="Times New Roman" w:cs="Times New Roman"/>
          <w:sz w:val="24"/>
          <w:szCs w:val="24"/>
        </w:rPr>
        <w:t>,</w:t>
      </w:r>
      <w:r w:rsidRPr="003E17CE">
        <w:rPr>
          <w:rFonts w:ascii="Times New Roman" w:hAnsi="Times New Roman" w:cs="Times New Roman"/>
          <w:sz w:val="24"/>
          <w:szCs w:val="24"/>
        </w:rPr>
        <w:t xml:space="preserve"> just like in the case of </w:t>
      </w:r>
      <w:r w:rsidRPr="003E17CE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Pr="003E17CE">
        <w:rPr>
          <w:rFonts w:ascii="Times New Roman" w:hAnsi="Times New Roman" w:cs="Times New Roman"/>
          <w:sz w:val="24"/>
          <w:szCs w:val="24"/>
        </w:rPr>
        <w:t xml:space="preserve"> and stomach ulcers.</w:t>
      </w:r>
    </w:p>
    <w:p w14:paraId="69BA048E" w14:textId="1F7DEAFE" w:rsidR="00A96039" w:rsidRPr="003E17CE" w:rsidRDefault="000C4224" w:rsidP="00A960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>The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 authors</w:t>
      </w:r>
      <w:r w:rsidR="00304237" w:rsidRPr="003E17CE">
        <w:rPr>
          <w:rFonts w:ascii="Times New Roman" w:hAnsi="Times New Roman" w:cs="Times New Roman"/>
          <w:sz w:val="24"/>
          <w:szCs w:val="24"/>
        </w:rPr>
        <w:t>, in my view,</w:t>
      </w:r>
      <w:r w:rsidRPr="003E17CE">
        <w:rPr>
          <w:rFonts w:ascii="Times New Roman" w:hAnsi="Times New Roman" w:cs="Times New Roman"/>
          <w:sz w:val="24"/>
          <w:szCs w:val="24"/>
        </w:rPr>
        <w:t xml:space="preserve"> correctly argue that t</w:t>
      </w:r>
      <w:r w:rsidR="006D56E6" w:rsidRPr="003E17CE">
        <w:rPr>
          <w:rFonts w:ascii="Times New Roman" w:hAnsi="Times New Roman" w:cs="Times New Roman"/>
          <w:sz w:val="24"/>
          <w:szCs w:val="24"/>
        </w:rPr>
        <w:t>here is no reasonable sense in which the</w:t>
      </w:r>
      <w:r w:rsidR="00851066" w:rsidRPr="003E17CE">
        <w:rPr>
          <w:rFonts w:ascii="Times New Roman" w:hAnsi="Times New Roman" w:cs="Times New Roman"/>
          <w:sz w:val="24"/>
          <w:szCs w:val="24"/>
        </w:rPr>
        <w:t xml:space="preserve"> entire</w:t>
      </w:r>
      <w:r w:rsidR="006D56E6" w:rsidRPr="003E17CE">
        <w:rPr>
          <w:rFonts w:ascii="Times New Roman" w:hAnsi="Times New Roman" w:cs="Times New Roman"/>
          <w:sz w:val="24"/>
          <w:szCs w:val="24"/>
        </w:rPr>
        <w:t xml:space="preserve"> microbiome </w:t>
      </w:r>
      <w:r w:rsidR="00851066" w:rsidRPr="003E17CE">
        <w:rPr>
          <w:rFonts w:ascii="Times New Roman" w:hAnsi="Times New Roman" w:cs="Times New Roman"/>
          <w:sz w:val="24"/>
          <w:szCs w:val="24"/>
        </w:rPr>
        <w:t>could have a</w:t>
      </w:r>
      <w:r w:rsidR="006D56E6" w:rsidRPr="003E17CE">
        <w:rPr>
          <w:rFonts w:ascii="Times New Roman" w:hAnsi="Times New Roman" w:cs="Times New Roman"/>
          <w:sz w:val="24"/>
          <w:szCs w:val="24"/>
        </w:rPr>
        <w:t xml:space="preserve"> specific effect on a host. The microbiome is dispersed across the host organism, occupying the many different environments a macro-organism produces</w:t>
      </w:r>
      <w:r w:rsidR="00225632" w:rsidRPr="003E17CE">
        <w:rPr>
          <w:rFonts w:ascii="Times New Roman" w:hAnsi="Times New Roman" w:cs="Times New Roman"/>
          <w:sz w:val="24"/>
          <w:szCs w:val="24"/>
        </w:rPr>
        <w:t>. M</w:t>
      </w:r>
      <w:r w:rsidR="00BA4FA6" w:rsidRPr="003E17CE">
        <w:rPr>
          <w:rFonts w:ascii="Times New Roman" w:hAnsi="Times New Roman" w:cs="Times New Roman"/>
          <w:sz w:val="24"/>
          <w:szCs w:val="24"/>
        </w:rPr>
        <w:t xml:space="preserve">any of these </w:t>
      </w:r>
      <w:r w:rsidR="00851066" w:rsidRPr="003E17CE">
        <w:rPr>
          <w:rFonts w:ascii="Times New Roman" w:hAnsi="Times New Roman" w:cs="Times New Roman"/>
          <w:sz w:val="24"/>
          <w:szCs w:val="24"/>
        </w:rPr>
        <w:t>microbes</w:t>
      </w:r>
      <w:r w:rsidR="006D56E6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8050DA" w:rsidRPr="003E17CE">
        <w:rPr>
          <w:rFonts w:ascii="Times New Roman" w:hAnsi="Times New Roman" w:cs="Times New Roman"/>
          <w:sz w:val="24"/>
          <w:szCs w:val="24"/>
        </w:rPr>
        <w:t>exert</w:t>
      </w:r>
      <w:r w:rsidR="00851066" w:rsidRPr="003E17CE">
        <w:rPr>
          <w:rFonts w:ascii="Times New Roman" w:hAnsi="Times New Roman" w:cs="Times New Roman"/>
          <w:sz w:val="24"/>
          <w:szCs w:val="24"/>
        </w:rPr>
        <w:t xml:space="preserve"> no</w:t>
      </w:r>
      <w:r w:rsidR="006D56E6" w:rsidRPr="003E17CE">
        <w:rPr>
          <w:rFonts w:ascii="Times New Roman" w:hAnsi="Times New Roman" w:cs="Times New Roman"/>
          <w:sz w:val="24"/>
          <w:szCs w:val="24"/>
        </w:rPr>
        <w:t xml:space="preserve"> discernible influence on each other</w:t>
      </w:r>
      <w:r w:rsidR="00BA4FA6" w:rsidRPr="003E17CE">
        <w:rPr>
          <w:rFonts w:ascii="Times New Roman" w:hAnsi="Times New Roman" w:cs="Times New Roman"/>
          <w:sz w:val="24"/>
          <w:szCs w:val="24"/>
        </w:rPr>
        <w:t xml:space="preserve"> or the host</w:t>
      </w:r>
      <w:r w:rsidR="006D56E6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480CC8" w:rsidRPr="003E17CE">
        <w:rPr>
          <w:rFonts w:ascii="Times New Roman" w:hAnsi="Times New Roman" w:cs="Times New Roman"/>
          <w:sz w:val="24"/>
          <w:szCs w:val="24"/>
        </w:rPr>
        <w:t xml:space="preserve">The microbiota of the inner ear will have very little causal 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association with </w:t>
      </w:r>
      <w:r w:rsidR="00480CC8" w:rsidRPr="003E17CE">
        <w:rPr>
          <w:rFonts w:ascii="Times New Roman" w:hAnsi="Times New Roman" w:cs="Times New Roman"/>
          <w:sz w:val="24"/>
          <w:szCs w:val="24"/>
        </w:rPr>
        <w:t xml:space="preserve">the </w:t>
      </w:r>
      <w:r w:rsidR="003E7EC4" w:rsidRPr="003E17CE">
        <w:rPr>
          <w:rFonts w:ascii="Times New Roman" w:hAnsi="Times New Roman" w:cs="Times New Roman"/>
          <w:sz w:val="24"/>
          <w:szCs w:val="24"/>
        </w:rPr>
        <w:t xml:space="preserve">microbiota of the lower intestines. There is, however, a plausible case to be made for a multispecies ecological unit to cause health outcomes. This will not be a whole microbiome but instead will be a smaller association, often contained within </w:t>
      </w:r>
      <w:r w:rsidR="00361314" w:rsidRPr="003E17CE">
        <w:rPr>
          <w:rFonts w:ascii="Times New Roman" w:hAnsi="Times New Roman" w:cs="Times New Roman"/>
          <w:sz w:val="24"/>
          <w:szCs w:val="24"/>
        </w:rPr>
        <w:t xml:space="preserve">a biofilm structure or </w:t>
      </w:r>
      <w:r w:rsidR="003E7EC4" w:rsidRPr="003E17CE">
        <w:rPr>
          <w:rFonts w:ascii="Times New Roman" w:hAnsi="Times New Roman" w:cs="Times New Roman"/>
          <w:sz w:val="24"/>
          <w:szCs w:val="24"/>
        </w:rPr>
        <w:t xml:space="preserve">one of the modular compartments of </w:t>
      </w:r>
      <w:r w:rsidR="00A96039" w:rsidRPr="003E17CE">
        <w:rPr>
          <w:rFonts w:ascii="Times New Roman" w:hAnsi="Times New Roman" w:cs="Times New Roman"/>
          <w:sz w:val="24"/>
          <w:szCs w:val="24"/>
        </w:rPr>
        <w:t>a</w:t>
      </w:r>
      <w:r w:rsidR="003E7EC4" w:rsidRPr="003E17CE">
        <w:rPr>
          <w:rFonts w:ascii="Times New Roman" w:hAnsi="Times New Roman" w:cs="Times New Roman"/>
          <w:sz w:val="24"/>
          <w:szCs w:val="24"/>
        </w:rPr>
        <w:t xml:space="preserve"> multicellular organism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587E0" w14:textId="50FC70C6" w:rsidR="00B97C8C" w:rsidRPr="003E17CE" w:rsidRDefault="00950141" w:rsidP="00A960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Microbes form ecological communities, which possess some analogies and </w:t>
      </w:r>
      <w:proofErr w:type="spellStart"/>
      <w:r w:rsidRPr="003E17CE">
        <w:rPr>
          <w:rFonts w:ascii="Times New Roman" w:hAnsi="Times New Roman" w:cs="Times New Roman"/>
          <w:sz w:val="24"/>
          <w:szCs w:val="24"/>
        </w:rPr>
        <w:t>disanalogies</w:t>
      </w:r>
      <w:proofErr w:type="spellEnd"/>
      <w:r w:rsidRPr="003E17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E17CE">
        <w:rPr>
          <w:rFonts w:ascii="Times New Roman" w:hAnsi="Times New Roman" w:cs="Times New Roman"/>
          <w:sz w:val="24"/>
          <w:szCs w:val="24"/>
        </w:rPr>
        <w:t>macrobial</w:t>
      </w:r>
      <w:proofErr w:type="spellEnd"/>
      <w:r w:rsidRPr="003E17CE">
        <w:rPr>
          <w:rFonts w:ascii="Times New Roman" w:hAnsi="Times New Roman" w:cs="Times New Roman"/>
          <w:sz w:val="24"/>
          <w:szCs w:val="24"/>
        </w:rPr>
        <w:t xml:space="preserve"> communities. </w:t>
      </w:r>
      <w:r w:rsidR="000E4CFB" w:rsidRPr="003E17CE">
        <w:rPr>
          <w:rFonts w:ascii="Times New Roman" w:hAnsi="Times New Roman" w:cs="Times New Roman"/>
          <w:sz w:val="24"/>
          <w:szCs w:val="24"/>
        </w:rPr>
        <w:t>The extent to which these are similar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 should</w:t>
      </w:r>
      <w:r w:rsidR="000E4CFB" w:rsidRPr="003E17CE">
        <w:rPr>
          <w:rFonts w:ascii="Times New Roman" w:hAnsi="Times New Roman" w:cs="Times New Roman"/>
          <w:sz w:val="24"/>
          <w:szCs w:val="24"/>
        </w:rPr>
        <w:t xml:space="preserve"> allow us to </w:t>
      </w:r>
      <w:r w:rsidR="00C33EEE" w:rsidRPr="003E17CE">
        <w:rPr>
          <w:rFonts w:ascii="Times New Roman" w:hAnsi="Times New Roman" w:cs="Times New Roman"/>
          <w:sz w:val="24"/>
          <w:szCs w:val="24"/>
        </w:rPr>
        <w:t xml:space="preserve">utilise </w:t>
      </w:r>
      <w:r w:rsidR="000E4CFB" w:rsidRPr="003E17CE">
        <w:rPr>
          <w:rFonts w:ascii="Times New Roman" w:hAnsi="Times New Roman" w:cs="Times New Roman"/>
          <w:sz w:val="24"/>
          <w:szCs w:val="24"/>
        </w:rPr>
        <w:t xml:space="preserve">conceptual resources originally built for </w:t>
      </w:r>
      <w:proofErr w:type="spellStart"/>
      <w:r w:rsidR="000E4CFB" w:rsidRPr="003E17CE">
        <w:rPr>
          <w:rFonts w:ascii="Times New Roman" w:hAnsi="Times New Roman" w:cs="Times New Roman"/>
          <w:sz w:val="24"/>
          <w:szCs w:val="24"/>
        </w:rPr>
        <w:t>macrobial</w:t>
      </w:r>
      <w:proofErr w:type="spellEnd"/>
      <w:r w:rsidR="000E4CFB" w:rsidRPr="003E17CE">
        <w:rPr>
          <w:rFonts w:ascii="Times New Roman" w:hAnsi="Times New Roman" w:cs="Times New Roman"/>
          <w:sz w:val="24"/>
          <w:szCs w:val="24"/>
        </w:rPr>
        <w:t xml:space="preserve"> ecology. </w:t>
      </w:r>
      <w:r w:rsidRPr="003E17CE">
        <w:rPr>
          <w:rFonts w:ascii="Times New Roman" w:hAnsi="Times New Roman" w:cs="Times New Roman"/>
          <w:sz w:val="24"/>
          <w:szCs w:val="24"/>
        </w:rPr>
        <w:t xml:space="preserve">In microbiome research we are searching for ecosystem effects that influence human health. This 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search </w:t>
      </w:r>
      <w:r w:rsidRPr="003E17CE">
        <w:rPr>
          <w:rFonts w:ascii="Times New Roman" w:hAnsi="Times New Roman" w:cs="Times New Roman"/>
          <w:sz w:val="24"/>
          <w:szCs w:val="24"/>
        </w:rPr>
        <w:t>can be treated as analogous to the search for how large-scale ecosystems provide humans with goods in the form of ecosystem services. Previously</w:t>
      </w:r>
      <w:r w:rsidR="00C33EEE" w:rsidRPr="003E17CE">
        <w:rPr>
          <w:rFonts w:ascii="Times New Roman" w:hAnsi="Times New Roman" w:cs="Times New Roman"/>
          <w:sz w:val="24"/>
          <w:szCs w:val="24"/>
        </w:rPr>
        <w:t>,</w:t>
      </w:r>
      <w:r w:rsidRPr="003E17CE">
        <w:rPr>
          <w:rFonts w:ascii="Times New Roman" w:hAnsi="Times New Roman" w:cs="Times New Roman"/>
          <w:sz w:val="24"/>
          <w:szCs w:val="24"/>
        </w:rPr>
        <w:t xml:space="preserve"> I provided a template for </w:t>
      </w:r>
      <w:r w:rsidR="00A82327">
        <w:rPr>
          <w:rFonts w:ascii="Times New Roman" w:hAnsi="Times New Roman" w:cs="Times New Roman"/>
          <w:sz w:val="24"/>
          <w:szCs w:val="24"/>
        </w:rPr>
        <w:t>identifying</w:t>
      </w:r>
      <w:r w:rsidR="00225632" w:rsidRPr="003E17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632" w:rsidRPr="003E17CE">
        <w:rPr>
          <w:rFonts w:ascii="Times New Roman" w:hAnsi="Times New Roman" w:cs="Times New Roman"/>
          <w:sz w:val="24"/>
          <w:szCs w:val="24"/>
        </w:rPr>
        <w:t>the means by which</w:t>
      </w:r>
      <w:proofErr w:type="gramEnd"/>
      <w:r w:rsidRPr="003E17CE">
        <w:rPr>
          <w:rFonts w:ascii="Times New Roman" w:hAnsi="Times New Roman" w:cs="Times New Roman"/>
          <w:sz w:val="24"/>
          <w:szCs w:val="24"/>
        </w:rPr>
        <w:t xml:space="preserve"> ecological communities provide goods, like ecosystem services</w:t>
      </w:r>
      <w:r w:rsidR="0031407F" w:rsidRPr="003E17CE">
        <w:rPr>
          <w:rFonts w:ascii="Times New Roman" w:hAnsi="Times New Roman" w:cs="Times New Roman"/>
          <w:sz w:val="24"/>
          <w:szCs w:val="24"/>
        </w:rPr>
        <w:t xml:space="preserve"> (</w:t>
      </w:r>
      <w:r w:rsidR="003E17CE" w:rsidRPr="003E17CE">
        <w:rPr>
          <w:rFonts w:ascii="Times New Roman" w:hAnsi="Times New Roman" w:cs="Times New Roman"/>
          <w:sz w:val="24"/>
          <w:szCs w:val="24"/>
        </w:rPr>
        <w:t>Lean 2018</w:t>
      </w:r>
      <w:r w:rsidR="0031407F" w:rsidRPr="003E17CE">
        <w:rPr>
          <w:rFonts w:ascii="Times New Roman" w:hAnsi="Times New Roman" w:cs="Times New Roman"/>
          <w:sz w:val="24"/>
          <w:szCs w:val="24"/>
        </w:rPr>
        <w:t>)</w:t>
      </w:r>
      <w:r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31407F" w:rsidRPr="003E17CE">
        <w:rPr>
          <w:rFonts w:ascii="Times New Roman" w:hAnsi="Times New Roman" w:cs="Times New Roman"/>
          <w:sz w:val="24"/>
          <w:szCs w:val="24"/>
        </w:rPr>
        <w:t xml:space="preserve">I describe two different general causal patterns that </w:t>
      </w:r>
      <w:r w:rsidR="00650631" w:rsidRPr="003E17CE">
        <w:rPr>
          <w:rFonts w:ascii="Times New Roman" w:hAnsi="Times New Roman" w:cs="Times New Roman"/>
          <w:sz w:val="24"/>
          <w:szCs w:val="24"/>
        </w:rPr>
        <w:t xml:space="preserve">result in ecological systems robustly producing </w:t>
      </w:r>
      <w:r w:rsidR="00C33EEE" w:rsidRPr="003E17CE">
        <w:rPr>
          <w:rFonts w:ascii="Times New Roman" w:hAnsi="Times New Roman" w:cs="Times New Roman"/>
          <w:sz w:val="24"/>
          <w:szCs w:val="24"/>
        </w:rPr>
        <w:t>goods</w:t>
      </w:r>
      <w:r w:rsidR="00650631" w:rsidRPr="003E17CE">
        <w:rPr>
          <w:rFonts w:ascii="Times New Roman" w:hAnsi="Times New Roman" w:cs="Times New Roman"/>
          <w:sz w:val="24"/>
          <w:szCs w:val="24"/>
        </w:rPr>
        <w:t xml:space="preserve"> of human interest: </w:t>
      </w:r>
      <w:r w:rsidR="00650631" w:rsidRPr="003E17CE">
        <w:rPr>
          <w:rFonts w:ascii="Times New Roman" w:hAnsi="Times New Roman" w:cs="Times New Roman"/>
          <w:i/>
          <w:sz w:val="24"/>
          <w:szCs w:val="24"/>
        </w:rPr>
        <w:t>ensemble robustness</w:t>
      </w:r>
      <w:r w:rsidR="00650631" w:rsidRPr="003E17CE">
        <w:rPr>
          <w:rFonts w:ascii="Times New Roman" w:hAnsi="Times New Roman" w:cs="Times New Roman"/>
          <w:sz w:val="24"/>
          <w:szCs w:val="24"/>
        </w:rPr>
        <w:t xml:space="preserve"> and </w:t>
      </w:r>
      <w:r w:rsidR="00650631" w:rsidRPr="003E17CE">
        <w:rPr>
          <w:rFonts w:ascii="Times New Roman" w:hAnsi="Times New Roman" w:cs="Times New Roman"/>
          <w:i/>
          <w:sz w:val="24"/>
          <w:szCs w:val="24"/>
        </w:rPr>
        <w:t>machine robustness</w:t>
      </w:r>
      <w:r w:rsidR="0031407F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650631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Ensemble robustness occurs when we have many different causal actors that can </w:t>
      </w:r>
      <w:r w:rsidR="00650631" w:rsidRPr="003E17CE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fi</w:t>
      </w:r>
      <w:r w:rsidR="00650631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ll the same functional role in the system, </w:t>
      </w:r>
      <w:r w:rsidR="00EE402B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their combined marginal or redundant action maintains the ecosystem</w:t>
      </w:r>
      <w:r w:rsidR="00650631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output. Machine robustness occurs when a system output is the result of a </w:t>
      </w:r>
      <w:proofErr w:type="gramStart"/>
      <w:r w:rsidR="00650631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particular sequence</w:t>
      </w:r>
      <w:proofErr w:type="gramEnd"/>
      <w:r w:rsidR="00650631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of required populations that strongly co-vary.</w:t>
      </w:r>
      <w:r w:rsidR="00EE402B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These different causal patterns affect the </w:t>
      </w:r>
      <w:r w:rsidR="00EE402B" w:rsidRPr="003E17CE">
        <w:rPr>
          <w:rFonts w:ascii="Times New Roman" w:hAnsi="Times New Roman" w:cs="Times New Roman"/>
          <w:sz w:val="24"/>
          <w:szCs w:val="24"/>
        </w:rPr>
        <w:t xml:space="preserve">stability, proportionality, and specificity of microbiome effects on human health; ultimately </w:t>
      </w:r>
      <w:r w:rsidR="00EE402B" w:rsidRPr="003E17CE">
        <w:rPr>
          <w:rFonts w:ascii="Times New Roman" w:hAnsi="Times New Roman" w:cs="Times New Roman"/>
          <w:sz w:val="24"/>
          <w:szCs w:val="24"/>
        </w:rPr>
        <w:lastRenderedPageBreak/>
        <w:t xml:space="preserve">resulting in microbial communities being units of causal interest. </w:t>
      </w:r>
      <w:r w:rsidR="000E4CFB" w:rsidRPr="003E17CE">
        <w:rPr>
          <w:rFonts w:ascii="Times New Roman" w:hAnsi="Times New Roman" w:cs="Times New Roman"/>
          <w:sz w:val="24"/>
          <w:szCs w:val="24"/>
        </w:rPr>
        <w:t xml:space="preserve">While these </w:t>
      </w:r>
      <w:r w:rsidR="00656B27" w:rsidRPr="003E17CE">
        <w:rPr>
          <w:rFonts w:ascii="Times New Roman" w:hAnsi="Times New Roman" w:cs="Times New Roman"/>
          <w:sz w:val="24"/>
          <w:szCs w:val="24"/>
        </w:rPr>
        <w:t xml:space="preserve">microbial communities </w:t>
      </w:r>
      <w:r w:rsidR="000E4CFB" w:rsidRPr="003E17CE">
        <w:rPr>
          <w:rFonts w:ascii="Times New Roman" w:hAnsi="Times New Roman" w:cs="Times New Roman"/>
          <w:sz w:val="24"/>
          <w:szCs w:val="24"/>
        </w:rPr>
        <w:t xml:space="preserve">will be smaller than the whole microbiome units often mentioned in microbiome research, they will still be multispecies assemblages. </w:t>
      </w:r>
    </w:p>
    <w:p w14:paraId="4BFE78A7" w14:textId="77777777" w:rsidR="00B97C8C" w:rsidRPr="003E17CE" w:rsidRDefault="00B97C8C" w:rsidP="00A960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1CE65E" w14:textId="7C676D6A" w:rsidR="009F42B6" w:rsidRPr="003E17CE" w:rsidRDefault="00C06297" w:rsidP="00D02A22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7CE">
        <w:rPr>
          <w:rFonts w:ascii="Times New Roman" w:hAnsi="Times New Roman" w:cs="Times New Roman"/>
          <w:i/>
          <w:iCs/>
          <w:sz w:val="24"/>
          <w:szCs w:val="24"/>
        </w:rPr>
        <w:t>Specificity and Health Outcomes.</w:t>
      </w:r>
    </w:p>
    <w:p w14:paraId="26DD780A" w14:textId="77777777" w:rsidR="00B97C8C" w:rsidRPr="003E17CE" w:rsidRDefault="00B97C8C" w:rsidP="00D02A22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679BCB" w14:textId="69789B7C" w:rsidR="006F6A65" w:rsidRPr="003E17CE" w:rsidRDefault="00E22139" w:rsidP="00C33E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>The integration</w:t>
      </w:r>
      <w:r w:rsidR="00817671" w:rsidRPr="003E17CE">
        <w:rPr>
          <w:rFonts w:ascii="Times New Roman" w:hAnsi="Times New Roman" w:cs="Times New Roman"/>
          <w:sz w:val="24"/>
          <w:szCs w:val="24"/>
        </w:rPr>
        <w:t xml:space="preserve"> and diversity</w:t>
      </w:r>
      <w:r w:rsidRPr="003E17CE">
        <w:rPr>
          <w:rFonts w:ascii="Times New Roman" w:hAnsi="Times New Roman" w:cs="Times New Roman"/>
          <w:sz w:val="24"/>
          <w:szCs w:val="24"/>
        </w:rPr>
        <w:t xml:space="preserve"> of </w:t>
      </w:r>
      <w:r w:rsidR="00817671" w:rsidRPr="003E17CE">
        <w:rPr>
          <w:rFonts w:ascii="Times New Roman" w:hAnsi="Times New Roman" w:cs="Times New Roman"/>
          <w:sz w:val="24"/>
          <w:szCs w:val="24"/>
        </w:rPr>
        <w:t>microbiome</w:t>
      </w:r>
      <w:r w:rsidRPr="003E17CE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F324CA" w:rsidRPr="003E17CE">
        <w:rPr>
          <w:rFonts w:ascii="Times New Roman" w:hAnsi="Times New Roman" w:cs="Times New Roman"/>
          <w:sz w:val="24"/>
          <w:szCs w:val="24"/>
        </w:rPr>
        <w:t xml:space="preserve">is crucial for health outcomes. </w:t>
      </w:r>
      <w:r w:rsidR="00CB5F7C" w:rsidRPr="003E17CE">
        <w:rPr>
          <w:rFonts w:ascii="Times New Roman" w:hAnsi="Times New Roman" w:cs="Times New Roman"/>
          <w:sz w:val="24"/>
          <w:szCs w:val="24"/>
        </w:rPr>
        <w:t>Health outcomes are often described as human physiological capacities</w:t>
      </w:r>
      <w:r w:rsidR="00C33EEE" w:rsidRPr="003E17CE">
        <w:rPr>
          <w:rFonts w:ascii="Times New Roman" w:hAnsi="Times New Roman" w:cs="Times New Roman"/>
          <w:sz w:val="24"/>
          <w:szCs w:val="24"/>
        </w:rPr>
        <w:t>,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that are predicated on whole organ systems</w:t>
      </w:r>
      <w:r w:rsidR="00C33EEE" w:rsidRPr="003E17CE">
        <w:rPr>
          <w:rFonts w:ascii="Times New Roman" w:hAnsi="Times New Roman" w:cs="Times New Roman"/>
          <w:sz w:val="24"/>
          <w:szCs w:val="24"/>
        </w:rPr>
        <w:t>,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and encompass a range of physical states. 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Health </w:t>
      </w:r>
      <w:r w:rsidR="00817671" w:rsidRPr="003E17CE">
        <w:rPr>
          <w:rFonts w:ascii="Times New Roman" w:hAnsi="Times New Roman" w:cs="Times New Roman"/>
          <w:sz w:val="24"/>
          <w:szCs w:val="24"/>
        </w:rPr>
        <w:t xml:space="preserve">is not a static </w:t>
      </w:r>
      <w:r w:rsidR="00361314" w:rsidRPr="003E17CE">
        <w:rPr>
          <w:rFonts w:ascii="Times New Roman" w:hAnsi="Times New Roman" w:cs="Times New Roman"/>
          <w:sz w:val="24"/>
          <w:szCs w:val="24"/>
        </w:rPr>
        <w:t>state;</w:t>
      </w:r>
      <w:r w:rsidR="00817671" w:rsidRPr="003E17CE">
        <w:rPr>
          <w:rFonts w:ascii="Times New Roman" w:hAnsi="Times New Roman" w:cs="Times New Roman"/>
          <w:sz w:val="24"/>
          <w:szCs w:val="24"/>
        </w:rPr>
        <w:t xml:space="preserve"> it requires the maintenance of functional </w:t>
      </w:r>
      <w:r w:rsidR="000C4224" w:rsidRPr="003E17CE">
        <w:rPr>
          <w:rFonts w:ascii="Times New Roman" w:hAnsi="Times New Roman" w:cs="Times New Roman"/>
          <w:sz w:val="24"/>
          <w:szCs w:val="24"/>
        </w:rPr>
        <w:t>capacities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across </w:t>
      </w:r>
      <w:r w:rsidR="00817671" w:rsidRPr="003E17CE">
        <w:rPr>
          <w:rFonts w:ascii="Times New Roman" w:hAnsi="Times New Roman" w:cs="Times New Roman"/>
          <w:sz w:val="24"/>
          <w:szCs w:val="24"/>
        </w:rPr>
        <w:t xml:space="preserve">a range of </w:t>
      </w:r>
      <w:r w:rsidR="000C4224" w:rsidRPr="003E17CE">
        <w:rPr>
          <w:rFonts w:ascii="Times New Roman" w:hAnsi="Times New Roman" w:cs="Times New Roman"/>
          <w:sz w:val="24"/>
          <w:szCs w:val="24"/>
        </w:rPr>
        <w:t xml:space="preserve">internal </w:t>
      </w:r>
      <w:r w:rsidR="00817671" w:rsidRPr="003E17CE">
        <w:rPr>
          <w:rFonts w:ascii="Times New Roman" w:hAnsi="Times New Roman" w:cs="Times New Roman"/>
          <w:sz w:val="24"/>
          <w:szCs w:val="24"/>
        </w:rPr>
        <w:t>conditions.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9F42B6" w:rsidRPr="003E17CE">
        <w:rPr>
          <w:rFonts w:ascii="Times New Roman" w:hAnsi="Times New Roman" w:cs="Times New Roman"/>
          <w:sz w:val="24"/>
          <w:szCs w:val="24"/>
        </w:rPr>
        <w:t>The body contains many mechanisms to maintain function and homeostasis. Different</w:t>
      </w:r>
      <w:r w:rsidR="00817671" w:rsidRPr="003E17CE">
        <w:rPr>
          <w:rFonts w:ascii="Times New Roman" w:hAnsi="Times New Roman" w:cs="Times New Roman"/>
          <w:sz w:val="24"/>
          <w:szCs w:val="24"/>
        </w:rPr>
        <w:t xml:space="preserve"> microbes within a single microbiome can play different roles in responses that maintain biotic function. </w:t>
      </w:r>
      <w:r w:rsidR="009F42B6" w:rsidRPr="003E17CE">
        <w:rPr>
          <w:rFonts w:ascii="Times New Roman" w:hAnsi="Times New Roman" w:cs="Times New Roman"/>
          <w:sz w:val="24"/>
          <w:szCs w:val="24"/>
        </w:rPr>
        <w:t>If we focus on individual microbes there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9F42B6" w:rsidRPr="003E17CE">
        <w:rPr>
          <w:rFonts w:ascii="Times New Roman" w:hAnsi="Times New Roman" w:cs="Times New Roman"/>
          <w:sz w:val="24"/>
          <w:szCs w:val="24"/>
        </w:rPr>
        <w:t>will be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a mismatch between the wide grain explananda of health outcomes and the finer grained explanandum of the physiological influences </w:t>
      </w:r>
      <w:r w:rsidR="00C33EEE" w:rsidRPr="003E17CE">
        <w:rPr>
          <w:rFonts w:ascii="Times New Roman" w:hAnsi="Times New Roman" w:cs="Times New Roman"/>
          <w:sz w:val="24"/>
          <w:szCs w:val="24"/>
        </w:rPr>
        <w:t>derived from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individual populations of bacteria. </w:t>
      </w:r>
    </w:p>
    <w:p w14:paraId="297CE104" w14:textId="7C6E70C7" w:rsidR="00493003" w:rsidRPr="003E17CE" w:rsidRDefault="001A4355" w:rsidP="00D02A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CB5F7C" w:rsidRPr="003E17CE">
        <w:rPr>
          <w:rFonts w:ascii="Times New Roman" w:hAnsi="Times New Roman" w:cs="Times New Roman"/>
          <w:sz w:val="24"/>
          <w:szCs w:val="24"/>
        </w:rPr>
        <w:tab/>
      </w:r>
      <w:r w:rsidR="0072594B" w:rsidRPr="003E17CE">
        <w:rPr>
          <w:rFonts w:ascii="Times New Roman" w:hAnsi="Times New Roman" w:cs="Times New Roman"/>
          <w:sz w:val="24"/>
          <w:szCs w:val="24"/>
        </w:rPr>
        <w:t>T</w:t>
      </w:r>
      <w:r w:rsidR="00CB5F7C" w:rsidRPr="003E17CE">
        <w:rPr>
          <w:rFonts w:ascii="Times New Roman" w:hAnsi="Times New Roman" w:cs="Times New Roman"/>
          <w:sz w:val="24"/>
          <w:szCs w:val="24"/>
        </w:rPr>
        <w:t>o explain the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 stability of human health outcome</w:t>
      </w:r>
      <w:r w:rsidR="006E7ABE" w:rsidRPr="003E17CE">
        <w:rPr>
          <w:rFonts w:ascii="Times New Roman" w:hAnsi="Times New Roman" w:cs="Times New Roman"/>
          <w:sz w:val="24"/>
          <w:szCs w:val="24"/>
        </w:rPr>
        <w:t>s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CB5F7C" w:rsidRPr="003E17CE">
        <w:rPr>
          <w:rFonts w:ascii="Times New Roman" w:hAnsi="Times New Roman" w:cs="Times New Roman"/>
          <w:sz w:val="24"/>
          <w:szCs w:val="24"/>
        </w:rPr>
        <w:t>we will need to consider how the diverse network of population</w:t>
      </w:r>
      <w:r w:rsidR="00225632" w:rsidRPr="003E17CE">
        <w:rPr>
          <w:rFonts w:ascii="Times New Roman" w:hAnsi="Times New Roman" w:cs="Times New Roman"/>
          <w:sz w:val="24"/>
          <w:szCs w:val="24"/>
        </w:rPr>
        <w:t>s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produce these health effects</w:t>
      </w:r>
      <w:r w:rsidR="0072594B" w:rsidRPr="003E17CE">
        <w:rPr>
          <w:rFonts w:ascii="Times New Roman" w:hAnsi="Times New Roman" w:cs="Times New Roman"/>
          <w:sz w:val="24"/>
          <w:szCs w:val="24"/>
        </w:rPr>
        <w:t>. It has long been known that ecosystem outcomes in macroecolog</w:t>
      </w:r>
      <w:r w:rsidR="006E7ABE" w:rsidRPr="003E17CE">
        <w:rPr>
          <w:rFonts w:ascii="Times New Roman" w:hAnsi="Times New Roman" w:cs="Times New Roman"/>
          <w:sz w:val="24"/>
          <w:szCs w:val="24"/>
        </w:rPr>
        <w:t>y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 are not so much the product of homeostatic</w:t>
      </w:r>
      <w:r w:rsidR="00DE5555">
        <w:rPr>
          <w:rFonts w:ascii="Times New Roman" w:hAnsi="Times New Roman" w:cs="Times New Roman"/>
          <w:sz w:val="24"/>
          <w:szCs w:val="24"/>
        </w:rPr>
        <w:t xml:space="preserve"> systems</w:t>
      </w:r>
      <w:r w:rsidR="00CB178D">
        <w:rPr>
          <w:rFonts w:ascii="Times New Roman" w:hAnsi="Times New Roman" w:cs="Times New Roman"/>
          <w:sz w:val="24"/>
          <w:szCs w:val="24"/>
        </w:rPr>
        <w:t>,</w:t>
      </w:r>
      <w:r w:rsidR="00DE5555">
        <w:rPr>
          <w:rFonts w:ascii="Times New Roman" w:hAnsi="Times New Roman" w:cs="Times New Roman"/>
          <w:sz w:val="24"/>
          <w:szCs w:val="24"/>
        </w:rPr>
        <w:t xml:space="preserve"> with </w:t>
      </w:r>
      <w:r w:rsidR="00102C09" w:rsidRPr="003E17CE">
        <w:rPr>
          <w:rFonts w:ascii="Times New Roman" w:hAnsi="Times New Roman" w:cs="Times New Roman"/>
          <w:sz w:val="24"/>
          <w:szCs w:val="24"/>
        </w:rPr>
        <w:t xml:space="preserve">tightly integrated </w:t>
      </w:r>
      <w:r w:rsidR="00361314" w:rsidRPr="003E17CE">
        <w:rPr>
          <w:rFonts w:ascii="Times New Roman" w:hAnsi="Times New Roman" w:cs="Times New Roman"/>
          <w:sz w:val="24"/>
          <w:szCs w:val="24"/>
        </w:rPr>
        <w:t>causal structure</w:t>
      </w:r>
      <w:r w:rsidR="00CB178D">
        <w:rPr>
          <w:rFonts w:ascii="Times New Roman" w:hAnsi="Times New Roman" w:cs="Times New Roman"/>
          <w:sz w:val="24"/>
          <w:szCs w:val="24"/>
        </w:rPr>
        <w:t>,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 but rather through the aggregation of the properties </w:t>
      </w:r>
      <w:r w:rsidR="00102C09">
        <w:rPr>
          <w:rFonts w:ascii="Times New Roman" w:hAnsi="Times New Roman" w:cs="Times New Roman"/>
          <w:sz w:val="24"/>
          <w:szCs w:val="24"/>
        </w:rPr>
        <w:t>in diverse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 local systems. Ecosystem outputs are often the product of statistical averaging effects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, where </w:t>
      </w:r>
      <w:r w:rsidR="00361314" w:rsidRPr="003E17CE">
        <w:rPr>
          <w:rFonts w:ascii="Times New Roman" w:hAnsi="Times New Roman" w:cs="Times New Roman"/>
          <w:sz w:val="24"/>
          <w:szCs w:val="24"/>
        </w:rPr>
        <w:t>an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ecosystem effect is maintained due to independently fluctuating species maintaining th</w:t>
      </w:r>
      <w:r w:rsidR="00361314" w:rsidRPr="003E17CE">
        <w:rPr>
          <w:rFonts w:ascii="Times New Roman" w:hAnsi="Times New Roman" w:cs="Times New Roman"/>
          <w:sz w:val="24"/>
          <w:szCs w:val="24"/>
        </w:rPr>
        <w:t>at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effect, or </w:t>
      </w:r>
      <w:r w:rsidR="0072594B" w:rsidRPr="003E17CE">
        <w:rPr>
          <w:rFonts w:ascii="Times New Roman" w:hAnsi="Times New Roman" w:cs="Times New Roman"/>
          <w:sz w:val="24"/>
          <w:szCs w:val="24"/>
        </w:rPr>
        <w:t>biological insurance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, where an ecosystem effect is maintained in the face of instability due to diverse modes of realising this good </w:t>
      </w:r>
      <w:r w:rsidR="00F55BBB" w:rsidRPr="003E17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55BBB" w:rsidRPr="003E17CE">
        <w:rPr>
          <w:rFonts w:ascii="Times New Roman" w:hAnsi="Times New Roman" w:cs="Times New Roman"/>
          <w:sz w:val="24"/>
          <w:szCs w:val="24"/>
        </w:rPr>
        <w:t>Sterelny</w:t>
      </w:r>
      <w:proofErr w:type="spellEnd"/>
      <w:r w:rsidR="00F55BBB" w:rsidRPr="003E17CE">
        <w:rPr>
          <w:rFonts w:ascii="Times New Roman" w:hAnsi="Times New Roman" w:cs="Times New Roman"/>
          <w:sz w:val="24"/>
          <w:szCs w:val="24"/>
        </w:rPr>
        <w:t xml:space="preserve"> 2005)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95628F" w:rsidRPr="003E17CE">
        <w:rPr>
          <w:rFonts w:ascii="Times New Roman" w:hAnsi="Times New Roman" w:cs="Times New Roman"/>
          <w:sz w:val="24"/>
          <w:szCs w:val="24"/>
        </w:rPr>
        <w:t xml:space="preserve">Aggregational </w:t>
      </w:r>
      <w:r w:rsidR="0095628F" w:rsidRPr="003E17CE">
        <w:rPr>
          <w:rFonts w:ascii="Times New Roman" w:hAnsi="Times New Roman" w:cs="Times New Roman"/>
          <w:sz w:val="24"/>
          <w:szCs w:val="24"/>
        </w:rPr>
        <w:lastRenderedPageBreak/>
        <w:t>properties of the microbiome</w:t>
      </w:r>
      <w:r w:rsidR="00C33EEE" w:rsidRPr="003E17CE">
        <w:rPr>
          <w:rFonts w:ascii="Times New Roman" w:hAnsi="Times New Roman" w:cs="Times New Roman"/>
          <w:sz w:val="24"/>
          <w:szCs w:val="24"/>
        </w:rPr>
        <w:t xml:space="preserve"> community</w:t>
      </w:r>
      <w:r w:rsidR="0095628F" w:rsidRPr="003E17CE">
        <w:rPr>
          <w:rFonts w:ascii="Times New Roman" w:hAnsi="Times New Roman" w:cs="Times New Roman"/>
          <w:sz w:val="24"/>
          <w:szCs w:val="24"/>
        </w:rPr>
        <w:t xml:space="preserve"> could</w:t>
      </w:r>
      <w:r w:rsidR="0072594B" w:rsidRPr="003E17CE">
        <w:rPr>
          <w:rFonts w:ascii="Times New Roman" w:hAnsi="Times New Roman" w:cs="Times New Roman"/>
          <w:sz w:val="24"/>
          <w:szCs w:val="24"/>
        </w:rPr>
        <w:t xml:space="preserve"> maintain </w:t>
      </w:r>
      <w:r w:rsidR="0081568F" w:rsidRPr="003E17CE">
        <w:rPr>
          <w:rFonts w:ascii="Times New Roman" w:hAnsi="Times New Roman" w:cs="Times New Roman"/>
          <w:sz w:val="24"/>
          <w:szCs w:val="24"/>
        </w:rPr>
        <w:t>health outcomes under the many fluctuations the body undertakes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through these mechanisms.</w:t>
      </w:r>
    </w:p>
    <w:p w14:paraId="1750E763" w14:textId="494353D8" w:rsidR="002E4514" w:rsidRPr="003E17CE" w:rsidRDefault="00362889" w:rsidP="00CB5F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Common environmental </w:t>
      </w:r>
      <w:r w:rsidR="001A15DB" w:rsidRPr="003E17CE">
        <w:rPr>
          <w:rFonts w:ascii="Times New Roman" w:hAnsi="Times New Roman" w:cs="Times New Roman"/>
          <w:sz w:val="24"/>
          <w:szCs w:val="24"/>
        </w:rPr>
        <w:t>problems</w:t>
      </w:r>
      <w:r w:rsidRPr="003E17CE">
        <w:rPr>
          <w:rFonts w:ascii="Times New Roman" w:hAnsi="Times New Roman" w:cs="Times New Roman"/>
          <w:sz w:val="24"/>
          <w:szCs w:val="24"/>
        </w:rPr>
        <w:t xml:space="preserve"> are likely to produce varied evolutionary responses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in different lineages. When these lineages are co-located we will find cases of biological insurance.</w:t>
      </w:r>
      <w:r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1A15DB" w:rsidRPr="003E17CE">
        <w:rPr>
          <w:rFonts w:ascii="Times New Roman" w:hAnsi="Times New Roman" w:cs="Times New Roman"/>
          <w:sz w:val="24"/>
          <w:szCs w:val="24"/>
        </w:rPr>
        <w:t>For example: d</w:t>
      </w:r>
      <w:r w:rsidRPr="003E17CE">
        <w:rPr>
          <w:rFonts w:ascii="Times New Roman" w:hAnsi="Times New Roman" w:cs="Times New Roman"/>
          <w:sz w:val="24"/>
          <w:szCs w:val="24"/>
        </w:rPr>
        <w:t>iverse mechanisms exist within bacteria for responding to other bacteria, yielding different antibiotics. B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iological insurance </w:t>
      </w:r>
      <w:r w:rsidR="00286B92" w:rsidRPr="003E17CE">
        <w:rPr>
          <w:rFonts w:ascii="Times New Roman" w:hAnsi="Times New Roman" w:cs="Times New Roman"/>
          <w:sz w:val="24"/>
          <w:szCs w:val="24"/>
        </w:rPr>
        <w:t>is key in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maintaining important functions in other</w:t>
      </w:r>
      <w:r w:rsidR="003815AE" w:rsidRPr="003E17CE">
        <w:rPr>
          <w:rFonts w:ascii="Times New Roman" w:hAnsi="Times New Roman" w:cs="Times New Roman"/>
          <w:sz w:val="24"/>
          <w:szCs w:val="24"/>
        </w:rPr>
        <w:t xml:space="preserve"> organisms</w:t>
      </w:r>
      <w:r w:rsidR="00CB5F7C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2E4514" w:rsidRPr="003E17CE">
        <w:rPr>
          <w:rFonts w:ascii="Times New Roman" w:hAnsi="Times New Roman" w:cs="Times New Roman"/>
          <w:sz w:val="24"/>
          <w:szCs w:val="24"/>
        </w:rPr>
        <w:t xml:space="preserve">which cultivate microbial communities. Leaf cutter ants live in highly symbiotic relationship with the microbes they house and feed. These microbes produce antibiotics and fungicides that protect the leaf cutter </w:t>
      </w:r>
      <w:r w:rsidR="003815AE" w:rsidRPr="003E17CE">
        <w:rPr>
          <w:rFonts w:ascii="Times New Roman" w:hAnsi="Times New Roman" w:cs="Times New Roman"/>
          <w:sz w:val="24"/>
          <w:szCs w:val="24"/>
        </w:rPr>
        <w:t>ants’</w:t>
      </w:r>
      <w:r w:rsidR="002E4514" w:rsidRPr="003E17CE">
        <w:rPr>
          <w:rFonts w:ascii="Times New Roman" w:hAnsi="Times New Roman" w:cs="Times New Roman"/>
          <w:sz w:val="24"/>
          <w:szCs w:val="24"/>
        </w:rPr>
        <w:t xml:space="preserve"> fungal garden</w:t>
      </w:r>
      <w:r w:rsidR="003815AE" w:rsidRPr="003E17CE">
        <w:rPr>
          <w:rFonts w:ascii="Times New Roman" w:hAnsi="Times New Roman" w:cs="Times New Roman"/>
          <w:sz w:val="24"/>
          <w:szCs w:val="24"/>
        </w:rPr>
        <w:t>s</w:t>
      </w:r>
      <w:r w:rsidR="002E4514" w:rsidRPr="003E17CE">
        <w:rPr>
          <w:rFonts w:ascii="Times New Roman" w:hAnsi="Times New Roman" w:cs="Times New Roman"/>
          <w:sz w:val="24"/>
          <w:szCs w:val="24"/>
        </w:rPr>
        <w:t>. The antibiotic and fungicidal effects appear to</w:t>
      </w:r>
      <w:r w:rsidR="00F755BC">
        <w:rPr>
          <w:rFonts w:ascii="Times New Roman" w:hAnsi="Times New Roman" w:cs="Times New Roman"/>
          <w:sz w:val="24"/>
          <w:szCs w:val="24"/>
        </w:rPr>
        <w:t xml:space="preserve"> be</w:t>
      </w:r>
      <w:r w:rsidR="002E4514" w:rsidRPr="003E17CE">
        <w:rPr>
          <w:rFonts w:ascii="Times New Roman" w:hAnsi="Times New Roman" w:cs="Times New Roman"/>
          <w:sz w:val="24"/>
          <w:szCs w:val="24"/>
        </w:rPr>
        <w:t xml:space="preserve"> the product of diverse </w:t>
      </w:r>
      <w:r w:rsidR="002E4514" w:rsidRPr="003E1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actinobacterial </w:t>
      </w:r>
      <w:r w:rsidR="002E4514" w:rsidRPr="003E17CE">
        <w:rPr>
          <w:rFonts w:ascii="Times New Roman" w:hAnsi="Times New Roman" w:cs="Times New Roman"/>
          <w:sz w:val="24"/>
          <w:szCs w:val="24"/>
        </w:rPr>
        <w:t>species, which have</w:t>
      </w:r>
      <w:r w:rsidR="00AE691B" w:rsidRPr="003E17CE">
        <w:rPr>
          <w:rFonts w:ascii="Times New Roman" w:hAnsi="Times New Roman" w:cs="Times New Roman"/>
          <w:sz w:val="24"/>
          <w:szCs w:val="24"/>
        </w:rPr>
        <w:t xml:space="preserve"> different molecular pathways </w:t>
      </w:r>
      <w:r w:rsidR="00E0299A">
        <w:rPr>
          <w:rFonts w:ascii="Times New Roman" w:hAnsi="Times New Roman" w:cs="Times New Roman"/>
          <w:sz w:val="24"/>
          <w:szCs w:val="24"/>
        </w:rPr>
        <w:t>to</w:t>
      </w:r>
      <w:r w:rsidR="00AE691B" w:rsidRPr="003E17CE">
        <w:rPr>
          <w:rFonts w:ascii="Times New Roman" w:hAnsi="Times New Roman" w:cs="Times New Roman"/>
          <w:sz w:val="24"/>
          <w:szCs w:val="24"/>
        </w:rPr>
        <w:t xml:space="preserve"> produce these functional molecules</w:t>
      </w:r>
      <w:r w:rsidR="003815AE" w:rsidRPr="003E17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15AE" w:rsidRPr="003E17CE">
        <w:rPr>
          <w:rFonts w:ascii="Times New Roman" w:hAnsi="Times New Roman" w:cs="Times New Roman"/>
          <w:sz w:val="24"/>
          <w:szCs w:val="24"/>
          <w:shd w:val="clear" w:color="auto" w:fill="FFFFFF"/>
        </w:rPr>
        <w:t>Scheuring</w:t>
      </w:r>
      <w:proofErr w:type="spellEnd"/>
      <w:r w:rsidR="003815AE" w:rsidRPr="003E1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2012</w:t>
      </w:r>
      <w:r w:rsidR="003815AE" w:rsidRPr="003E1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E691B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EE3E33" w:rsidRPr="003E17CE">
        <w:rPr>
          <w:rFonts w:ascii="Times New Roman" w:hAnsi="Times New Roman" w:cs="Times New Roman"/>
          <w:sz w:val="24"/>
          <w:szCs w:val="24"/>
        </w:rPr>
        <w:t>Diverse antibiotic responses mean that if one antibiotic fails to protect their fungal garden another will. Therefore</w:t>
      </w:r>
      <w:r w:rsidR="00305AC5" w:rsidRPr="003E17CE">
        <w:rPr>
          <w:rFonts w:ascii="Times New Roman" w:hAnsi="Times New Roman" w:cs="Times New Roman"/>
          <w:sz w:val="24"/>
          <w:szCs w:val="24"/>
        </w:rPr>
        <w:t>,</w:t>
      </w:r>
      <w:r w:rsidR="00EE3E33" w:rsidRPr="003E17CE">
        <w:rPr>
          <w:rFonts w:ascii="Times New Roman" w:hAnsi="Times New Roman" w:cs="Times New Roman"/>
          <w:sz w:val="24"/>
          <w:szCs w:val="24"/>
        </w:rPr>
        <w:t xml:space="preserve"> to explain why the fungal garden </w:t>
      </w:r>
      <w:r w:rsidR="00361314" w:rsidRPr="003E17CE">
        <w:rPr>
          <w:rFonts w:ascii="Times New Roman" w:hAnsi="Times New Roman" w:cs="Times New Roman"/>
          <w:sz w:val="24"/>
          <w:szCs w:val="24"/>
        </w:rPr>
        <w:t xml:space="preserve">is protected </w:t>
      </w:r>
      <w:r w:rsidR="00EE3E33" w:rsidRPr="003E17CE">
        <w:rPr>
          <w:rFonts w:ascii="Times New Roman" w:hAnsi="Times New Roman" w:cs="Times New Roman"/>
          <w:sz w:val="24"/>
          <w:szCs w:val="24"/>
        </w:rPr>
        <w:t>we should describe not just the population that acted as the immediate cause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of repelling a bacterial invasion</w:t>
      </w:r>
      <w:r w:rsidR="00EE3E33" w:rsidRPr="003E17CE">
        <w:rPr>
          <w:rFonts w:ascii="Times New Roman" w:hAnsi="Times New Roman" w:cs="Times New Roman"/>
          <w:sz w:val="24"/>
          <w:szCs w:val="24"/>
        </w:rPr>
        <w:t xml:space="preserve"> but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the</w:t>
      </w:r>
      <w:r w:rsidR="00EE3E33" w:rsidRPr="003E17CE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305AC5" w:rsidRPr="003E17CE">
        <w:rPr>
          <w:rFonts w:ascii="Times New Roman" w:hAnsi="Times New Roman" w:cs="Times New Roman"/>
          <w:sz w:val="24"/>
          <w:szCs w:val="24"/>
        </w:rPr>
        <w:t>that counterfactually would</w:t>
      </w:r>
      <w:r w:rsidR="00286B92" w:rsidRPr="003E17CE">
        <w:rPr>
          <w:rFonts w:ascii="Times New Roman" w:hAnsi="Times New Roman" w:cs="Times New Roman"/>
          <w:sz w:val="24"/>
          <w:szCs w:val="24"/>
        </w:rPr>
        <w:t xml:space="preserve"> have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as well. </w:t>
      </w:r>
      <w:r w:rsidR="00AE691B" w:rsidRPr="003E17CE">
        <w:rPr>
          <w:rFonts w:ascii="Times New Roman" w:hAnsi="Times New Roman" w:cs="Times New Roman"/>
          <w:sz w:val="24"/>
          <w:szCs w:val="24"/>
        </w:rPr>
        <w:t>This system may have analog</w:t>
      </w:r>
      <w:r w:rsidR="003815AE" w:rsidRPr="003E17CE">
        <w:rPr>
          <w:rFonts w:ascii="Times New Roman" w:hAnsi="Times New Roman" w:cs="Times New Roman"/>
          <w:sz w:val="24"/>
          <w:szCs w:val="24"/>
        </w:rPr>
        <w:t>ues in human cases</w:t>
      </w:r>
      <w:r w:rsidR="00C45D1D" w:rsidRPr="003E17CE">
        <w:rPr>
          <w:rFonts w:ascii="Times New Roman" w:hAnsi="Times New Roman" w:cs="Times New Roman"/>
          <w:sz w:val="24"/>
          <w:szCs w:val="24"/>
        </w:rPr>
        <w:t>. Bodily functions that maintain health</w:t>
      </w:r>
      <w:r w:rsidR="003815AE" w:rsidRPr="003E17CE">
        <w:rPr>
          <w:rFonts w:ascii="Times New Roman" w:hAnsi="Times New Roman" w:cs="Times New Roman"/>
          <w:sz w:val="24"/>
          <w:szCs w:val="24"/>
        </w:rPr>
        <w:t>, like defences against specific pathogens, will likely be the product of complementary actions of microbiota through differing mechanisms.</w:t>
      </w:r>
    </w:p>
    <w:p w14:paraId="2BF36924" w14:textId="19DBCAC1" w:rsidR="00305AC5" w:rsidRPr="003E17CE" w:rsidRDefault="00B422B3" w:rsidP="00D8469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Statistical averaging effects </w:t>
      </w:r>
      <w:r w:rsidR="00305AC5" w:rsidRPr="003E17CE">
        <w:rPr>
          <w:rFonts w:ascii="Times New Roman" w:hAnsi="Times New Roman" w:cs="Times New Roman"/>
          <w:sz w:val="24"/>
          <w:szCs w:val="24"/>
        </w:rPr>
        <w:t>act in ecological systems to maintain aggregational outcomes, such as resource processing or the production of some common good. Many st</w:t>
      </w:r>
      <w:r w:rsidR="00540C41" w:rsidRPr="003E17CE">
        <w:rPr>
          <w:rFonts w:ascii="Times New Roman" w:hAnsi="Times New Roman" w:cs="Times New Roman"/>
          <w:sz w:val="24"/>
          <w:szCs w:val="24"/>
        </w:rPr>
        <w:t>udies in macroecology have focused on the relationship between biomass production and species diversity (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e.g. </w:t>
      </w:r>
      <w:r w:rsidR="00540C41" w:rsidRPr="003E17CE">
        <w:rPr>
          <w:rFonts w:ascii="Times New Roman" w:hAnsi="Times New Roman" w:cs="Times New Roman"/>
          <w:sz w:val="24"/>
          <w:szCs w:val="24"/>
        </w:rPr>
        <w:t>Tilman</w:t>
      </w:r>
      <w:r w:rsidR="000F5FCB" w:rsidRPr="003E17CE">
        <w:rPr>
          <w:rFonts w:ascii="Times New Roman" w:hAnsi="Times New Roman" w:cs="Times New Roman"/>
          <w:sz w:val="24"/>
          <w:szCs w:val="24"/>
        </w:rPr>
        <w:t xml:space="preserve"> and Downing 1994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). One prominent </w:t>
      </w:r>
      <w:r w:rsidR="00305AC5" w:rsidRPr="003E17CE">
        <w:rPr>
          <w:rFonts w:ascii="Times New Roman" w:hAnsi="Times New Roman" w:cs="Times New Roman"/>
          <w:sz w:val="24"/>
          <w:szCs w:val="24"/>
        </w:rPr>
        <w:t>explanation of this relationship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 is that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the different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305AC5" w:rsidRPr="003E17CE">
        <w:rPr>
          <w:rFonts w:ascii="Times New Roman" w:hAnsi="Times New Roman" w:cs="Times New Roman"/>
          <w:sz w:val="24"/>
          <w:szCs w:val="24"/>
        </w:rPr>
        <w:t>in the community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 occupy different niches</w:t>
      </w:r>
      <w:r w:rsidR="00305AC5" w:rsidRPr="003E17CE">
        <w:rPr>
          <w:rFonts w:ascii="Times New Roman" w:hAnsi="Times New Roman" w:cs="Times New Roman"/>
          <w:sz w:val="24"/>
          <w:szCs w:val="24"/>
        </w:rPr>
        <w:t>, the</w:t>
      </w:r>
      <w:r w:rsidR="00F755BC">
        <w:rPr>
          <w:rFonts w:ascii="Times New Roman" w:hAnsi="Times New Roman" w:cs="Times New Roman"/>
          <w:sz w:val="24"/>
          <w:szCs w:val="24"/>
        </w:rPr>
        <w:t xml:space="preserve">ir </w:t>
      </w:r>
      <w:r w:rsidR="00305AC5" w:rsidRPr="003E17CE">
        <w:rPr>
          <w:rFonts w:ascii="Times New Roman" w:hAnsi="Times New Roman" w:cs="Times New Roman"/>
          <w:sz w:val="24"/>
          <w:szCs w:val="24"/>
        </w:rPr>
        <w:t>slightly differing adaptation</w:t>
      </w:r>
      <w:r w:rsidR="00F04483" w:rsidRPr="003E17CE">
        <w:rPr>
          <w:rFonts w:ascii="Times New Roman" w:hAnsi="Times New Roman" w:cs="Times New Roman"/>
          <w:sz w:val="24"/>
          <w:szCs w:val="24"/>
        </w:rPr>
        <w:t>s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allow them to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 have asynchronous response</w:t>
      </w:r>
      <w:r w:rsidR="000F5FCB" w:rsidRPr="003E17CE">
        <w:rPr>
          <w:rFonts w:ascii="Times New Roman" w:hAnsi="Times New Roman" w:cs="Times New Roman"/>
          <w:sz w:val="24"/>
          <w:szCs w:val="24"/>
        </w:rPr>
        <w:t>s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 to environmental fluctuations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5AC5" w:rsidRPr="003E17CE">
        <w:rPr>
          <w:rFonts w:ascii="Times New Roman" w:hAnsi="Times New Roman" w:cs="Times New Roman"/>
          <w:sz w:val="24"/>
          <w:szCs w:val="24"/>
        </w:rPr>
        <w:t>Doak</w:t>
      </w:r>
      <w:proofErr w:type="spellEnd"/>
      <w:r w:rsidR="00305AC5" w:rsidRPr="003E17CE">
        <w:rPr>
          <w:rFonts w:ascii="Times New Roman" w:hAnsi="Times New Roman" w:cs="Times New Roman"/>
          <w:sz w:val="24"/>
          <w:szCs w:val="24"/>
        </w:rPr>
        <w:t xml:space="preserve"> et al. 1998). Differing response</w:t>
      </w:r>
      <w:r w:rsidR="00361314" w:rsidRPr="003E17CE">
        <w:rPr>
          <w:rFonts w:ascii="Times New Roman" w:hAnsi="Times New Roman" w:cs="Times New Roman"/>
          <w:sz w:val="24"/>
          <w:szCs w:val="24"/>
        </w:rPr>
        <w:t>s</w:t>
      </w:r>
      <w:r w:rsidR="00305AC5" w:rsidRPr="003E17CE">
        <w:rPr>
          <w:rFonts w:ascii="Times New Roman" w:hAnsi="Times New Roman" w:cs="Times New Roman"/>
          <w:sz w:val="24"/>
          <w:szCs w:val="24"/>
        </w:rPr>
        <w:t xml:space="preserve"> to environmental change</w:t>
      </w:r>
      <w:r w:rsidR="000F5FCB" w:rsidRPr="003E17CE">
        <w:rPr>
          <w:rFonts w:ascii="Times New Roman" w:hAnsi="Times New Roman" w:cs="Times New Roman"/>
          <w:sz w:val="24"/>
          <w:szCs w:val="24"/>
        </w:rPr>
        <w:t xml:space="preserve"> allows 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the </w:t>
      </w:r>
      <w:r w:rsidR="00065C5C" w:rsidRPr="003E17CE">
        <w:rPr>
          <w:rFonts w:ascii="Times New Roman" w:hAnsi="Times New Roman" w:cs="Times New Roman"/>
          <w:sz w:val="24"/>
          <w:szCs w:val="24"/>
        </w:rPr>
        <w:lastRenderedPageBreak/>
        <w:t>ecological system to maintain a stable aggregational output</w:t>
      </w:r>
      <w:r w:rsidR="00305AC5" w:rsidRPr="003E17CE">
        <w:rPr>
          <w:rFonts w:ascii="Times New Roman" w:hAnsi="Times New Roman" w:cs="Times New Roman"/>
          <w:sz w:val="24"/>
          <w:szCs w:val="24"/>
        </w:rPr>
        <w:t>, as when one populations density reduces another’s will rise</w:t>
      </w:r>
      <w:r w:rsidR="00540C41"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065C5C" w:rsidRPr="003E17CE">
        <w:rPr>
          <w:rFonts w:ascii="Times New Roman" w:hAnsi="Times New Roman" w:cs="Times New Roman"/>
          <w:sz w:val="24"/>
          <w:szCs w:val="24"/>
        </w:rPr>
        <w:t>M</w:t>
      </w:r>
      <w:r w:rsidR="000F5FCB" w:rsidRPr="003E17CE">
        <w:rPr>
          <w:rFonts w:ascii="Times New Roman" w:hAnsi="Times New Roman" w:cs="Times New Roman"/>
          <w:sz w:val="24"/>
          <w:szCs w:val="24"/>
        </w:rPr>
        <w:t xml:space="preserve">icrobial communities 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have been found to maintain </w:t>
      </w:r>
      <w:r w:rsidR="000F5FCB" w:rsidRPr="003E17CE">
        <w:rPr>
          <w:rFonts w:ascii="Times New Roman" w:hAnsi="Times New Roman" w:cs="Times New Roman"/>
          <w:sz w:val="24"/>
          <w:szCs w:val="24"/>
        </w:rPr>
        <w:t>productivity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 in the face of</w:t>
      </w:r>
      <w:r w:rsidR="000F5FCB" w:rsidRPr="003E17CE">
        <w:rPr>
          <w:rFonts w:ascii="Times New Roman" w:hAnsi="Times New Roman" w:cs="Times New Roman"/>
          <w:sz w:val="24"/>
          <w:szCs w:val="24"/>
        </w:rPr>
        <w:t xml:space="preserve"> fluctuations in salinity 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through having diverse compositions </w:t>
      </w:r>
      <w:r w:rsidR="000F5FCB" w:rsidRPr="003E17CE">
        <w:rPr>
          <w:rFonts w:ascii="Times New Roman" w:hAnsi="Times New Roman" w:cs="Times New Roman"/>
          <w:sz w:val="24"/>
          <w:szCs w:val="24"/>
        </w:rPr>
        <w:t>(Matias et al. 2012)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D5378" w14:textId="0199F32F" w:rsidR="002F7B81" w:rsidRPr="003E17CE" w:rsidRDefault="00305AC5" w:rsidP="00D8469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A </w:t>
      </w:r>
      <w:r w:rsidR="00361314" w:rsidRPr="003E17CE">
        <w:rPr>
          <w:rFonts w:ascii="Times New Roman" w:hAnsi="Times New Roman" w:cs="Times New Roman"/>
          <w:sz w:val="24"/>
          <w:szCs w:val="24"/>
        </w:rPr>
        <w:t>macro-</w:t>
      </w:r>
      <w:r w:rsidRPr="003E17CE">
        <w:rPr>
          <w:rFonts w:ascii="Times New Roman" w:hAnsi="Times New Roman" w:cs="Times New Roman"/>
          <w:sz w:val="24"/>
          <w:szCs w:val="24"/>
        </w:rPr>
        <w:t>organism may require microbes to play a critical function</w:t>
      </w:r>
      <w:r w:rsidR="00960812" w:rsidRPr="003E17CE">
        <w:rPr>
          <w:rFonts w:ascii="Times New Roman" w:hAnsi="Times New Roman" w:cs="Times New Roman"/>
          <w:sz w:val="24"/>
          <w:szCs w:val="24"/>
        </w:rPr>
        <w:t>,</w:t>
      </w:r>
      <w:r w:rsidRPr="003E17CE">
        <w:rPr>
          <w:rFonts w:ascii="Times New Roman" w:hAnsi="Times New Roman" w:cs="Times New Roman"/>
          <w:sz w:val="24"/>
          <w:szCs w:val="24"/>
        </w:rPr>
        <w:t xml:space="preserve"> requiring a highly specific mutation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. If the individual </w:t>
      </w:r>
      <w:r w:rsidRPr="003E17CE">
        <w:rPr>
          <w:rFonts w:ascii="Times New Roman" w:hAnsi="Times New Roman" w:cs="Times New Roman"/>
          <w:sz w:val="24"/>
          <w:szCs w:val="24"/>
        </w:rPr>
        <w:t xml:space="preserve">microbial 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3E17CE">
        <w:rPr>
          <w:rFonts w:ascii="Times New Roman" w:hAnsi="Times New Roman" w:cs="Times New Roman"/>
          <w:sz w:val="24"/>
          <w:szCs w:val="24"/>
        </w:rPr>
        <w:t xml:space="preserve">that serves this function 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dies </w:t>
      </w:r>
      <w:r w:rsidR="00782365" w:rsidRPr="003E17CE">
        <w:rPr>
          <w:rFonts w:ascii="Times New Roman" w:hAnsi="Times New Roman" w:cs="Times New Roman"/>
          <w:sz w:val="24"/>
          <w:szCs w:val="24"/>
        </w:rPr>
        <w:t>out,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then this key function is lost. But if niche differentiated populations all possess this mutation then the </w:t>
      </w:r>
      <w:r w:rsidR="00782365" w:rsidRPr="003E17CE">
        <w:rPr>
          <w:rFonts w:ascii="Times New Roman" w:hAnsi="Times New Roman" w:cs="Times New Roman"/>
          <w:sz w:val="24"/>
          <w:szCs w:val="24"/>
        </w:rPr>
        <w:t>critical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function will be maintained in the face of environmental fluctuation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. This </w:t>
      </w:r>
      <w:r w:rsidR="001A15DB" w:rsidRPr="003E17CE">
        <w:rPr>
          <w:rFonts w:ascii="Times New Roman" w:hAnsi="Times New Roman" w:cs="Times New Roman"/>
          <w:sz w:val="24"/>
          <w:szCs w:val="24"/>
        </w:rPr>
        <w:t>situation is made likely in microbial communities due to</w:t>
      </w:r>
      <w:r w:rsidR="00960812" w:rsidRPr="003E17CE">
        <w:rPr>
          <w:rFonts w:ascii="Times New Roman" w:hAnsi="Times New Roman" w:cs="Times New Roman"/>
          <w:sz w:val="24"/>
          <w:szCs w:val="24"/>
        </w:rPr>
        <w:t xml:space="preserve"> the high amount of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 lateral gene transfer</w:t>
      </w:r>
      <w:r w:rsidR="00960812" w:rsidRPr="003E17CE">
        <w:rPr>
          <w:rFonts w:ascii="Times New Roman" w:hAnsi="Times New Roman" w:cs="Times New Roman"/>
          <w:sz w:val="24"/>
          <w:szCs w:val="24"/>
        </w:rPr>
        <w:t xml:space="preserve"> found in the microbiome</w:t>
      </w:r>
      <w:r w:rsidR="006B25FF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6B25FF" w:rsidRPr="003E17CE">
        <w:rPr>
          <w:rFonts w:ascii="Times New Roman" w:hAnsi="Times New Roman" w:cs="Times New Roman"/>
          <w:sz w:val="24"/>
          <w:szCs w:val="24"/>
          <w:shd w:val="clear" w:color="auto" w:fill="FFFFFF"/>
        </w:rPr>
        <w:t>(Liu et al. 2012)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. If there is a gene that facilitates the utilisation </w:t>
      </w:r>
      <w:r w:rsidR="001A15DB" w:rsidRPr="003E17CE">
        <w:rPr>
          <w:rFonts w:ascii="Times New Roman" w:hAnsi="Times New Roman" w:cs="Times New Roman"/>
          <w:sz w:val="24"/>
          <w:szCs w:val="24"/>
        </w:rPr>
        <w:t>of a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D84693" w:rsidRPr="003E17CE">
        <w:rPr>
          <w:rFonts w:ascii="Times New Roman" w:hAnsi="Times New Roman" w:cs="Times New Roman"/>
          <w:sz w:val="24"/>
          <w:szCs w:val="24"/>
        </w:rPr>
        <w:t>resource,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 it </w:t>
      </w:r>
      <w:r w:rsidR="00782365" w:rsidRPr="003E17CE">
        <w:rPr>
          <w:rFonts w:ascii="Times New Roman" w:hAnsi="Times New Roman" w:cs="Times New Roman"/>
          <w:sz w:val="24"/>
          <w:szCs w:val="24"/>
        </w:rPr>
        <w:t>can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 be passed across</w:t>
      </w:r>
      <w:r w:rsidR="00820ACB" w:rsidRPr="003E17CE">
        <w:rPr>
          <w:rFonts w:ascii="Times New Roman" w:hAnsi="Times New Roman" w:cs="Times New Roman"/>
          <w:sz w:val="24"/>
          <w:szCs w:val="24"/>
        </w:rPr>
        <w:t xml:space="preserve"> microbial</w:t>
      </w:r>
      <w:r w:rsidR="00065C5C" w:rsidRPr="003E17CE">
        <w:rPr>
          <w:rFonts w:ascii="Times New Roman" w:hAnsi="Times New Roman" w:cs="Times New Roman"/>
          <w:sz w:val="24"/>
          <w:szCs w:val="24"/>
        </w:rPr>
        <w:t xml:space="preserve"> lineages</w:t>
      </w:r>
      <w:r w:rsidR="00820ACB" w:rsidRPr="003E17CE">
        <w:rPr>
          <w:rFonts w:ascii="Times New Roman" w:hAnsi="Times New Roman" w:cs="Times New Roman"/>
          <w:sz w:val="24"/>
          <w:szCs w:val="24"/>
        </w:rPr>
        <w:t xml:space="preserve"> rapidly allowing for diverse populations to utilize this resource.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In such cases</w:t>
      </w:r>
      <w:r w:rsidR="00782365" w:rsidRPr="003E17CE">
        <w:rPr>
          <w:rFonts w:ascii="Times New Roman" w:hAnsi="Times New Roman" w:cs="Times New Roman"/>
          <w:sz w:val="24"/>
          <w:szCs w:val="24"/>
        </w:rPr>
        <w:t>,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the statistical averaging effects of the whole communities aggregational productivity will be an important factor in maintaining the</w:t>
      </w:r>
      <w:r w:rsidR="00782365" w:rsidRPr="003E17CE">
        <w:rPr>
          <w:rFonts w:ascii="Times New Roman" w:hAnsi="Times New Roman" w:cs="Times New Roman"/>
          <w:sz w:val="24"/>
          <w:szCs w:val="24"/>
        </w:rPr>
        <w:t xml:space="preserve"> health</w:t>
      </w:r>
      <w:r w:rsidR="001A15DB" w:rsidRPr="003E17CE">
        <w:rPr>
          <w:rFonts w:ascii="Times New Roman" w:hAnsi="Times New Roman" w:cs="Times New Roman"/>
          <w:sz w:val="24"/>
          <w:szCs w:val="24"/>
        </w:rPr>
        <w:t xml:space="preserve"> outcome of interest. </w:t>
      </w:r>
    </w:p>
    <w:p w14:paraId="209B593B" w14:textId="71F91308" w:rsidR="001A4355" w:rsidRPr="003E17CE" w:rsidRDefault="00C45D1D" w:rsidP="00C45D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>Many different mechanisms maintain a macro-organism</w:t>
      </w:r>
      <w:r w:rsidR="00361314" w:rsidRPr="003E17CE">
        <w:rPr>
          <w:rFonts w:ascii="Times New Roman" w:hAnsi="Times New Roman" w:cs="Times New Roman"/>
          <w:sz w:val="24"/>
          <w:szCs w:val="24"/>
        </w:rPr>
        <w:t>’</w:t>
      </w:r>
      <w:r w:rsidRPr="003E17CE">
        <w:rPr>
          <w:rFonts w:ascii="Times New Roman" w:hAnsi="Times New Roman" w:cs="Times New Roman"/>
          <w:sz w:val="24"/>
          <w:szCs w:val="24"/>
        </w:rPr>
        <w:t xml:space="preserve">s functional states. </w:t>
      </w:r>
      <w:r w:rsidR="00735FF5" w:rsidRPr="003E17CE">
        <w:rPr>
          <w:rFonts w:ascii="Times New Roman" w:hAnsi="Times New Roman" w:cs="Times New Roman"/>
          <w:sz w:val="24"/>
          <w:szCs w:val="24"/>
        </w:rPr>
        <w:t xml:space="preserve">The causal relationship that yields a healthy function state, or range of states, can be the result of the contributions of many populations within the system. </w:t>
      </w:r>
      <w:r w:rsidR="00B91D7A" w:rsidRPr="003E17CE">
        <w:rPr>
          <w:rFonts w:ascii="Times New Roman" w:hAnsi="Times New Roman" w:cs="Times New Roman"/>
          <w:sz w:val="24"/>
          <w:szCs w:val="24"/>
        </w:rPr>
        <w:t>Given this</w:t>
      </w:r>
      <w:r w:rsidR="00735FF5" w:rsidRPr="003E17CE">
        <w:rPr>
          <w:rFonts w:ascii="Times New Roman" w:hAnsi="Times New Roman" w:cs="Times New Roman"/>
          <w:sz w:val="24"/>
          <w:szCs w:val="24"/>
        </w:rPr>
        <w:t>,</w:t>
      </w:r>
      <w:r w:rsidR="00B91D7A" w:rsidRPr="003E17CE">
        <w:rPr>
          <w:rFonts w:ascii="Times New Roman" w:hAnsi="Times New Roman" w:cs="Times New Roman"/>
          <w:sz w:val="24"/>
          <w:szCs w:val="24"/>
        </w:rPr>
        <w:t xml:space="preserve"> our grain</w:t>
      </w:r>
      <w:r w:rsidRPr="003E17CE">
        <w:rPr>
          <w:rFonts w:ascii="Times New Roman" w:hAnsi="Times New Roman" w:cs="Times New Roman"/>
          <w:sz w:val="24"/>
          <w:szCs w:val="24"/>
        </w:rPr>
        <w:t xml:space="preserve"> of</w:t>
      </w:r>
      <w:r w:rsidR="00B91D7A" w:rsidRPr="003E17CE">
        <w:rPr>
          <w:rFonts w:ascii="Times New Roman" w:hAnsi="Times New Roman" w:cs="Times New Roman"/>
          <w:sz w:val="24"/>
          <w:szCs w:val="24"/>
        </w:rPr>
        <w:t xml:space="preserve"> causal description may be better represented by a community of microbes rather than </w:t>
      </w:r>
      <w:r w:rsidR="00735FF5" w:rsidRPr="003E17CE">
        <w:rPr>
          <w:rFonts w:ascii="Times New Roman" w:hAnsi="Times New Roman" w:cs="Times New Roman"/>
          <w:sz w:val="24"/>
          <w:szCs w:val="24"/>
        </w:rPr>
        <w:t>individual</w:t>
      </w:r>
      <w:r w:rsidR="00B91D7A" w:rsidRPr="003E17CE">
        <w:rPr>
          <w:rFonts w:ascii="Times New Roman" w:hAnsi="Times New Roman" w:cs="Times New Roman"/>
          <w:sz w:val="24"/>
          <w:szCs w:val="24"/>
        </w:rPr>
        <w:t xml:space="preserve"> populations. </w:t>
      </w:r>
      <w:r w:rsidR="00735FF5" w:rsidRPr="003E17CE">
        <w:rPr>
          <w:rFonts w:ascii="Times New Roman" w:hAnsi="Times New Roman" w:cs="Times New Roman"/>
          <w:sz w:val="24"/>
          <w:szCs w:val="24"/>
        </w:rPr>
        <w:t>To put this in the language that Lynch et al. 2019 so helpfully provided: t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o explain the </w:t>
      </w:r>
      <w:r w:rsidR="00E315BC" w:rsidRPr="003E17CE">
        <w:rPr>
          <w:rFonts w:ascii="Times New Roman" w:hAnsi="Times New Roman" w:cs="Times New Roman"/>
          <w:i/>
          <w:sz w:val="24"/>
          <w:szCs w:val="24"/>
        </w:rPr>
        <w:t>stability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 of a health outcome we will be forced to look at the</w:t>
      </w:r>
      <w:r w:rsidRPr="003E17CE">
        <w:rPr>
          <w:rFonts w:ascii="Times New Roman" w:hAnsi="Times New Roman" w:cs="Times New Roman"/>
          <w:sz w:val="24"/>
          <w:szCs w:val="24"/>
        </w:rPr>
        <w:t xml:space="preserve"> ensemble effects of an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 ecological arrangement</w:t>
      </w:r>
      <w:r w:rsidR="00911D8E" w:rsidRPr="003E17CE">
        <w:rPr>
          <w:rFonts w:ascii="Times New Roman" w:hAnsi="Times New Roman" w:cs="Times New Roman"/>
          <w:sz w:val="24"/>
          <w:szCs w:val="24"/>
        </w:rPr>
        <w:t>,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 rather than individual populations</w:t>
      </w:r>
      <w:r w:rsidR="00911D8E" w:rsidRPr="003E17CE">
        <w:rPr>
          <w:rFonts w:ascii="Times New Roman" w:hAnsi="Times New Roman" w:cs="Times New Roman"/>
          <w:sz w:val="24"/>
          <w:szCs w:val="24"/>
        </w:rPr>
        <w:t>,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 as </w:t>
      </w:r>
      <w:r w:rsidR="00735FF5" w:rsidRPr="003E17CE">
        <w:rPr>
          <w:rFonts w:ascii="Times New Roman" w:hAnsi="Times New Roman" w:cs="Times New Roman"/>
          <w:sz w:val="24"/>
          <w:szCs w:val="24"/>
        </w:rPr>
        <w:t xml:space="preserve">otherwise 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the cause will not be </w:t>
      </w:r>
      <w:r w:rsidR="00E315BC" w:rsidRPr="003E17CE">
        <w:rPr>
          <w:rFonts w:ascii="Times New Roman" w:hAnsi="Times New Roman" w:cs="Times New Roman"/>
          <w:i/>
          <w:sz w:val="24"/>
          <w:szCs w:val="24"/>
        </w:rPr>
        <w:t>specific</w:t>
      </w:r>
      <w:r w:rsidR="00E315BC" w:rsidRPr="003E17CE">
        <w:rPr>
          <w:rFonts w:ascii="Times New Roman" w:hAnsi="Times New Roman" w:cs="Times New Roman"/>
          <w:sz w:val="24"/>
          <w:szCs w:val="24"/>
        </w:rPr>
        <w:t xml:space="preserve"> (2) to the effect we are looking for.</w:t>
      </w:r>
    </w:p>
    <w:p w14:paraId="292AA49D" w14:textId="77777777" w:rsidR="000457E1" w:rsidRPr="003E17CE" w:rsidRDefault="000457E1" w:rsidP="00C45D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49FC2E8" w14:textId="63F9E06B" w:rsidR="00326F4E" w:rsidRPr="003E17CE" w:rsidRDefault="001F7F5C" w:rsidP="00D02A22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7CE">
        <w:rPr>
          <w:rFonts w:ascii="Times New Roman" w:hAnsi="Times New Roman" w:cs="Times New Roman"/>
          <w:i/>
          <w:iCs/>
          <w:sz w:val="24"/>
          <w:szCs w:val="24"/>
        </w:rPr>
        <w:t xml:space="preserve">Microbial Integration and </w:t>
      </w:r>
      <w:r w:rsidR="00326F4E" w:rsidRPr="003E17CE">
        <w:rPr>
          <w:rFonts w:ascii="Times New Roman" w:hAnsi="Times New Roman" w:cs="Times New Roman"/>
          <w:i/>
          <w:iCs/>
          <w:sz w:val="24"/>
          <w:szCs w:val="24"/>
        </w:rPr>
        <w:t>Proportionality</w:t>
      </w:r>
    </w:p>
    <w:p w14:paraId="04234A5B" w14:textId="77777777" w:rsidR="000457E1" w:rsidRPr="003E17CE" w:rsidRDefault="000457E1" w:rsidP="00D02A22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82F27CB" w14:textId="21F8EC9A" w:rsidR="00735FF5" w:rsidRPr="003E17CE" w:rsidRDefault="00814E11" w:rsidP="007823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>Metabolic integration</w:t>
      </w:r>
      <w:r w:rsidR="0081568F" w:rsidRPr="003E17CE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3E17CE">
        <w:rPr>
          <w:rFonts w:ascii="Times New Roman" w:hAnsi="Times New Roman" w:cs="Times New Roman"/>
          <w:sz w:val="24"/>
          <w:szCs w:val="24"/>
        </w:rPr>
        <w:t xml:space="preserve">microbial </w:t>
      </w:r>
      <w:r w:rsidR="0081568F" w:rsidRPr="003E17CE">
        <w:rPr>
          <w:rFonts w:ascii="Times New Roman" w:hAnsi="Times New Roman" w:cs="Times New Roman"/>
          <w:sz w:val="24"/>
          <w:szCs w:val="24"/>
        </w:rPr>
        <w:t xml:space="preserve">populations </w:t>
      </w:r>
      <w:r w:rsidR="0065211A" w:rsidRPr="003E17CE">
        <w:rPr>
          <w:rFonts w:ascii="Times New Roman" w:hAnsi="Times New Roman" w:cs="Times New Roman"/>
          <w:sz w:val="24"/>
          <w:szCs w:val="24"/>
        </w:rPr>
        <w:t>necessitates the</w:t>
      </w:r>
      <w:r w:rsidR="00C07EEF" w:rsidRPr="003E17CE">
        <w:rPr>
          <w:rFonts w:ascii="Times New Roman" w:hAnsi="Times New Roman" w:cs="Times New Roman"/>
          <w:sz w:val="24"/>
          <w:szCs w:val="24"/>
        </w:rPr>
        <w:t xml:space="preserve"> causal variable</w:t>
      </w:r>
      <w:r w:rsidR="00BB2535">
        <w:rPr>
          <w:rFonts w:ascii="Times New Roman" w:hAnsi="Times New Roman" w:cs="Times New Roman"/>
          <w:sz w:val="24"/>
          <w:szCs w:val="24"/>
        </w:rPr>
        <w:t>, which influences health,</w:t>
      </w:r>
      <w:r w:rsidR="00C07EEF" w:rsidRPr="003E17CE">
        <w:rPr>
          <w:rFonts w:ascii="Times New Roman" w:hAnsi="Times New Roman" w:cs="Times New Roman"/>
          <w:sz w:val="24"/>
          <w:szCs w:val="24"/>
        </w:rPr>
        <w:t xml:space="preserve"> be the</w:t>
      </w:r>
      <w:r w:rsidR="0081568F" w:rsidRPr="003E17CE">
        <w:rPr>
          <w:rFonts w:ascii="Times New Roman" w:hAnsi="Times New Roman" w:cs="Times New Roman"/>
          <w:sz w:val="24"/>
          <w:szCs w:val="24"/>
        </w:rPr>
        <w:t xml:space="preserve"> ecological unit rather than</w:t>
      </w:r>
      <w:r w:rsidR="006E7ABE" w:rsidRPr="003E17CE">
        <w:rPr>
          <w:rFonts w:ascii="Times New Roman" w:hAnsi="Times New Roman" w:cs="Times New Roman"/>
          <w:sz w:val="24"/>
          <w:szCs w:val="24"/>
        </w:rPr>
        <w:t xml:space="preserve"> an</w:t>
      </w:r>
      <w:r w:rsidR="0081568F" w:rsidRPr="003E17CE">
        <w:rPr>
          <w:rFonts w:ascii="Times New Roman" w:hAnsi="Times New Roman" w:cs="Times New Roman"/>
          <w:sz w:val="24"/>
          <w:szCs w:val="24"/>
        </w:rPr>
        <w:t xml:space="preserve"> individual population.</w:t>
      </w:r>
      <w:r w:rsidR="009918E1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E438E6" w:rsidRPr="003E17CE">
        <w:rPr>
          <w:rFonts w:ascii="Times New Roman" w:hAnsi="Times New Roman" w:cs="Times New Roman"/>
          <w:sz w:val="24"/>
          <w:szCs w:val="24"/>
        </w:rPr>
        <w:t>A h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ealth outcome </w:t>
      </w:r>
      <w:r w:rsidRPr="003E17CE">
        <w:rPr>
          <w:rFonts w:ascii="Times New Roman" w:hAnsi="Times New Roman" w:cs="Times New Roman"/>
          <w:sz w:val="24"/>
          <w:szCs w:val="24"/>
        </w:rPr>
        <w:t xml:space="preserve">could be the product of multiple populations dividing the biochemical processing into </w:t>
      </w:r>
      <w:r w:rsidR="00A1328D" w:rsidRPr="003E17CE">
        <w:rPr>
          <w:rFonts w:ascii="Times New Roman" w:hAnsi="Times New Roman" w:cs="Times New Roman"/>
          <w:sz w:val="24"/>
          <w:szCs w:val="24"/>
        </w:rPr>
        <w:t>distinct</w:t>
      </w:r>
      <w:r w:rsidRPr="003E17CE">
        <w:rPr>
          <w:rFonts w:ascii="Times New Roman" w:hAnsi="Times New Roman" w:cs="Times New Roman"/>
          <w:sz w:val="24"/>
          <w:szCs w:val="24"/>
        </w:rPr>
        <w:t xml:space="preserve"> steps.</w:t>
      </w:r>
      <w:r w:rsidR="00D84693" w:rsidRPr="003E17CE">
        <w:rPr>
          <w:rFonts w:ascii="Times New Roman" w:hAnsi="Times New Roman" w:cs="Times New Roman"/>
          <w:sz w:val="24"/>
          <w:szCs w:val="24"/>
        </w:rPr>
        <w:t xml:space="preserve"> In such cases</w:t>
      </w:r>
      <w:r w:rsidR="00782365" w:rsidRPr="003E17CE">
        <w:rPr>
          <w:rFonts w:ascii="Times New Roman" w:hAnsi="Times New Roman" w:cs="Times New Roman"/>
          <w:sz w:val="24"/>
          <w:szCs w:val="24"/>
        </w:rPr>
        <w:t>,</w:t>
      </w:r>
      <w:r w:rsidR="00D84693" w:rsidRPr="003E17CE">
        <w:rPr>
          <w:rFonts w:ascii="Times New Roman" w:hAnsi="Times New Roman" w:cs="Times New Roman"/>
          <w:sz w:val="24"/>
          <w:szCs w:val="24"/>
        </w:rPr>
        <w:t xml:space="preserve"> the causal mechanism which influences </w:t>
      </w:r>
      <w:r w:rsidR="00C25CD1">
        <w:rPr>
          <w:rFonts w:ascii="Times New Roman" w:hAnsi="Times New Roman" w:cs="Times New Roman"/>
          <w:sz w:val="24"/>
          <w:szCs w:val="24"/>
        </w:rPr>
        <w:t>a</w:t>
      </w:r>
      <w:r w:rsidR="00D84693" w:rsidRPr="003E17CE">
        <w:rPr>
          <w:rFonts w:ascii="Times New Roman" w:hAnsi="Times New Roman" w:cs="Times New Roman"/>
          <w:sz w:val="24"/>
          <w:szCs w:val="24"/>
        </w:rPr>
        <w:t xml:space="preserve"> health state is itself the product of a </w:t>
      </w:r>
      <w:r w:rsidR="00C25CD1">
        <w:rPr>
          <w:rFonts w:ascii="Times New Roman" w:hAnsi="Times New Roman" w:cs="Times New Roman"/>
          <w:sz w:val="24"/>
          <w:szCs w:val="24"/>
        </w:rPr>
        <w:t>specific</w:t>
      </w:r>
      <w:r w:rsidR="00D84693" w:rsidRPr="003E17CE">
        <w:rPr>
          <w:rFonts w:ascii="Times New Roman" w:hAnsi="Times New Roman" w:cs="Times New Roman"/>
          <w:sz w:val="24"/>
          <w:szCs w:val="24"/>
        </w:rPr>
        <w:t xml:space="preserve"> sequence of populations </w:t>
      </w:r>
      <w:r w:rsidR="00F72B42" w:rsidRPr="003E17CE">
        <w:rPr>
          <w:rFonts w:ascii="Times New Roman" w:hAnsi="Times New Roman" w:cs="Times New Roman"/>
          <w:sz w:val="24"/>
          <w:szCs w:val="24"/>
        </w:rPr>
        <w:t xml:space="preserve">acting in complimentary manners. Microbial communities are better suited to creating tightly integrated units than communities made of </w:t>
      </w:r>
      <w:proofErr w:type="spellStart"/>
      <w:r w:rsidR="00F72B42" w:rsidRPr="003E17CE">
        <w:rPr>
          <w:rFonts w:ascii="Times New Roman" w:hAnsi="Times New Roman" w:cs="Times New Roman"/>
          <w:sz w:val="24"/>
          <w:szCs w:val="24"/>
        </w:rPr>
        <w:t>macrobes</w:t>
      </w:r>
      <w:proofErr w:type="spellEnd"/>
      <w:r w:rsidR="00F72B42" w:rsidRPr="003E17CE">
        <w:rPr>
          <w:rFonts w:ascii="Times New Roman" w:hAnsi="Times New Roman" w:cs="Times New Roman"/>
          <w:sz w:val="24"/>
          <w:szCs w:val="24"/>
        </w:rPr>
        <w:t xml:space="preserve"> due to their ability to rapidly shed or gain coding DNA. </w:t>
      </w:r>
      <w:proofErr w:type="spellStart"/>
      <w:r w:rsidR="00862299">
        <w:rPr>
          <w:rFonts w:ascii="Times New Roman" w:hAnsi="Times New Roman" w:cs="Times New Roman"/>
          <w:sz w:val="24"/>
          <w:szCs w:val="24"/>
        </w:rPr>
        <w:t>Macrobial</w:t>
      </w:r>
      <w:proofErr w:type="spellEnd"/>
      <w:r w:rsidR="00F72B42" w:rsidRPr="003E17CE">
        <w:rPr>
          <w:rFonts w:ascii="Times New Roman" w:hAnsi="Times New Roman" w:cs="Times New Roman"/>
          <w:sz w:val="24"/>
          <w:szCs w:val="24"/>
        </w:rPr>
        <w:t xml:space="preserve"> organisms do not have the ability to rapidly form</w:t>
      </w:r>
      <w:r w:rsidR="00862299">
        <w:rPr>
          <w:rFonts w:ascii="Times New Roman" w:hAnsi="Times New Roman" w:cs="Times New Roman"/>
          <w:sz w:val="24"/>
          <w:szCs w:val="24"/>
        </w:rPr>
        <w:t xml:space="preserve"> these types of</w:t>
      </w:r>
      <w:r w:rsidR="00F72B42" w:rsidRPr="003E17CE">
        <w:rPr>
          <w:rFonts w:ascii="Times New Roman" w:hAnsi="Times New Roman" w:cs="Times New Roman"/>
          <w:sz w:val="24"/>
          <w:szCs w:val="24"/>
        </w:rPr>
        <w:t xml:space="preserve"> dependencies</w:t>
      </w:r>
      <w:r w:rsidR="00862299">
        <w:rPr>
          <w:rFonts w:ascii="Times New Roman" w:hAnsi="Times New Roman" w:cs="Times New Roman"/>
          <w:sz w:val="24"/>
          <w:szCs w:val="24"/>
        </w:rPr>
        <w:t>,</w:t>
      </w:r>
      <w:r w:rsidR="00F72B42" w:rsidRPr="003E17CE">
        <w:rPr>
          <w:rFonts w:ascii="Times New Roman" w:hAnsi="Times New Roman" w:cs="Times New Roman"/>
          <w:sz w:val="24"/>
          <w:szCs w:val="24"/>
        </w:rPr>
        <w:t xml:space="preserve"> long-term co-evolution is required</w:t>
      </w:r>
      <w:r w:rsidR="00735FF5" w:rsidRPr="003E17CE">
        <w:rPr>
          <w:rFonts w:ascii="Times New Roman" w:hAnsi="Times New Roman" w:cs="Times New Roman"/>
          <w:sz w:val="24"/>
          <w:szCs w:val="24"/>
        </w:rPr>
        <w:t xml:space="preserve"> for such integration</w:t>
      </w:r>
      <w:r w:rsidR="00F72B42" w:rsidRPr="003E17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28487" w14:textId="16AE28AB" w:rsidR="00D84693" w:rsidRPr="003E17CE" w:rsidRDefault="00F72B42" w:rsidP="00735F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>Th</w:t>
      </w:r>
      <w:r w:rsidR="00735FF5" w:rsidRPr="003E17CE">
        <w:rPr>
          <w:rFonts w:ascii="Times New Roman" w:hAnsi="Times New Roman" w:cs="Times New Roman"/>
          <w:sz w:val="24"/>
          <w:szCs w:val="24"/>
        </w:rPr>
        <w:t xml:space="preserve">ese strong co-dependencies </w:t>
      </w:r>
      <w:r w:rsidR="00786429">
        <w:rPr>
          <w:rFonts w:ascii="Times New Roman" w:hAnsi="Times New Roman" w:cs="Times New Roman"/>
          <w:sz w:val="24"/>
          <w:szCs w:val="24"/>
        </w:rPr>
        <w:t>between</w:t>
      </w:r>
      <w:r w:rsidR="007B11B9">
        <w:rPr>
          <w:rFonts w:ascii="Times New Roman" w:hAnsi="Times New Roman" w:cs="Times New Roman"/>
          <w:sz w:val="24"/>
          <w:szCs w:val="24"/>
        </w:rPr>
        <w:t xml:space="preserve"> microbes </w:t>
      </w:r>
      <w:r w:rsidR="00735FF5" w:rsidRPr="003E17CE">
        <w:rPr>
          <w:rFonts w:ascii="Times New Roman" w:hAnsi="Times New Roman" w:cs="Times New Roman"/>
          <w:sz w:val="24"/>
          <w:szCs w:val="24"/>
        </w:rPr>
        <w:t xml:space="preserve">can </w:t>
      </w:r>
      <w:r w:rsidRPr="003E17CE">
        <w:rPr>
          <w:rFonts w:ascii="Times New Roman" w:hAnsi="Times New Roman" w:cs="Times New Roman"/>
          <w:sz w:val="24"/>
          <w:szCs w:val="24"/>
        </w:rPr>
        <w:t>be</w:t>
      </w:r>
      <w:r w:rsidR="00132F21">
        <w:rPr>
          <w:rFonts w:ascii="Times New Roman" w:hAnsi="Times New Roman" w:cs="Times New Roman"/>
          <w:sz w:val="24"/>
          <w:szCs w:val="24"/>
        </w:rPr>
        <w:t xml:space="preserve"> </w:t>
      </w:r>
      <w:r w:rsidR="00786429" w:rsidRPr="003E17CE">
        <w:rPr>
          <w:rFonts w:ascii="Times New Roman" w:hAnsi="Times New Roman" w:cs="Times New Roman"/>
          <w:sz w:val="24"/>
          <w:szCs w:val="24"/>
        </w:rPr>
        <w:t xml:space="preserve">seen </w:t>
      </w:r>
      <w:r w:rsidR="00132F21">
        <w:rPr>
          <w:rFonts w:ascii="Times New Roman" w:hAnsi="Times New Roman" w:cs="Times New Roman"/>
          <w:sz w:val="24"/>
          <w:szCs w:val="24"/>
        </w:rPr>
        <w:t>prominently</w:t>
      </w:r>
      <w:r w:rsidRPr="003E17CE">
        <w:rPr>
          <w:rFonts w:ascii="Times New Roman" w:hAnsi="Times New Roman" w:cs="Times New Roman"/>
          <w:sz w:val="24"/>
          <w:szCs w:val="24"/>
        </w:rPr>
        <w:t xml:space="preserve"> in black-queen dynamics</w:t>
      </w:r>
      <w:r w:rsidR="003C4CBE" w:rsidRPr="003E17CE">
        <w:rPr>
          <w:rFonts w:ascii="Times New Roman" w:hAnsi="Times New Roman" w:cs="Times New Roman"/>
          <w:sz w:val="24"/>
          <w:szCs w:val="24"/>
        </w:rPr>
        <w:t xml:space="preserve"> (Morris et al. 2012)</w:t>
      </w:r>
      <w:r w:rsidRPr="003E17CE">
        <w:rPr>
          <w:rFonts w:ascii="Times New Roman" w:hAnsi="Times New Roman" w:cs="Times New Roman"/>
          <w:sz w:val="24"/>
          <w:szCs w:val="24"/>
        </w:rPr>
        <w:t xml:space="preserve">. </w:t>
      </w:r>
      <w:r w:rsidR="000F603B" w:rsidRPr="003E17CE">
        <w:rPr>
          <w:rFonts w:ascii="Times New Roman" w:hAnsi="Times New Roman" w:cs="Times New Roman"/>
          <w:sz w:val="24"/>
          <w:szCs w:val="24"/>
        </w:rPr>
        <w:t>This is when microbes shed genes for essential functions when there are other populations that p</w:t>
      </w:r>
      <w:r w:rsidR="002F3A35" w:rsidRPr="003E17CE">
        <w:rPr>
          <w:rFonts w:ascii="Times New Roman" w:hAnsi="Times New Roman" w:cs="Times New Roman"/>
          <w:sz w:val="24"/>
          <w:szCs w:val="24"/>
        </w:rPr>
        <w:t>er</w:t>
      </w:r>
      <w:r w:rsidR="000F603B" w:rsidRPr="003E17CE">
        <w:rPr>
          <w:rFonts w:ascii="Times New Roman" w:hAnsi="Times New Roman" w:cs="Times New Roman"/>
          <w:sz w:val="24"/>
          <w:szCs w:val="24"/>
        </w:rPr>
        <w:t>form these functions in their local environment. In the original version</w:t>
      </w:r>
      <w:r w:rsidR="001726A2" w:rsidRPr="003E17CE">
        <w:rPr>
          <w:rFonts w:ascii="Times New Roman" w:hAnsi="Times New Roman" w:cs="Times New Roman"/>
          <w:sz w:val="24"/>
          <w:szCs w:val="24"/>
        </w:rPr>
        <w:t>,</w:t>
      </w:r>
      <w:r w:rsidR="000F603B" w:rsidRPr="003E17CE">
        <w:rPr>
          <w:rFonts w:ascii="Times New Roman" w:hAnsi="Times New Roman" w:cs="Times New Roman"/>
          <w:sz w:val="24"/>
          <w:szCs w:val="24"/>
        </w:rPr>
        <w:t xml:space="preserve"> Morris et al. 2012 consider populations of </w:t>
      </w:r>
      <w:r w:rsidR="000F603B" w:rsidRPr="003E17CE">
        <w:rPr>
          <w:rFonts w:ascii="Times New Roman" w:hAnsi="Times New Roman" w:cs="Times New Roman"/>
          <w:i/>
          <w:iCs/>
          <w:sz w:val="24"/>
          <w:szCs w:val="24"/>
        </w:rPr>
        <w:t>Prochlorococcus</w:t>
      </w:r>
      <w:r w:rsidR="00397A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603B" w:rsidRPr="003E17CE">
        <w:rPr>
          <w:rFonts w:ascii="Times New Roman" w:hAnsi="Times New Roman" w:cs="Times New Roman"/>
          <w:sz w:val="24"/>
          <w:szCs w:val="24"/>
        </w:rPr>
        <w:t xml:space="preserve"> which require other populations to take on the costly role of breaking down toxic hydrogen peroxide. </w:t>
      </w:r>
      <w:r w:rsidR="00DE1B28" w:rsidRPr="003E17CE">
        <w:rPr>
          <w:rFonts w:ascii="Times New Roman" w:hAnsi="Times New Roman" w:cs="Times New Roman"/>
          <w:sz w:val="24"/>
          <w:szCs w:val="24"/>
        </w:rPr>
        <w:t xml:space="preserve">Given this type of co-dependency, even </w:t>
      </w:r>
      <w:r w:rsidR="00782365" w:rsidRPr="003E17CE">
        <w:rPr>
          <w:rFonts w:ascii="Times New Roman" w:hAnsi="Times New Roman" w:cs="Times New Roman"/>
          <w:sz w:val="24"/>
          <w:szCs w:val="24"/>
        </w:rPr>
        <w:t>i</w:t>
      </w:r>
      <w:r w:rsidR="00DE1B28" w:rsidRPr="003E17CE">
        <w:rPr>
          <w:rFonts w:ascii="Times New Roman" w:hAnsi="Times New Roman" w:cs="Times New Roman"/>
          <w:sz w:val="24"/>
          <w:szCs w:val="24"/>
        </w:rPr>
        <w:t>f a necessary biological function for human health is the product of a single microbe, there may be a network of microbial populations that are required for this focal population to survive and produce their health-giving function.</w:t>
      </w:r>
    </w:p>
    <w:p w14:paraId="64B0CE43" w14:textId="325AE63D" w:rsidR="00DE1B28" w:rsidRPr="003E17CE" w:rsidRDefault="00DE1B28" w:rsidP="00735F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It is widely believed that complex metabolic functions </w:t>
      </w:r>
      <w:r w:rsidR="00782365" w:rsidRPr="003E17CE">
        <w:rPr>
          <w:rFonts w:ascii="Times New Roman" w:hAnsi="Times New Roman" w:cs="Times New Roman"/>
          <w:sz w:val="24"/>
          <w:szCs w:val="24"/>
        </w:rPr>
        <w:t>are</w:t>
      </w:r>
      <w:r w:rsidRPr="003E17CE">
        <w:rPr>
          <w:rFonts w:ascii="Times New Roman" w:hAnsi="Times New Roman" w:cs="Times New Roman"/>
          <w:sz w:val="24"/>
          <w:szCs w:val="24"/>
        </w:rPr>
        <w:t xml:space="preserve"> dispersed through multiple microbial lineages</w:t>
      </w:r>
      <w:r w:rsidR="00782365" w:rsidRPr="003E17CE">
        <w:rPr>
          <w:rFonts w:ascii="Times New Roman" w:hAnsi="Times New Roman" w:cs="Times New Roman"/>
          <w:sz w:val="24"/>
          <w:szCs w:val="24"/>
        </w:rPr>
        <w:t>,</w:t>
      </w:r>
      <w:r w:rsidRPr="003E17CE">
        <w:rPr>
          <w:rFonts w:ascii="Times New Roman" w:hAnsi="Times New Roman" w:cs="Times New Roman"/>
          <w:sz w:val="24"/>
          <w:szCs w:val="24"/>
        </w:rPr>
        <w:t xml:space="preserve"> with each population doing a single step in a multistep process</w:t>
      </w:r>
      <w:r w:rsidR="00611D5C" w:rsidRPr="003E17CE">
        <w:rPr>
          <w:rFonts w:ascii="Times New Roman" w:hAnsi="Times New Roman" w:cs="Times New Roman"/>
          <w:sz w:val="24"/>
          <w:szCs w:val="24"/>
        </w:rPr>
        <w:t xml:space="preserve"> (Fischbach and </w:t>
      </w:r>
      <w:proofErr w:type="spellStart"/>
      <w:r w:rsidR="00611D5C" w:rsidRPr="003E17CE">
        <w:rPr>
          <w:rFonts w:ascii="Times New Roman" w:hAnsi="Times New Roman" w:cs="Times New Roman"/>
          <w:sz w:val="24"/>
          <w:szCs w:val="24"/>
        </w:rPr>
        <w:t>Sonnenburg</w:t>
      </w:r>
      <w:proofErr w:type="spellEnd"/>
      <w:r w:rsidR="00611D5C" w:rsidRPr="003E17CE">
        <w:rPr>
          <w:rFonts w:ascii="Times New Roman" w:hAnsi="Times New Roman" w:cs="Times New Roman"/>
          <w:sz w:val="24"/>
          <w:szCs w:val="24"/>
        </w:rPr>
        <w:t xml:space="preserve"> 2011)</w:t>
      </w:r>
      <w:r w:rsidRPr="003E17CE">
        <w:rPr>
          <w:rFonts w:ascii="Times New Roman" w:hAnsi="Times New Roman" w:cs="Times New Roman"/>
          <w:sz w:val="24"/>
          <w:szCs w:val="24"/>
        </w:rPr>
        <w:t xml:space="preserve">. This can be seen in </w:t>
      </w:r>
      <w:r w:rsidR="00133D5D" w:rsidRPr="003E17CE">
        <w:rPr>
          <w:rFonts w:ascii="Times New Roman" w:hAnsi="Times New Roman" w:cs="Times New Roman"/>
          <w:sz w:val="24"/>
          <w:szCs w:val="24"/>
        </w:rPr>
        <w:t xml:space="preserve">the way microbes process </w:t>
      </w:r>
      <w:r w:rsidR="00012B3B" w:rsidRPr="003E17CE">
        <w:rPr>
          <w:rFonts w:ascii="Times New Roman" w:hAnsi="Times New Roman" w:cs="Times New Roman"/>
          <w:sz w:val="24"/>
          <w:szCs w:val="24"/>
        </w:rPr>
        <w:t>complex</w:t>
      </w:r>
      <w:r w:rsidR="00133D5D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012B3B" w:rsidRPr="003E17CE">
        <w:rPr>
          <w:rFonts w:ascii="Times New Roman" w:hAnsi="Times New Roman" w:cs="Times New Roman"/>
          <w:sz w:val="24"/>
          <w:szCs w:val="24"/>
        </w:rPr>
        <w:t>polysaccharides. Initially</w:t>
      </w:r>
      <w:r w:rsidR="00D442BC" w:rsidRPr="003E17CE">
        <w:rPr>
          <w:rFonts w:ascii="Times New Roman" w:hAnsi="Times New Roman" w:cs="Times New Roman"/>
          <w:sz w:val="24"/>
          <w:szCs w:val="24"/>
        </w:rPr>
        <w:t>,</w:t>
      </w:r>
      <w:r w:rsidR="00012B3B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DF3FF3" w:rsidRPr="003E17CE">
        <w:rPr>
          <w:rFonts w:ascii="Times New Roman" w:hAnsi="Times New Roman" w:cs="Times New Roman"/>
          <w:sz w:val="24"/>
          <w:szCs w:val="24"/>
        </w:rPr>
        <w:t>cellulolytic</w:t>
      </w:r>
      <w:r w:rsidR="00012B3B" w:rsidRPr="003E17CE">
        <w:rPr>
          <w:rFonts w:ascii="Times New Roman" w:hAnsi="Times New Roman" w:cs="Times New Roman"/>
          <w:sz w:val="24"/>
          <w:szCs w:val="24"/>
        </w:rPr>
        <w:t xml:space="preserve"> bacteria act to break down plant walls</w:t>
      </w:r>
      <w:r w:rsidR="00362889" w:rsidRPr="003E17CE">
        <w:rPr>
          <w:rFonts w:ascii="Times New Roman" w:hAnsi="Times New Roman" w:cs="Times New Roman"/>
          <w:sz w:val="24"/>
          <w:szCs w:val="24"/>
        </w:rPr>
        <w:t xml:space="preserve"> before other microbe’s act </w:t>
      </w:r>
      <w:r w:rsidR="00397A0C">
        <w:rPr>
          <w:rFonts w:ascii="Times New Roman" w:hAnsi="Times New Roman" w:cs="Times New Roman"/>
          <w:sz w:val="24"/>
          <w:szCs w:val="24"/>
        </w:rPr>
        <w:t xml:space="preserve">to </w:t>
      </w:r>
      <w:r w:rsidR="00362889" w:rsidRPr="003E17CE">
        <w:rPr>
          <w:rFonts w:ascii="Times New Roman" w:hAnsi="Times New Roman" w:cs="Times New Roman"/>
          <w:sz w:val="24"/>
          <w:szCs w:val="24"/>
        </w:rPr>
        <w:t xml:space="preserve">break down complex sugars into smaller and smaller molecules that can be </w:t>
      </w:r>
      <w:r w:rsidR="00362889" w:rsidRPr="003E17CE">
        <w:rPr>
          <w:rFonts w:ascii="Times New Roman" w:hAnsi="Times New Roman" w:cs="Times New Roman"/>
          <w:sz w:val="24"/>
          <w:szCs w:val="24"/>
        </w:rPr>
        <w:lastRenderedPageBreak/>
        <w:t xml:space="preserve">more easily processed (Flint et al. 2012). </w:t>
      </w:r>
      <w:r w:rsidR="00C0716E" w:rsidRPr="003E17CE">
        <w:rPr>
          <w:rFonts w:ascii="Times New Roman" w:hAnsi="Times New Roman" w:cs="Times New Roman"/>
          <w:sz w:val="24"/>
          <w:szCs w:val="24"/>
        </w:rPr>
        <w:t>Similarly, biofilms are the product of co-ordinated and sequential actions by communities of microbes and</w:t>
      </w:r>
      <w:r w:rsidR="00D442BC" w:rsidRPr="003E17CE">
        <w:rPr>
          <w:rFonts w:ascii="Times New Roman" w:hAnsi="Times New Roman" w:cs="Times New Roman"/>
          <w:sz w:val="24"/>
          <w:szCs w:val="24"/>
        </w:rPr>
        <w:t xml:space="preserve"> may similarly require us to consider them as causal unit</w:t>
      </w:r>
      <w:r w:rsidR="00C0716E" w:rsidRPr="003E17CE">
        <w:rPr>
          <w:rFonts w:ascii="Times New Roman" w:hAnsi="Times New Roman" w:cs="Times New Roman"/>
          <w:sz w:val="24"/>
          <w:szCs w:val="24"/>
        </w:rPr>
        <w:t>s</w:t>
      </w:r>
      <w:r w:rsidR="00D442BC" w:rsidRPr="003E17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42BC" w:rsidRPr="003E17CE">
        <w:rPr>
          <w:rFonts w:ascii="Times New Roman" w:hAnsi="Times New Roman" w:cs="Times New Roman"/>
          <w:sz w:val="24"/>
          <w:szCs w:val="24"/>
          <w:shd w:val="clear" w:color="auto" w:fill="FFFFFF"/>
        </w:rPr>
        <w:t>Ereshefsky</w:t>
      </w:r>
      <w:proofErr w:type="spellEnd"/>
      <w:r w:rsidR="00D442BC" w:rsidRPr="003E1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Pedroso 2013</w:t>
      </w:r>
      <w:r w:rsidR="00D442BC" w:rsidRPr="003E17CE">
        <w:rPr>
          <w:rFonts w:ascii="Times New Roman" w:hAnsi="Times New Roman" w:cs="Times New Roman"/>
          <w:sz w:val="24"/>
          <w:szCs w:val="24"/>
        </w:rPr>
        <w:t>)</w:t>
      </w:r>
      <w:r w:rsidR="00846BB1" w:rsidRPr="003E17CE">
        <w:rPr>
          <w:rFonts w:ascii="Times New Roman" w:hAnsi="Times New Roman" w:cs="Times New Roman"/>
          <w:sz w:val="24"/>
          <w:szCs w:val="24"/>
        </w:rPr>
        <w:t>.</w:t>
      </w:r>
      <w:r w:rsidR="00D442BC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362889" w:rsidRPr="003E17CE">
        <w:rPr>
          <w:rFonts w:ascii="Times New Roman" w:hAnsi="Times New Roman" w:cs="Times New Roman"/>
          <w:sz w:val="24"/>
          <w:szCs w:val="24"/>
        </w:rPr>
        <w:t xml:space="preserve">These sequential relations mean that </w:t>
      </w:r>
      <w:r w:rsidR="00846BB1" w:rsidRPr="003E17CE">
        <w:rPr>
          <w:rFonts w:ascii="Times New Roman" w:hAnsi="Times New Roman" w:cs="Times New Roman"/>
          <w:sz w:val="24"/>
          <w:szCs w:val="24"/>
        </w:rPr>
        <w:t>there are community</w:t>
      </w:r>
      <w:r w:rsidR="00DF3FF3" w:rsidRPr="003E17CE">
        <w:rPr>
          <w:rFonts w:ascii="Times New Roman" w:hAnsi="Times New Roman" w:cs="Times New Roman"/>
          <w:sz w:val="24"/>
          <w:szCs w:val="24"/>
        </w:rPr>
        <w:t xml:space="preserve"> outputs that influence human health</w:t>
      </w:r>
      <w:r w:rsidR="0099667B">
        <w:rPr>
          <w:rFonts w:ascii="Times New Roman" w:hAnsi="Times New Roman" w:cs="Times New Roman"/>
          <w:sz w:val="24"/>
          <w:szCs w:val="24"/>
        </w:rPr>
        <w:t>,</w:t>
      </w:r>
      <w:r w:rsidR="00846BB1" w:rsidRPr="003E17CE">
        <w:rPr>
          <w:rFonts w:ascii="Times New Roman" w:hAnsi="Times New Roman" w:cs="Times New Roman"/>
          <w:sz w:val="24"/>
          <w:szCs w:val="24"/>
        </w:rPr>
        <w:t xml:space="preserve"> resulting from </w:t>
      </w:r>
      <w:r w:rsidR="00DF3FF3" w:rsidRPr="003E17CE">
        <w:rPr>
          <w:rFonts w:ascii="Times New Roman" w:hAnsi="Times New Roman" w:cs="Times New Roman"/>
          <w:sz w:val="24"/>
          <w:szCs w:val="24"/>
        </w:rPr>
        <w:t xml:space="preserve">many </w:t>
      </w:r>
      <w:r w:rsidR="00846BB1" w:rsidRPr="003E17CE">
        <w:rPr>
          <w:rFonts w:ascii="Times New Roman" w:hAnsi="Times New Roman" w:cs="Times New Roman"/>
          <w:sz w:val="24"/>
          <w:szCs w:val="24"/>
        </w:rPr>
        <w:t xml:space="preserve">microbial </w:t>
      </w:r>
      <w:r w:rsidR="00DF3FF3" w:rsidRPr="003E17CE">
        <w:rPr>
          <w:rFonts w:ascii="Times New Roman" w:hAnsi="Times New Roman" w:cs="Times New Roman"/>
          <w:sz w:val="24"/>
          <w:szCs w:val="24"/>
        </w:rPr>
        <w:t>populations acting in tandem.</w:t>
      </w:r>
    </w:p>
    <w:p w14:paraId="69AB93A1" w14:textId="0FB39C29" w:rsidR="00304237" w:rsidRPr="003E17CE" w:rsidRDefault="00611D5C" w:rsidP="00DF3F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Strong dependencies between sequences of populations </w:t>
      </w:r>
      <w:r w:rsidR="00304237" w:rsidRPr="003E17CE">
        <w:rPr>
          <w:rFonts w:ascii="Times New Roman" w:hAnsi="Times New Roman" w:cs="Times New Roman"/>
          <w:sz w:val="24"/>
          <w:szCs w:val="24"/>
        </w:rPr>
        <w:t>alters the causal unit being examined. The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854202" w:rsidRPr="003E17CE">
        <w:rPr>
          <w:rFonts w:ascii="Times New Roman" w:hAnsi="Times New Roman" w:cs="Times New Roman"/>
          <w:i/>
          <w:sz w:val="24"/>
          <w:szCs w:val="24"/>
        </w:rPr>
        <w:t>proportionality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814E11" w:rsidRPr="003E17CE">
        <w:rPr>
          <w:rFonts w:ascii="Times New Roman" w:hAnsi="Times New Roman" w:cs="Times New Roman"/>
          <w:sz w:val="24"/>
          <w:szCs w:val="24"/>
        </w:rPr>
        <w:t xml:space="preserve">(1) 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of the </w:t>
      </w:r>
      <w:r w:rsidR="0099667B" w:rsidRPr="003E17CE">
        <w:rPr>
          <w:rFonts w:ascii="Times New Roman" w:hAnsi="Times New Roman" w:cs="Times New Roman"/>
          <w:sz w:val="24"/>
          <w:szCs w:val="24"/>
        </w:rPr>
        <w:t xml:space="preserve">causal </w:t>
      </w:r>
      <w:r w:rsidR="00304237" w:rsidRPr="003E17CE">
        <w:rPr>
          <w:rFonts w:ascii="Times New Roman" w:hAnsi="Times New Roman" w:cs="Times New Roman"/>
          <w:sz w:val="24"/>
          <w:szCs w:val="24"/>
        </w:rPr>
        <w:t>unit influencing the effect of health interest will need to be widened in such cases</w:t>
      </w:r>
      <w:r w:rsidRPr="003E17CE">
        <w:rPr>
          <w:rFonts w:ascii="Times New Roman" w:hAnsi="Times New Roman" w:cs="Times New Roman"/>
          <w:sz w:val="24"/>
          <w:szCs w:val="24"/>
        </w:rPr>
        <w:t>, depending on the causal strength involved</w:t>
      </w:r>
      <w:r w:rsidR="00304237" w:rsidRPr="003E17CE">
        <w:rPr>
          <w:rFonts w:ascii="Times New Roman" w:hAnsi="Times New Roman" w:cs="Times New Roman"/>
          <w:sz w:val="24"/>
          <w:szCs w:val="24"/>
        </w:rPr>
        <w:t>.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While we want our caus</w:t>
      </w:r>
      <w:r w:rsidRPr="003E17CE">
        <w:rPr>
          <w:rFonts w:ascii="Times New Roman" w:hAnsi="Times New Roman" w:cs="Times New Roman"/>
          <w:sz w:val="24"/>
          <w:szCs w:val="24"/>
        </w:rPr>
        <w:t>al</w:t>
      </w:r>
      <w:r w:rsidR="00814E11" w:rsidRPr="003E17CE">
        <w:rPr>
          <w:rFonts w:ascii="Times New Roman" w:hAnsi="Times New Roman" w:cs="Times New Roman"/>
          <w:sz w:val="24"/>
          <w:szCs w:val="24"/>
        </w:rPr>
        <w:t xml:space="preserve"> variable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to be as discrete as possible</w:t>
      </w:r>
      <w:r w:rsidR="00F86C70" w:rsidRPr="003E17CE">
        <w:rPr>
          <w:rFonts w:ascii="Times New Roman" w:hAnsi="Times New Roman" w:cs="Times New Roman"/>
          <w:sz w:val="24"/>
          <w:szCs w:val="24"/>
        </w:rPr>
        <w:t>,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814E11" w:rsidRPr="003E17CE">
        <w:rPr>
          <w:rFonts w:ascii="Times New Roman" w:hAnsi="Times New Roman" w:cs="Times New Roman"/>
          <w:sz w:val="24"/>
          <w:szCs w:val="24"/>
        </w:rPr>
        <w:t>causal integration will at times force a wider variable description. T</w:t>
      </w:r>
      <w:r w:rsidR="00854202" w:rsidRPr="003E17CE">
        <w:rPr>
          <w:rFonts w:ascii="Times New Roman" w:hAnsi="Times New Roman" w:cs="Times New Roman"/>
          <w:sz w:val="24"/>
          <w:szCs w:val="24"/>
        </w:rPr>
        <w:t>he causal chain could be cut off</w:t>
      </w:r>
      <w:r w:rsidR="00397A0C">
        <w:rPr>
          <w:rFonts w:ascii="Times New Roman" w:hAnsi="Times New Roman" w:cs="Times New Roman"/>
          <w:sz w:val="24"/>
          <w:szCs w:val="24"/>
        </w:rPr>
        <w:t xml:space="preserve"> at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the point of a single population </w:t>
      </w:r>
      <w:r w:rsidR="00814E11" w:rsidRPr="003E17CE">
        <w:rPr>
          <w:rFonts w:ascii="Times New Roman" w:hAnsi="Times New Roman" w:cs="Times New Roman"/>
          <w:sz w:val="24"/>
          <w:szCs w:val="24"/>
        </w:rPr>
        <w:t>but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the necessity of </w:t>
      </w:r>
      <w:r w:rsidR="006E7ABE" w:rsidRPr="003E17CE">
        <w:rPr>
          <w:rFonts w:ascii="Times New Roman" w:hAnsi="Times New Roman" w:cs="Times New Roman"/>
          <w:sz w:val="24"/>
          <w:szCs w:val="24"/>
        </w:rPr>
        <w:t xml:space="preserve">the </w:t>
      </w:r>
      <w:r w:rsidR="00854202" w:rsidRPr="003E17CE">
        <w:rPr>
          <w:rFonts w:ascii="Times New Roman" w:hAnsi="Times New Roman" w:cs="Times New Roman"/>
          <w:sz w:val="24"/>
          <w:szCs w:val="24"/>
        </w:rPr>
        <w:t>other populations for th</w:t>
      </w:r>
      <w:r w:rsidR="00851066" w:rsidRPr="003E17CE">
        <w:rPr>
          <w:rFonts w:ascii="Times New Roman" w:hAnsi="Times New Roman" w:cs="Times New Roman"/>
          <w:sz w:val="24"/>
          <w:szCs w:val="24"/>
        </w:rPr>
        <w:t xml:space="preserve">e health 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outcome will make </w:t>
      </w:r>
      <w:r w:rsidRPr="003E17CE">
        <w:rPr>
          <w:rFonts w:ascii="Times New Roman" w:hAnsi="Times New Roman" w:cs="Times New Roman"/>
          <w:sz w:val="24"/>
          <w:szCs w:val="24"/>
        </w:rPr>
        <w:t>a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micro</w:t>
      </w:r>
      <w:r w:rsidRPr="003E17CE">
        <w:rPr>
          <w:rFonts w:ascii="Times New Roman" w:hAnsi="Times New Roman" w:cs="Times New Roman"/>
          <w:sz w:val="24"/>
          <w:szCs w:val="24"/>
        </w:rPr>
        <w:t>bial community</w:t>
      </w:r>
      <w:r w:rsidR="00854202" w:rsidRPr="003E17CE">
        <w:rPr>
          <w:rFonts w:ascii="Times New Roman" w:hAnsi="Times New Roman" w:cs="Times New Roman"/>
          <w:sz w:val="24"/>
          <w:szCs w:val="24"/>
        </w:rPr>
        <w:t xml:space="preserve"> the </w:t>
      </w:r>
      <w:r w:rsidR="00814E11" w:rsidRPr="003E17CE">
        <w:rPr>
          <w:rFonts w:ascii="Times New Roman" w:hAnsi="Times New Roman" w:cs="Times New Roman"/>
          <w:sz w:val="24"/>
          <w:szCs w:val="24"/>
        </w:rPr>
        <w:t>appropriate</w:t>
      </w:r>
      <w:r w:rsidR="00851066" w:rsidRPr="003E17CE">
        <w:rPr>
          <w:rFonts w:ascii="Times New Roman" w:hAnsi="Times New Roman" w:cs="Times New Roman"/>
          <w:sz w:val="24"/>
          <w:szCs w:val="24"/>
        </w:rPr>
        <w:t xml:space="preserve"> </w:t>
      </w:r>
      <w:r w:rsidR="00854202" w:rsidRPr="003E17CE">
        <w:rPr>
          <w:rFonts w:ascii="Times New Roman" w:hAnsi="Times New Roman" w:cs="Times New Roman"/>
          <w:sz w:val="24"/>
          <w:szCs w:val="24"/>
        </w:rPr>
        <w:t>cause.</w:t>
      </w:r>
    </w:p>
    <w:p w14:paraId="4817A029" w14:textId="080A6031" w:rsidR="00E22139" w:rsidRPr="003E17CE" w:rsidRDefault="00911D8E" w:rsidP="00DF3FF3">
      <w:pPr>
        <w:spacing w:line="480" w:lineRule="auto"/>
        <w:ind w:firstLine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E17CE">
        <w:rPr>
          <w:rFonts w:ascii="Times New Roman" w:hAnsi="Times New Roman" w:cs="Times New Roman"/>
          <w:sz w:val="24"/>
          <w:szCs w:val="24"/>
        </w:rPr>
        <w:t xml:space="preserve">We can explain the way ecological communities stably produce ecosystem services through </w:t>
      </w:r>
      <w:r w:rsidR="00304237" w:rsidRPr="003E17CE">
        <w:rPr>
          <w:rFonts w:ascii="Times New Roman" w:hAnsi="Times New Roman" w:cs="Times New Roman"/>
          <w:sz w:val="24"/>
          <w:szCs w:val="24"/>
        </w:rPr>
        <w:t>ensemble robustness and machine robustness (</w:t>
      </w:r>
      <w:r w:rsidR="003E17CE" w:rsidRPr="003E17CE">
        <w:rPr>
          <w:rFonts w:ascii="Times New Roman" w:hAnsi="Times New Roman" w:cs="Times New Roman"/>
          <w:sz w:val="24"/>
          <w:szCs w:val="24"/>
        </w:rPr>
        <w:t>Lean 2018</w:t>
      </w:r>
      <w:r w:rsidR="00304237" w:rsidRPr="003E17CE">
        <w:rPr>
          <w:rFonts w:ascii="Times New Roman" w:hAnsi="Times New Roman" w:cs="Times New Roman"/>
          <w:sz w:val="24"/>
          <w:szCs w:val="24"/>
        </w:rPr>
        <w:t xml:space="preserve">). 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Both biological insurance and statistical effects can result in ensemble robust ecosystem outputs. In such cases</w:t>
      </w:r>
      <w:r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the stability of the ecosystems effect will be specific to the range of</w:t>
      </w:r>
      <w:r w:rsidR="00611D5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contributing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populations rather than individual populations. In the cases w</w:t>
      </w:r>
      <w:r w:rsidR="00164033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h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ere populations are strongly co-dependent</w:t>
      </w:r>
      <w:r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or metabolites are the product of sequential processing</w:t>
      </w:r>
      <w:r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we will find machine robust ecosystem dynamics. In these cases, the proportionality requires us to widen the causal variable to include the multiple population</w:t>
      </w:r>
      <w:r w:rsidR="00611D5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</w:t>
      </w:r>
      <w:r w:rsidR="004F282C" w:rsidRPr="003E17C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necessary for the effect. As a result, ecosystem outputs which are robust in these two different ways will require us to represent the community as a cause. </w:t>
      </w:r>
    </w:p>
    <w:p w14:paraId="65DEDC11" w14:textId="77777777" w:rsidR="00547F49" w:rsidRDefault="00547F49" w:rsidP="00545760">
      <w:pPr>
        <w:spacing w:line="48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10CB6E3" w14:textId="3431B13E" w:rsidR="00545760" w:rsidRDefault="00545760" w:rsidP="00545760">
      <w:pPr>
        <w:spacing w:line="48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45760"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  <w:t>Bibliography</w:t>
      </w:r>
    </w:p>
    <w:p w14:paraId="6F00CC17" w14:textId="4F660F89" w:rsidR="00545760" w:rsidRDefault="00545760" w:rsidP="00545760">
      <w:pPr>
        <w:spacing w:line="480" w:lineRule="auto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B6F827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F., Bigger, D., Harding, E.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O’malley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E., &amp; Thomson, D. (1998). The statistical inevitability of stability-diversity relationships in community ecology. </w:t>
      </w:r>
      <w:r>
        <w:rPr>
          <w:rFonts w:ascii="Times New Roman" w:hAnsi="Times New Roman" w:cs="Times New Roman"/>
          <w:i/>
          <w:iCs/>
          <w:sz w:val="24"/>
          <w:szCs w:val="24"/>
        </w:rPr>
        <w:t>The American Naturalist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(3), 264–276.</w:t>
      </w:r>
    </w:p>
    <w:p w14:paraId="455ADCE4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Ereshefsky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&amp; Pedroso, M. (2013). Biological individuality: The case of biofilms. </w:t>
      </w:r>
      <w:r>
        <w:rPr>
          <w:rFonts w:ascii="Times New Roman" w:hAnsi="Times New Roman" w:cs="Times New Roman"/>
          <w:i/>
          <w:iCs/>
          <w:sz w:val="24"/>
          <w:szCs w:val="24"/>
        </w:rPr>
        <w:t>Biology &amp; Philosophy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(2), 331–349.</w:t>
      </w:r>
    </w:p>
    <w:p w14:paraId="49D8DFCF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Fischbach, M. 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Sonnenburg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L. (2011). Eating for two: How metabolism establishes interspecies interactions in the gut. </w:t>
      </w:r>
      <w:r>
        <w:rPr>
          <w:rFonts w:ascii="Times New Roman" w:hAnsi="Times New Roman" w:cs="Times New Roman"/>
          <w:i/>
          <w:iCs/>
          <w:sz w:val="24"/>
          <w:szCs w:val="24"/>
        </w:rPr>
        <w:t>Cell Host &amp; Microbe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(4), 336–347.</w:t>
      </w:r>
    </w:p>
    <w:p w14:paraId="200EDEE5" w14:textId="71695E1A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Flint, H. J., Scott, K. P., Duncan, S. H., Louis, P.,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(2012). Microbial degradation of complex carbohydrates in the gut. </w:t>
      </w:r>
      <w:r>
        <w:rPr>
          <w:rFonts w:ascii="Times New Roman" w:hAnsi="Times New Roman" w:cs="Times New Roman"/>
          <w:i/>
          <w:iCs/>
          <w:sz w:val="24"/>
          <w:szCs w:val="24"/>
        </w:rPr>
        <w:t>Gut Microbes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(4), 289–306.</w:t>
      </w:r>
    </w:p>
    <w:p w14:paraId="724C0FB1" w14:textId="528B50E3" w:rsidR="003E17CE" w:rsidRDefault="003E17CE" w:rsidP="003E17CE">
      <w:pPr>
        <w:pStyle w:val="citationstyle"/>
      </w:pPr>
      <w:r w:rsidRPr="003E17CE">
        <w:t>Lean, C. H. (2018). Indexically Structured Ecological Communities. </w:t>
      </w:r>
      <w:r w:rsidRPr="00343B33">
        <w:rPr>
          <w:i/>
        </w:rPr>
        <w:t>Philosophy of Science</w:t>
      </w:r>
      <w:r w:rsidRPr="003E17CE">
        <w:t>, 85(3), 501-522.</w:t>
      </w:r>
    </w:p>
    <w:p w14:paraId="3E4E0951" w14:textId="76DF9E2F" w:rsidR="0061689D" w:rsidRDefault="0061689D" w:rsidP="006156A7">
      <w:pPr>
        <w:pStyle w:val="citationstyle"/>
      </w:pPr>
      <w:r>
        <w:t xml:space="preserve">Liu, L., Chen, X., </w:t>
      </w:r>
      <w:proofErr w:type="spellStart"/>
      <w:r>
        <w:t>Skogerbø</w:t>
      </w:r>
      <w:proofErr w:type="spellEnd"/>
      <w:r>
        <w:t xml:space="preserve">, G., Zhang, P., Chen, R., He, S., &amp; Huang, D.-W. (2012). The human microbiome: A hot spot of microbial horizontal gene transfer. </w:t>
      </w:r>
      <w:r>
        <w:rPr>
          <w:i/>
          <w:iCs/>
        </w:rPr>
        <w:t>Genomics</w:t>
      </w:r>
      <w:r>
        <w:t xml:space="preserve">, </w:t>
      </w:r>
      <w:r>
        <w:rPr>
          <w:i/>
          <w:iCs/>
        </w:rPr>
        <w:t>100</w:t>
      </w:r>
      <w:r>
        <w:t>(5), 265–270.</w:t>
      </w:r>
    </w:p>
    <w:p w14:paraId="3B4016D9" w14:textId="77777777" w:rsidR="006156A7" w:rsidRPr="00433DE2" w:rsidRDefault="006156A7" w:rsidP="006156A7">
      <w:pPr>
        <w:pStyle w:val="citationstyle"/>
        <w:rPr>
          <w:lang w:eastAsia="en-AU"/>
        </w:rPr>
      </w:pPr>
      <w:r w:rsidRPr="000D1D1D">
        <w:rPr>
          <w:lang w:eastAsia="en-AU"/>
        </w:rPr>
        <w:t xml:space="preserve">Lynch, K. E., Parke, E. C., O’Malley, M. A. (2019) </w:t>
      </w:r>
      <w:r w:rsidRPr="00433DE2">
        <w:rPr>
          <w:lang w:eastAsia="en-AU"/>
        </w:rPr>
        <w:t>How Causal are Microbiomes? A Comparison with the</w:t>
      </w:r>
      <w:r w:rsidRPr="000D1D1D">
        <w:rPr>
          <w:lang w:eastAsia="en-AU"/>
        </w:rPr>
        <w:t xml:space="preserve"> </w:t>
      </w:r>
      <w:r w:rsidRPr="00433DE2">
        <w:rPr>
          <w:lang w:eastAsia="en-AU"/>
        </w:rPr>
        <w:t>Helicobacter pylori Explanation of Ulcers</w:t>
      </w:r>
      <w:r w:rsidRPr="000D1D1D">
        <w:rPr>
          <w:lang w:eastAsia="en-AU"/>
        </w:rPr>
        <w:t xml:space="preserve">. </w:t>
      </w:r>
      <w:r w:rsidRPr="000D1D1D">
        <w:rPr>
          <w:i/>
          <w:iCs/>
          <w:lang w:eastAsia="en-AU"/>
        </w:rPr>
        <w:t>Biology and Philosophy</w:t>
      </w:r>
    </w:p>
    <w:p w14:paraId="52C84D5A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Matias, M., Combe,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C., &amp; Mouquet, N. (2013). Ecological strategies shape the insurance potential of biodiversity. </w:t>
      </w:r>
      <w:r>
        <w:rPr>
          <w:rFonts w:ascii="Times New Roman" w:hAnsi="Times New Roman" w:cs="Times New Roman"/>
          <w:i/>
          <w:iCs/>
          <w:sz w:val="24"/>
          <w:szCs w:val="24"/>
        </w:rPr>
        <w:t>Frontiers in Microbiology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432.</w:t>
      </w:r>
    </w:p>
    <w:p w14:paraId="694C693C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Morris, J. J., Lenski, R. E.,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Zinser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R. (2012). The Black Queen Hypothesis: Evolution of dependencies through adaptive gene loss.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(2), e00036–12.</w:t>
      </w:r>
    </w:p>
    <w:p w14:paraId="336E0015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Scheuring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I., &amp; Yu, D. W. (2012). How to assemble a beneficial microbiome in three easy steps. </w:t>
      </w:r>
      <w:r>
        <w:rPr>
          <w:rFonts w:ascii="Times New Roman" w:hAnsi="Times New Roman" w:cs="Times New Roman"/>
          <w:i/>
          <w:iCs/>
          <w:sz w:val="24"/>
          <w:szCs w:val="24"/>
        </w:rPr>
        <w:t>Ecology Letters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(11), 1300–1307.</w:t>
      </w:r>
    </w:p>
    <w:p w14:paraId="1E0604F1" w14:textId="77777777" w:rsidR="0061689D" w:rsidRDefault="0061689D" w:rsidP="0061689D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Sterelny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(2005). The elusive synthesis. In K. </w:t>
      </w:r>
      <w:proofErr w:type="spellStart"/>
      <w:r>
        <w:rPr>
          <w:rFonts w:ascii="Times New Roman" w:hAnsi="Times New Roman" w:cs="Times New Roman"/>
          <w:sz w:val="24"/>
          <w:szCs w:val="24"/>
        </w:rPr>
        <w:t>Cuddington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B.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Ecological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Paradigms Lost: Routes of Theory Change</w:t>
      </w:r>
      <w:r>
        <w:rPr>
          <w:rFonts w:ascii="Times New Roman" w:hAnsi="Times New Roman" w:cs="Times New Roman"/>
          <w:sz w:val="24"/>
          <w:szCs w:val="24"/>
        </w:rPr>
        <w:t xml:space="preserve"> (Vol. 2, pp. 311–329). Elsevier.</w:t>
      </w:r>
    </w:p>
    <w:p w14:paraId="196ED390" w14:textId="203026C2" w:rsidR="0061689D" w:rsidRPr="001F7F5C" w:rsidRDefault="0061689D" w:rsidP="003E17CE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Tilman, D., &amp; Downing, J. A. (1994). Biodiversity and stability in grasslands. </w:t>
      </w:r>
      <w:r>
        <w:rPr>
          <w:rFonts w:ascii="Times New Roman" w:hAnsi="Times New Roman" w:cs="Times New Roman"/>
          <w:i/>
          <w:iCs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>(6461), 363.</w:t>
      </w:r>
    </w:p>
    <w:sectPr w:rsidR="0061689D" w:rsidRPr="001F7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2FEA" w14:textId="77777777" w:rsidR="00287CB3" w:rsidRDefault="00287CB3" w:rsidP="00AD6176">
      <w:pPr>
        <w:spacing w:after="0" w:line="240" w:lineRule="auto"/>
      </w:pPr>
      <w:r>
        <w:separator/>
      </w:r>
    </w:p>
  </w:endnote>
  <w:endnote w:type="continuationSeparator" w:id="0">
    <w:p w14:paraId="331A372C" w14:textId="77777777" w:rsidR="00287CB3" w:rsidRDefault="00287CB3" w:rsidP="00AD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5843c571">
    <w:altName w:val="Cambria"/>
    <w:panose1 w:val="00000000000000000000"/>
    <w:charset w:val="00"/>
    <w:family w:val="roman"/>
    <w:notTrueType/>
    <w:pitch w:val="default"/>
  </w:font>
  <w:font w:name="AdvTT5843c571+f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64F6" w14:textId="77777777" w:rsidR="00287CB3" w:rsidRDefault="00287CB3" w:rsidP="00AD6176">
      <w:pPr>
        <w:spacing w:after="0" w:line="240" w:lineRule="auto"/>
      </w:pPr>
      <w:r>
        <w:separator/>
      </w:r>
    </w:p>
  </w:footnote>
  <w:footnote w:type="continuationSeparator" w:id="0">
    <w:p w14:paraId="77B2DDDB" w14:textId="77777777" w:rsidR="00287CB3" w:rsidRDefault="00287CB3" w:rsidP="00AD6176">
      <w:pPr>
        <w:spacing w:after="0" w:line="240" w:lineRule="auto"/>
      </w:pPr>
      <w:r>
        <w:continuationSeparator/>
      </w:r>
    </w:p>
  </w:footnote>
  <w:footnote w:id="1">
    <w:p w14:paraId="78AAE1F6" w14:textId="1D77D4D5" w:rsidR="003E17CE" w:rsidRDefault="003E17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A">
        <w:t xml:space="preserve">School of Historical and Philosophical Enquiry, </w:t>
      </w:r>
      <w:r>
        <w:t>University of Sydney</w:t>
      </w:r>
      <w:r w:rsidR="00CC240A">
        <w:t xml:space="preserve">, Australia.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EB"/>
    <w:rsid w:val="00001536"/>
    <w:rsid w:val="00012B3B"/>
    <w:rsid w:val="00041362"/>
    <w:rsid w:val="000457E1"/>
    <w:rsid w:val="00065C5C"/>
    <w:rsid w:val="000C4224"/>
    <w:rsid w:val="000D535B"/>
    <w:rsid w:val="000E4CFB"/>
    <w:rsid w:val="000F5FCB"/>
    <w:rsid w:val="000F603B"/>
    <w:rsid w:val="00102C09"/>
    <w:rsid w:val="00117044"/>
    <w:rsid w:val="001301DF"/>
    <w:rsid w:val="00132F21"/>
    <w:rsid w:val="00133D5D"/>
    <w:rsid w:val="001609BA"/>
    <w:rsid w:val="00164033"/>
    <w:rsid w:val="001726A2"/>
    <w:rsid w:val="001A15DB"/>
    <w:rsid w:val="001A4355"/>
    <w:rsid w:val="001A4C98"/>
    <w:rsid w:val="001B1A61"/>
    <w:rsid w:val="001B3965"/>
    <w:rsid w:val="001F7F5C"/>
    <w:rsid w:val="00225632"/>
    <w:rsid w:val="00286B92"/>
    <w:rsid w:val="00287CB3"/>
    <w:rsid w:val="002A1C8B"/>
    <w:rsid w:val="002E3831"/>
    <w:rsid w:val="002E4514"/>
    <w:rsid w:val="002E4D17"/>
    <w:rsid w:val="002F09D9"/>
    <w:rsid w:val="002F3A35"/>
    <w:rsid w:val="002F7B81"/>
    <w:rsid w:val="00304237"/>
    <w:rsid w:val="00305AC5"/>
    <w:rsid w:val="0031407F"/>
    <w:rsid w:val="00326F4E"/>
    <w:rsid w:val="00343B33"/>
    <w:rsid w:val="00361314"/>
    <w:rsid w:val="00362889"/>
    <w:rsid w:val="003815AE"/>
    <w:rsid w:val="00397A0C"/>
    <w:rsid w:val="003A00CF"/>
    <w:rsid w:val="003B0200"/>
    <w:rsid w:val="003B3C0F"/>
    <w:rsid w:val="003C4CBE"/>
    <w:rsid w:val="003C73F4"/>
    <w:rsid w:val="003E17CE"/>
    <w:rsid w:val="003E7EC4"/>
    <w:rsid w:val="00402D46"/>
    <w:rsid w:val="0041528B"/>
    <w:rsid w:val="0042731B"/>
    <w:rsid w:val="00433AE0"/>
    <w:rsid w:val="00447443"/>
    <w:rsid w:val="00461E5B"/>
    <w:rsid w:val="0047048B"/>
    <w:rsid w:val="004762AA"/>
    <w:rsid w:val="00480CC8"/>
    <w:rsid w:val="00482729"/>
    <w:rsid w:val="00487365"/>
    <w:rsid w:val="00493003"/>
    <w:rsid w:val="004A4CBC"/>
    <w:rsid w:val="004A52B2"/>
    <w:rsid w:val="004B5F0F"/>
    <w:rsid w:val="004D16F8"/>
    <w:rsid w:val="004D369C"/>
    <w:rsid w:val="004D6FAA"/>
    <w:rsid w:val="004E74B4"/>
    <w:rsid w:val="004F282C"/>
    <w:rsid w:val="004F330A"/>
    <w:rsid w:val="00540C41"/>
    <w:rsid w:val="00545760"/>
    <w:rsid w:val="00547F49"/>
    <w:rsid w:val="00580464"/>
    <w:rsid w:val="0059507C"/>
    <w:rsid w:val="005A5C74"/>
    <w:rsid w:val="005E4EE8"/>
    <w:rsid w:val="005F30D5"/>
    <w:rsid w:val="00611D5C"/>
    <w:rsid w:val="006156A7"/>
    <w:rsid w:val="0061689D"/>
    <w:rsid w:val="0062343A"/>
    <w:rsid w:val="006277B2"/>
    <w:rsid w:val="00650631"/>
    <w:rsid w:val="00651819"/>
    <w:rsid w:val="0065211A"/>
    <w:rsid w:val="006547EB"/>
    <w:rsid w:val="00656B27"/>
    <w:rsid w:val="0068156D"/>
    <w:rsid w:val="006A0604"/>
    <w:rsid w:val="006A3FDC"/>
    <w:rsid w:val="006B25FF"/>
    <w:rsid w:val="006D56E6"/>
    <w:rsid w:val="006E7ABE"/>
    <w:rsid w:val="006F6A65"/>
    <w:rsid w:val="006F75A4"/>
    <w:rsid w:val="0072594B"/>
    <w:rsid w:val="00735FF5"/>
    <w:rsid w:val="00747C6C"/>
    <w:rsid w:val="007632D6"/>
    <w:rsid w:val="007639A4"/>
    <w:rsid w:val="00782365"/>
    <w:rsid w:val="00786429"/>
    <w:rsid w:val="007B11B9"/>
    <w:rsid w:val="008050DA"/>
    <w:rsid w:val="00805B6C"/>
    <w:rsid w:val="008105C2"/>
    <w:rsid w:val="00814E11"/>
    <w:rsid w:val="0081568F"/>
    <w:rsid w:val="0081719C"/>
    <w:rsid w:val="00817671"/>
    <w:rsid w:val="00820ACB"/>
    <w:rsid w:val="00835128"/>
    <w:rsid w:val="0083655C"/>
    <w:rsid w:val="00841055"/>
    <w:rsid w:val="00846BB1"/>
    <w:rsid w:val="00851066"/>
    <w:rsid w:val="00854202"/>
    <w:rsid w:val="00862299"/>
    <w:rsid w:val="008C2822"/>
    <w:rsid w:val="008E0B37"/>
    <w:rsid w:val="008E78B2"/>
    <w:rsid w:val="00903EB1"/>
    <w:rsid w:val="00911D8E"/>
    <w:rsid w:val="00927182"/>
    <w:rsid w:val="00935FC8"/>
    <w:rsid w:val="00950141"/>
    <w:rsid w:val="0095628F"/>
    <w:rsid w:val="00960812"/>
    <w:rsid w:val="009918E1"/>
    <w:rsid w:val="0099667B"/>
    <w:rsid w:val="009A2108"/>
    <w:rsid w:val="009B34DB"/>
    <w:rsid w:val="009F42B6"/>
    <w:rsid w:val="00A1328D"/>
    <w:rsid w:val="00A22FA0"/>
    <w:rsid w:val="00A82327"/>
    <w:rsid w:val="00A83B16"/>
    <w:rsid w:val="00A84568"/>
    <w:rsid w:val="00A86E89"/>
    <w:rsid w:val="00A96039"/>
    <w:rsid w:val="00AA52D4"/>
    <w:rsid w:val="00AC7E2C"/>
    <w:rsid w:val="00AD6176"/>
    <w:rsid w:val="00AE691B"/>
    <w:rsid w:val="00B025E7"/>
    <w:rsid w:val="00B422B3"/>
    <w:rsid w:val="00B43697"/>
    <w:rsid w:val="00B44EB0"/>
    <w:rsid w:val="00B91D7A"/>
    <w:rsid w:val="00B97C8C"/>
    <w:rsid w:val="00BA21CF"/>
    <w:rsid w:val="00BA4FA6"/>
    <w:rsid w:val="00BB2535"/>
    <w:rsid w:val="00BE45FE"/>
    <w:rsid w:val="00BE5C72"/>
    <w:rsid w:val="00BF1A7E"/>
    <w:rsid w:val="00C014E6"/>
    <w:rsid w:val="00C02F66"/>
    <w:rsid w:val="00C06297"/>
    <w:rsid w:val="00C0716E"/>
    <w:rsid w:val="00C07EEF"/>
    <w:rsid w:val="00C25CD1"/>
    <w:rsid w:val="00C33EEE"/>
    <w:rsid w:val="00C44E3A"/>
    <w:rsid w:val="00C45D1D"/>
    <w:rsid w:val="00C53C2A"/>
    <w:rsid w:val="00C61692"/>
    <w:rsid w:val="00C93709"/>
    <w:rsid w:val="00CB178D"/>
    <w:rsid w:val="00CB5F7C"/>
    <w:rsid w:val="00CB6FE3"/>
    <w:rsid w:val="00CC240A"/>
    <w:rsid w:val="00CD140E"/>
    <w:rsid w:val="00CE2029"/>
    <w:rsid w:val="00CE7605"/>
    <w:rsid w:val="00CF468B"/>
    <w:rsid w:val="00D02A22"/>
    <w:rsid w:val="00D25989"/>
    <w:rsid w:val="00D442BC"/>
    <w:rsid w:val="00D62068"/>
    <w:rsid w:val="00D6789A"/>
    <w:rsid w:val="00D72521"/>
    <w:rsid w:val="00D84693"/>
    <w:rsid w:val="00DA0DF0"/>
    <w:rsid w:val="00DC70EC"/>
    <w:rsid w:val="00DD1246"/>
    <w:rsid w:val="00DD6B87"/>
    <w:rsid w:val="00DE1B28"/>
    <w:rsid w:val="00DE5555"/>
    <w:rsid w:val="00DF3FF3"/>
    <w:rsid w:val="00E0299A"/>
    <w:rsid w:val="00E213EE"/>
    <w:rsid w:val="00E22139"/>
    <w:rsid w:val="00E24A0C"/>
    <w:rsid w:val="00E315BC"/>
    <w:rsid w:val="00E438E6"/>
    <w:rsid w:val="00E455E2"/>
    <w:rsid w:val="00EC5B40"/>
    <w:rsid w:val="00EE3E33"/>
    <w:rsid w:val="00EE402B"/>
    <w:rsid w:val="00EF29F8"/>
    <w:rsid w:val="00EF3D9F"/>
    <w:rsid w:val="00F04483"/>
    <w:rsid w:val="00F30E97"/>
    <w:rsid w:val="00F324CA"/>
    <w:rsid w:val="00F52028"/>
    <w:rsid w:val="00F53C19"/>
    <w:rsid w:val="00F55BBB"/>
    <w:rsid w:val="00F617EB"/>
    <w:rsid w:val="00F72B42"/>
    <w:rsid w:val="00F755BC"/>
    <w:rsid w:val="00F769BA"/>
    <w:rsid w:val="00F857DB"/>
    <w:rsid w:val="00F86C70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CAD4"/>
  <w15:chartTrackingRefBased/>
  <w15:docId w15:val="{7815C0B1-098A-4870-8893-8CA78BDC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D61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1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6176"/>
    <w:rPr>
      <w:vertAlign w:val="superscript"/>
    </w:rPr>
  </w:style>
  <w:style w:type="character" w:customStyle="1" w:styleId="ref-journal">
    <w:name w:val="ref-journal"/>
    <w:basedOn w:val="DefaultParagraphFont"/>
    <w:rsid w:val="003B3C0F"/>
  </w:style>
  <w:style w:type="character" w:customStyle="1" w:styleId="ref-vol">
    <w:name w:val="ref-vol"/>
    <w:basedOn w:val="DefaultParagraphFont"/>
    <w:rsid w:val="003B3C0F"/>
  </w:style>
  <w:style w:type="character" w:styleId="Hyperlink">
    <w:name w:val="Hyperlink"/>
    <w:basedOn w:val="DefaultParagraphFont"/>
    <w:uiPriority w:val="99"/>
    <w:semiHidden/>
    <w:unhideWhenUsed/>
    <w:rsid w:val="00BF1A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A65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304237"/>
    <w:rPr>
      <w:rFonts w:ascii="AdvTT5843c571" w:hAnsi="AdvTT5843c57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rsid w:val="00304237"/>
    <w:rPr>
      <w:rFonts w:ascii="AdvTT5843c571+fb" w:hAnsi="AdvTT5843c571+fb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citationstyle">
    <w:name w:val="citation style"/>
    <w:basedOn w:val="Normal"/>
    <w:link w:val="citationstyleChar"/>
    <w:qFormat/>
    <w:rsid w:val="006156A7"/>
    <w:pPr>
      <w:widowControl w:val="0"/>
      <w:autoSpaceDE w:val="0"/>
      <w:autoSpaceDN w:val="0"/>
      <w:adjustRightInd w:val="0"/>
      <w:spacing w:after="0" w:line="480" w:lineRule="auto"/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citationstyleChar">
    <w:name w:val="citation style Char"/>
    <w:basedOn w:val="DefaultParagraphFont"/>
    <w:link w:val="citationstyle"/>
    <w:rsid w:val="006156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8D40-15C4-49B6-886A-1854891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Christopher Lean</cp:lastModifiedBy>
  <cp:revision>2</cp:revision>
  <dcterms:created xsi:type="dcterms:W3CDTF">2019-10-16T02:58:00Z</dcterms:created>
  <dcterms:modified xsi:type="dcterms:W3CDTF">2019-10-16T02:58:00Z</dcterms:modified>
</cp:coreProperties>
</file>