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5"/>
        <w:contextualSpacing w:val="true"/>
        <w:spacing w:after="850" w:before="1701"/>
      </w:pPr>
      <w:r>
        <w:rPr>
          <w:rFonts w:cs="Lohit Devanagari" w:eastAsia="Noto Sans CJK SC Regular"/>
          <w:b w:val="false"/>
          <w:bCs/>
          <w:sz w:val="36"/>
          <w:szCs w:val="56"/>
          <w:lang w:val="en-GB"/>
        </w:rPr>
        <w:t xml:space="preserve">True Griceanism</w:t>
      </w:r>
      <w:r>
        <w:rPr>
          <w:lang w:val="en-GB"/>
        </w:rPr>
        <w:t xml:space="preserve">: Filling the Gaps </w:t>
      </w:r>
      <w:r>
        <w:rPr>
          <w:rFonts w:cs="Lohit Devanagari" w:eastAsia="Noto Sans CJK SC Regular"/>
          <w:b w:val="false"/>
          <w:bCs/>
          <w:sz w:val="36"/>
          <w:szCs w:val="56"/>
          <w:lang w:val="en-GB"/>
        </w:rPr>
        <w:t xml:space="preserve">in</w:t>
      </w:r>
      <w:r>
        <w:rPr>
          <w:lang w:val="en-GB"/>
        </w:rPr>
        <w:t xml:space="preserve"> </w:t>
      </w:r>
      <w:r>
        <w:rPr>
          <w:rFonts w:cs="Lohit Devanagari" w:eastAsia="Noto Sans CJK SC Regular"/>
          <w:b w:val="false"/>
          <w:bCs/>
          <w:sz w:val="36"/>
          <w:szCs w:val="56"/>
          <w:lang w:val="en-GB"/>
        </w:rPr>
        <w:t xml:space="preserve">Callender and Cohen’s Account of Scientific Representation</w:t>
      </w:r>
      <w:r/>
    </w:p>
    <w:p>
      <w:pPr>
        <w:pStyle w:val="616"/>
      </w:pPr>
      <w:r>
        <w:t xml:space="preserve">Quentin Ruyant — quentin.ruyant@gmail.com</w:t>
        <w:br/>
        <w:t xml:space="preserve">Universidad Nacional Autónoma de México</w:t>
      </w:r>
      <w:r/>
    </w:p>
    <w:p>
      <w:pPr>
        <w:pStyle w:val="618"/>
      </w:pPr>
      <w:r>
        <w:rPr>
          <w:b/>
          <w:bCs/>
          <w:lang w:val="en-GB"/>
        </w:rPr>
        <w:t xml:space="preserve">Abstract</w:t>
      </w:r>
      <w:r>
        <w:rPr>
          <w:lang w:val="en-GB"/>
        </w:rPr>
        <w:t xml:space="preserve">: Callender and Cohen have proposed </w:t>
      </w:r>
      <w:r>
        <w:rPr>
          <w:sz w:val="22"/>
          <w:lang w:val="en-GB"/>
        </w:rPr>
        <w:t xml:space="preserve">to apply a</w:t>
      </w:r>
      <w:r>
        <w:rPr>
          <w:lang w:val="en-GB"/>
        </w:rPr>
        <w:t xml:space="preserve"> “Gricean strategy” to the constitution problem of scientific representation</w:t>
      </w:r>
      <w:r>
        <w:rPr>
          <w:lang w:val="en-GB"/>
        </w:rPr>
        <w:t xml:space="preserve">. </w:t>
      </w:r>
      <w:r>
        <w:rPr>
          <w:sz w:val="22"/>
          <w:lang w:val="en-GB"/>
        </w:rPr>
        <w:t xml:space="preserve">They suggest that scientific representa</w:t>
      </w:r>
      <w:r>
        <w:rPr>
          <w:sz w:val="22"/>
          <w:lang w:val="en-GB"/>
        </w:rPr>
        <w:t xml:space="preserve">tion can be reduced to stipulation by epistemic agents. This account has been criticised for not making a distinction between symbolic and epistemic representation and not taking into account the communal aspects of representation. T</w:t>
      </w:r>
      <w:r>
        <w:rPr>
          <w:sz w:val="22"/>
          <w:lang w:val="en-GB"/>
        </w:rPr>
        <w:t xml:space="preserve">hese criticisms would not apply if Grice’s actual strategy were properly employed. I transpose Grice’s strategy to epistemic representation. </w:t>
      </w:r>
      <w:r>
        <w:rPr>
          <w:sz w:val="22"/>
          <w:lang w:val="en-GB"/>
        </w:rPr>
        <w:t xml:space="preserve">The main novelty of the resulting account is a distinction between contextual representational use and general representational status, which I address using the notion of indexicality.</w:t>
      </w:r>
      <w:r/>
    </w:p>
    <w:p>
      <w:pPr>
        <w:shd w:val="nil" w:color="auto" w:fill="FFFFFF"/>
        <w:rPr>
          <w:rFonts w:cs="Lohit Devanagari" w:eastAsia="Noto Sans CJK SC Regular"/>
          <w:b/>
          <w:bCs/>
          <w:sz w:val="30"/>
          <w:szCs w:val="36"/>
          <w:lang w:val="en-GB"/>
        </w:rPr>
      </w:pPr>
      <w:r>
        <w:rPr>
          <w:rFonts w:cs="Lohit Devanagari" w:eastAsia="Noto Sans CJK SC Regular"/>
          <w:b/>
          <w:bCs/>
          <w:sz w:val="30"/>
          <w:szCs w:val="36"/>
          <w:lang w:val="en-GB"/>
        </w:rPr>
        <w:br w:type="page"/>
      </w:r>
      <w:r/>
    </w:p>
    <w:p>
      <w:pPr>
        <w:pStyle w:val="602"/>
        <w:numPr>
          <w:ilvl w:val="0"/>
          <w:numId w:val="2"/>
        </w:numPr>
        <w:rPr>
          <w:rFonts w:cs="Lohit Devanagari" w:eastAsia="Noto Sans CJK SC Regular"/>
          <w:b/>
          <w:sz w:val="30"/>
          <w:szCs w:val="36"/>
          <w:lang w:val="en-GB"/>
        </w:rPr>
      </w:pPr>
      <w:r>
        <w:rPr>
          <w:rFonts w:cs="Lohit Devanagari" w:eastAsia="Noto Sans CJK SC Regular"/>
          <w:b/>
          <w:bCs/>
          <w:sz w:val="30"/>
          <w:szCs w:val="36"/>
          <w:lang w:val="en-GB"/>
        </w:rPr>
        <w:t xml:space="preserve">The Gricean Account of Scientific Representation</w:t>
      </w:r>
      <w:r/>
    </w:p>
    <w:p>
      <w:pPr>
        <w:pStyle w:val="622"/>
        <w:rPr>
          <w:sz w:val="24"/>
          <w:szCs w:val="24"/>
          <w:lang w:val="en-GB"/>
        </w:rPr>
      </w:pPr>
      <w:r>
        <w:rPr>
          <w:sz w:val="24"/>
          <w:szCs w:val="24"/>
          <w:lang w:val="en-GB"/>
        </w:rPr>
        <w:t xml:space="preserve">Is there a special problem of scientific representation? Several authors have been discussing, for decades now, various hypotheses about what constitutes scientific representation, what distinguishes scientifi</w:t>
      </w:r>
      <w:r>
        <w:rPr>
          <w:sz w:val="24"/>
          <w:szCs w:val="24"/>
          <w:lang w:val="en-GB"/>
        </w:rPr>
        <w:t xml:space="preserve">c representation from other types of representation, and other related issues. But according to Callender and Cohen (2006), these debates, although somehow informative, should be reframed, because there is no special problem with scientific representation.</w:t>
      </w:r>
      <w:r/>
    </w:p>
    <w:p>
      <w:pPr>
        <w:pStyle w:val="1_1989"/>
        <w:jc w:val="both"/>
        <w:rPr>
          <w:sz w:val="24"/>
          <w:szCs w:val="24"/>
          <w:lang w:val="en-GB"/>
        </w:rPr>
      </w:pPr>
      <w:r>
        <w:rPr>
          <w:sz w:val="24"/>
          <w:szCs w:val="24"/>
          <w:lang w:val="en-GB"/>
        </w:rPr>
        <w:t xml:space="preserve">They argue for this thesis on the basis of a strategy that they call General Griceanism, taking inspiration from Grice’s work in philosophy of language. Grice proposed a reductive account of the meaning of linguistic </w:t>
      </w:r>
      <w:r>
        <w:rPr>
          <w:szCs w:val="24"/>
          <w:lang w:val="en-GB"/>
        </w:rPr>
        <w:t xml:space="preserve">utterances </w:t>
      </w:r>
      <w:r>
        <w:rPr>
          <w:sz w:val="24"/>
          <w:szCs w:val="24"/>
          <w:lang w:val="en-GB"/>
        </w:rPr>
        <w:t xml:space="preserve">in </w:t>
      </w:r>
      <w:r>
        <w:rPr>
          <w:sz w:val="24"/>
          <w:szCs w:val="24"/>
          <w:lang w:val="en-GB"/>
        </w:rPr>
        <w:t xml:space="preserve">terms of mental states, and suggested that “non-natural meaning” (including linguistic meaning) derives, in a sense that will be detailed later, from “natural meaning”, the kind of meaning involved in sentences such as “dark clouds mean that it will rain”.</w:t>
      </w:r>
      <w:r/>
    </w:p>
    <w:p>
      <w:pPr>
        <w:pStyle w:val="1_1989"/>
      </w:pPr>
      <w:r>
        <w:rPr>
          <w:sz w:val="24"/>
          <w:szCs w:val="24"/>
          <w:lang w:val="en-GB"/>
        </w:rPr>
        <w:t xml:space="preserve">Callender and Cohen identify two stages in this strategy. The first one, according to them, is “relatively trivial</w:t>
      </w:r>
      <w:r>
        <w:rPr>
          <w:sz w:val="24"/>
          <w:szCs w:val="24"/>
          <w:lang w:val="en-GB"/>
        </w:rPr>
        <w:t xml:space="preserve">” and consists in “trading one problem for another” by explaining the representational powers of derivative representations in terms of those of fundamental representations. The second stage consists in explaining representation for the fundamental bearers</w:t>
      </w:r>
      <w:r>
        <w:rPr>
          <w:sz w:val="24"/>
          <w:szCs w:val="24"/>
          <w:lang w:val="en-GB"/>
        </w:rPr>
        <w:t xml:space="preserve"> of content. They suggest that the same general strategy could be applied to scientific representation, to the effect that representation in science would be derivative of mental representation, and that the question of what constitutes representation coul</w:t>
      </w:r>
      <w:r>
        <w:rPr>
          <w:sz w:val="24"/>
          <w:szCs w:val="24"/>
          <w:lang w:val="en-GB"/>
        </w:rPr>
        <w:t xml:space="preserve">d ultimately be delegated to the philosophy of mind. They claim, more specifically, that “representation is constituted in terms of stipulation (plus an underlying account of representation for the mental states subserving stipulation)” (p.77, footnote 7).</w:t>
      </w:r>
      <w:r/>
    </w:p>
    <w:p>
      <w:pPr>
        <w:pStyle w:val="1_1989"/>
      </w:pPr>
      <w:r>
        <w:rPr>
          <w:sz w:val="24"/>
          <w:szCs w:val="24"/>
          <w:lang w:val="en-GB"/>
        </w:rPr>
        <w:t xml:space="preserve">Their proposal entails that all the </w:t>
      </w:r>
      <w:r>
        <w:rPr>
          <w:rFonts w:cs="Lohit Devanagari" w:eastAsia="Noto Sans CJK SC Regular"/>
          <w:color w:val="auto"/>
          <w:sz w:val="24"/>
          <w:szCs w:val="24"/>
          <w:lang w:val="en-GB" w:bidi="hi-IN" w:eastAsia="zh-CN"/>
        </w:rPr>
        <w:t xml:space="preserve">particular characteristics</w:t>
      </w:r>
      <w:r>
        <w:rPr>
          <w:sz w:val="24"/>
          <w:szCs w:val="24"/>
          <w:lang w:val="en-GB"/>
        </w:rPr>
        <w:t xml:space="preserve"> of vehicles of representation in science, perhaps their similarity with their targets for instance, would not </w:t>
      </w:r>
      <w:r>
        <w:rPr>
          <w:i/>
          <w:iCs/>
          <w:sz w:val="24"/>
          <w:szCs w:val="24"/>
          <w:lang w:val="en-GB"/>
        </w:rPr>
        <w:t xml:space="preserve">constitute</w:t>
      </w:r>
      <w:r>
        <w:rPr>
          <w:sz w:val="24"/>
          <w:szCs w:val="24"/>
          <w:lang w:val="en-GB"/>
        </w:rPr>
        <w:t xml:space="preserve"> the representation relation between the vehicle and the target. </w:t>
      </w:r>
      <w:r>
        <w:rPr>
          <w:rFonts w:cs="Lohit Devanagari" w:eastAsia="Noto Sans CJK SC Regular"/>
          <w:color w:val="auto"/>
          <w:sz w:val="24"/>
          <w:szCs w:val="24"/>
          <w:lang w:val="en-GB" w:bidi="hi-IN" w:eastAsia="zh-CN"/>
        </w:rPr>
        <w:t xml:space="preserve">T</w:t>
      </w:r>
      <w:r>
        <w:rPr>
          <w:sz w:val="24"/>
          <w:szCs w:val="24"/>
          <w:lang w:val="en-GB"/>
        </w:rPr>
        <w:t xml:space="preserve">hey would be a mere matter of pragmatics. That </w:t>
      </w:r>
      <w:r>
        <w:rPr>
          <w:rFonts w:cs="Lohit Devanagari" w:eastAsia="Noto Sans CJK SC Regular"/>
          <w:color w:val="auto"/>
          <w:sz w:val="24"/>
          <w:szCs w:val="24"/>
          <w:lang w:val="en-GB" w:bidi="hi-IN" w:eastAsia="zh-CN"/>
        </w:rPr>
        <w:t xml:space="preserve">is to say, these characteristics</w:t>
      </w:r>
      <w:r>
        <w:rPr>
          <w:sz w:val="24"/>
          <w:szCs w:val="24"/>
          <w:lang w:val="en-GB"/>
        </w:rPr>
        <w:t xml:space="preserve"> </w:t>
      </w:r>
      <w:r>
        <w:rPr>
          <w:rFonts w:cs="Lohit Devanagari" w:eastAsia="Noto Sans CJK SC Regular"/>
          <w:color w:val="auto"/>
          <w:sz w:val="24"/>
          <w:szCs w:val="24"/>
          <w:lang w:val="en-GB" w:bidi="hi-IN" w:eastAsia="zh-CN"/>
        </w:rPr>
        <w:t xml:space="preserve">would</w:t>
      </w:r>
      <w:r>
        <w:rPr>
          <w:sz w:val="24"/>
          <w:szCs w:val="24"/>
          <w:lang w:val="en-GB"/>
        </w:rPr>
        <w:t xml:space="preserve"> not </w:t>
      </w:r>
      <w:r>
        <w:rPr>
          <w:rFonts w:cs="Lohit Devanagari" w:eastAsia="Noto Sans CJK SC Regular"/>
          <w:color w:val="auto"/>
          <w:sz w:val="24"/>
          <w:szCs w:val="24"/>
          <w:lang w:val="en-GB" w:bidi="hi-IN" w:eastAsia="zh-CN"/>
        </w:rPr>
        <w:t xml:space="preserve">correspond to</w:t>
      </w:r>
      <w:r>
        <w:rPr>
          <w:sz w:val="24"/>
          <w:szCs w:val="24"/>
          <w:lang w:val="en-GB"/>
        </w:rPr>
        <w:t xml:space="preserve"> constraints </w:t>
      </w:r>
      <w:r>
        <w:rPr>
          <w:rFonts w:cs="Lohit Devanagari" w:eastAsia="Noto Sans CJK SC Regular"/>
          <w:color w:val="auto"/>
          <w:sz w:val="24"/>
          <w:szCs w:val="24"/>
          <w:lang w:val="en-GB" w:bidi="hi-IN" w:eastAsia="zh-CN"/>
        </w:rPr>
        <w:t xml:space="preserve">on what</w:t>
      </w:r>
      <w:r>
        <w:rPr>
          <w:sz w:val="24"/>
          <w:szCs w:val="24"/>
          <w:lang w:val="en-GB"/>
        </w:rPr>
        <w:t xml:space="preserve"> counts as a </w:t>
      </w:r>
      <w:r>
        <w:rPr>
          <w:rFonts w:cs="Lohit Devanagari" w:eastAsia="Noto Sans CJK SC Regular"/>
          <w:color w:val="auto"/>
          <w:sz w:val="24"/>
          <w:szCs w:val="24"/>
          <w:lang w:val="en-GB" w:bidi="hi-IN" w:eastAsia="zh-CN"/>
        </w:rPr>
        <w:t xml:space="preserve">scientific representation (for this, stipulation by scientists is enough), but rather to features that are generally considered desirable</w:t>
      </w:r>
      <w:r>
        <w:rPr>
          <w:sz w:val="24"/>
          <w:szCs w:val="24"/>
          <w:lang w:val="en-GB"/>
        </w:rPr>
        <w:t xml:space="preserve"> for the purposes of the scientific community. In this res</w:t>
      </w:r>
      <w:r>
        <w:rPr>
          <w:sz w:val="24"/>
          <w:szCs w:val="24"/>
          <w:lang w:val="en-GB"/>
        </w:rPr>
        <w:t xml:space="preserve">pect, most of the debates about scientific representation in which philosophers had been engaged (at least until the publication of their article) might have been informative, but they were badly framed, because they were really about pragmatic issues. As </w:t>
      </w:r>
      <w:r>
        <w:rPr>
          <w:sz w:val="24"/>
          <w:szCs w:val="24"/>
          <w:lang w:val="en-GB"/>
        </w:rPr>
        <w:t xml:space="preserve">an example, the problem of demarcation between scientific and non-scientific representation would be a problem of demarcating different practices, and as such, it would be an instance of the more general demarcation problem between science and non-science.</w:t>
      </w:r>
      <w:r/>
    </w:p>
    <w:p>
      <w:pPr>
        <w:pStyle w:val="1_1989"/>
        <w:rPr>
          <w:sz w:val="24"/>
          <w:szCs w:val="24"/>
          <w:lang w:val="en-GB"/>
        </w:rPr>
      </w:pPr>
      <w:r>
        <w:rPr>
          <w:sz w:val="24"/>
          <w:szCs w:val="24"/>
          <w:lang w:val="en-GB"/>
        </w:rPr>
        <w:t xml:space="preserve">This is a very interesting proposal, but I think it is underdeveloped as it stands. My aim in this article is to provide a better Gricean account of scientific representation by looking more closely at Grice’s reductive strategy.</w:t>
      </w:r>
      <w:r/>
    </w:p>
    <w:p>
      <w:pPr>
        <w:pStyle w:val="1_1989"/>
        <w:rPr>
          <w:sz w:val="24"/>
          <w:szCs w:val="24"/>
          <w:lang w:val="en-GB"/>
        </w:rPr>
      </w:pPr>
      <w:r>
        <w:rPr>
          <w:sz w:val="24"/>
          <w:szCs w:val="24"/>
          <w:lang w:val="en-GB"/>
        </w:rPr>
        <w:t xml:space="preserve">Callender and Cohen’s approach has been criticised by many authors (Toon 2010; Bueno and French 2011; Peschard 2011; Ducheyne 2012; Frigg and Nguyen 2017). In this article, I focus on two main criticisms, which are to my knowledge the most develope</w:t>
      </w:r>
      <w:r>
        <w:rPr>
          <w:sz w:val="24"/>
          <w:szCs w:val="24"/>
          <w:lang w:val="en-GB"/>
        </w:rPr>
        <w:t xml:space="preserve">d in the literature, and which happen to be complementary: Liu (2015) and Boesch (2017). The first one emphasises the difference between symbolic and epistemic representation, and the second one the communal aspect of scientific representation. In section </w:t>
      </w:r>
      <w:r>
        <w:rPr>
          <w:sz w:val="24"/>
          <w:szCs w:val="24"/>
        </w:rPr>
        <w:fldChar w:fldCharType="begin"/>
      </w:r>
      <w:r>
        <w:rPr>
          <w:sz w:val="24"/>
          <w:szCs w:val="24"/>
        </w:rPr>
        <w:instrText xml:space="preserve"> REF __RefHeading___Toc1139_3930323596 \n \h </w:instrText>
      </w:r>
      <w:r>
        <w:rPr>
          <w:sz w:val="24"/>
          <w:szCs w:val="24"/>
        </w:rPr>
        <w:fldChar w:fldCharType="separate"/>
      </w:r>
      <w:r>
        <w:rPr>
          <w:sz w:val="24"/>
          <w:szCs w:val="24"/>
        </w:rPr>
        <w:t xml:space="preserve">2</w:t>
      </w:r>
      <w:r>
        <w:rPr>
          <w:sz w:val="24"/>
          <w:szCs w:val="24"/>
        </w:rPr>
        <w:fldChar w:fldCharType="end"/>
      </w:r>
      <w:r>
        <w:rPr>
          <w:sz w:val="24"/>
          <w:szCs w:val="24"/>
          <w:lang w:val="en-GB"/>
        </w:rPr>
        <w:t xml:space="preserve">, I present these criticisms and argue that they only apply to a simplistic understanding of Grice’s reductive strategy (which can be partly imputed to Callender and Cohen). In section </w:t>
      </w:r>
      <w:r>
        <w:rPr>
          <w:sz w:val="24"/>
          <w:szCs w:val="24"/>
        </w:rPr>
        <w:fldChar w:fldCharType="begin"/>
      </w:r>
      <w:r>
        <w:rPr>
          <w:sz w:val="24"/>
          <w:szCs w:val="24"/>
        </w:rPr>
        <w:instrText xml:space="preserve"> REF __RefHeading___Toc1141_3930323596 \n \h </w:instrText>
      </w:r>
      <w:r>
        <w:rPr>
          <w:sz w:val="24"/>
          <w:szCs w:val="24"/>
        </w:rPr>
        <w:fldChar w:fldCharType="separate"/>
      </w:r>
      <w:r>
        <w:rPr>
          <w:sz w:val="24"/>
          <w:szCs w:val="24"/>
        </w:rPr>
        <w:t xml:space="preserve">3</w:t>
      </w:r>
      <w:r>
        <w:rPr>
          <w:sz w:val="24"/>
          <w:szCs w:val="24"/>
        </w:rPr>
        <w:fldChar w:fldCharType="end"/>
      </w:r>
      <w:r>
        <w:rPr>
          <w:sz w:val="24"/>
          <w:szCs w:val="24"/>
          <w:lang w:val="en-GB"/>
        </w:rPr>
        <w:t xml:space="preserve">, I present Grice’s actual strategy for reducing linguistic meaning to mental states. In section </w:t>
      </w:r>
      <w:r>
        <w:rPr>
          <w:sz w:val="24"/>
          <w:szCs w:val="24"/>
        </w:rPr>
        <w:fldChar w:fldCharType="begin"/>
      </w:r>
      <w:r>
        <w:rPr>
          <w:sz w:val="24"/>
          <w:szCs w:val="24"/>
        </w:rPr>
        <w:instrText xml:space="preserve"> REF __RefHeading___Toc1143_3930323596 \n \h </w:instrText>
      </w:r>
      <w:r>
        <w:rPr>
          <w:sz w:val="24"/>
          <w:szCs w:val="24"/>
        </w:rPr>
        <w:fldChar w:fldCharType="separate"/>
      </w:r>
      <w:r>
        <w:rPr>
          <w:sz w:val="24"/>
          <w:szCs w:val="24"/>
        </w:rPr>
        <w:t xml:space="preserve">4</w:t>
      </w:r>
      <w:r>
        <w:rPr>
          <w:sz w:val="24"/>
          <w:szCs w:val="24"/>
        </w:rPr>
        <w:fldChar w:fldCharType="end"/>
      </w:r>
      <w:r>
        <w:rPr>
          <w:sz w:val="24"/>
          <w:szCs w:val="24"/>
          <w:lang w:val="en-GB"/>
        </w:rPr>
        <w:t xml:space="preserve">, I attempt to fill the gaps left open by Callender and Cohen’s proposal, by conscientiously applying Grice’s strategy and heuris</w:t>
      </w:r>
      <w:r>
        <w:rPr>
          <w:sz w:val="24"/>
          <w:szCs w:val="24"/>
          <w:lang w:val="en-GB"/>
        </w:rPr>
        <w:t xml:space="preserve">tic method to epistemic representation. The resulting account explains how epistemic representation derives (in a non-trivial way) from symbolic representation and reduces to mental representation. I refine the account in the face of objections in section </w:t>
      </w:r>
      <w:r>
        <w:rPr>
          <w:sz w:val="24"/>
          <w:szCs w:val="24"/>
        </w:rPr>
        <w:fldChar w:fldCharType="begin"/>
      </w:r>
      <w:r>
        <w:rPr>
          <w:sz w:val="24"/>
          <w:szCs w:val="24"/>
        </w:rPr>
        <w:instrText xml:space="preserve"> REF __RefHeading___Toc1145_3930323596 \n \h </w:instrText>
      </w:r>
      <w:r>
        <w:rPr>
          <w:sz w:val="24"/>
          <w:szCs w:val="24"/>
        </w:rPr>
        <w:fldChar w:fldCharType="separate"/>
      </w:r>
      <w:r>
        <w:rPr>
          <w:sz w:val="24"/>
          <w:szCs w:val="24"/>
        </w:rPr>
        <w:t xml:space="preserve">5</w:t>
      </w:r>
      <w:r>
        <w:rPr>
          <w:sz w:val="24"/>
          <w:szCs w:val="24"/>
        </w:rPr>
        <w:fldChar w:fldCharType="end"/>
      </w:r>
      <w:r>
        <w:rPr>
          <w:sz w:val="24"/>
          <w:szCs w:val="24"/>
          <w:lang w:val="en-GB"/>
        </w:rPr>
        <w:t xml:space="preserve">, and introduce an important distinction between contextual representational use and general representational status. Finally in section </w:t>
      </w:r>
      <w:r>
        <w:rPr>
          <w:sz w:val="24"/>
          <w:szCs w:val="24"/>
        </w:rPr>
        <w:fldChar w:fldCharType="begin"/>
      </w:r>
      <w:r>
        <w:rPr>
          <w:sz w:val="24"/>
          <w:szCs w:val="24"/>
        </w:rPr>
        <w:instrText xml:space="preserve"> REF __RefHeading___Toc1147_3930323596 \n \h </w:instrText>
      </w:r>
      <w:r>
        <w:rPr>
          <w:sz w:val="24"/>
          <w:szCs w:val="24"/>
        </w:rPr>
        <w:fldChar w:fldCharType="separate"/>
      </w:r>
      <w:r>
        <w:rPr>
          <w:sz w:val="24"/>
          <w:szCs w:val="24"/>
        </w:rPr>
        <w:t xml:space="preserve">6</w:t>
      </w:r>
      <w:r>
        <w:rPr>
          <w:sz w:val="24"/>
          <w:szCs w:val="24"/>
        </w:rPr>
        <w:fldChar w:fldCharType="end"/>
      </w:r>
      <w:r>
        <w:rPr>
          <w:sz w:val="24"/>
          <w:szCs w:val="24"/>
          <w:lang w:val="en-GB"/>
        </w:rPr>
        <w:t xml:space="preserve">, I give a few comments on the prospect of deriving scientific representation in particular from epistemic representation in general, and argue that this is, indeed, a mere problem of pragmatics.</w:t>
      </w:r>
      <w:r/>
    </w:p>
    <w:p>
      <w:pPr>
        <w:pStyle w:val="602"/>
        <w:numPr>
          <w:ilvl w:val="0"/>
          <w:numId w:val="2"/>
        </w:numPr>
        <w:rPr>
          <w:lang w:val="en-GB"/>
        </w:rPr>
      </w:pPr>
      <w:r/>
      <w:bookmarkStart w:id="0" w:name="__RefHeading___Toc1139_3930323596"/>
      <w:r/>
      <w:bookmarkEnd w:id="0"/>
      <w:r>
        <w:rPr>
          <w:lang w:val="en-GB"/>
        </w:rPr>
        <w:t xml:space="preserve">Criticisms of the Gricean Strategy</w:t>
      </w:r>
      <w:r/>
    </w:p>
    <w:p>
      <w:pPr>
        <w:pStyle w:val="622"/>
        <w:rPr>
          <w:sz w:val="24"/>
          <w:szCs w:val="24"/>
          <w:lang w:val="en-GB"/>
        </w:rPr>
      </w:pPr>
      <w:r>
        <w:rPr>
          <w:sz w:val="24"/>
          <w:szCs w:val="24"/>
          <w:lang w:val="en-GB"/>
        </w:rPr>
        <w:t xml:space="preserve">Liu claims that Callender and Cohen’s reductive account of scientific representation in terms of mere stipulation by the agent fails to make an important distinction between symbolic and epistemic representation. </w:t>
      </w:r>
      <w:r/>
    </w:p>
    <w:p>
      <w:pPr>
        <w:pStyle w:val="1_1989"/>
        <w:rPr>
          <w:sz w:val="24"/>
          <w:szCs w:val="24"/>
          <w:lang w:val="en-GB"/>
        </w:rPr>
      </w:pPr>
      <w:r>
        <w:rPr>
          <w:sz w:val="24"/>
          <w:szCs w:val="24"/>
          <w:lang w:val="en-GB"/>
        </w:rPr>
        <w:t xml:space="preserve">The distinction is not a matter of pragmatic difference between the vehicles used and whether they are good for particular purposes, but a more fundamental difference in function: in symbolic representation (for example, with a stop sign or the </w:t>
      </w:r>
      <w:r>
        <w:rPr>
          <w:rFonts w:cs="Lohit Devanagari" w:eastAsia="Noto Sans CJK SC Regular"/>
          <w:color w:val="auto"/>
          <w:sz w:val="24"/>
          <w:szCs w:val="24"/>
          <w:lang w:val="en-GB" w:bidi="hi-IN" w:eastAsia="zh-CN"/>
        </w:rPr>
        <w:t xml:space="preserve">logo</w:t>
      </w:r>
      <w:r>
        <w:rPr>
          <w:sz w:val="24"/>
          <w:szCs w:val="24"/>
          <w:lang w:val="en-GB"/>
        </w:rPr>
        <w:t xml:space="preserve"> of an airline), the connection between the vehicle and the target is purely conventional, and the role of the vehicle is simply to invoke a mental state among interlocutors or to pick out its referent without </w:t>
      </w:r>
      <w:r>
        <w:rPr>
          <w:rFonts w:cs="Lohit Devanagari" w:eastAsia="Noto Sans CJK SC Regular"/>
          <w:color w:val="auto"/>
          <w:sz w:val="24"/>
          <w:szCs w:val="24"/>
          <w:lang w:val="en-GB" w:bidi="hi-IN" w:eastAsia="zh-CN"/>
        </w:rPr>
        <w:t xml:space="preserve">giving us any information</w:t>
      </w:r>
      <w:r>
        <w:rPr>
          <w:sz w:val="24"/>
          <w:szCs w:val="24"/>
          <w:lang w:val="en-GB"/>
        </w:rPr>
        <w:t xml:space="preserve"> about the referent. Any resemblance between the vehicle and the target is a matter of pragmatics, since it is not essential to the realisation</w:t>
      </w:r>
      <w:r>
        <w:rPr>
          <w:sz w:val="24"/>
          <w:szCs w:val="24"/>
          <w:lang w:val="en-GB"/>
        </w:rPr>
        <w:t xml:space="preserve"> of this function. This is not so with epistemic representation: the connection between, say, a scientific model or a map and its target is not purely conventional, even when conventions are used. This is because the function of epistemic representations i</w:t>
      </w:r>
      <w:r>
        <w:rPr>
          <w:sz w:val="24"/>
          <w:szCs w:val="24"/>
          <w:lang w:val="en-GB"/>
        </w:rPr>
        <w:t xml:space="preserve">s to “allow their users to have access, in however simplified or specialized manners, to aspects of their targets, which fulfil, in a broad sense, an epistemic role” (p. 47). When used in communication, this function is not to invoke belief states, but to </w:t>
      </w:r>
      <w:r>
        <w:rPr>
          <w:i/>
          <w:iCs/>
          <w:sz w:val="24"/>
          <w:szCs w:val="24"/>
          <w:lang w:val="en-GB"/>
        </w:rPr>
        <w:t xml:space="preserve">create</w:t>
      </w:r>
      <w:r>
        <w:rPr>
          <w:sz w:val="24"/>
          <w:szCs w:val="24"/>
          <w:lang w:val="en-GB"/>
        </w:rPr>
        <w:t xml:space="preserve"> them. In other words, we can learn what the target is like from an epistemic representation. This function </w:t>
      </w:r>
      <w:r>
        <w:rPr>
          <w:i/>
          <w:iCs/>
          <w:sz w:val="24"/>
          <w:szCs w:val="24"/>
          <w:lang w:val="en-GB"/>
        </w:rPr>
        <w:t xml:space="preserve">cannot</w:t>
      </w:r>
      <w:r>
        <w:rPr>
          <w:i w:val="false"/>
          <w:iCs w:val="false"/>
          <w:sz w:val="24"/>
          <w:szCs w:val="24"/>
          <w:lang w:val="en-GB"/>
        </w:rPr>
        <w:t xml:space="preserve"> be </w:t>
      </w:r>
      <w:r>
        <w:rPr>
          <w:rFonts w:cs="Lohit Devanagari" w:eastAsia="Noto Sans CJK SC Regular"/>
          <w:i w:val="false"/>
          <w:iCs w:val="false"/>
          <w:color w:val="auto"/>
          <w:sz w:val="24"/>
          <w:szCs w:val="24"/>
          <w:lang w:val="en-GB" w:bidi="hi-IN" w:eastAsia="zh-CN"/>
        </w:rPr>
        <w:t xml:space="preserve">realised by</w:t>
      </w:r>
      <w:r>
        <w:rPr>
          <w:i w:val="false"/>
          <w:iCs w:val="false"/>
          <w:sz w:val="24"/>
          <w:szCs w:val="24"/>
          <w:lang w:val="en-GB"/>
        </w:rPr>
        <w:t xml:space="preserve"> mere </w:t>
      </w:r>
      <w:r>
        <w:rPr>
          <w:rFonts w:cs="Lohit Devanagari" w:eastAsia="Noto Sans CJK SC Regular"/>
          <w:i w:val="false"/>
          <w:iCs w:val="false"/>
          <w:color w:val="auto"/>
          <w:sz w:val="24"/>
          <w:szCs w:val="24"/>
          <w:lang w:val="en-GB" w:bidi="hi-IN" w:eastAsia="zh-CN"/>
        </w:rPr>
        <w:t xml:space="preserve">conventional stipulation</w:t>
      </w:r>
      <w:r>
        <w:rPr>
          <w:sz w:val="24"/>
          <w:szCs w:val="24"/>
          <w:lang w:val="en-GB"/>
        </w:rPr>
        <w:t xml:space="preserve">. And </w:t>
      </w:r>
      <w:r>
        <w:rPr>
          <w:rFonts w:cs="Lohit Devanagari" w:eastAsia="Noto Sans CJK SC Regular"/>
          <w:color w:val="auto"/>
          <w:sz w:val="24"/>
          <w:szCs w:val="24"/>
          <w:lang w:val="en-GB" w:bidi="hi-IN" w:eastAsia="zh-CN"/>
        </w:rPr>
        <w:t xml:space="preserve">it</w:t>
      </w:r>
      <w:r>
        <w:rPr>
          <w:sz w:val="24"/>
          <w:szCs w:val="24"/>
          <w:lang w:val="en-GB"/>
        </w:rPr>
        <w:t xml:space="preserve"> is not a matter of pragmatic utility, but an essential feature of epistemic representations: it constitutes the representation relation in science. </w:t>
      </w:r>
      <w:r/>
    </w:p>
    <w:p>
      <w:pPr>
        <w:pStyle w:val="1_1989"/>
      </w:pPr>
      <w:r>
        <w:rPr>
          <w:sz w:val="24"/>
          <w:szCs w:val="24"/>
          <w:lang w:val="en-GB"/>
        </w:rPr>
        <w:t xml:space="preserve">According to Liu, these key differences are reflected in the fact that epistemic vehicles </w:t>
      </w:r>
      <w:r>
        <w:rPr>
          <w:i/>
          <w:iCs/>
          <w:sz w:val="24"/>
          <w:szCs w:val="24"/>
          <w:lang w:val="en-GB"/>
        </w:rPr>
        <w:t xml:space="preserve">contain</w:t>
      </w:r>
      <w:r>
        <w:rPr>
          <w:sz w:val="24"/>
          <w:szCs w:val="24"/>
          <w:lang w:val="en-GB"/>
        </w:rPr>
        <w:t xml:space="preserve"> symbols, organised, for example, in a mathematical structure, while basic symbols do not need to contain other symbols: they are sufficient in themselves. This is precisely because the</w:t>
      </w:r>
      <w:r>
        <w:rPr>
          <w:rFonts w:cs="Lohit Devanagari" w:eastAsia="Noto Sans CJK SC Regular"/>
          <w:color w:val="auto"/>
          <w:sz w:val="24"/>
          <w:szCs w:val="24"/>
          <w:lang w:val="en-GB" w:bidi="hi-IN" w:eastAsia="zh-CN"/>
        </w:rPr>
        <w:t xml:space="preserve"> way symbols are selected and organised in an epistemic representation is not conventional, but serves an epistemic function.</w:t>
      </w:r>
      <w:r>
        <w:rPr>
          <w:sz w:val="24"/>
          <w:szCs w:val="24"/>
          <w:lang w:val="en-GB"/>
        </w:rPr>
        <w:t xml:space="preserve"> So while epistemic representation does use symbols for denotation, which helps secure the relation to the target, it is not itself symbolic.</w:t>
      </w:r>
      <w:r/>
    </w:p>
    <w:p>
      <w:pPr>
        <w:pStyle w:val="1_1989"/>
        <w:rPr>
          <w:sz w:val="24"/>
          <w:szCs w:val="24"/>
          <w:lang w:val="en-GB"/>
        </w:rPr>
      </w:pPr>
      <w:r>
        <w:rPr>
          <w:sz w:val="24"/>
          <w:szCs w:val="24"/>
          <w:lang w:val="en-GB"/>
        </w:rPr>
        <w:t xml:space="preserve">Boesch’s criticism is focused on the fact that scientific activity involves communal aspects. Scientific representation cannot be reduced to mental representation, because the latter is private and not constrained in the same way by the </w:t>
      </w:r>
      <w:r>
        <w:rPr>
          <w:sz w:val="24"/>
          <w:szCs w:val="24"/>
          <w:lang w:val="en-GB"/>
        </w:rPr>
        <w:t xml:space="preserve">communit</w:t>
      </w:r>
      <w:r>
        <w:rPr>
          <w:sz w:val="24"/>
          <w:szCs w:val="24"/>
          <w:lang w:val="en-GB"/>
        </w:rPr>
        <w:t xml:space="preserve">y. Taking the example of reminiscence, by which a vehicle is capable of inducing thoughts in an agent (for example, “a drawing can be reminiscent of my nephew”, p. 972), he observes that relations of reminiscence can be reduced to mental states, that they </w:t>
      </w:r>
      <w:r>
        <w:rPr>
          <w:sz w:val="24"/>
          <w:szCs w:val="24"/>
          <w:lang w:val="en-GB"/>
        </w:rPr>
        <w:t xml:space="preserve">can be created by mere stipulation, and that in this case, any resemblance between the vehicle and its target is merely pragmatic. Furthermore, different agents can disagree about whether an object is reminiscent of another without any of them being wrong.</w:t>
      </w:r>
      <w:r/>
    </w:p>
    <w:p>
      <w:pPr>
        <w:pStyle w:val="1_1989"/>
      </w:pPr>
      <w:r>
        <w:rPr>
          <w:sz w:val="24"/>
          <w:szCs w:val="24"/>
          <w:lang w:val="en-GB"/>
        </w:rPr>
        <w:t xml:space="preserve">What a scientific model represents, in contrast, is independent of a mere stipulation by any particular scientist, but depends on li</w:t>
      </w:r>
      <w:r>
        <w:rPr>
          <w:sz w:val="24"/>
          <w:szCs w:val="24"/>
          <w:lang w:val="en-GB"/>
        </w:rPr>
        <w:t xml:space="preserve">censing by the community. Taking the example of the Lotka-Volterra model, Boesch argues that in order to know what a model represents, one has to examine its history: how and why it was constructed, how it was received by the scientific community and how i</w:t>
      </w:r>
      <w:r>
        <w:rPr>
          <w:sz w:val="24"/>
          <w:szCs w:val="24"/>
          <w:lang w:val="en-GB"/>
        </w:rPr>
        <w:t xml:space="preserve">t is currently used. This examination reveals that mere stipulation is not sufficient for a model to be licensed as a representation of something else. In particular, it reveals, in the case of the Lotka-Volterra model, that “the construction of the model </w:t>
      </w:r>
      <w:r>
        <w:rPr>
          <w:rFonts w:cs="Lohit Devanagari" w:eastAsia="Noto Sans CJK SC Regular"/>
          <w:color w:val="auto"/>
          <w:sz w:val="24"/>
          <w:szCs w:val="24"/>
          <w:lang w:val="en-GB" w:bidi="hi-IN" w:eastAsia="zh-CN"/>
        </w:rPr>
        <w:t xml:space="preserve">[…</w:t>
      </w:r>
      <w:r>
        <w:rPr>
          <w:sz w:val="24"/>
          <w:szCs w:val="24"/>
          <w:lang w:val="en-GB"/>
        </w:rPr>
        <w:t xml:space="preserve">] has been responsive to certain theoretical and empirical aims” (p. 976). Ac</w:t>
      </w:r>
      <w:r>
        <w:rPr>
          <w:sz w:val="24"/>
          <w:szCs w:val="24"/>
          <w:lang w:val="en-GB"/>
        </w:rPr>
        <w:t xml:space="preserve">cording to Boesch, this licensing aspect is not a mere pragmatic limitation on how some already existing representations should be used, but it actually constitutes the representation relation itself: the model is a scientific representation of its target </w:t>
      </w:r>
      <w:r>
        <w:rPr>
          <w:i/>
          <w:iCs/>
          <w:sz w:val="24"/>
          <w:szCs w:val="24"/>
          <w:lang w:val="en-GB"/>
        </w:rPr>
        <w:t xml:space="preserve">because</w:t>
      </w:r>
      <w:r>
        <w:rPr>
          <w:sz w:val="24"/>
          <w:szCs w:val="24"/>
          <w:lang w:val="en-GB"/>
        </w:rPr>
        <w:t xml:space="preserve"> it </w:t>
      </w:r>
      <w:r>
        <w:rPr>
          <w:rFonts w:cs="Lohit Devanagari" w:eastAsia="Noto Sans CJK SC Regular"/>
          <w:color w:val="auto"/>
          <w:sz w:val="24"/>
          <w:szCs w:val="24"/>
          <w:lang w:val="en-GB" w:bidi="hi-IN" w:eastAsia="zh-CN"/>
        </w:rPr>
        <w:t xml:space="preserve">has been</w:t>
      </w:r>
      <w:r>
        <w:rPr>
          <w:sz w:val="24"/>
          <w:szCs w:val="24"/>
          <w:lang w:val="en-GB"/>
        </w:rPr>
        <w:t xml:space="preserve"> carefully constructed to function as such, taking into account empirical </w:t>
      </w:r>
      <w:r>
        <w:rPr>
          <w:rFonts w:cs="Lohit Devanagari" w:eastAsia="Noto Sans CJK SC Regular"/>
          <w:color w:val="auto"/>
          <w:sz w:val="24"/>
          <w:szCs w:val="24"/>
          <w:lang w:val="en-GB" w:bidi="hi-IN" w:eastAsia="zh-CN"/>
        </w:rPr>
        <w:t xml:space="preserve">and theoretical aspects</w:t>
      </w:r>
      <w:r>
        <w:rPr>
          <w:sz w:val="24"/>
          <w:szCs w:val="24"/>
          <w:lang w:val="en-GB"/>
        </w:rPr>
        <w:t xml:space="preserve">.</w:t>
      </w:r>
      <w:r/>
    </w:p>
    <w:p>
      <w:pPr>
        <w:pStyle w:val="1_1989"/>
      </w:pPr>
      <w:r>
        <w:rPr>
          <w:sz w:val="24"/>
          <w:szCs w:val="24"/>
          <w:lang w:val="en-GB"/>
        </w:rPr>
        <w:t xml:space="preserve">Note that </w:t>
      </w:r>
      <w:r>
        <w:rPr>
          <w:rFonts w:cs="Lohit Devanagari" w:eastAsia="Noto Sans CJK SC Regular"/>
          <w:color w:val="auto"/>
          <w:sz w:val="24"/>
          <w:szCs w:val="24"/>
          <w:lang w:val="en-GB" w:bidi="hi-IN" w:eastAsia="zh-CN"/>
        </w:rPr>
        <w:t xml:space="preserve">some</w:t>
      </w:r>
      <w:r>
        <w:rPr>
          <w:sz w:val="24"/>
          <w:szCs w:val="24"/>
          <w:lang w:val="en-GB"/>
        </w:rPr>
        <w:t xml:space="preserve"> of Boesch’s remarks are also true of symbolic representation: a dove represents peace in a way that is independent of the stipulation of any </w:t>
      </w:r>
      <w:r>
        <w:rPr>
          <w:sz w:val="24"/>
          <w:szCs w:val="24"/>
          <w:lang w:val="en-GB"/>
        </w:rPr>
        <w:t xml:space="preserve">agent, and to understand what the dove represents, one can have a look at the history of the symbol. Stipulation can also be communal. So “licensing” does not seem to be specific to epistemic representation, let alone scientific representation (I guess he </w:t>
      </w:r>
      <w:r>
        <w:rPr>
          <w:sz w:val="24"/>
          <w:szCs w:val="24"/>
          <w:lang w:val="en-GB"/>
        </w:rPr>
        <w:t xml:space="preserve">would agree with this, since he employs examples from art). At most the nature of this licensing in science, in particular its non-arbitrariness and its responsiveness to empirical and theoretical aims, is specific, and this rejoins, to some extent, Liu’s </w:t>
      </w:r>
      <w:r>
        <w:rPr>
          <w:rFonts w:cs="Lohit Devanagari" w:eastAsia="Noto Sans CJK SC Regular"/>
          <w:color w:val="auto"/>
          <w:sz w:val="24"/>
          <w:szCs w:val="24"/>
          <w:lang w:val="en-GB" w:bidi="hi-IN" w:eastAsia="zh-CN"/>
        </w:rPr>
        <w:t xml:space="preserve">distinction between epistemic and symbolic representation</w:t>
      </w:r>
      <w:r>
        <w:rPr>
          <w:sz w:val="24"/>
          <w:szCs w:val="24"/>
          <w:lang w:val="en-GB"/>
        </w:rPr>
        <w:t xml:space="preserve">. Yet the idea that Callender and Cohen fail to account for communal aspects in general, that these aspects</w:t>
      </w:r>
      <w:r>
        <w:rPr>
          <w:rFonts w:cs="Lohit Devanagari" w:eastAsia="Noto Sans CJK SC Regular"/>
          <w:color w:val="auto"/>
          <w:sz w:val="24"/>
          <w:szCs w:val="24"/>
          <w:lang w:val="en-GB" w:bidi="hi-IN" w:eastAsia="zh-CN"/>
        </w:rPr>
        <w:t xml:space="preserve"> are not reducible to</w:t>
      </w:r>
      <w:r>
        <w:rPr>
          <w:sz w:val="24"/>
          <w:szCs w:val="24"/>
          <w:lang w:val="en-GB"/>
        </w:rPr>
        <w:t xml:space="preserve"> mental states and that they are constitutive of the representation relation, remains a complementary objection, and this is the objection I will focus on in this paper.</w:t>
      </w:r>
      <w:r/>
    </w:p>
    <w:p>
      <w:pPr>
        <w:pStyle w:val="1_1989"/>
        <w:rPr>
          <w:sz w:val="24"/>
          <w:szCs w:val="24"/>
          <w:lang w:val="en-GB"/>
        </w:rPr>
      </w:pPr>
      <w:r>
        <w:rPr>
          <w:sz w:val="24"/>
          <w:szCs w:val="24"/>
          <w:lang w:val="en-GB"/>
        </w:rPr>
        <w:t xml:space="preserve">Although these criticisms make interesting observations about how representation works in science, I think both rest on a simplistic understandin</w:t>
      </w:r>
      <w:r>
        <w:rPr>
          <w:sz w:val="24"/>
          <w:szCs w:val="24"/>
          <w:lang w:val="en-GB"/>
        </w:rPr>
        <w:t xml:space="preserve">g of Grice’s reductive strategy. Callender and Cohen can be held partly responsible for this, and Liu and Boesch’s criticisms probably apply to their account, but they would not apply to a proper transposition of Grice’s ideas to scientific representation.</w:t>
      </w:r>
      <w:r/>
    </w:p>
    <w:p>
      <w:pPr>
        <w:pStyle w:val="1_1989"/>
      </w:pPr>
      <w:r>
        <w:rPr>
          <w:sz w:val="24"/>
          <w:szCs w:val="24"/>
          <w:lang w:val="en-GB"/>
        </w:rPr>
        <w:t xml:space="preserve">First, Grice proposes a derivative account of non-natural meaning in terms o</w:t>
      </w:r>
      <w:r>
        <w:rPr>
          <w:sz w:val="24"/>
          <w:szCs w:val="24"/>
          <w:lang w:val="en-GB"/>
        </w:rPr>
        <w:t xml:space="preserve">f natural meaning. But a derivation is not a reduction: according to Grice, natural and non-natural meanings are clearly distinct, non-overlapping concepts. Grice’s derivation is a means of exhibiting the conceptual links between the two concepts, as will </w:t>
      </w:r>
      <w:r>
        <w:rPr>
          <w:sz w:val="24"/>
          <w:szCs w:val="24"/>
          <w:lang w:val="en-GB"/>
        </w:rPr>
        <w:t xml:space="preserve">be explained later. In this respect, Callender and Cohen’s claim that Grice gives a “reductive account of non-natural representation in terms of natural representation” (p. 72) is incorrect. Admittedly, the resulting account reduces non-natural meaning to </w:t>
      </w:r>
      <w:r>
        <w:rPr>
          <w:i/>
          <w:iCs/>
          <w:sz w:val="24"/>
          <w:szCs w:val="24"/>
          <w:lang w:val="en-GB"/>
        </w:rPr>
        <w:t xml:space="preserve">mental states</w:t>
      </w:r>
      <w:r>
        <w:rPr>
          <w:sz w:val="24"/>
          <w:szCs w:val="24"/>
          <w:lang w:val="en-GB"/>
        </w:rPr>
        <w:t xml:space="preserve"> (in particular, intentions to produce belief states). But reduction is not identification, and Grice’s account is rather subtle.</w:t>
      </w:r>
      <w:r/>
    </w:p>
    <w:p>
      <w:pPr>
        <w:pStyle w:val="1_1989"/>
        <w:rPr>
          <w:sz w:val="24"/>
          <w:szCs w:val="24"/>
          <w:lang w:val="en-GB"/>
        </w:rPr>
      </w:pPr>
      <w:r>
        <w:rPr>
          <w:sz w:val="24"/>
          <w:szCs w:val="24"/>
          <w:lang w:val="en-GB"/>
        </w:rPr>
        <w:t xml:space="preserve">Acknowledging this, one could maintain that epistemic representati</w:t>
      </w:r>
      <w:r>
        <w:rPr>
          <w:sz w:val="24"/>
          <w:szCs w:val="24"/>
          <w:lang w:val="en-GB"/>
        </w:rPr>
        <w:t xml:space="preserve">on derives from symbolic representation, while agreeing with Liu that they are distinct in important respects. Liu actually provides some insights that could be relevant for such a derivation, such as the fact that epistemic representations use symbols. To</w:t>
      </w:r>
      <w:r>
        <w:rPr>
          <w:sz w:val="24"/>
          <w:szCs w:val="24"/>
          <w:lang w:val="en-GB"/>
        </w:rPr>
        <w:t xml:space="preserve">on (2010) makes a similar point, observing that Callender and Cohen’s reduction of representation to mental states takes a very simple form. More sophisticated accounts could be proposed (and Toon’s “models as make-believe” purports to be such a proposal).</w:t>
      </w:r>
      <w:r/>
    </w:p>
    <w:p>
      <w:pPr>
        <w:pStyle w:val="1_1989"/>
      </w:pPr>
      <w:r>
        <w:rPr>
          <w:sz w:val="24"/>
          <w:szCs w:val="24"/>
          <w:lang w:val="en-GB"/>
        </w:rPr>
        <w:t xml:space="preserve">Secondly, G</w:t>
      </w:r>
      <w:r>
        <w:rPr>
          <w:sz w:val="24"/>
          <w:szCs w:val="24"/>
          <w:lang w:val="en-GB"/>
        </w:rPr>
        <w:t xml:space="preserve">rice’s reduction to mental states concerns the meaning of particular utterances, which is distinct from the meaning of words and expressions outside of a context of utterance. He has another story to tell about this. For sure, both are related, but they ar</w:t>
      </w:r>
      <w:r>
        <w:rPr>
          <w:sz w:val="24"/>
          <w:szCs w:val="24"/>
          <w:lang w:val="en-GB"/>
        </w:rPr>
        <w:t xml:space="preserve">e distinct: utterance meaning has to do with a particular speaker’s intention to transmit a belief, while expression meaning concerns the appropriate or optimal use of expressions in particular utterances. The latter can perfectly be “communal”, and Grice </w:t>
      </w:r>
      <w:r>
        <w:rPr>
          <w:rFonts w:cs="Lohit Devanagari" w:eastAsia="Noto Sans CJK SC Regular"/>
          <w:color w:val="auto"/>
          <w:sz w:val="24"/>
          <w:szCs w:val="24"/>
          <w:lang w:val="en-GB" w:bidi="hi-IN" w:eastAsia="zh-CN"/>
        </w:rPr>
        <w:t xml:space="preserve">explicitly says that he does not think that this is a mere matter of convention</w:t>
      </w:r>
      <w:r>
        <w:rPr>
          <w:sz w:val="24"/>
          <w:szCs w:val="24"/>
          <w:lang w:val="en-GB"/>
        </w:rPr>
        <w:t xml:space="preserve">. Using communal norms of appropriateness f</w:t>
      </w:r>
      <w:r>
        <w:rPr>
          <w:sz w:val="24"/>
          <w:szCs w:val="24"/>
          <w:lang w:val="en-GB"/>
        </w:rPr>
        <w:t xml:space="preserve">or better communication in a particular context might be a pragmatic issue, and these norms are not constitutive of utterance meaning, but they are constitutive of expression meaning. (This part of Grice’s strategy is not mentioned by Callender and Cohen.)</w:t>
      </w:r>
      <w:r/>
    </w:p>
    <w:p>
      <w:pPr>
        <w:pStyle w:val="1_1989"/>
      </w:pPr>
      <w:r>
        <w:rPr>
          <w:sz w:val="24"/>
          <w:szCs w:val="24"/>
          <w:lang w:val="en-GB"/>
        </w:rPr>
        <w:t xml:space="preserve">By analogy, one could distinguish the use of scientific models by particular users in particular contexts, and the communal “standard use” or representational s</w:t>
      </w:r>
      <w:r>
        <w:rPr>
          <w:sz w:val="24"/>
          <w:szCs w:val="24"/>
          <w:lang w:val="en-GB"/>
        </w:rPr>
        <w:t xml:space="preserve">tatus of these models. The latter would have to do with “licensing” norms, and would have a less direct link to mental states. It need not be merely conventional. This kind of view is fully compatible with Boesch’s remarks. This means that the Gricean stra</w:t>
      </w:r>
      <w:r>
        <w:rPr>
          <w:sz w:val="24"/>
          <w:szCs w:val="24"/>
          <w:lang w:val="en-GB"/>
        </w:rPr>
        <w:t xml:space="preserve">tegy can indeed be applied to scientific representation, so as to delegate the constitution problem to philosophy of mind when it comes to contextual uses, and to a problem of communal values when it comes to the general representational status of a model.</w:t>
      </w:r>
      <w:r/>
    </w:p>
    <w:p>
      <w:pPr>
        <w:pStyle w:val="1_1989"/>
      </w:pPr>
      <w:r>
        <w:rPr>
          <w:sz w:val="24"/>
          <w:szCs w:val="24"/>
        </w:rPr>
        <w:t xml:space="preserve">This distinction between contextual use and general status m</w:t>
      </w:r>
      <w:r>
        <w:rPr>
          <w:sz w:val="24"/>
          <w:szCs w:val="24"/>
        </w:rPr>
        <w:t xml:space="preserve">ight be a blind spot of most accounts of representation proposed so far, and confusion between the two might be the source of unnecessary difficulties. I have not seen the distinction made explicitly in the literature</w:t>
      </w:r>
      <w:r>
        <w:rPr>
          <w:rStyle w:val="590"/>
          <w:sz w:val="24"/>
          <w:szCs w:val="24"/>
        </w:rPr>
        <w:footnoteReference w:id="1"/>
      </w:r>
      <w:r>
        <w:rPr>
          <w:sz w:val="24"/>
          <w:szCs w:val="24"/>
        </w:rPr>
        <w:t xml:space="preserve">, and it is not always clear to me whether philosophers discussing scientific representation are talking about one aspec</w:t>
      </w:r>
      <w:r>
        <w:rPr>
          <w:sz w:val="24"/>
          <w:szCs w:val="24"/>
        </w:rPr>
        <w:t xml:space="preserve">t or the other: what a vehicle represents for a user in a particular context, or in general. But there is no reason to identify the two: the model of the hydrogen atom can represent one particular atom in an experimental context, but it does not represent </w:t>
      </w:r>
      <w:r>
        <w:rPr>
          <w:i/>
          <w:iCs/>
          <w:sz w:val="24"/>
          <w:szCs w:val="24"/>
        </w:rPr>
        <w:t xml:space="preserve">this</w:t>
      </w:r>
      <w:r>
        <w:rPr>
          <w:sz w:val="24"/>
          <w:szCs w:val="24"/>
        </w:rPr>
        <w:t xml:space="preserve"> atom in general, so there </w:t>
      </w:r>
      <w:r>
        <w:rPr>
          <w:rFonts w:cs="Lohit Devanagari" w:eastAsia="Noto Sans CJK SC Regular"/>
          <w:color w:val="auto"/>
          <w:sz w:val="24"/>
          <w:szCs w:val="24"/>
          <w:lang w:val="en-GB" w:bidi="hi-IN" w:eastAsia="zh-CN"/>
        </w:rPr>
        <w:t xml:space="preserve">is a clear difference between these two representational statuses</w:t>
      </w:r>
      <w:r>
        <w:rPr>
          <w:sz w:val="24"/>
          <w:szCs w:val="24"/>
        </w:rPr>
        <w:t xml:space="preserve">. In this respect, Grice’s strategy promises to bring important distinctions that have been neglected so far, and </w:t>
      </w:r>
      <w:r>
        <w:rPr>
          <w:rFonts w:cs="Lohit Devanagari" w:eastAsia="Noto Sans CJK SC Regular"/>
          <w:color w:val="auto"/>
          <w:sz w:val="24"/>
          <w:szCs w:val="24"/>
          <w:lang w:val="en-GB" w:bidi="hi-IN" w:eastAsia="zh-CN"/>
        </w:rPr>
        <w:t xml:space="preserve">that</w:t>
      </w:r>
      <w:r>
        <w:rPr>
          <w:sz w:val="24"/>
          <w:szCs w:val="24"/>
        </w:rPr>
        <w:t xml:space="preserve"> could shed light on some controversies.</w:t>
      </w:r>
      <w:r/>
    </w:p>
    <w:p>
      <w:pPr>
        <w:pStyle w:val="1_1989"/>
        <w:rPr>
          <w:sz w:val="24"/>
          <w:szCs w:val="24"/>
          <w:lang w:val="en-GB"/>
        </w:rPr>
      </w:pPr>
      <w:r>
        <w:rPr>
          <w:sz w:val="24"/>
          <w:szCs w:val="24"/>
          <w:lang w:val="en-GB"/>
        </w:rPr>
        <w:t xml:space="preserve">Having said that, the task of providing a Gricean account of scientific representation might not be as trivial as Calendar and Cohen claim. This</w:t>
      </w:r>
      <w:r>
        <w:rPr>
          <w:sz w:val="24"/>
          <w:szCs w:val="24"/>
          <w:lang w:val="en-GB"/>
        </w:rPr>
        <w:t xml:space="preserve"> article is an attempt to fill the gaps in their proposal, by showing how scientific representation can be derived from symbolic representation (so as to exhibit their conceptual links) and, ultimately, reduced to mental representation and communal values.</w:t>
      </w:r>
      <w:r/>
    </w:p>
    <w:p>
      <w:pPr>
        <w:pStyle w:val="602"/>
        <w:numPr>
          <w:ilvl w:val="0"/>
          <w:numId w:val="2"/>
        </w:numPr>
      </w:pPr>
      <w:r/>
      <w:bookmarkStart w:id="1" w:name="__RefHeading___Toc1141_3930323596"/>
      <w:r/>
      <w:bookmarkEnd w:id="1"/>
      <w:r>
        <w:rPr>
          <w:lang w:val="en-GB"/>
        </w:rPr>
        <w:t xml:space="preserve">Grice’s Actual </w:t>
      </w:r>
      <w:r>
        <w:rPr>
          <w:rFonts w:cs="Lohit Devanagari" w:eastAsia="Noto Sans CJK SC Regular"/>
          <w:b/>
          <w:bCs/>
          <w:sz w:val="30"/>
          <w:szCs w:val="36"/>
          <w:lang w:val="en-GB"/>
        </w:rPr>
        <w:t xml:space="preserve">Strategy</w:t>
      </w:r>
      <w:r/>
    </w:p>
    <w:p>
      <w:pPr>
        <w:pStyle w:val="622"/>
        <w:jc w:val="both"/>
        <w:rPr>
          <w:sz w:val="24"/>
          <w:szCs w:val="24"/>
          <w:lang w:val="en-GB"/>
        </w:rPr>
      </w:pPr>
      <w:r>
        <w:rPr>
          <w:sz w:val="24"/>
          <w:szCs w:val="24"/>
          <w:lang w:val="en-GB"/>
        </w:rPr>
        <w:t xml:space="preserve">Let me first present Grice’s acc</w:t>
      </w:r>
      <w:r>
        <w:rPr>
          <w:sz w:val="24"/>
          <w:szCs w:val="24"/>
          <w:lang w:val="en-GB"/>
        </w:rPr>
        <w:t xml:space="preserve">ount of meaning in more detail. I focus on the account as presented in “Meaning Revisited” (Grice 1989, ch. 18). In this comprehensive </w:t>
      </w:r>
      <w:r>
        <w:rPr>
          <w:szCs w:val="24"/>
          <w:lang w:val="en-GB"/>
        </w:rPr>
        <w:t xml:space="preserve">article</w:t>
      </w:r>
      <w:r>
        <w:rPr>
          <w:sz w:val="24"/>
          <w:szCs w:val="24"/>
          <w:lang w:val="en-GB"/>
        </w:rPr>
        <w:t xml:space="preserve">, Grice offers a narrative, the purpose of which is to show how to go from natural meaning to non-natural meaning.</w:t>
      </w:r>
      <w:r/>
    </w:p>
    <w:p>
      <w:pPr>
        <w:pStyle w:val="1_1989"/>
      </w:pPr>
      <w:r>
        <w:rPr>
          <w:sz w:val="24"/>
          <w:szCs w:val="24"/>
          <w:lang w:val="en-GB"/>
        </w:rPr>
        <w:t xml:space="preserve">Natural meaning is the sense of “mean” used in sentences such as “these black clouds mean that it will rain”, or “the spots on your face mean that you have meas</w:t>
      </w:r>
      <w:r>
        <w:rPr>
          <w:sz w:val="24"/>
          <w:szCs w:val="24"/>
          <w:lang w:val="en-GB"/>
        </w:rPr>
        <w:t xml:space="preserve">les”. It can be understood as a relation of consequence or entailment between the sign and its target. Non-natural meaning is the sense used in sentences such as “his gesture meant that he was fed up”. A criterion of demarcation between the two, which show</w:t>
      </w:r>
      <w:r>
        <w:rPr>
          <w:sz w:val="24"/>
          <w:szCs w:val="24"/>
          <w:lang w:val="en-GB"/>
        </w:rPr>
        <w:t xml:space="preserve">s that they do not overlap, is that natural meaning is factive, while non-natural meaning is not: “these black clouds mean that it will rain” is false if it will not rain, but one’s gesture can mean that one is fed-up even if this is not actually the case.</w:t>
      </w:r>
      <w:r/>
    </w:p>
    <w:p>
      <w:pPr>
        <w:pStyle w:val="1_1989"/>
      </w:pPr>
      <w:r>
        <w:rPr>
          <w:sz w:val="24"/>
          <w:szCs w:val="24"/>
          <w:lang w:val="en-GB"/>
        </w:rPr>
        <w:t xml:space="preserve">Grice purports to show that these two senses of meaning are related, in the sense that non-natural meaning derives from, or is a “descendant” of natural meaning. This is done by presenting </w:t>
      </w:r>
      <w:r>
        <w:rPr>
          <w:rFonts w:cs="Lohit Devanagari" w:eastAsia="Noto Sans CJK SC Regular"/>
          <w:color w:val="auto"/>
          <w:sz w:val="24"/>
          <w:szCs w:val="24"/>
          <w:lang w:val="en-GB" w:bidi="hi-IN" w:eastAsia="zh-CN"/>
        </w:rPr>
        <w:t xml:space="preserve">six</w:t>
      </w:r>
      <w:r>
        <w:rPr>
          <w:sz w:val="24"/>
          <w:szCs w:val="24"/>
          <w:lang w:val="en-GB"/>
        </w:rPr>
        <w:t xml:space="preserve"> stages with which one can progressively go from a situation where natural meaning is involved to a situation where non-natural meaning is involved.</w:t>
      </w:r>
      <w:r/>
    </w:p>
    <w:p>
      <w:pPr>
        <w:pStyle w:val="1_1989"/>
      </w:pPr>
      <w:r>
        <w:rPr>
          <w:sz w:val="24"/>
          <w:szCs w:val="24"/>
          <w:lang w:val="en-GB"/>
        </w:rPr>
        <w:t xml:space="preserve">Let us start from an instance of natural meaning: someone groans </w:t>
      </w:r>
      <w:r>
        <w:rPr>
          <w:i/>
          <w:iCs/>
          <w:sz w:val="24"/>
          <w:szCs w:val="24"/>
          <w:lang w:val="en-GB"/>
        </w:rPr>
        <w:t xml:space="preserve">non-voluntarily</w:t>
      </w:r>
      <w:r>
        <w:rPr>
          <w:sz w:val="24"/>
          <w:szCs w:val="24"/>
          <w:lang w:val="en-GB"/>
        </w:rPr>
        <w:t xml:space="preserve">, which means (i</w:t>
      </w:r>
      <w:r>
        <w:rPr>
          <w:sz w:val="24"/>
          <w:szCs w:val="24"/>
          <w:lang w:val="en-GB"/>
        </w:rPr>
        <w:t xml:space="preserve">ndicates) that she is in pain. In the first stage, let us modify the situation slightly and imagine that this person X groans voluntarily in order to get Y to believe that she is in pain. The aim of X could be to deceive Y. In the second stage, let us imag</w:t>
      </w:r>
      <w:r>
        <w:rPr>
          <w:sz w:val="24"/>
          <w:szCs w:val="24"/>
          <w:lang w:val="en-GB"/>
        </w:rPr>
        <w:t xml:space="preserve">ine that Y recognises that X groans voluntarily, thus undermining the conclusion that X really is in pain. How shall we restore this conclusion? In the third stage, we can imagine that X intends that Y recognises that she is groaning voluntarily, and Y rec</w:t>
      </w:r>
      <w:r>
        <w:rPr>
          <w:sz w:val="24"/>
          <w:szCs w:val="24"/>
          <w:lang w:val="en-GB"/>
        </w:rPr>
        <w:t xml:space="preserve">ognises it. Here we have transparency of intentions, so there is no more deception. But one could wonder what the objective of this act is. In the fourth stage, from the fact that X is simulating pain without attempting to hide this fact, Y comes to the co</w:t>
      </w:r>
      <w:r>
        <w:rPr>
          <w:sz w:val="24"/>
          <w:szCs w:val="24"/>
          <w:lang w:val="en-GB"/>
        </w:rPr>
        <w:t xml:space="preserve">nclusion that X is inviting Y to contribute to a game of make-believe. But how Y should play this game remains unclear. In the fifth stage, Y recognises that X is not engaged in play, but is simulating a natural sign in order to get Y to believe what this </w:t>
      </w:r>
      <w:r>
        <w:rPr>
          <w:sz w:val="24"/>
          <w:szCs w:val="24"/>
          <w:lang w:val="en-GB"/>
        </w:rPr>
        <w:t xml:space="preserve">sign would naturally mean: that she is in pain. Furthermore, by being transparent about her intention, X wants Y to recognize that her intention to communicate this is sufficient reason to believe that she is in pain. At this point, one could wonder why X </w:t>
      </w:r>
      <w:r>
        <w:rPr>
          <w:rFonts w:cs="Lohit Devanagari" w:eastAsia="Noto Sans CJK SC Regular"/>
          <w:color w:val="auto"/>
          <w:sz w:val="24"/>
          <w:szCs w:val="24"/>
          <w:lang w:val="en-GB" w:bidi="hi-IN" w:eastAsia="zh-CN"/>
        </w:rPr>
        <w:t xml:space="preserve">needs to produce</w:t>
      </w:r>
      <w:r>
        <w:rPr>
          <w:rFonts w:cs="Lohit Devanagari" w:eastAsia="Noto Sans CJK SC Regular"/>
          <w:color w:val="auto"/>
          <w:sz w:val="24"/>
          <w:szCs w:val="24"/>
          <w:lang w:val="en-GB" w:bidi="hi-IN" w:eastAsia="zh-CN"/>
        </w:rPr>
        <w:t xml:space="preserve"> a fake expression of pain if she really is in pain. This could be, for example, because there is a looser connection between the sign and the state of affairs that it indicates than in the natural case (perhaps the pain is less intense). This leads us to </w:t>
      </w:r>
      <w:r>
        <w:rPr>
          <w:sz w:val="24"/>
          <w:szCs w:val="24"/>
          <w:lang w:val="en-GB"/>
        </w:rPr>
        <w:t xml:space="preserve">the sixth stage, where </w:t>
      </w:r>
      <w:r>
        <w:rPr>
          <w:rFonts w:cs="Lohit Devanagari" w:eastAsia="Noto Sans CJK SC Regular"/>
          <w:color w:val="auto"/>
          <w:sz w:val="24"/>
          <w:szCs w:val="24"/>
          <w:lang w:val="en-GB" w:bidi="hi-IN" w:eastAsia="zh-CN"/>
        </w:rPr>
        <w:t xml:space="preserve">the connection between the sign and what it indicates is relaxed: the sign does not have to resemble a natural sign anymore, thus allowing for more expressive freedom</w:t>
      </w:r>
      <w:r>
        <w:rPr>
          <w:sz w:val="24"/>
          <w:szCs w:val="24"/>
          <w:lang w:val="en-GB"/>
        </w:rPr>
        <w:t xml:space="preserve">. </w:t>
      </w:r>
      <w:r>
        <w:rPr>
          <w:rFonts w:cs="Lohit Devanagari" w:eastAsia="Noto Sans CJK SC Regular"/>
          <w:color w:val="auto"/>
          <w:sz w:val="24"/>
          <w:szCs w:val="24"/>
          <w:lang w:val="en-GB" w:bidi="hi-IN" w:eastAsia="zh-CN"/>
        </w:rPr>
        <w:t xml:space="preserve">The connection </w:t>
      </w:r>
      <w:r>
        <w:rPr>
          <w:sz w:val="24"/>
          <w:szCs w:val="24"/>
          <w:lang w:val="en-GB"/>
        </w:rPr>
        <w:t xml:space="preserve">could rest on a previous stipulation, and the sign can be arbitrary. All that matters is that cooperation takes place, and that </w:t>
      </w:r>
      <w:r>
        <w:rPr>
          <w:rFonts w:cs="Lohit Devanagari" w:eastAsia="Noto Sans CJK SC Regular"/>
          <w:color w:val="auto"/>
          <w:sz w:val="24"/>
          <w:szCs w:val="24"/>
          <w:lang w:val="en-GB" w:bidi="hi-IN" w:eastAsia="zh-CN"/>
        </w:rPr>
        <w:t xml:space="preserve">Y</w:t>
      </w:r>
      <w:r>
        <w:rPr>
          <w:sz w:val="24"/>
          <w:szCs w:val="24"/>
          <w:lang w:val="en-GB"/>
        </w:rPr>
        <w:t xml:space="preserve"> recognizes what the sign means. We have a full act of communication: by </w:t>
      </w:r>
      <w:r>
        <w:rPr>
          <w:rFonts w:cs="Lohit Devanagari" w:eastAsia="Noto Sans CJK SC Regular"/>
          <w:color w:val="auto"/>
          <w:sz w:val="24"/>
          <w:szCs w:val="24"/>
          <w:lang w:val="en-GB" w:bidi="hi-IN" w:eastAsia="zh-CN"/>
        </w:rPr>
        <w:t xml:space="preserve">producing the sign</w:t>
      </w:r>
      <w:r>
        <w:rPr>
          <w:sz w:val="24"/>
          <w:szCs w:val="24"/>
          <w:lang w:val="en-GB"/>
        </w:rPr>
        <w:t xml:space="preserve">, X </w:t>
      </w:r>
      <w:r>
        <w:rPr>
          <w:i/>
          <w:iCs/>
          <w:sz w:val="24"/>
          <w:szCs w:val="24"/>
          <w:lang w:val="en-GB"/>
        </w:rPr>
        <w:t xml:space="preserve">means</w:t>
      </w:r>
      <w:r>
        <w:rPr>
          <w:sz w:val="24"/>
          <w:szCs w:val="24"/>
          <w:lang w:val="en-GB"/>
        </w:rPr>
        <w:t xml:space="preserve"> that she is in pain. </w:t>
      </w:r>
      <w:r/>
    </w:p>
    <w:p>
      <w:pPr>
        <w:pStyle w:val="1_1989"/>
      </w:pPr>
      <w:r>
        <w:rPr>
          <w:sz w:val="24"/>
          <w:szCs w:val="24"/>
          <w:lang w:val="en-GB"/>
        </w:rPr>
        <w:t xml:space="preserve">It is important to note that these </w:t>
      </w:r>
      <w:r>
        <w:rPr>
          <w:rFonts w:cs="Lohit Devanagari" w:eastAsia="Noto Sans CJK SC Regular"/>
          <w:color w:val="auto"/>
          <w:sz w:val="24"/>
          <w:szCs w:val="24"/>
          <w:lang w:val="en-GB" w:bidi="hi-IN" w:eastAsia="zh-CN"/>
        </w:rPr>
        <w:t xml:space="preserve">six</w:t>
      </w:r>
      <w:r>
        <w:rPr>
          <w:sz w:val="24"/>
          <w:szCs w:val="24"/>
          <w:lang w:val="en-GB"/>
        </w:rPr>
        <w:t xml:space="preserve"> stages do not pretend to be a historical or genetic account of non-natural meaning, but rather a “myth designed to exhibit the conceptual links between natu</w:t>
      </w:r>
      <w:r>
        <w:rPr>
          <w:sz w:val="24"/>
          <w:szCs w:val="24"/>
          <w:lang w:val="en-GB"/>
        </w:rPr>
        <w:t xml:space="preserve">ral and non-natural meaning” (pp. 296–297) (by analogy with such myths as social contract in political philosophy). We can understand this conceptual link as follows: non-natural signs artificially reproduce the main function of natural signs, which is to </w:t>
      </w:r>
      <w:r>
        <w:rPr>
          <w:rFonts w:cs="Lohit Devanagari" w:eastAsia="Noto Sans CJK SC Regular"/>
          <w:color w:val="auto"/>
          <w:sz w:val="24"/>
          <w:szCs w:val="24"/>
          <w:lang w:val="en-GB" w:bidi="hi-IN" w:eastAsia="zh-CN"/>
        </w:rPr>
        <w:t xml:space="preserve">indicate states of affairs</w:t>
      </w:r>
      <w:r>
        <w:rPr>
          <w:sz w:val="24"/>
          <w:szCs w:val="24"/>
          <w:lang w:val="en-GB"/>
        </w:rPr>
        <w:t xml:space="preserve">, and the narrative exhibits the mental states that are required to achieve this.</w:t>
      </w:r>
      <w:r/>
    </w:p>
    <w:p>
      <w:pPr>
        <w:pStyle w:val="1_1989"/>
      </w:pPr>
      <w:r>
        <w:rPr>
          <w:sz w:val="24"/>
          <w:szCs w:val="24"/>
          <w:lang w:val="en-GB"/>
        </w:rPr>
        <w:t xml:space="preserve">This results in Grice’s account of non-natural meaning. A specific utterance </w:t>
      </w:r>
      <w:r>
        <w:rPr>
          <w:i/>
          <w:iCs/>
          <w:sz w:val="24"/>
          <w:szCs w:val="24"/>
          <w:lang w:val="en-GB"/>
        </w:rPr>
        <w:t xml:space="preserve">U</w:t>
      </w:r>
      <w:r>
        <w:rPr>
          <w:sz w:val="24"/>
          <w:szCs w:val="24"/>
          <w:lang w:val="en-GB"/>
        </w:rPr>
        <w:t xml:space="preserve"> means that </w:t>
      </w:r>
      <w:r>
        <w:rPr>
          <w:i/>
          <w:iCs/>
          <w:sz w:val="24"/>
          <w:szCs w:val="24"/>
          <w:lang w:val="en-GB"/>
        </w:rPr>
        <w:t xml:space="preserve">p</w:t>
      </w:r>
      <w:r>
        <w:rPr>
          <w:sz w:val="24"/>
          <w:szCs w:val="24"/>
          <w:lang w:val="en-GB"/>
        </w:rPr>
        <w:t xml:space="preserve"> if, and only if, in performing it, the utterer intends:</w:t>
      </w:r>
      <w:r/>
    </w:p>
    <w:p>
      <w:pPr>
        <w:pStyle w:val="618"/>
        <w:numPr>
          <w:ilvl w:val="0"/>
          <w:numId w:val="3"/>
        </w:numPr>
      </w:pPr>
      <w:r>
        <w:rPr>
          <w:sz w:val="24"/>
          <w:szCs w:val="24"/>
          <w:lang w:val="en-GB"/>
        </w:rPr>
        <w:t xml:space="preserve">that an audience will come to believe that </w:t>
      </w:r>
      <w:r>
        <w:rPr>
          <w:i/>
          <w:iCs/>
          <w:sz w:val="24"/>
          <w:szCs w:val="24"/>
          <w:lang w:val="en-GB"/>
        </w:rPr>
        <w:t xml:space="preserve">p</w:t>
      </w:r>
      <w:r>
        <w:rPr>
          <w:sz w:val="24"/>
          <w:szCs w:val="24"/>
          <w:lang w:val="en-GB"/>
        </w:rPr>
        <w:t xml:space="preserve">,</w:t>
      </w:r>
      <w:r/>
    </w:p>
    <w:p>
      <w:pPr>
        <w:pStyle w:val="618"/>
        <w:numPr>
          <w:ilvl w:val="0"/>
          <w:numId w:val="3"/>
        </w:numPr>
        <w:rPr>
          <w:sz w:val="24"/>
          <w:szCs w:val="24"/>
          <w:lang w:val="en-GB"/>
        </w:rPr>
      </w:pPr>
      <w:r>
        <w:rPr>
          <w:sz w:val="24"/>
          <w:szCs w:val="24"/>
          <w:lang w:val="en-GB"/>
        </w:rPr>
        <w:t xml:space="preserve">that this audience will recognise intention (a), and</w:t>
      </w:r>
      <w:r/>
    </w:p>
    <w:p>
      <w:pPr>
        <w:pStyle w:val="618"/>
        <w:numPr>
          <w:ilvl w:val="0"/>
          <w:numId w:val="3"/>
        </w:numPr>
        <w:rPr>
          <w:sz w:val="24"/>
          <w:szCs w:val="24"/>
          <w:lang w:val="en-GB"/>
        </w:rPr>
      </w:pPr>
      <w:r>
        <w:rPr>
          <w:sz w:val="24"/>
          <w:szCs w:val="24"/>
          <w:lang w:val="en-GB"/>
        </w:rPr>
        <w:t xml:space="preserve">that the recognition in (b) will cause the belief </w:t>
      </w:r>
      <w:r>
        <w:rPr>
          <w:sz w:val="24"/>
          <w:szCs w:val="24"/>
          <w:lang w:val="en-GB"/>
        </w:rPr>
        <w:t xml:space="preserve">that </w:t>
      </w:r>
      <w:r>
        <w:rPr>
          <w:i/>
          <w:iCs/>
          <w:sz w:val="24"/>
          <w:szCs w:val="24"/>
          <w:lang w:val="en-GB"/>
        </w:rPr>
        <w:t xml:space="preserve">p</w:t>
      </w:r>
      <w:r>
        <w:rPr>
          <w:sz w:val="24"/>
          <w:szCs w:val="24"/>
          <w:lang w:val="en-GB"/>
        </w:rPr>
        <w:t xml:space="preserve">.</w:t>
      </w:r>
      <w:r/>
    </w:p>
    <w:p>
      <w:pPr>
        <w:pStyle w:val="1_1989"/>
      </w:pPr>
      <w:r>
        <w:rPr>
          <w:sz w:val="24"/>
          <w:szCs w:val="24"/>
          <w:lang w:val="en-GB"/>
        </w:rPr>
        <w:t xml:space="preserve">These are, roughly, the elements that were added at each stage of the narrative</w:t>
      </w:r>
      <w:r>
        <w:rPr>
          <w:rStyle w:val="590"/>
          <w:sz w:val="24"/>
          <w:szCs w:val="24"/>
          <w:lang w:val="en-GB"/>
        </w:rPr>
        <w:footnoteReference w:id="2"/>
      </w:r>
      <w:r>
        <w:rPr>
          <w:sz w:val="24"/>
          <w:szCs w:val="24"/>
          <w:lang w:val="en-GB"/>
        </w:rPr>
        <w:t xml:space="preserve">.</w:t>
      </w:r>
      <w:r/>
    </w:p>
    <w:p>
      <w:pPr>
        <w:pStyle w:val="1_1989"/>
        <w:rPr>
          <w:sz w:val="24"/>
          <w:szCs w:val="24"/>
          <w:lang w:val="en-GB"/>
        </w:rPr>
      </w:pPr>
      <w:r>
        <w:rPr>
          <w:sz w:val="24"/>
          <w:szCs w:val="24"/>
          <w:lang w:val="en-GB"/>
        </w:rPr>
        <w:t xml:space="preserve">Note that Grice does not want</w:t>
      </w:r>
      <w:r>
        <w:rPr>
          <w:sz w:val="24"/>
          <w:szCs w:val="24"/>
          <w:lang w:val="en-GB"/>
        </w:rPr>
        <w:t xml:space="preserve"> to restrict himself to symbolic representation. He mentions, in the same article, the use of combinatory devices in languages to communicate. But this raises a difficulty: his reduction seems restricted to full utterances. How shall we understand the mean</w:t>
      </w:r>
      <w:r>
        <w:rPr>
          <w:sz w:val="24"/>
          <w:szCs w:val="24"/>
          <w:lang w:val="en-GB"/>
        </w:rPr>
        <w:t xml:space="preserve">ing of the words that constitute these utterances, and that can occur in several utterances, and relatedly, how shall we understand the meaning of expressions outside of a context, that is, combinations of words, independently of their possible utterances?</w:t>
      </w:r>
      <w:r/>
    </w:p>
    <w:p>
      <w:pPr>
        <w:pStyle w:val="1_1989"/>
      </w:pPr>
      <w:r>
        <w:rPr>
          <w:sz w:val="24"/>
          <w:szCs w:val="24"/>
          <w:lang w:val="en-GB"/>
        </w:rPr>
        <w:t xml:space="preserve">Grice sketches an answer to these questions at the end of the article (he also has a more det</w:t>
      </w:r>
      <w:r>
        <w:rPr>
          <w:sz w:val="24"/>
          <w:szCs w:val="24"/>
          <w:lang w:val="en-GB"/>
        </w:rPr>
        <w:t xml:space="preserve">ailed account of expression forming in terms of “procedures” (Grice 1968)). The key is to introduce social values: some uses of words are appropriate, or optimal, while others are not. According to Grice, what a word means in a language is “what it is in g</w:t>
      </w:r>
      <w:r>
        <w:rPr>
          <w:sz w:val="24"/>
          <w:szCs w:val="24"/>
          <w:lang w:val="en-GB"/>
        </w:rPr>
        <w:t xml:space="preserve">eneral optimal for speakers of that language to do with that word, or what use they are to make of it” (p.299). The reasons for optimality could be various: they could have to do with widespread or more local conventions, for example. However, conventions </w:t>
      </w:r>
      <w:r>
        <w:rPr>
          <w:rFonts w:cs="Lohit Devanagari" w:eastAsia="Noto Sans CJK SC Regular"/>
          <w:color w:val="auto"/>
          <w:sz w:val="24"/>
          <w:szCs w:val="24"/>
          <w:lang w:val="en-GB" w:bidi="hi-IN" w:eastAsia="zh-CN"/>
        </w:rPr>
        <w:t xml:space="preserve">are</w:t>
      </w:r>
      <w:r>
        <w:rPr>
          <w:sz w:val="24"/>
          <w:szCs w:val="24"/>
          <w:lang w:val="en-GB"/>
        </w:rPr>
        <w:t xml:space="preserve"> only one way of achieving optimality. Grice “[does] not think that meaning is essentially connected with conventions” (p. 298). What is essential, according to him, is only the connection </w:t>
      </w:r>
      <w:r>
        <w:rPr>
          <w:rFonts w:cs="Lohit Devanagari" w:eastAsia="Noto Sans CJK SC Regular"/>
          <w:color w:val="auto"/>
          <w:sz w:val="24"/>
          <w:szCs w:val="24"/>
          <w:lang w:val="en-GB" w:bidi="hi-IN" w:eastAsia="zh-CN"/>
        </w:rPr>
        <w:t xml:space="preserve">with</w:t>
      </w:r>
      <w:r>
        <w:rPr>
          <w:sz w:val="24"/>
          <w:szCs w:val="24"/>
          <w:lang w:val="en-GB"/>
        </w:rPr>
        <w:t xml:space="preserve"> values concerning the appropriate use of words: “what particular intentions on particular occasions it is proper for them to have, or optimal for them to have” (p. 299).</w:t>
      </w:r>
      <w:r/>
    </w:p>
    <w:p>
      <w:pPr>
        <w:pStyle w:val="1_1989"/>
        <w:rPr>
          <w:sz w:val="24"/>
          <w:szCs w:val="24"/>
          <w:lang w:val="en-GB"/>
        </w:rPr>
      </w:pPr>
      <w:r>
        <w:rPr>
          <w:sz w:val="24"/>
          <w:szCs w:val="24"/>
          <w:lang w:val="en-GB"/>
        </w:rPr>
        <w:t xml:space="preserve">This proposal is, in a sense, a reduction of expres</w:t>
      </w:r>
      <w:r>
        <w:rPr>
          <w:sz w:val="24"/>
          <w:szCs w:val="24"/>
          <w:lang w:val="en-GB"/>
        </w:rPr>
        <w:t xml:space="preserve">sion and word meaning to utterance meaning, since the latter are expressed in terms of the former but not the other way around. However, irreducible social values are involved, so there is room for a robust notion of expression meaning at a communal level.</w:t>
      </w:r>
      <w:r/>
    </w:p>
    <w:p>
      <w:pPr>
        <w:pStyle w:val="1_1989"/>
        <w:rPr>
          <w:sz w:val="24"/>
          <w:szCs w:val="24"/>
          <w:lang w:val="en-GB"/>
        </w:rPr>
      </w:pPr>
      <w:r>
        <w:rPr>
          <w:sz w:val="24"/>
          <w:szCs w:val="24"/>
          <w:lang w:val="en-GB"/>
        </w:rPr>
        <w:t xml:space="preserve">We can see that Grice’s reductive strategy is not as simplistic as Callender and Cohen’s version. It could have enough resources to respond to worries of the kind raised by Liu and Boesch. However, this is not an account of scientific rep</w:t>
      </w:r>
      <w:r>
        <w:rPr>
          <w:sz w:val="24"/>
          <w:szCs w:val="24"/>
          <w:lang w:val="en-GB"/>
        </w:rPr>
        <w:t xml:space="preserve">resentation, but of linguistic representation. It is often argued, since the rise of the semantic conception of theories, that scientific representation is not linguistic: it is representation by means of abstract entities, such as mathematical structures.</w:t>
      </w:r>
      <w:r/>
    </w:p>
    <w:p>
      <w:pPr>
        <w:pStyle w:val="1_1989"/>
        <w:rPr>
          <w:sz w:val="24"/>
          <w:szCs w:val="24"/>
          <w:lang w:val="en-GB"/>
        </w:rPr>
      </w:pPr>
      <w:r>
        <w:rPr>
          <w:sz w:val="24"/>
          <w:szCs w:val="24"/>
          <w:lang w:val="en-GB"/>
        </w:rPr>
        <w:t xml:space="preserve">Assuming this, how could we achieve Cohen and Callender’s project and give a reductive account of sc</w:t>
      </w:r>
      <w:r>
        <w:rPr>
          <w:sz w:val="24"/>
          <w:szCs w:val="24"/>
          <w:lang w:val="en-GB"/>
        </w:rPr>
        <w:t xml:space="preserve">ientific or epistemic representation using Grice’s strategy? Let us take for granted that there is something like symbolic representation that reduces to mental states. Let us also agree with Liu that symbolic and epistemic representation are markedly dist</w:t>
      </w:r>
      <w:r>
        <w:rPr>
          <w:sz w:val="24"/>
          <w:szCs w:val="24"/>
          <w:lang w:val="en-GB"/>
        </w:rPr>
        <w:t xml:space="preserve">inct and non-overlapping. The idea could be to derive epistemic representation from symbolic representation by providing a staged narrative similar to Grice’s, taking symbolic representation to be the “ancestor” of epistemic representation (in doing so, no</w:t>
      </w:r>
      <w:r>
        <w:rPr>
          <w:sz w:val="24"/>
          <w:szCs w:val="24"/>
          <w:lang w:val="en-GB"/>
        </w:rPr>
        <w:t xml:space="preserve">t only are we applying Grice’s general strategy, but also Grice’s heuristic method). Hopefully, this narrative will exhibit the main constituents of epistemic representation, which will be exactly the elements needed to go from the first to the last stage.</w:t>
      </w:r>
      <w:r/>
    </w:p>
    <w:p>
      <w:pPr>
        <w:pStyle w:val="602"/>
        <w:numPr>
          <w:ilvl w:val="0"/>
          <w:numId w:val="2"/>
        </w:numPr>
        <w:rPr>
          <w:rFonts w:cs="Lohit Devanagari" w:eastAsia="Noto Sans CJK SC Regular"/>
          <w:b/>
          <w:bCs/>
          <w:sz w:val="30"/>
          <w:szCs w:val="36"/>
          <w:lang w:val="en-GB"/>
        </w:rPr>
      </w:pPr>
      <w:r/>
      <w:bookmarkStart w:id="2" w:name="__RefHeading___Toc1143_3930323596"/>
      <w:r/>
      <w:bookmarkStart w:id="3" w:name="__RefNumPara__6426_3784903136"/>
      <w:r/>
      <w:bookmarkEnd w:id="2"/>
      <w:r/>
      <w:bookmarkEnd w:id="3"/>
      <w:r>
        <w:rPr>
          <w:rFonts w:cs="Lohit Devanagari" w:eastAsia="Noto Sans CJK SC Regular"/>
          <w:b/>
          <w:bCs/>
          <w:sz w:val="30"/>
          <w:szCs w:val="36"/>
          <w:lang w:val="en-GB"/>
        </w:rPr>
        <w:t xml:space="preserve">Applying the Strategy to Epistemic Representation</w:t>
      </w:r>
      <w:r/>
    </w:p>
    <w:p>
      <w:pPr>
        <w:pStyle w:val="622"/>
        <w:rPr>
          <w:sz w:val="24"/>
          <w:szCs w:val="24"/>
          <w:lang w:val="en-GB"/>
        </w:rPr>
      </w:pPr>
      <w:r>
        <w:rPr>
          <w:sz w:val="24"/>
          <w:szCs w:val="24"/>
          <w:lang w:val="en-GB"/>
        </w:rPr>
        <w:t xml:space="preserve">A typical example of an epistemic vehicle is a map. A map is not merely a symbol: it can be used to navigate a city. The fact that a map represents a given city is not merely stipulated by its user. The way it should be interpreted is communal.</w:t>
      </w:r>
      <w:r/>
    </w:p>
    <w:p>
      <w:pPr>
        <w:pStyle w:val="1_1989"/>
        <w:rPr>
          <w:sz w:val="24"/>
          <w:szCs w:val="24"/>
          <w:lang w:val="en-GB"/>
        </w:rPr>
      </w:pPr>
      <w:r>
        <w:rPr>
          <w:sz w:val="24"/>
          <w:szCs w:val="24"/>
          <w:lang w:val="en-GB"/>
        </w:rPr>
        <w:t xml:space="preserve">An example of a symbol inducing a mental state is a “turn left” sign, constituted of an arrow suitably oriented. Such sign (normally) induces in the audience the i</w:t>
      </w:r>
      <w:r>
        <w:rPr>
          <w:sz w:val="24"/>
          <w:szCs w:val="24"/>
          <w:lang w:val="en-GB"/>
        </w:rPr>
        <w:t xml:space="preserve">ntention to turn left. The connection between the sign and the action is purely conventional: the role of the sign is not to tell us what the resulting action looks like, although for obvious pragmatic reasons, the orientation of the sign and action match.</w:t>
      </w:r>
      <w:r/>
    </w:p>
    <w:p>
      <w:pPr>
        <w:pStyle w:val="1_1989"/>
        <w:rPr>
          <w:sz w:val="24"/>
          <w:szCs w:val="24"/>
          <w:lang w:val="en-GB"/>
        </w:rPr>
      </w:pPr>
      <w:r>
        <w:rPr>
          <w:sz w:val="24"/>
          <w:szCs w:val="24"/>
          <w:lang w:val="en-GB"/>
        </w:rPr>
        <w:t xml:space="preserve">Let us use these examples. </w:t>
      </w:r>
      <w:r>
        <w:rPr>
          <w:sz w:val="24"/>
          <w:szCs w:val="24"/>
          <w:lang w:val="en-GB"/>
        </w:rPr>
        <w:t xml:space="preserve">What I suggest is providing a narrative, similar to Grice’s, in which one goes from a situation where a “turn left” symbol is used to a situation where a map is used (which, of course, does not pretend to be a historical account of how maps were invented):</w:t>
      </w:r>
      <w:r/>
    </w:p>
    <w:p>
      <w:pPr>
        <w:pStyle w:val="612"/>
        <w:numPr>
          <w:ilvl w:val="0"/>
          <w:numId w:val="4"/>
        </w:numPr>
        <w:jc w:val="both"/>
      </w:pPr>
      <w:r>
        <w:rPr>
          <w:sz w:val="24"/>
          <w:szCs w:val="24"/>
          <w:lang w:val="en-GB"/>
        </w:rPr>
        <w:t xml:space="preserve">Our initial situation is one where X wants Y to turn </w:t>
      </w:r>
      <w:r>
        <w:rPr>
          <w:rFonts w:cs="Lohit Devanagari"/>
          <w:sz w:val="24"/>
          <w:szCs w:val="24"/>
          <w:lang w:val="en-GB"/>
        </w:rPr>
        <w:t xml:space="preserve">left</w:t>
      </w:r>
      <w:r>
        <w:rPr>
          <w:sz w:val="24"/>
          <w:szCs w:val="24"/>
          <w:lang w:val="en-GB"/>
        </w:rPr>
        <w:t xml:space="preserve">, so </w:t>
      </w:r>
      <w:r>
        <w:rPr>
          <w:rFonts w:cs="Lohit Devanagari"/>
          <w:sz w:val="24"/>
          <w:szCs w:val="24"/>
          <w:lang w:val="en-GB"/>
        </w:rPr>
        <w:t xml:space="preserve">X</w:t>
      </w:r>
      <w:r>
        <w:rPr>
          <w:sz w:val="24"/>
          <w:szCs w:val="24"/>
          <w:lang w:val="en-GB"/>
        </w:rPr>
        <w:t xml:space="preserve"> shows a “turn </w:t>
      </w:r>
      <w:r>
        <w:rPr>
          <w:rFonts w:cs="Lohit Devanagari"/>
          <w:sz w:val="24"/>
          <w:szCs w:val="24"/>
          <w:lang w:val="en-GB"/>
        </w:rPr>
        <w:t xml:space="preserve">left</w:t>
      </w:r>
      <w:r>
        <w:rPr>
          <w:sz w:val="24"/>
          <w:szCs w:val="24"/>
          <w:lang w:val="en-GB"/>
        </w:rPr>
        <w:t xml:space="preserve">” sign. </w:t>
      </w:r>
      <w:r>
        <w:rPr>
          <w:rFonts w:cs="Lohit Devanagari"/>
          <w:sz w:val="24"/>
          <w:szCs w:val="24"/>
          <w:lang w:val="en-GB"/>
        </w:rPr>
        <w:t xml:space="preserve">The sign merely induces an intention in Y.</w:t>
      </w:r>
      <w:r/>
    </w:p>
    <w:p>
      <w:pPr>
        <w:pStyle w:val="611"/>
        <w:numPr>
          <w:ilvl w:val="0"/>
          <w:numId w:val="4"/>
        </w:numPr>
        <w:jc w:val="both"/>
        <w:rPr>
          <w:sz w:val="24"/>
          <w:szCs w:val="24"/>
          <w:lang w:val="en-GB"/>
        </w:rPr>
      </w:pPr>
      <w:r>
        <w:rPr>
          <w:sz w:val="24"/>
          <w:szCs w:val="24"/>
          <w:lang w:val="en-GB"/>
        </w:rPr>
        <w:t xml:space="preserve">In the firs</w:t>
      </w:r>
      <w:r>
        <w:rPr>
          <w:sz w:val="24"/>
          <w:szCs w:val="24"/>
          <w:lang w:val="en-GB"/>
        </w:rPr>
        <w:t xml:space="preserve">t stage, imagine that X wants Y to perform a more complex action, such as going from one place to another in the city. Instead of showing one sign, X will successively show various “turn left”, “turn right” and “straight ahead” signs at every intersection.</w:t>
      </w:r>
      <w:r/>
    </w:p>
    <w:p>
      <w:pPr>
        <w:pStyle w:val="611"/>
        <w:numPr>
          <w:ilvl w:val="0"/>
          <w:numId w:val="4"/>
        </w:numPr>
        <w:jc w:val="both"/>
        <w:rPr>
          <w:sz w:val="24"/>
          <w:szCs w:val="24"/>
          <w:lang w:val="en-GB"/>
        </w:rPr>
      </w:pPr>
      <w:r>
        <w:rPr>
          <w:sz w:val="24"/>
          <w:szCs w:val="24"/>
          <w:lang w:val="en-GB"/>
        </w:rPr>
        <w:t xml:space="preserve">In th</w:t>
      </w:r>
      <w:r>
        <w:rPr>
          <w:sz w:val="24"/>
          <w:szCs w:val="24"/>
          <w:lang w:val="en-GB"/>
        </w:rPr>
        <w:t xml:space="preserve">e second stage, imagine that Y asks X to tell her how to go from one place to another, and X responds by showing the appropriate signs at each intersection. Y assumes that X is not being deceptive, or at least she pretends to, and follows the instructions.</w:t>
      </w:r>
      <w:r/>
    </w:p>
    <w:p>
      <w:pPr>
        <w:pStyle w:val="611"/>
        <w:numPr>
          <w:ilvl w:val="0"/>
          <w:numId w:val="4"/>
        </w:numPr>
        <w:jc w:val="both"/>
        <w:rPr>
          <w:sz w:val="24"/>
          <w:szCs w:val="24"/>
          <w:lang w:val="en-GB"/>
        </w:rPr>
      </w:pPr>
      <w:r>
        <w:rPr>
          <w:sz w:val="24"/>
          <w:szCs w:val="24"/>
          <w:lang w:val="en-GB"/>
        </w:rPr>
        <w:t xml:space="preserve">In the third stage, instead of showing the signs, X hands Y a sheet of paper on which a succession of symbols are represented, and explains to Y that they should be followed successively at every intersection.</w:t>
      </w:r>
      <w:r/>
    </w:p>
    <w:p>
      <w:pPr>
        <w:pStyle w:val="611"/>
        <w:numPr>
          <w:ilvl w:val="0"/>
          <w:numId w:val="4"/>
        </w:numPr>
        <w:jc w:val="both"/>
      </w:pPr>
      <w:r>
        <w:rPr>
          <w:sz w:val="24"/>
          <w:szCs w:val="24"/>
          <w:lang w:val="en-GB"/>
        </w:rPr>
        <w:t xml:space="preserve">In the fourth stage, X has a collection of sheets of </w:t>
      </w:r>
      <w:r>
        <w:rPr>
          <w:sz w:val="24"/>
          <w:szCs w:val="24"/>
          <w:lang w:val="en-GB"/>
        </w:rPr>
        <w:t xml:space="preserve">paper, each containing the instructions to go from one point to another in the city. The sheets are labelled with new symbols referring to possible start and end points. Y tells X from where to where she wants to go, and X hands her the appropriate sheet. </w:t>
      </w:r>
      <w:r>
        <w:rPr>
          <w:rFonts w:cs="Lohit Devanagari" w:eastAsia="Noto Sans CJK SC Regular"/>
          <w:color w:val="auto"/>
          <w:sz w:val="24"/>
          <w:szCs w:val="24"/>
          <w:lang w:val="en-GB" w:bidi="hi-IN" w:eastAsia="zh-CN"/>
        </w:rPr>
        <w:t xml:space="preserve">T</w:t>
      </w:r>
      <w:r>
        <w:rPr>
          <w:sz w:val="24"/>
          <w:szCs w:val="24"/>
          <w:lang w:val="en-GB"/>
        </w:rPr>
        <w:t xml:space="preserve">his collection of sheets of paper is not yet a map of the city in the usual sense, but </w:t>
      </w:r>
      <w:r>
        <w:rPr>
          <w:rFonts w:cs="Lohit Devanagari" w:eastAsia="Noto Sans CJK SC Regular"/>
          <w:color w:val="auto"/>
          <w:sz w:val="24"/>
          <w:szCs w:val="24"/>
          <w:lang w:val="en-GB" w:bidi="hi-IN" w:eastAsia="zh-CN"/>
        </w:rPr>
        <w:t xml:space="preserve">rather</w:t>
      </w:r>
      <w:r>
        <w:rPr>
          <w:sz w:val="24"/>
          <w:szCs w:val="24"/>
          <w:lang w:val="en-GB"/>
        </w:rPr>
        <w:t xml:space="preserve"> a collection of </w:t>
      </w:r>
      <w:r>
        <w:rPr>
          <w:rFonts w:cs="Lohit Devanagari" w:eastAsia="Noto Sans CJK SC Regular"/>
          <w:color w:val="auto"/>
          <w:sz w:val="24"/>
          <w:szCs w:val="24"/>
          <w:lang w:val="en-GB" w:bidi="hi-IN" w:eastAsia="zh-CN"/>
        </w:rPr>
        <w:t xml:space="preserve">routes</w:t>
      </w:r>
      <w:r>
        <w:rPr>
          <w:sz w:val="24"/>
          <w:szCs w:val="24"/>
          <w:lang w:val="en-GB"/>
        </w:rPr>
        <w:t xml:space="preserve"> (although it is a map in one sense of the word: a mapping from purposes to instructions).</w:t>
      </w:r>
      <w:r/>
    </w:p>
    <w:p>
      <w:pPr>
        <w:pStyle w:val="612"/>
        <w:numPr>
          <w:ilvl w:val="0"/>
          <w:numId w:val="4"/>
        </w:numPr>
        <w:jc w:val="both"/>
      </w:pPr>
      <w:r>
        <w:rPr>
          <w:sz w:val="24"/>
          <w:szCs w:val="24"/>
          <w:lang w:val="en-GB"/>
        </w:rPr>
        <w:t xml:space="preserve">In </w:t>
      </w:r>
      <w:r>
        <w:rPr>
          <w:rFonts w:cs="Lohit Devanagari"/>
          <w:sz w:val="24"/>
          <w:szCs w:val="24"/>
          <w:lang w:val="en-GB"/>
        </w:rPr>
        <w:t xml:space="preserve">the</w:t>
      </w:r>
      <w:r>
        <w:rPr>
          <w:sz w:val="24"/>
          <w:szCs w:val="24"/>
          <w:lang w:val="en-GB"/>
        </w:rPr>
        <w:t xml:space="preserve"> </w:t>
      </w:r>
      <w:r>
        <w:rPr>
          <w:rFonts w:cs="Lohit Devanagari"/>
          <w:sz w:val="24"/>
          <w:szCs w:val="24"/>
          <w:lang w:val="en-GB"/>
        </w:rPr>
        <w:t xml:space="preserve">fifth</w:t>
      </w:r>
      <w:r>
        <w:rPr>
          <w:sz w:val="24"/>
          <w:szCs w:val="24"/>
          <w:lang w:val="en-GB"/>
        </w:rPr>
        <w:t xml:space="preserve"> stage, X realises that the sheets contain redundan</w:t>
      </w:r>
      <w:r>
        <w:rPr>
          <w:sz w:val="24"/>
          <w:szCs w:val="24"/>
          <w:lang w:val="en-GB"/>
        </w:rPr>
        <w:t xml:space="preserve">t information. For example, going from the post office to the train station requires passing by the city hall, and going from the post office to the library does as well, so the two corresponding sheets start with the exact same list of symbols. There are </w:t>
      </w:r>
      <w:r>
        <w:rPr>
          <w:rFonts w:cs="Lohit Devanagari"/>
          <w:sz w:val="24"/>
          <w:szCs w:val="24"/>
          <w:lang w:val="en-GB"/>
        </w:rPr>
        <w:t xml:space="preserve">also</w:t>
      </w:r>
      <w:r>
        <w:rPr>
          <w:sz w:val="24"/>
          <w:szCs w:val="24"/>
          <w:lang w:val="en-GB"/>
        </w:rPr>
        <w:t xml:space="preserve"> interesting relations between the list of symbols for going from A to B and th</w:t>
      </w:r>
      <w:r>
        <w:rPr>
          <w:rFonts w:cs="Lohit Devanagari"/>
          <w:sz w:val="24"/>
          <w:szCs w:val="24"/>
          <w:lang w:val="en-GB"/>
        </w:rPr>
        <w:t xml:space="preserve">at</w:t>
      </w:r>
      <w:r>
        <w:rPr>
          <w:sz w:val="24"/>
          <w:szCs w:val="24"/>
          <w:lang w:val="en-GB"/>
        </w:rPr>
        <w:t xml:space="preserve"> for going from B to A: their order and orientations are </w:t>
      </w:r>
      <w:r>
        <w:rPr>
          <w:rFonts w:cs="Lohit Devanagari"/>
          <w:sz w:val="24"/>
          <w:szCs w:val="24"/>
          <w:lang w:val="en-GB"/>
        </w:rPr>
        <w:t xml:space="preserve">reversed</w:t>
      </w:r>
      <w:r>
        <w:rPr>
          <w:sz w:val="24"/>
          <w:szCs w:val="24"/>
          <w:lang w:val="en-GB"/>
        </w:rPr>
        <w:t xml:space="preserve">. So the representation can be simplified.</w:t>
      </w:r>
      <w:r/>
    </w:p>
    <w:p>
      <w:pPr>
        <w:pStyle w:val="612"/>
        <w:numPr>
          <w:ilvl w:val="1"/>
          <w:numId w:val="4"/>
        </w:numPr>
        <w:jc w:val="both"/>
      </w:pPr>
      <w:r>
        <w:rPr>
          <w:sz w:val="24"/>
          <w:szCs w:val="24"/>
          <w:lang w:val="en-GB"/>
        </w:rPr>
        <w:t xml:space="preserve">X first adds new </w:t>
      </w:r>
      <w:r>
        <w:rPr>
          <w:rFonts w:cs="Lohit Devanagari"/>
          <w:sz w:val="24"/>
          <w:szCs w:val="24"/>
          <w:lang w:val="en-GB"/>
        </w:rPr>
        <w:t xml:space="preserve">symbols</w:t>
      </w:r>
      <w:r>
        <w:rPr>
          <w:sz w:val="24"/>
          <w:szCs w:val="24"/>
          <w:lang w:val="en-GB"/>
        </w:rPr>
        <w:t xml:space="preserve"> that do not </w:t>
      </w:r>
      <w:r>
        <w:rPr>
          <w:rFonts w:cs="Lohit Devanagari"/>
          <w:sz w:val="24"/>
          <w:szCs w:val="24"/>
          <w:lang w:val="en-GB"/>
        </w:rPr>
        <w:t xml:space="preserve">refer</w:t>
      </w:r>
      <w:r>
        <w:rPr>
          <w:sz w:val="24"/>
          <w:szCs w:val="24"/>
          <w:lang w:val="en-GB"/>
        </w:rPr>
        <w:t xml:space="preserve"> to departure or destination points, but to </w:t>
      </w:r>
      <w:r>
        <w:rPr>
          <w:rFonts w:cs="Lohit Devanagari"/>
          <w:sz w:val="24"/>
          <w:szCs w:val="24"/>
          <w:lang w:val="en-GB"/>
        </w:rPr>
        <w:t xml:space="preserve">intersections (steps in instruction sheets)</w:t>
      </w:r>
      <w:r>
        <w:rPr>
          <w:sz w:val="24"/>
          <w:szCs w:val="24"/>
          <w:lang w:val="en-GB"/>
        </w:rPr>
        <w:t xml:space="preserve">, </w:t>
      </w:r>
      <w:r>
        <w:rPr>
          <w:rFonts w:cs="Lohit Devanagari"/>
          <w:sz w:val="24"/>
          <w:szCs w:val="24"/>
          <w:lang w:val="en-GB"/>
        </w:rPr>
        <w:t xml:space="preserve">and</w:t>
      </w:r>
      <w:r>
        <w:rPr>
          <w:sz w:val="24"/>
          <w:szCs w:val="24"/>
          <w:lang w:val="en-GB"/>
        </w:rPr>
        <w:t xml:space="preserve"> expresses each path as </w:t>
      </w:r>
      <w:r>
        <w:rPr>
          <w:rFonts w:cs="Lohit Devanagari"/>
          <w:sz w:val="24"/>
          <w:szCs w:val="24"/>
          <w:lang w:val="en-GB"/>
        </w:rPr>
        <w:t xml:space="preserve">a</w:t>
      </w:r>
      <w:r>
        <w:rPr>
          <w:sz w:val="24"/>
          <w:szCs w:val="24"/>
          <w:lang w:val="en-GB"/>
        </w:rPr>
        <w:t xml:space="preserve"> sequence of crossed intersections.</w:t>
      </w:r>
      <w:r/>
    </w:p>
    <w:p>
      <w:pPr>
        <w:pStyle w:val="612"/>
        <w:numPr>
          <w:ilvl w:val="1"/>
          <w:numId w:val="4"/>
        </w:numPr>
        <w:jc w:val="both"/>
        <w:rPr>
          <w:sz w:val="24"/>
          <w:szCs w:val="24"/>
          <w:lang w:val="en-GB"/>
        </w:rPr>
      </w:pPr>
      <w:r>
        <w:rPr>
          <w:sz w:val="24"/>
          <w:szCs w:val="24"/>
          <w:lang w:val="en-GB"/>
        </w:rPr>
        <w:t xml:space="preserve">On a sheet of paper, X represents intersections by points that are connected by a line when they are next to each other in a sequence.</w:t>
      </w:r>
      <w:r/>
    </w:p>
    <w:p>
      <w:pPr>
        <w:pStyle w:val="612"/>
        <w:numPr>
          <w:ilvl w:val="1"/>
          <w:numId w:val="4"/>
        </w:numPr>
        <w:jc w:val="both"/>
      </w:pPr>
      <w:r>
        <w:rPr>
          <w:sz w:val="24"/>
          <w:szCs w:val="24"/>
          <w:lang w:val="en-GB"/>
        </w:rPr>
        <w:t xml:space="preserve">When intersections A, B and C follow in a sequence, X encodes the </w:t>
      </w:r>
      <w:r>
        <w:rPr>
          <w:rFonts w:cs="Lohit Devanagari"/>
          <w:sz w:val="24"/>
          <w:szCs w:val="24"/>
          <w:lang w:val="en-GB"/>
        </w:rPr>
        <w:t xml:space="preserve">action</w:t>
      </w:r>
      <w:r>
        <w:rPr>
          <w:sz w:val="24"/>
          <w:szCs w:val="24"/>
          <w:lang w:val="en-GB"/>
        </w:rPr>
        <w:t xml:space="preserve"> </w:t>
      </w:r>
      <w:r>
        <w:rPr>
          <w:rFonts w:cs="Lohit Devanagari"/>
          <w:sz w:val="24"/>
          <w:szCs w:val="24"/>
          <w:lang w:val="en-GB"/>
        </w:rPr>
        <w:t xml:space="preserve">required</w:t>
      </w:r>
      <w:r>
        <w:rPr>
          <w:sz w:val="24"/>
          <w:szCs w:val="24"/>
          <w:lang w:val="en-GB"/>
        </w:rPr>
        <w:t xml:space="preserve"> at B to go from A to C in the form of an angle between the lines AB and BC (so that when going from C to A, the angle is </w:t>
      </w:r>
      <w:r>
        <w:rPr>
          <w:rFonts w:cs="Lohit Devanagari"/>
          <w:sz w:val="24"/>
          <w:szCs w:val="24"/>
          <w:lang w:val="en-GB"/>
        </w:rPr>
        <w:t xml:space="preserve">reversed</w:t>
      </w:r>
      <w:r>
        <w:rPr>
          <w:sz w:val="24"/>
          <w:szCs w:val="24"/>
          <w:lang w:val="en-GB"/>
        </w:rPr>
        <w:t xml:space="preserve">). Intersections </w:t>
      </w:r>
      <w:r>
        <w:rPr>
          <w:rFonts w:cs="Lohit Devanagari"/>
          <w:sz w:val="24"/>
          <w:szCs w:val="24"/>
          <w:lang w:val="en-GB"/>
        </w:rPr>
        <w:t xml:space="preserve">can be</w:t>
      </w:r>
      <w:r>
        <w:rPr>
          <w:sz w:val="24"/>
          <w:szCs w:val="24"/>
          <w:lang w:val="en-GB"/>
        </w:rPr>
        <w:t xml:space="preserve"> identified when they </w:t>
      </w:r>
      <w:r>
        <w:rPr>
          <w:rFonts w:cs="Lohit Devanagari"/>
          <w:sz w:val="24"/>
          <w:szCs w:val="24"/>
          <w:lang w:val="en-GB"/>
        </w:rPr>
        <w:t xml:space="preserve">coincide</w:t>
      </w:r>
      <w:r>
        <w:rPr>
          <w:sz w:val="24"/>
          <w:szCs w:val="24"/>
          <w:lang w:val="en-GB"/>
        </w:rPr>
        <w:t xml:space="preserve"> geometrically, without loss of information. This results in factorising all paths in a single representation.</w:t>
      </w:r>
      <w:r/>
    </w:p>
    <w:p>
      <w:pPr>
        <w:pStyle w:val="612"/>
        <w:numPr>
          <w:ilvl w:val="1"/>
          <w:numId w:val="4"/>
        </w:numPr>
        <w:jc w:val="both"/>
        <w:rPr>
          <w:rFonts w:cs="Lohit Devanagari"/>
          <w:sz w:val="24"/>
          <w:szCs w:val="24"/>
          <w:lang w:val="en-GB"/>
        </w:rPr>
      </w:pPr>
      <w:r>
        <w:rPr>
          <w:rFonts w:cs="Lohit Devanagari"/>
          <w:sz w:val="24"/>
          <w:szCs w:val="24"/>
          <w:lang w:val="en-GB"/>
        </w:rPr>
        <w:t xml:space="preserve">Y tells X where she wants to go, and X computes the instructions from the representation, reproduces them on a sheet and hands it to Y.</w:t>
      </w:r>
      <w:r/>
    </w:p>
    <w:p>
      <w:pPr>
        <w:pStyle w:val="611"/>
        <w:numPr>
          <w:ilvl w:val="0"/>
          <w:numId w:val="4"/>
        </w:numPr>
        <w:jc w:val="both"/>
        <w:rPr>
          <w:rFonts w:cs="Lohit Devanagari"/>
          <w:sz w:val="24"/>
          <w:szCs w:val="24"/>
          <w:lang w:val="en-GB"/>
        </w:rPr>
      </w:pPr>
      <w:r>
        <w:rPr>
          <w:rFonts w:cs="Lohit Devanagari"/>
          <w:sz w:val="24"/>
          <w:szCs w:val="24"/>
          <w:lang w:val="en-GB"/>
        </w:rPr>
        <w:t xml:space="preserve">In the sixth stage, instead of handing navig</w:t>
      </w:r>
      <w:r>
        <w:rPr>
          <w:rFonts w:cs="Lohit Devanagari"/>
          <w:sz w:val="24"/>
          <w:szCs w:val="24"/>
          <w:lang w:val="en-GB"/>
        </w:rPr>
        <w:t xml:space="preserve">ating instructions to Y, X displays the representation of all paths in a public place, with detailed explanations on how to extract specific instructions. Y does not need to tell X from where to where she wants to go: she computes her instructions herself.</w:t>
      </w:r>
      <w:r/>
    </w:p>
    <w:p>
      <w:pPr>
        <w:pStyle w:val="612"/>
        <w:jc w:val="both"/>
      </w:pPr>
      <w:r>
        <w:rPr>
          <w:rFonts w:cs="Lohit Devanagari"/>
          <w:sz w:val="24"/>
          <w:szCs w:val="24"/>
          <w:lang w:val="en-GB"/>
        </w:rPr>
        <w:t xml:space="preserve">The resulting representation is exactly what we would call a map of the city, with points of interests and paths between them. </w:t>
      </w:r>
      <w:r>
        <w:rPr>
          <w:sz w:val="24"/>
          <w:szCs w:val="24"/>
          <w:lang w:val="en-GB"/>
        </w:rPr>
        <w:t xml:space="preserve">Y can use </w:t>
      </w:r>
      <w:r>
        <w:rPr>
          <w:rFonts w:cs="Lohit Devanagari"/>
          <w:sz w:val="24"/>
          <w:szCs w:val="24"/>
          <w:lang w:val="en-GB"/>
        </w:rPr>
        <w:t xml:space="preserve">the map</w:t>
      </w:r>
      <w:r>
        <w:rPr>
          <w:sz w:val="24"/>
          <w:szCs w:val="24"/>
          <w:lang w:val="en-GB"/>
        </w:rPr>
        <w:t xml:space="preserve"> to </w:t>
      </w:r>
      <w:r>
        <w:rPr>
          <w:rFonts w:cs="Lohit Devanagari"/>
          <w:sz w:val="24"/>
          <w:szCs w:val="24"/>
          <w:lang w:val="en-GB"/>
        </w:rPr>
        <w:t xml:space="preserve">make inferences on how to travel between any two points in the city. W</w:t>
      </w:r>
      <w:r>
        <w:rPr>
          <w:sz w:val="24"/>
          <w:szCs w:val="24"/>
          <w:lang w:val="en-GB"/>
        </w:rPr>
        <w:t xml:space="preserve">e have a </w:t>
      </w:r>
      <w:r>
        <w:rPr>
          <w:rFonts w:cs="Lohit Devanagari" w:eastAsia="Noto Sans CJK SC Regular"/>
          <w:color w:val="auto"/>
          <w:sz w:val="24"/>
          <w:szCs w:val="24"/>
          <w:lang w:val="en-GB" w:bidi="hi-IN" w:eastAsia="zh-CN"/>
        </w:rPr>
        <w:t xml:space="preserve">full</w:t>
      </w:r>
      <w:r>
        <w:rPr>
          <w:sz w:val="24"/>
          <w:szCs w:val="24"/>
          <w:lang w:val="en-GB"/>
        </w:rPr>
        <w:t xml:space="preserve"> epistemic representation.</w:t>
      </w:r>
      <w:r/>
    </w:p>
    <w:p>
      <w:pPr>
        <w:pStyle w:val="1_1989"/>
        <w:rPr>
          <w:sz w:val="24"/>
          <w:szCs w:val="24"/>
          <w:lang w:val="en-GB"/>
        </w:rPr>
      </w:pPr>
      <w:r>
        <w:rPr>
          <w:sz w:val="24"/>
          <w:szCs w:val="24"/>
          <w:lang w:val="en-GB"/>
        </w:rPr>
        <w:t xml:space="preserve">The following was required to go from symbolic to epistemic representation:</w:t>
      </w:r>
      <w:r/>
    </w:p>
    <w:p>
      <w:pPr>
        <w:pStyle w:val="611"/>
        <w:numPr>
          <w:ilvl w:val="0"/>
          <w:numId w:val="5"/>
        </w:numPr>
        <w:jc w:val="both"/>
        <w:rPr>
          <w:sz w:val="24"/>
          <w:szCs w:val="24"/>
          <w:lang w:val="en-GB"/>
        </w:rPr>
      </w:pPr>
      <w:r>
        <w:rPr>
          <w:sz w:val="24"/>
          <w:szCs w:val="24"/>
          <w:lang w:val="en-GB"/>
        </w:rPr>
        <w:t xml:space="preserve">The vehicle is capable of inducing complex sequences of mental states on its user (introduced at stage 1).</w:t>
      </w:r>
      <w:r/>
    </w:p>
    <w:p>
      <w:pPr>
        <w:pStyle w:val="611"/>
        <w:numPr>
          <w:ilvl w:val="0"/>
          <w:numId w:val="5"/>
        </w:numPr>
        <w:jc w:val="both"/>
        <w:rPr>
          <w:sz w:val="24"/>
          <w:szCs w:val="24"/>
          <w:lang w:val="en-GB"/>
        </w:rPr>
      </w:pPr>
      <w:r>
        <w:rPr>
          <w:sz w:val="24"/>
          <w:szCs w:val="24"/>
          <w:lang w:val="en-GB"/>
        </w:rPr>
        <w:t xml:space="preserve">The user is confident, or pretends to be confident, that the induced mental states are suitable for achieving particular purposes (stage 2).</w:t>
      </w:r>
      <w:r/>
    </w:p>
    <w:p>
      <w:pPr>
        <w:pStyle w:val="611"/>
        <w:numPr>
          <w:ilvl w:val="0"/>
          <w:numId w:val="5"/>
        </w:numPr>
        <w:jc w:val="both"/>
        <w:rPr>
          <w:sz w:val="24"/>
          <w:szCs w:val="24"/>
          <w:lang w:val="en-GB"/>
        </w:rPr>
      </w:pPr>
      <w:r>
        <w:rPr>
          <w:sz w:val="24"/>
          <w:szCs w:val="24"/>
          <w:lang w:val="en-GB"/>
        </w:rPr>
        <w:t xml:space="preserve">Clause (b) holds not only for one purpose, but for a variety of related purposes within a range, from which the user can choose (stage 4).</w:t>
      </w:r>
      <w:r/>
    </w:p>
    <w:p>
      <w:pPr>
        <w:pStyle w:val="611"/>
        <w:numPr>
          <w:ilvl w:val="0"/>
          <w:numId w:val="5"/>
        </w:numPr>
        <w:jc w:val="both"/>
        <w:rPr>
          <w:sz w:val="24"/>
          <w:szCs w:val="24"/>
          <w:lang w:val="en-GB"/>
        </w:rPr>
      </w:pPr>
      <w:r>
        <w:rPr>
          <w:sz w:val="24"/>
          <w:szCs w:val="24"/>
          <w:lang w:val="en-GB"/>
        </w:rPr>
        <w:t xml:space="preserve">The mental states in (a) are not induced directly, but encoded in a minimal structure, and can be retrieved systematically by following interpretative rules (stage 5).</w:t>
      </w:r>
      <w:r/>
    </w:p>
    <w:p>
      <w:pPr>
        <w:pStyle w:val="611"/>
        <w:numPr>
          <w:ilvl w:val="0"/>
          <w:numId w:val="5"/>
        </w:numPr>
        <w:jc w:val="both"/>
        <w:rPr>
          <w:sz w:val="24"/>
          <w:szCs w:val="24"/>
          <w:lang w:val="en-GB"/>
        </w:rPr>
      </w:pPr>
      <w:r>
        <w:rPr>
          <w:sz w:val="24"/>
          <w:szCs w:val="24"/>
          <w:lang w:val="en-GB"/>
        </w:rPr>
        <w:t xml:space="preserve">Users can induce the mental states autonomously by following the rules adapted to their purpose (stages 3 and 6).</w:t>
      </w:r>
      <w:r/>
    </w:p>
    <w:p>
      <w:pPr>
        <w:pStyle w:val="1_1989"/>
      </w:pPr>
      <w:r>
        <w:rPr>
          <w:sz w:val="24"/>
          <w:szCs w:val="24"/>
          <w:lang w:val="en-GB"/>
        </w:rPr>
        <w:t xml:space="preserve">We shall say that a vehicle is used as an epistemic representation if, and only if all these characteristics are fulfilled. This is a Gricean reduction of epistemic representation to mental states, in particular, to </w:t>
      </w:r>
      <w:r>
        <w:rPr>
          <w:sz w:val="24"/>
          <w:szCs w:val="24"/>
          <w:lang w:val="en-GB"/>
        </w:rPr>
        <w:t xml:space="preserve">attitudes towards the reliability of the vehicle for achieving various purposes and to symbolic representation (including possibly complex interpretation rules, which, I assume, reduce to mental representation in the same way symbolic representation does).</w:t>
      </w:r>
      <w:r/>
    </w:p>
    <w:p>
      <w:pPr>
        <w:pStyle w:val="1_1989"/>
      </w:pPr>
      <w:r>
        <w:rPr>
          <w:sz w:val="24"/>
          <w:szCs w:val="24"/>
          <w:lang w:val="en-GB"/>
        </w:rPr>
        <w:t xml:space="preserve">Let us go back to the constitution question, and to Liu’</w:t>
      </w:r>
      <w:r>
        <w:rPr>
          <w:sz w:val="24"/>
          <w:szCs w:val="24"/>
          <w:lang w:val="en-GB"/>
        </w:rPr>
        <w:t xml:space="preserve">s worry that a Gricean account would not distinguish between epistemic and symbolic representation: what makes the vehicle a representation of its target? In our case, what makes the map a representation of the city? Contrarily to symbolic representation, </w:t>
      </w:r>
      <w:r>
        <w:rPr>
          <w:rFonts w:cs="Lohit Devanagari" w:eastAsia="Noto Sans CJK SC Regular"/>
          <w:color w:val="auto"/>
          <w:sz w:val="24"/>
          <w:szCs w:val="24"/>
          <w:lang w:val="en-GB" w:bidi="hi-IN" w:eastAsia="zh-CN"/>
        </w:rPr>
        <w:t xml:space="preserve">t</w:t>
      </w:r>
      <w:r>
        <w:rPr>
          <w:sz w:val="24"/>
          <w:szCs w:val="24"/>
          <w:lang w:val="en-GB"/>
        </w:rPr>
        <w:t xml:space="preserve">he vehicle does not merely pick out an object or invoke a belief. It is constituted of s</w:t>
      </w:r>
      <w:r>
        <w:rPr>
          <w:rFonts w:cs="Lohit Devanagari" w:eastAsia="Noto Sans CJK SC Regular"/>
          <w:color w:val="auto"/>
          <w:sz w:val="24"/>
          <w:szCs w:val="24"/>
          <w:lang w:val="en-GB" w:bidi="hi-IN" w:eastAsia="zh-CN"/>
        </w:rPr>
        <w:t xml:space="preserve">ymbols organised in such a way that the vehicle can support the application of rules and fulfil its function (reliably or not), which is to allow navigation in the city. The map does not merely invoke a mental state, but it </w:t>
      </w:r>
      <w:r>
        <w:rPr>
          <w:rFonts w:cs="Lohit Devanagari" w:eastAsia="Noto Sans CJK SC Regular"/>
          <w:i/>
          <w:iCs/>
          <w:color w:val="auto"/>
          <w:sz w:val="24"/>
          <w:szCs w:val="24"/>
          <w:lang w:val="en-GB" w:bidi="hi-IN" w:eastAsia="zh-CN"/>
        </w:rPr>
        <w:t xml:space="preserve">creates</w:t>
      </w:r>
      <w:r>
        <w:rPr>
          <w:rFonts w:cs="Lohit Devanagari" w:eastAsia="Noto Sans CJK SC Regular"/>
          <w:color w:val="auto"/>
          <w:sz w:val="24"/>
          <w:szCs w:val="24"/>
          <w:lang w:val="en-GB" w:bidi="hi-IN" w:eastAsia="zh-CN"/>
        </w:rPr>
        <w:t xml:space="preserve"> mental states with the help of interpretation rules. The user assumes, or pretends, that it is a reliable means of navigating the city, which could not be obtained by mere stipulation. And all this is a constitutive aspect of </w:t>
      </w:r>
      <w:r>
        <w:rPr>
          <w:rFonts w:cs="Lohit Devanagari" w:eastAsia="Noto Sans CJK SC Regular"/>
          <w:color w:val="auto"/>
          <w:sz w:val="24"/>
          <w:szCs w:val="24"/>
          <w:lang w:val="en-GB" w:bidi="hi-IN" w:eastAsia="zh-CN"/>
        </w:rPr>
        <w:t xml:space="preserve">the representation: it is, according to this account, in virtue of these aspects that the map is an epistemic representation of the city. This makes epistemic representations markedly distinct from symbolic ones, in a way that corresponds to Liu’s remarks.</w:t>
      </w:r>
      <w:r/>
    </w:p>
    <w:p>
      <w:pPr>
        <w:pStyle w:val="1_1989"/>
      </w:pPr>
      <w:r>
        <w:rPr>
          <w:rFonts w:cs="Lohit Devanagari" w:eastAsia="Noto Sans CJK SC Regular"/>
          <w:color w:val="auto"/>
          <w:sz w:val="24"/>
          <w:szCs w:val="24"/>
          <w:lang w:val="en-GB" w:bidi="hi-IN" w:eastAsia="zh-CN"/>
        </w:rPr>
        <w:t xml:space="preserve">Having said that, the connection between the vehicle and the target is not as strong in this account as Liu might expect: it is enough that the user </w:t>
      </w:r>
      <w:r>
        <w:rPr>
          <w:rFonts w:cs="Lohit Devanagari" w:eastAsia="Noto Sans CJK SC Regular"/>
          <w:i/>
          <w:iCs/>
          <w:color w:val="auto"/>
          <w:sz w:val="24"/>
          <w:szCs w:val="24"/>
          <w:lang w:val="en-GB" w:bidi="hi-IN" w:eastAsia="zh-CN"/>
        </w:rPr>
        <w:t xml:space="preserve">pretends</w:t>
      </w:r>
      <w:r>
        <w:rPr>
          <w:rFonts w:cs="Lohit Devanagari" w:eastAsia="Noto Sans CJK SC Regular"/>
          <w:color w:val="auto"/>
          <w:sz w:val="24"/>
          <w:szCs w:val="24"/>
          <w:lang w:val="en-GB" w:bidi="hi-IN" w:eastAsia="zh-CN"/>
        </w:rPr>
        <w:t xml:space="preserve"> that the vehicle is reliable for a set of purposes for it to be a</w:t>
      </w:r>
      <w:r>
        <w:rPr>
          <w:rFonts w:cs="Lohit Devanagari" w:eastAsia="Noto Sans CJK SC Regular"/>
          <w:color w:val="auto"/>
          <w:sz w:val="24"/>
          <w:szCs w:val="24"/>
          <w:lang w:val="en-GB" w:bidi="hi-IN" w:eastAsia="zh-CN"/>
        </w:rPr>
        <w:t xml:space="preserve">n epistemic representation. The key difference with Liu’s characterisation of epistemic representation is that reliability is not assumed: only the attitude of the user towards reliability is required. I think this is an advantage of the present account, s</w:t>
      </w:r>
      <w:r>
        <w:rPr>
          <w:rFonts w:cs="Lohit Devanagari" w:eastAsia="Noto Sans CJK SC Regular"/>
          <w:color w:val="auto"/>
          <w:sz w:val="24"/>
          <w:szCs w:val="24"/>
          <w:lang w:val="en-GB" w:bidi="hi-IN" w:eastAsia="zh-CN"/>
        </w:rPr>
        <w:t xml:space="preserve">ince it makes misrepresentation possible, and the vehicle still has a distinctive epistemic function, which is what really matters at this stage. The concerns associated with the idea that the representation relation could still rest on mere stipulation or</w:t>
      </w:r>
      <w:r>
        <w:rPr>
          <w:rFonts w:cs="Lohit Devanagari" w:eastAsia="Noto Sans CJK SC Regular"/>
          <w:color w:val="auto"/>
          <w:sz w:val="24"/>
          <w:szCs w:val="24"/>
          <w:lang w:val="en-GB" w:bidi="hi-IN" w:eastAsia="zh-CN"/>
        </w:rPr>
        <w:t xml:space="preserve"> pretence are related to Boesch’s criticisms, and they will be addressed in the next section. Perhaps another aspect invoked by Liu is missing: the idea that the function of the vehicle is to tell us what the target is like. I return to this aspect below. </w:t>
      </w:r>
      <w:r/>
    </w:p>
    <w:p>
      <w:pPr>
        <w:pStyle w:val="1_1989"/>
      </w:pPr>
      <w:r>
        <w:rPr>
          <w:rFonts w:cs="Lohit Devanagari" w:eastAsia="Noto Sans CJK SC Regular"/>
          <w:color w:val="auto"/>
          <w:sz w:val="24"/>
          <w:szCs w:val="24"/>
          <w:lang w:val="en-GB" w:bidi="hi-IN" w:eastAsia="zh-CN"/>
        </w:rPr>
        <w:t xml:space="preserve">It is noteworthy that even though the vehicle does not merely pick out a referent, it</w:t>
      </w:r>
      <w:r>
        <w:rPr>
          <w:sz w:val="24"/>
          <w:szCs w:val="24"/>
          <w:lang w:val="en-GB"/>
        </w:rPr>
        <w:t xml:space="preserve"> ends up having a target that is quite well delimited. The key stage is stage four, where a bounded list of possible purposes is introduced: all these purposes have in common that they concern the city, and more precis</w:t>
      </w:r>
      <w:r>
        <w:rPr>
          <w:sz w:val="24"/>
          <w:szCs w:val="24"/>
          <w:lang w:val="en-GB"/>
        </w:rPr>
        <w:t xml:space="preserve">ely, navigation between two points in the city. The lesson of this, I think, is that the target of an epistemic representation is better characterised as a range of available purposes than as a specific object. Generally, these purposes will all concern th</w:t>
      </w:r>
      <w:r>
        <w:rPr>
          <w:sz w:val="24"/>
          <w:szCs w:val="24"/>
          <w:lang w:val="en-GB"/>
        </w:rPr>
        <w:t xml:space="preserve">e same object, and then it makes sense to claim that the vehicle is a representation of the object. But one should keep in mind that such representation is always perspectival, in the weak sense that the object is represented relative to a bounded set of p</w:t>
      </w:r>
      <w:r>
        <w:rPr>
          <w:sz w:val="24"/>
          <w:szCs w:val="24"/>
          <w:lang w:val="en-GB"/>
        </w:rPr>
        <w:t xml:space="preserve">ossible purposes concerning it. This point is particularly relevant for scientific representation, as it has been observed by many that scientific models are generally idealised and that some aspects of their target are focused on at the expense of others </w:t>
      </w:r>
      <w:r>
        <w:rPr>
          <w:b w:val="false"/>
          <w:i w:val="false"/>
          <w:caps w:val="false"/>
          <w:smallCaps w:val="false"/>
          <w:position w:val="0"/>
          <w:sz w:val="24"/>
          <w:szCs w:val="24"/>
          <w:u w:val="none"/>
          <w:vertAlign w:val="baseline"/>
          <w:lang w:val="en-GB"/>
        </w:rPr>
        <w:t xml:space="preserve">(see for example Mäki 2009; Morrison 2011)</w:t>
      </w:r>
      <w:r>
        <w:rPr>
          <w:sz w:val="24"/>
          <w:szCs w:val="24"/>
          <w:lang w:val="en-GB"/>
        </w:rPr>
        <w:t xml:space="preserve">.</w:t>
      </w:r>
      <w:r/>
    </w:p>
    <w:p>
      <w:pPr>
        <w:pStyle w:val="1_1989"/>
      </w:pPr>
      <w:r>
        <w:rPr>
          <w:sz w:val="24"/>
          <w:szCs w:val="24"/>
          <w:lang w:val="en-GB"/>
        </w:rPr>
        <w:t xml:space="preserve">The importance of purposes in representation has already been emphasised elsewhere (Giere 2004; Bailer-Jones 2003), but not as a characterisation of the target of representation (with the notable exception of Knuuttila and Boon (2011)). Doing so lo</w:t>
      </w:r>
      <w:r>
        <w:rPr>
          <w:sz w:val="24"/>
          <w:szCs w:val="24"/>
          <w:lang w:val="en-GB"/>
        </w:rPr>
        <w:t xml:space="preserve">oks very instrumentalist. One could object, in line with Liu’s characterisation of epistemic representations, that an epistemic representation should tell us what its target is like, independently of its usefulness for achieving particular purposes: it is </w:t>
      </w:r>
      <w:r>
        <w:rPr>
          <w:i/>
          <w:iCs/>
          <w:sz w:val="24"/>
          <w:szCs w:val="24"/>
          <w:lang w:val="en-GB"/>
        </w:rPr>
        <w:t xml:space="preserve">because</w:t>
      </w:r>
      <w:r>
        <w:rPr>
          <w:sz w:val="24"/>
          <w:szCs w:val="24"/>
          <w:lang w:val="en-GB"/>
        </w:rPr>
        <w:t xml:space="preserve"> the vehicle tells us what the target is like that one can use it as a basis to achieve various purposes. The content of an epistemic representation must be true or false, not merely good or bad.</w:t>
      </w:r>
      <w:r/>
    </w:p>
    <w:p>
      <w:pPr>
        <w:pStyle w:val="1_1989"/>
        <w:rPr>
          <w:sz w:val="24"/>
          <w:szCs w:val="24"/>
          <w:lang w:val="en-GB"/>
        </w:rPr>
      </w:pPr>
      <w:r>
        <w:rPr>
          <w:sz w:val="24"/>
          <w:szCs w:val="24"/>
          <w:lang w:val="en-GB"/>
        </w:rPr>
        <w:t xml:space="preserve">In our map narrative, the purposes afforded by the vehicle correspond to performing certain actions,</w:t>
      </w:r>
      <w:r>
        <w:rPr>
          <w:sz w:val="24"/>
          <w:szCs w:val="24"/>
          <w:lang w:val="en-GB"/>
        </w:rPr>
        <w:t xml:space="preserve"> and the vehicle induces corresponding intentions (turning left or right). Admittedly, this gives an instrumental flavour to the account. But note that the resulting conception of epistemic representation, summarised in clause (a) to (e), is less specific.</w:t>
      </w:r>
      <w:r/>
    </w:p>
    <w:p>
      <w:pPr>
        <w:pStyle w:val="1_1989"/>
        <w:rPr>
          <w:sz w:val="24"/>
          <w:szCs w:val="24"/>
          <w:lang w:val="en-GB"/>
        </w:rPr>
      </w:pPr>
      <w:r>
        <w:rPr>
          <w:sz w:val="24"/>
          <w:szCs w:val="24"/>
          <w:lang w:val="en-GB"/>
        </w:rPr>
        <w:t xml:space="preserve">I would tend to think that vehicles intended for mere instrumental uses do count as epistemic repr</w:t>
      </w:r>
      <w:r>
        <w:rPr>
          <w:sz w:val="24"/>
          <w:szCs w:val="24"/>
          <w:lang w:val="en-GB"/>
        </w:rPr>
        <w:t xml:space="preserve">esentations. After all, saying that a scientific model or a map is true sounds a bit weird in English and other languages, but saying that it is good, or reliable, sounds fine. And even if a representation is primarily instrumental, nothing precludes enqui</w:t>
      </w:r>
      <w:r>
        <w:rPr>
          <w:sz w:val="24"/>
          <w:szCs w:val="24"/>
          <w:lang w:val="en-GB"/>
        </w:rPr>
        <w:t xml:space="preserve">ring about the correspondence between its content and the world. In our narrative, we can imagine that the structure of the map ends up corresponding to the structure of the city as a side effect of its reliability, and we can say that its content is true.</w:t>
      </w:r>
      <w:r/>
    </w:p>
    <w:p>
      <w:pPr>
        <w:pStyle w:val="1_1989"/>
      </w:pPr>
      <w:r>
        <w:rPr>
          <w:sz w:val="24"/>
          <w:szCs w:val="24"/>
          <w:lang w:val="en-GB"/>
        </w:rPr>
        <w:t xml:space="preserve">In any case, this does not mean that epistemic representation is restricted to instrumental use: the mental states induced by a vehicle could be belief states rather than intent</w:t>
      </w:r>
      <w:r>
        <w:rPr>
          <w:sz w:val="24"/>
          <w:szCs w:val="24"/>
          <w:lang w:val="en-GB"/>
        </w:rPr>
        <w:t xml:space="preserve">ions, for example the belief that the target is such and such. The relevant purposes could be knowing what the target is like in such or such respect, or explaining a given phenomenon, rather than performing some action. A similar narrative could probably </w:t>
      </w:r>
      <w:r>
        <w:rPr>
          <w:rFonts w:cs="Lohit Devanagari" w:eastAsia="Noto Sans CJK SC Regular"/>
          <w:color w:val="auto"/>
          <w:sz w:val="24"/>
          <w:szCs w:val="24"/>
          <w:lang w:val="en-GB" w:bidi="hi-IN" w:eastAsia="zh-CN"/>
        </w:rPr>
        <w:t xml:space="preserve">be</w:t>
      </w:r>
      <w:r>
        <w:rPr>
          <w:sz w:val="24"/>
          <w:szCs w:val="24"/>
          <w:lang w:val="en-GB"/>
        </w:rPr>
        <w:t xml:space="preserve"> given where signs in the first stage would </w:t>
      </w:r>
      <w:r>
        <w:rPr>
          <w:rFonts w:cs="Lohit Devanagari" w:eastAsia="Noto Sans CJK SC Regular"/>
          <w:color w:val="auto"/>
          <w:sz w:val="24"/>
          <w:szCs w:val="24"/>
          <w:lang w:val="en-GB" w:bidi="hi-IN" w:eastAsia="zh-CN"/>
        </w:rPr>
        <w:t xml:space="preserve">invoke</w:t>
      </w:r>
      <w:r>
        <w:rPr>
          <w:sz w:val="24"/>
          <w:szCs w:val="24"/>
          <w:lang w:val="en-GB"/>
        </w:rPr>
        <w:t xml:space="preserve"> beliefs rather than intentions, and successive stages would </w:t>
      </w:r>
      <w:r>
        <w:rPr>
          <w:rFonts w:cs="Lohit Devanagari" w:eastAsia="Noto Sans CJK SC Regular"/>
          <w:color w:val="auto"/>
          <w:sz w:val="24"/>
          <w:szCs w:val="24"/>
          <w:lang w:val="en-GB" w:bidi="hi-IN" w:eastAsia="zh-CN"/>
        </w:rPr>
        <w:t xml:space="preserve">add</w:t>
      </w:r>
      <w:r>
        <w:rPr>
          <w:sz w:val="24"/>
          <w:szCs w:val="24"/>
          <w:lang w:val="en-GB"/>
        </w:rPr>
        <w:t xml:space="preserve"> more complex </w:t>
      </w:r>
      <w:r>
        <w:rPr>
          <w:rFonts w:cs="Lohit Devanagari" w:eastAsia="Noto Sans CJK SC Regular"/>
          <w:color w:val="auto"/>
          <w:sz w:val="24"/>
          <w:szCs w:val="24"/>
          <w:lang w:val="en-GB" w:bidi="hi-IN" w:eastAsia="zh-CN"/>
        </w:rPr>
        <w:t xml:space="preserve">requests from Y (for example, replace “turn left” with “there is a street on the left”, and interpret the succession of signs as spatial continuity).  O</w:t>
      </w:r>
      <w:r>
        <w:rPr>
          <w:sz w:val="24"/>
          <w:szCs w:val="24"/>
          <w:lang w:val="en-GB"/>
        </w:rPr>
        <w:t xml:space="preserve">ne could go as far as claiming that belief</w:t>
      </w:r>
      <w:r>
        <w:rPr>
          <w:rFonts w:cs="Lohit Devanagari" w:eastAsia="Noto Sans CJK SC Regular"/>
          <w:color w:val="auto"/>
          <w:sz w:val="24"/>
          <w:szCs w:val="24"/>
          <w:lang w:val="en-GB" w:bidi="hi-IN" w:eastAsia="zh-CN"/>
        </w:rPr>
        <w:t xml:space="preserve">s</w:t>
      </w:r>
      <w:r>
        <w:rPr>
          <w:sz w:val="24"/>
          <w:szCs w:val="24"/>
          <w:lang w:val="en-GB"/>
        </w:rPr>
        <w:t xml:space="preserve"> are </w:t>
      </w:r>
      <w:r>
        <w:rPr>
          <w:rFonts w:cs="Lohit Devanagari" w:eastAsia="Noto Sans CJK SC Regular"/>
          <w:color w:val="auto"/>
          <w:sz w:val="24"/>
          <w:szCs w:val="24"/>
          <w:lang w:val="en-GB" w:bidi="hi-IN" w:eastAsia="zh-CN"/>
        </w:rPr>
        <w:t xml:space="preserve">ultimately</w:t>
      </w:r>
      <w:r>
        <w:rPr>
          <w:sz w:val="24"/>
          <w:szCs w:val="24"/>
          <w:lang w:val="en-GB"/>
        </w:rPr>
        <w:t xml:space="preserve"> dispositions to form sequences of intentions, and that </w:t>
      </w:r>
      <w:r>
        <w:rPr>
          <w:rFonts w:cs="Lohit Devanagari" w:eastAsia="Noto Sans CJK SC Regular"/>
          <w:color w:val="auto"/>
          <w:sz w:val="24"/>
          <w:szCs w:val="24"/>
          <w:lang w:val="en-GB" w:bidi="hi-IN" w:eastAsia="zh-CN"/>
        </w:rPr>
        <w:t xml:space="preserve">the</w:t>
      </w:r>
      <w:r>
        <w:rPr>
          <w:sz w:val="24"/>
          <w:szCs w:val="24"/>
          <w:lang w:val="en-GB"/>
        </w:rPr>
        <w:t xml:space="preserve"> stimuli for these dispositions are purposes, so that belief states are exactly what </w:t>
      </w:r>
      <w:r>
        <w:rPr>
          <w:rFonts w:cs="Lohit Devanagari" w:eastAsia="Noto Sans CJK SC Regular"/>
          <w:color w:val="auto"/>
          <w:sz w:val="24"/>
          <w:szCs w:val="24"/>
          <w:lang w:val="en-GB" w:bidi="hi-IN" w:eastAsia="zh-CN"/>
        </w:rPr>
        <w:t xml:space="preserve">an instrumental epistemic</w:t>
      </w:r>
      <w:r>
        <w:rPr>
          <w:sz w:val="24"/>
          <w:szCs w:val="24"/>
          <w:lang w:val="en-GB"/>
        </w:rPr>
        <w:t xml:space="preserve"> vehicle </w:t>
      </w:r>
      <w:r>
        <w:rPr>
          <w:rFonts w:cs="Lohit Devanagari" w:eastAsia="Noto Sans CJK SC Regular"/>
          <w:color w:val="auto"/>
          <w:sz w:val="24"/>
          <w:szCs w:val="24"/>
          <w:lang w:val="en-GB" w:bidi="hi-IN" w:eastAsia="zh-CN"/>
        </w:rPr>
        <w:t xml:space="preserve">gives us…</w:t>
      </w:r>
      <w:r/>
    </w:p>
    <w:p>
      <w:pPr>
        <w:pStyle w:val="1_1989"/>
      </w:pPr>
      <w:r>
        <w:rPr>
          <w:sz w:val="24"/>
          <w:szCs w:val="24"/>
          <w:lang w:val="en-GB"/>
        </w:rPr>
        <w:t xml:space="preserve">So this account is not in principle limited to instrumental vehicl</w:t>
      </w:r>
      <w:r>
        <w:rPr>
          <w:sz w:val="24"/>
          <w:szCs w:val="24"/>
          <w:lang w:val="en-GB"/>
        </w:rPr>
        <w:t xml:space="preserve">es. The reader who disagrees that instrumental representation is genuinely epistemic is free to find a better label for the type of representation addressed here, and to claim that genuine epistemic representation is a sub-type of this type, where purposes</w:t>
      </w:r>
      <w:r>
        <w:rPr>
          <w:sz w:val="24"/>
          <w:szCs w:val="24"/>
          <w:lang w:val="en-GB"/>
        </w:rPr>
        <w:t xml:space="preserve"> and induced mental states are more markedly epistemic</w:t>
      </w:r>
      <w:r>
        <w:rPr>
          <w:rStyle w:val="590"/>
          <w:sz w:val="24"/>
          <w:szCs w:val="24"/>
          <w:lang w:val="en-GB"/>
        </w:rPr>
        <w:footnoteReference w:id="3"/>
      </w:r>
      <w:r>
        <w:rPr>
          <w:sz w:val="24"/>
          <w:szCs w:val="24"/>
          <w:lang w:val="en-GB"/>
        </w:rPr>
        <w:t xml:space="preserve">.</w:t>
      </w:r>
      <w:r/>
    </w:p>
    <w:p>
      <w:pPr>
        <w:pStyle w:val="602"/>
        <w:numPr>
          <w:ilvl w:val="0"/>
          <w:numId w:val="2"/>
        </w:numPr>
        <w:rPr>
          <w:rFonts w:cs="Lohit Devanagari" w:eastAsia="Noto Sans CJK SC Regular"/>
          <w:b/>
          <w:bCs/>
          <w:sz w:val="30"/>
          <w:szCs w:val="36"/>
          <w:lang w:val="en-GB"/>
        </w:rPr>
      </w:pPr>
      <w:r/>
      <w:bookmarkStart w:id="4" w:name="__RefHeading___Toc1145_3930323596"/>
      <w:r/>
      <w:bookmarkEnd w:id="4"/>
      <w:r>
        <w:rPr>
          <w:rFonts w:cs="Lohit Devanagari" w:eastAsia="Noto Sans CJK SC Regular"/>
          <w:b/>
          <w:bCs/>
          <w:sz w:val="30"/>
          <w:szCs w:val="36"/>
          <w:lang w:val="en-GB"/>
        </w:rPr>
        <w:t xml:space="preserve">From Contextual Epistemic Use to General Epistemic Status</w:t>
      </w:r>
      <w:r/>
    </w:p>
    <w:p>
      <w:pPr>
        <w:pStyle w:val="622"/>
      </w:pPr>
      <w:r>
        <w:rPr>
          <w:sz w:val="24"/>
          <w:szCs w:val="24"/>
          <w:lang w:val="en-GB"/>
        </w:rPr>
        <w:t xml:space="preserve">So far, we have a reduction of epistemic representation to mental states, encapsulated in cla</w:t>
      </w:r>
      <w:r>
        <w:rPr>
          <w:sz w:val="24"/>
          <w:szCs w:val="24"/>
          <w:lang w:val="en-GB"/>
        </w:rPr>
        <w:t xml:space="preserve">uses (a) to (e) above. But this account is incomplete as it stands. Let us examine two possible objections. They will allow us to introduce the main novelty of our final account, which parallels Grice’s distinction between utterance and expression meaning:</w:t>
      </w:r>
      <w:r/>
    </w:p>
    <w:p>
      <w:pPr>
        <w:pStyle w:val="611"/>
        <w:numPr>
          <w:ilvl w:val="0"/>
          <w:numId w:val="6"/>
        </w:numPr>
        <w:jc w:val="both"/>
      </w:pPr>
      <w:r>
        <w:rPr>
          <w:sz w:val="24"/>
          <w:szCs w:val="24"/>
          <w:lang w:val="en-GB"/>
        </w:rPr>
        <w:t xml:space="preserve">This notion of epistemic representation is too dependent on the attitudes of</w:t>
      </w:r>
      <w:r>
        <w:rPr>
          <w:sz w:val="24"/>
          <w:szCs w:val="24"/>
          <w:lang w:val="en-GB"/>
        </w:rPr>
        <w:t xml:space="preserve"> the user. If someone uses a map of Mexico City thinking or pretending it is a map of New York City, this does not turn the vehicle into a map of New York City. (This is similar to Boesch’s criticism of Callender and Cohen: mere stipulation is not enough.)</w:t>
      </w:r>
      <w:r/>
    </w:p>
    <w:p>
      <w:pPr>
        <w:pStyle w:val="611"/>
        <w:numPr>
          <w:ilvl w:val="0"/>
          <w:numId w:val="6"/>
        </w:numPr>
        <w:jc w:val="both"/>
      </w:pPr>
      <w:r>
        <w:rPr>
          <w:sz w:val="24"/>
          <w:szCs w:val="24"/>
          <w:lang w:val="en-GB"/>
        </w:rPr>
        <w:t xml:space="preserve">Only concrete vehicles can count as representation in this account. Arguably, abstract entities have </w:t>
      </w:r>
      <w:r>
        <w:rPr>
          <w:sz w:val="24"/>
          <w:szCs w:val="24"/>
          <w:lang w:val="en-GB"/>
        </w:rPr>
        <w:t xml:space="preserve">no causal power, so they cannot induce mental states. But scientific models are often conceived of as abstract entities, and the equations on paper through which they are used are mere descriptions of these abstract entities. So this account is inadequate.</w:t>
      </w:r>
      <w:r/>
    </w:p>
    <w:p>
      <w:pPr>
        <w:pStyle w:val="1_1989"/>
        <w:rPr>
          <w:sz w:val="24"/>
          <w:szCs w:val="24"/>
          <w:lang w:val="en-GB"/>
        </w:rPr>
      </w:pPr>
      <w:r>
        <w:rPr>
          <w:sz w:val="24"/>
          <w:szCs w:val="24"/>
          <w:lang w:val="en-GB"/>
        </w:rPr>
        <w:t xml:space="preserve">I am confident that these two objections can find a common solution, which will rest on a distinction analogous to Grice’s distinction between expression meaning and utterance meaning.</w:t>
      </w:r>
      <w:r/>
    </w:p>
    <w:p>
      <w:pPr>
        <w:pStyle w:val="1_1989"/>
        <w:rPr>
          <w:sz w:val="24"/>
          <w:szCs w:val="24"/>
          <w:lang w:val="en-GB"/>
        </w:rPr>
      </w:pPr>
      <w:r>
        <w:rPr>
          <w:sz w:val="24"/>
          <w:szCs w:val="24"/>
          <w:lang w:val="en-GB"/>
        </w:rPr>
        <w:t xml:space="preserve">  </w:t>
      </w:r>
      <w:r>
        <w:rPr>
          <w:sz w:val="24"/>
          <w:szCs w:val="24"/>
          <w:lang w:val="en-GB"/>
        </w:rPr>
        <w:t xml:space="preserve">One thing is to understand how users use vehicles as epistemic represe</w:t>
      </w:r>
      <w:r>
        <w:rPr>
          <w:sz w:val="24"/>
          <w:szCs w:val="24"/>
          <w:lang w:val="en-GB"/>
        </w:rPr>
        <w:t xml:space="preserve">ntations. Another thing is to ask what the vehicle represents as a matter of generality. The account provided so far is an account of particular uses. I think that someone using a map of Mexico City in New York City is indeed using the vehicle as a represe</w:t>
      </w:r>
      <w:r>
        <w:rPr>
          <w:sz w:val="24"/>
          <w:szCs w:val="24"/>
          <w:lang w:val="en-GB"/>
        </w:rPr>
        <w:t xml:space="preserve">ntation of New York City, and that this use reduces to mental states: in particular, the belief that the vehicle is reliable for navigating New York City (even when this belief is false, as is the case here). In this respect, this account is not defective.</w:t>
      </w:r>
      <w:r/>
    </w:p>
    <w:p>
      <w:pPr>
        <w:pStyle w:val="1_1989"/>
        <w:rPr>
          <w:sz w:val="24"/>
          <w:szCs w:val="24"/>
          <w:lang w:val="en-GB"/>
        </w:rPr>
      </w:pPr>
      <w:r>
        <w:rPr>
          <w:sz w:val="24"/>
          <w:szCs w:val="24"/>
          <w:lang w:val="en-GB"/>
        </w:rPr>
        <w:t xml:space="preserve">However, the map is act</w:t>
      </w:r>
      <w:r>
        <w:rPr>
          <w:sz w:val="24"/>
          <w:szCs w:val="24"/>
          <w:lang w:val="en-GB"/>
        </w:rPr>
        <w:t xml:space="preserve">ually a map of Mexico City, even if used in New York City. We can say even more: it would still be a map of Mexico City if it was not used at all! This shows that the status of the vehicle as a representation of something is independent of its actual uses.</w:t>
      </w:r>
      <w:r/>
    </w:p>
    <w:p>
      <w:pPr>
        <w:pStyle w:val="1_1989"/>
        <w:rPr>
          <w:sz w:val="24"/>
          <w:szCs w:val="24"/>
          <w:lang w:val="en-GB"/>
        </w:rPr>
      </w:pPr>
      <w:r>
        <w:rPr>
          <w:sz w:val="24"/>
          <w:szCs w:val="24"/>
          <w:lang w:val="en-GB"/>
        </w:rPr>
        <w:t xml:space="preserve">We have two senses of representation, one that concerns particular, contextual uses and the other that concerns the status of the vehicle in general. I would like to </w:t>
      </w:r>
      <w:r>
        <w:rPr>
          <w:sz w:val="24"/>
          <w:szCs w:val="24"/>
          <w:lang w:val="en-GB"/>
        </w:rPr>
        <w:t xml:space="preserve">apply Grice’s strategy here, and reduce the second sense to the first one by making a detour through values: general representational status should be explained in terms of particular uses, and more precisely, in terms of the optimality of particular uses.</w:t>
      </w:r>
      <w:r/>
    </w:p>
    <w:p>
      <w:pPr>
        <w:pStyle w:val="1_1989"/>
        <w:rPr>
          <w:sz w:val="24"/>
          <w:szCs w:val="24"/>
          <w:lang w:val="en-GB"/>
        </w:rPr>
      </w:pPr>
      <w:r>
        <w:rPr>
          <w:sz w:val="24"/>
          <w:szCs w:val="24"/>
          <w:lang w:val="en-GB"/>
        </w:rPr>
        <w:t xml:space="preserve">In</w:t>
      </w:r>
      <w:r>
        <w:rPr>
          <w:sz w:val="24"/>
          <w:szCs w:val="24"/>
          <w:lang w:val="en-GB"/>
        </w:rPr>
        <w:t xml:space="preserve"> our example, the map is indeed a map of Mexico City even if used in New York City because the optimal way to use it, according to social values, is to use it as a map of Mexico Ci</w:t>
      </w:r>
      <w:r>
        <w:rPr>
          <w:sz w:val="24"/>
          <w:szCs w:val="24"/>
          <w:lang w:val="en-GB"/>
        </w:rPr>
        <w:t xml:space="preserve">ty. Such use is “licensed”, as Boesch would say. This is a communal aspect that could have to do, for example, with the fact that the map was designed to be used in Mexico City, and that the provider of the map is recognised as trustworthy among map users.</w:t>
      </w:r>
      <w:r/>
    </w:p>
    <w:p>
      <w:pPr>
        <w:pStyle w:val="1_1989"/>
      </w:pPr>
      <w:r>
        <w:rPr>
          <w:sz w:val="24"/>
          <w:szCs w:val="24"/>
          <w:lang w:val="en-GB"/>
        </w:rPr>
        <w:t xml:space="preserve">Boesch is right that in order to know what the map represents in this second sense, the mental states of users are not enough: one has to look at how </w:t>
      </w:r>
      <w:r>
        <w:rPr>
          <w:rFonts w:cs="Lohit Devanagari" w:eastAsia="Noto Sans CJK SC Regular"/>
          <w:color w:val="auto"/>
          <w:sz w:val="24"/>
          <w:szCs w:val="24"/>
          <w:lang w:val="en-GB" w:bidi="hi-IN" w:eastAsia="zh-CN"/>
        </w:rPr>
        <w:t xml:space="preserve">the map</w:t>
      </w:r>
      <w:r>
        <w:rPr>
          <w:sz w:val="24"/>
          <w:szCs w:val="24"/>
          <w:lang w:val="en-GB"/>
        </w:rPr>
        <w:t xml:space="preserve"> was produced, received and how it is currently used in general. </w:t>
      </w:r>
      <w:r>
        <w:rPr>
          <w:rFonts w:cs="Lohit Devanagari" w:eastAsia="Noto Sans CJK SC Regular"/>
          <w:color w:val="auto"/>
          <w:sz w:val="24"/>
          <w:szCs w:val="24"/>
          <w:lang w:val="en-GB" w:bidi="hi-IN" w:eastAsia="zh-CN"/>
        </w:rPr>
        <w:t xml:space="preserve">T</w:t>
      </w:r>
      <w:r>
        <w:rPr>
          <w:sz w:val="24"/>
          <w:szCs w:val="24"/>
          <w:lang w:val="en-GB"/>
        </w:rPr>
        <w:t xml:space="preserve">his will reveal that more than conventional stipulation is at stake. If we took our narrative of section </w:t>
      </w:r>
      <w:r>
        <w:rPr>
          <w:sz w:val="24"/>
          <w:szCs w:val="24"/>
        </w:rPr>
        <w:fldChar w:fldCharType="begin"/>
      </w:r>
      <w:r>
        <w:rPr>
          <w:sz w:val="24"/>
          <w:szCs w:val="24"/>
        </w:rPr>
        <w:instrText xml:space="preserve"> REF __RefNumPara__6426_3784903136 \r \h </w:instrText>
      </w:r>
      <w:r>
        <w:rPr>
          <w:sz w:val="24"/>
          <w:szCs w:val="24"/>
        </w:rPr>
        <w:fldChar w:fldCharType="separate"/>
      </w:r>
      <w:r>
        <w:rPr>
          <w:sz w:val="24"/>
          <w:szCs w:val="24"/>
        </w:rPr>
        <w:t xml:space="preserve">4</w:t>
      </w:r>
      <w:r>
        <w:rPr>
          <w:sz w:val="24"/>
          <w:szCs w:val="24"/>
        </w:rPr>
        <w:fldChar w:fldCharType="end"/>
      </w:r>
      <w:r>
        <w:rPr>
          <w:sz w:val="24"/>
          <w:szCs w:val="24"/>
          <w:lang w:val="en-GB"/>
        </w:rPr>
        <w:t xml:space="preserve"> as a real story of how a map was produced, we could see that the map was </w:t>
      </w:r>
      <w:r>
        <w:rPr>
          <w:rFonts w:cs="Lohit Devanagari" w:eastAsia="Noto Sans CJK SC Regular"/>
          <w:color w:val="auto"/>
          <w:sz w:val="24"/>
          <w:szCs w:val="24"/>
          <w:lang w:val="en-GB" w:bidi="hi-IN" w:eastAsia="zh-CN"/>
        </w:rPr>
        <w:t xml:space="preserve">carefully</w:t>
      </w:r>
      <w:r>
        <w:rPr>
          <w:sz w:val="24"/>
          <w:szCs w:val="24"/>
          <w:lang w:val="en-GB"/>
        </w:rPr>
        <w:t xml:space="preserve"> designed to be used for navigating one particular city. It is not by conventional stipula</w:t>
      </w:r>
      <w:r>
        <w:rPr>
          <w:sz w:val="24"/>
          <w:szCs w:val="24"/>
          <w:lang w:val="en-GB"/>
        </w:rPr>
        <w:t xml:space="preserve">tion, but by construction that the vehicle becomes a representation of this city. Symbols were not selected and organised arbitrarily, but in order to achieve a particular aim. We can also presume that the map will be accepted and used by the community if </w:t>
      </w:r>
      <w:r>
        <w:rPr>
          <w:rFonts w:cs="Lohit Devanagari" w:eastAsia="Noto Sans CJK SC Regular"/>
          <w:color w:val="auto"/>
          <w:sz w:val="24"/>
          <w:szCs w:val="24"/>
          <w:lang w:val="en-GB" w:bidi="hi-IN" w:eastAsia="zh-CN"/>
        </w:rPr>
        <w:t xml:space="preserve">this aim</w:t>
      </w:r>
      <w:r>
        <w:rPr>
          <w:sz w:val="24"/>
          <w:szCs w:val="24"/>
          <w:lang w:val="en-GB"/>
        </w:rPr>
        <w:t xml:space="preserve"> can be successfully achieved. So both the construction of the model and its acceptance by the community are responsive to empirical aims, not only to conventional aspects. The </w:t>
      </w:r>
      <w:r>
        <w:rPr>
          <w:rFonts w:cs="Lohit Devanagari" w:eastAsia="Noto Sans CJK SC Regular"/>
          <w:color w:val="auto"/>
          <w:sz w:val="24"/>
          <w:szCs w:val="24"/>
          <w:lang w:val="en-GB" w:bidi="hi-IN" w:eastAsia="zh-CN"/>
        </w:rPr>
        <w:t xml:space="preserve">a</w:t>
      </w:r>
      <w:r>
        <w:rPr>
          <w:sz w:val="24"/>
          <w:szCs w:val="24"/>
          <w:lang w:val="en-GB"/>
        </w:rPr>
        <w:t xml:space="preserve">ctual reliability of the representation plays a role at this stage, at least as one criterion of the licensing process. This “licensing” is </w:t>
      </w:r>
      <w:r>
        <w:rPr>
          <w:rFonts w:cs="Lohit Devanagari" w:eastAsia="Noto Sans CJK SC Regular"/>
          <w:color w:val="auto"/>
          <w:sz w:val="24"/>
          <w:szCs w:val="24"/>
          <w:lang w:val="en-GB" w:bidi="hi-IN" w:eastAsia="zh-CN"/>
        </w:rPr>
        <w:t xml:space="preserve">a</w:t>
      </w:r>
      <w:r>
        <w:rPr>
          <w:sz w:val="24"/>
          <w:szCs w:val="24"/>
          <w:lang w:val="en-GB"/>
        </w:rPr>
        <w:t xml:space="preserve"> social guarantee </w:t>
      </w:r>
      <w:r>
        <w:rPr>
          <w:rFonts w:cs="Lohit Devanagari" w:eastAsia="Noto Sans CJK SC Regular"/>
          <w:color w:val="auto"/>
          <w:sz w:val="24"/>
          <w:szCs w:val="24"/>
          <w:lang w:val="en-GB" w:bidi="hi-IN" w:eastAsia="zh-CN"/>
        </w:rPr>
        <w:t xml:space="preserve">of</w:t>
      </w:r>
      <w:r>
        <w:rPr>
          <w:sz w:val="24"/>
          <w:szCs w:val="24"/>
          <w:lang w:val="en-GB"/>
        </w:rPr>
        <w:t xml:space="preserve"> optimality. </w:t>
      </w:r>
      <w:r>
        <w:rPr>
          <w:rFonts w:cs="Lohit Devanagari" w:eastAsia="Noto Sans CJK SC Regular"/>
          <w:color w:val="auto"/>
          <w:sz w:val="24"/>
          <w:szCs w:val="24"/>
          <w:lang w:val="en-GB" w:bidi="hi-IN" w:eastAsia="zh-CN"/>
        </w:rPr>
        <w:t xml:space="preserve">It</w:t>
      </w:r>
      <w:r>
        <w:rPr>
          <w:sz w:val="24"/>
          <w:szCs w:val="24"/>
          <w:lang w:val="en-GB"/>
        </w:rPr>
        <w:t xml:space="preserve"> is a constitutive aspect: it is what makes the map a representation of the city in the </w:t>
      </w:r>
      <w:r>
        <w:rPr>
          <w:rFonts w:cs="Lohit Devanagari" w:eastAsia="Noto Sans CJK SC Regular"/>
          <w:color w:val="auto"/>
          <w:sz w:val="24"/>
          <w:szCs w:val="24"/>
          <w:lang w:val="en-GB" w:bidi="hi-IN" w:eastAsia="zh-CN"/>
        </w:rPr>
        <w:t xml:space="preserve">second</w:t>
      </w:r>
      <w:r>
        <w:rPr>
          <w:sz w:val="24"/>
          <w:szCs w:val="24"/>
          <w:lang w:val="en-GB"/>
        </w:rPr>
        <w:t xml:space="preserve"> sense of representation. All this does justice to Liu and Boesch’s remarks </w:t>
      </w:r>
      <w:r>
        <w:rPr>
          <w:rFonts w:cs="Lohit Devanagari" w:eastAsia="Noto Sans CJK SC Regular"/>
          <w:color w:val="auto"/>
          <w:sz w:val="24"/>
          <w:szCs w:val="24"/>
          <w:lang w:val="en-GB" w:bidi="hi-IN" w:eastAsia="zh-CN"/>
        </w:rPr>
        <w:t xml:space="preserve">about</w:t>
      </w:r>
      <w:r>
        <w:rPr>
          <w:sz w:val="24"/>
          <w:szCs w:val="24"/>
          <w:lang w:val="en-GB"/>
        </w:rPr>
        <w:t xml:space="preserve"> scientific representation.</w:t>
      </w:r>
      <w:r/>
    </w:p>
    <w:p>
      <w:pPr>
        <w:pStyle w:val="1_1989"/>
      </w:pPr>
      <w:r>
        <w:rPr>
          <w:sz w:val="24"/>
          <w:szCs w:val="24"/>
          <w:lang w:val="en-GB"/>
        </w:rPr>
        <w:t xml:space="preserve"> </w:t>
      </w:r>
      <w:r>
        <w:rPr>
          <w:sz w:val="24"/>
          <w:szCs w:val="24"/>
          <w:lang w:val="en-GB"/>
        </w:rPr>
        <w:t xml:space="preserve">Arguably, this communal aspect is not necessarily missing in Callender and Cohen’s account (although they do not mention the aspect of Grice’s work exploited here): it is only relegated to a pragmatic issue. And it </w:t>
      </w:r>
      <w:r>
        <w:rPr>
          <w:rFonts w:cs="Lohit Devanagari" w:eastAsia="Noto Sans CJK SC Regular"/>
          <w:color w:val="auto"/>
          <w:sz w:val="24"/>
          <w:szCs w:val="24"/>
          <w:lang w:val="en-GB" w:bidi="hi-IN" w:eastAsia="zh-CN"/>
        </w:rPr>
        <w:t xml:space="preserve">might be</w:t>
      </w:r>
      <w:r>
        <w:rPr>
          <w:sz w:val="24"/>
          <w:szCs w:val="24"/>
          <w:lang w:val="en-GB"/>
        </w:rPr>
        <w:t xml:space="preserve"> true that whether or not to follow the norms of optimality in one’s community is, for a particular user, a pragmatic issue. But these norms are nonetheless constitutive of the general representational status of vehicles, a notion of representation </w:t>
      </w:r>
      <w:r>
        <w:rPr>
          <w:rFonts w:cs="Lohit Devanagari" w:eastAsia="Noto Sans CJK SC Regular"/>
          <w:color w:val="auto"/>
          <w:sz w:val="24"/>
          <w:szCs w:val="24"/>
          <w:lang w:val="en-GB" w:bidi="hi-IN" w:eastAsia="zh-CN"/>
        </w:rPr>
        <w:t xml:space="preserve">that</w:t>
      </w:r>
      <w:r>
        <w:rPr>
          <w:sz w:val="24"/>
          <w:szCs w:val="24"/>
          <w:lang w:val="en-GB"/>
        </w:rPr>
        <w:t xml:space="preserve"> is absent from Callender and Cohen’s account. My account does not fall prey to Boesch and Liu’s criticisms of section </w:t>
      </w:r>
      <w:r>
        <w:rPr>
          <w:sz w:val="24"/>
          <w:szCs w:val="24"/>
        </w:rPr>
        <w:fldChar w:fldCharType="begin"/>
      </w:r>
      <w:r>
        <w:rPr>
          <w:sz w:val="24"/>
          <w:szCs w:val="24"/>
        </w:rPr>
        <w:instrText xml:space="preserve"> REF __RefHeading___Toc1139_3930323596 \n \h </w:instrText>
      </w:r>
      <w:r>
        <w:rPr>
          <w:sz w:val="24"/>
          <w:szCs w:val="24"/>
        </w:rPr>
        <w:fldChar w:fldCharType="separate"/>
      </w:r>
      <w:r>
        <w:rPr>
          <w:sz w:val="24"/>
          <w:szCs w:val="24"/>
        </w:rPr>
        <w:t xml:space="preserve">2</w:t>
      </w:r>
      <w:r>
        <w:rPr>
          <w:sz w:val="24"/>
          <w:szCs w:val="24"/>
        </w:rPr>
        <w:fldChar w:fldCharType="end"/>
      </w:r>
      <w:r>
        <w:rPr>
          <w:sz w:val="24"/>
          <w:szCs w:val="24"/>
          <w:lang w:val="en-GB"/>
        </w:rPr>
        <w:t xml:space="preserve">, so long as th</w:t>
      </w:r>
      <w:r>
        <w:rPr>
          <w:rFonts w:cs="Lohit Devanagari" w:eastAsia="Noto Sans CJK SC Regular"/>
          <w:color w:val="auto"/>
          <w:sz w:val="24"/>
          <w:szCs w:val="24"/>
          <w:lang w:val="en-GB" w:bidi="hi-IN" w:eastAsia="zh-CN"/>
        </w:rPr>
        <w:t xml:space="preserve">is</w:t>
      </w:r>
      <w:r>
        <w:rPr>
          <w:sz w:val="24"/>
          <w:szCs w:val="24"/>
          <w:lang w:val="en-GB"/>
        </w:rPr>
        <w:t xml:space="preserve"> general </w:t>
      </w:r>
      <w:r>
        <w:rPr>
          <w:rFonts w:cs="Lohit Devanagari" w:eastAsia="Noto Sans CJK SC Regular"/>
          <w:color w:val="auto"/>
          <w:sz w:val="24"/>
          <w:szCs w:val="24"/>
          <w:lang w:val="en-GB" w:bidi="hi-IN" w:eastAsia="zh-CN"/>
        </w:rPr>
        <w:t xml:space="preserve">notion</w:t>
      </w:r>
      <w:r>
        <w:rPr>
          <w:sz w:val="24"/>
          <w:szCs w:val="24"/>
          <w:lang w:val="en-GB"/>
        </w:rPr>
        <w:t xml:space="preserve"> of representation is </w:t>
      </w:r>
      <w:r>
        <w:rPr>
          <w:rFonts w:cs="Lohit Devanagari" w:eastAsia="Noto Sans CJK SC Regular"/>
          <w:color w:val="auto"/>
          <w:sz w:val="24"/>
          <w:szCs w:val="24"/>
          <w:lang w:val="en-GB" w:bidi="hi-IN" w:eastAsia="zh-CN"/>
        </w:rPr>
        <w:t xml:space="preserve">taken into consideration</w:t>
      </w:r>
      <w:r>
        <w:rPr>
          <w:sz w:val="24"/>
          <w:szCs w:val="24"/>
          <w:lang w:val="en-GB"/>
        </w:rPr>
        <w:t xml:space="preserve">.</w:t>
      </w:r>
      <w:r/>
    </w:p>
    <w:p>
      <w:pPr>
        <w:pStyle w:val="1_1989"/>
      </w:pPr>
      <w:r>
        <w:rPr>
          <w:sz w:val="24"/>
          <w:szCs w:val="24"/>
          <w:lang w:val="en-GB"/>
        </w:rPr>
        <w:t xml:space="preserve">This distinction also provides a way to address the second objection, having to do with the fact that </w:t>
      </w:r>
      <w:r>
        <w:rPr>
          <w:rFonts w:cs="Lohit Devanagari" w:eastAsia="Noto Sans CJK SC Regular"/>
          <w:color w:val="auto"/>
          <w:sz w:val="24"/>
          <w:szCs w:val="24"/>
          <w:lang w:val="en-GB" w:bidi="hi-IN" w:eastAsia="zh-CN"/>
        </w:rPr>
        <w:t xml:space="preserve">my</w:t>
      </w:r>
      <w:r>
        <w:rPr>
          <w:sz w:val="24"/>
          <w:szCs w:val="24"/>
          <w:lang w:val="en-GB"/>
        </w:rPr>
        <w:t xml:space="preserve"> account concerns concrete vehicles and not abstract entities. In the literature on scientific representation, it is often assumed that </w:t>
      </w:r>
      <w:r>
        <w:rPr>
          <w:rFonts w:cs="Lohit Devanagari" w:eastAsia="Noto Sans CJK SC Regular"/>
          <w:color w:val="auto"/>
          <w:sz w:val="24"/>
          <w:szCs w:val="24"/>
          <w:lang w:val="en-GB" w:bidi="hi-IN" w:eastAsia="zh-CN"/>
        </w:rPr>
        <w:t xml:space="preserve">many</w:t>
      </w:r>
      <w:r>
        <w:rPr>
          <w:sz w:val="24"/>
          <w:szCs w:val="24"/>
          <w:lang w:val="en-GB"/>
        </w:rPr>
        <w:t xml:space="preserve"> representations in science, theoretical models in particular, are </w:t>
      </w:r>
      <w:r>
        <w:rPr>
          <w:rFonts w:cs="Lohit Devanagari" w:eastAsia="Noto Sans CJK SC Regular"/>
          <w:color w:val="auto"/>
          <w:sz w:val="24"/>
          <w:szCs w:val="24"/>
          <w:lang w:val="en-GB" w:bidi="hi-IN" w:eastAsia="zh-CN"/>
        </w:rPr>
        <w:t xml:space="preserve">abstract entities. The equations or diagrams on paper used by scientists do not constitute the representation: they describe these abstract entities. Otherwise, why would we talk about </w:t>
      </w:r>
      <w:r>
        <w:rPr>
          <w:rFonts w:cs="Lohit Devanagari" w:eastAsia="Noto Sans CJK SC Regular"/>
          <w:i/>
          <w:iCs/>
          <w:color w:val="auto"/>
          <w:sz w:val="24"/>
          <w:szCs w:val="24"/>
          <w:lang w:val="en-GB" w:bidi="hi-IN" w:eastAsia="zh-CN"/>
        </w:rPr>
        <w:t xml:space="preserve">the</w:t>
      </w:r>
      <w:r>
        <w:rPr>
          <w:rFonts w:cs="Lohit Devanagari" w:eastAsia="Noto Sans CJK SC Regular"/>
          <w:color w:val="auto"/>
          <w:sz w:val="24"/>
          <w:szCs w:val="24"/>
          <w:lang w:val="en-GB" w:bidi="hi-IN" w:eastAsia="zh-CN"/>
        </w:rPr>
        <w:t xml:space="preserve"> Lotka-Volterra model, or </w:t>
      </w:r>
      <w:r>
        <w:rPr>
          <w:rFonts w:cs="Lohit Devanagari" w:eastAsia="Noto Sans CJK SC Regular"/>
          <w:i/>
          <w:iCs/>
          <w:color w:val="auto"/>
          <w:sz w:val="24"/>
          <w:szCs w:val="24"/>
          <w:lang w:val="en-GB" w:bidi="hi-IN" w:eastAsia="zh-CN"/>
        </w:rPr>
        <w:t xml:space="preserve">the</w:t>
      </w:r>
      <w:r>
        <w:rPr>
          <w:rFonts w:cs="Lohit Devanagari" w:eastAsia="Noto Sans CJK SC Regular"/>
          <w:color w:val="auto"/>
          <w:sz w:val="24"/>
          <w:szCs w:val="24"/>
          <w:lang w:val="en-GB" w:bidi="hi-IN" w:eastAsia="zh-CN"/>
        </w:rPr>
        <w:t xml:space="preserve"> Newtonian model of the solar system, since different marks on paper are actually used? The account provided in the previous section is focused on the use of concrete vehicles for inducing mental states. So it would seem that this account is inadequate.</w:t>
      </w:r>
      <w:r/>
    </w:p>
    <w:p>
      <w:pPr>
        <w:pStyle w:val="1_1989"/>
      </w:pPr>
      <w:r>
        <w:rPr>
          <w:sz w:val="24"/>
          <w:szCs w:val="24"/>
          <w:lang w:val="en-GB"/>
        </w:rPr>
        <w:t xml:space="preserve">In response to this </w:t>
      </w:r>
      <w:r>
        <w:rPr>
          <w:rFonts w:cs="Lohit Devanagari" w:eastAsia="Noto Sans CJK SC Regular"/>
          <w:color w:val="auto"/>
          <w:sz w:val="24"/>
          <w:szCs w:val="24"/>
          <w:lang w:val="en-GB" w:bidi="hi-IN" w:eastAsia="zh-CN"/>
        </w:rPr>
        <w:t xml:space="preserve">concern</w:t>
      </w:r>
      <w:r>
        <w:rPr>
          <w:sz w:val="24"/>
          <w:szCs w:val="24"/>
          <w:lang w:val="en-GB"/>
        </w:rPr>
        <w:t xml:space="preserve">, we can first observe that various concrete vehicles</w:t>
      </w:r>
      <w:r>
        <w:rPr>
          <w:sz w:val="24"/>
          <w:szCs w:val="24"/>
          <w:lang w:val="en-GB"/>
        </w:rPr>
        <w:t xml:space="preserve"> are capable of inducing exactly the same mental states in order to achieve exactly the same sets of purposes, using similar interpretation rules. For example, a map can be copied, and every copy will share these features. The colours and symbols could cha</w:t>
      </w:r>
      <w:r>
        <w:rPr>
          <w:sz w:val="24"/>
          <w:szCs w:val="24"/>
          <w:lang w:val="en-GB"/>
        </w:rPr>
        <w:t xml:space="preserve">nge from one vehicle to another, but its function would remain the same. Presumably, all these vehicles will share a common abstract structure of equivalent symbols (symbols having the same interpretation in terms of mental states, functions or referents).</w:t>
      </w:r>
      <w:r/>
    </w:p>
    <w:p>
      <w:pPr>
        <w:pStyle w:val="1_1989"/>
      </w:pPr>
      <w:r>
        <w:rPr>
          <w:sz w:val="24"/>
          <w:szCs w:val="24"/>
          <w:lang w:val="en-GB"/>
        </w:rPr>
        <w:t xml:space="preserve">Furthermore, the fact that a vehicle is “licensed”, that it is considered fit for a set of purposes, does not depend on its particularit</w:t>
      </w:r>
      <w:r>
        <w:rPr>
          <w:sz w:val="24"/>
          <w:szCs w:val="24"/>
          <w:lang w:val="en-GB"/>
        </w:rPr>
        <w:t xml:space="preserve">ies as a vehicle (the colour used, the texture of the paper), but on these shared aspects. The particularities of the concrete vehicle can be relegated to pragmatic aspects. So what is really licensed, hence what really represents the target in the second,</w:t>
      </w:r>
      <w:r>
        <w:rPr>
          <w:sz w:val="24"/>
          <w:szCs w:val="24"/>
          <w:lang w:val="en-GB"/>
        </w:rPr>
        <w:t xml:space="preserve"> general sense of representation, is not the particular vehicle but the abstract structure of symbols that the vehicle instantiates or describes. The idea that epistemic representations are abstract entities is vindicated. At the same time, the connection </w:t>
      </w:r>
      <w:r>
        <w:rPr>
          <w:rFonts w:cs="Lohit Devanagari" w:eastAsia="Noto Sans CJK SC Regular"/>
          <w:color w:val="auto"/>
          <w:sz w:val="24"/>
          <w:szCs w:val="24"/>
          <w:lang w:val="en-GB" w:bidi="hi-IN" w:eastAsia="zh-CN"/>
        </w:rPr>
        <w:t xml:space="preserve">between</w:t>
      </w:r>
      <w:r>
        <w:rPr>
          <w:sz w:val="24"/>
          <w:szCs w:val="24"/>
          <w:lang w:val="en-GB"/>
        </w:rPr>
        <w:t xml:space="preserve"> concrete vehicles and </w:t>
      </w:r>
      <w:r>
        <w:rPr>
          <w:rFonts w:cs="Lohit Devanagari" w:eastAsia="Noto Sans CJK SC Regular"/>
          <w:color w:val="auto"/>
          <w:sz w:val="24"/>
          <w:szCs w:val="24"/>
          <w:lang w:val="en-GB" w:bidi="hi-IN" w:eastAsia="zh-CN"/>
        </w:rPr>
        <w:t xml:space="preserve">contextual</w:t>
      </w:r>
      <w:r>
        <w:rPr>
          <w:sz w:val="24"/>
          <w:szCs w:val="24"/>
          <w:lang w:val="en-GB"/>
        </w:rPr>
        <w:t xml:space="preserve"> uses is preserved, which avoids other difficulties </w:t>
      </w:r>
      <w:r>
        <w:rPr>
          <w:rFonts w:cs="Lohit Devanagari" w:eastAsia="Noto Sans CJK SC Regular"/>
          <w:color w:val="auto"/>
          <w:sz w:val="24"/>
          <w:szCs w:val="24"/>
          <w:lang w:val="en-GB" w:bidi="hi-IN" w:eastAsia="zh-CN"/>
        </w:rPr>
        <w:t xml:space="preserve">with the idea that models are abstract entities, in particular regarding the connection with actual representational practices (Levy 2015).</w:t>
      </w:r>
      <w:r/>
    </w:p>
    <w:p>
      <w:pPr>
        <w:pStyle w:val="1_1989"/>
      </w:pPr>
      <w:r>
        <w:rPr>
          <w:sz w:val="24"/>
          <w:szCs w:val="24"/>
          <w:lang w:val="en-GB"/>
        </w:rPr>
        <w:t xml:space="preserve">To sum up, the way a Gricean strategy can respond to Liu and Boesch’s criticisms </w:t>
      </w:r>
      <w:r>
        <w:rPr>
          <w:rFonts w:cs="Lohit Devanagari" w:eastAsia="Noto Sans CJK SC Regular"/>
          <w:color w:val="auto"/>
          <w:sz w:val="24"/>
          <w:szCs w:val="24"/>
          <w:lang w:val="en-GB" w:bidi="hi-IN" w:eastAsia="zh-CN"/>
        </w:rPr>
        <w:t xml:space="preserve">works in two stages</w:t>
      </w:r>
      <w:r>
        <w:rPr>
          <w:sz w:val="24"/>
          <w:szCs w:val="24"/>
          <w:lang w:val="en-GB"/>
        </w:rPr>
        <w:t xml:space="preserve">. In the first stage, an account of what makes a </w:t>
      </w:r>
      <w:r>
        <w:rPr>
          <w:i/>
          <w:iCs/>
          <w:sz w:val="24"/>
          <w:szCs w:val="24"/>
          <w:lang w:val="en-GB"/>
        </w:rPr>
        <w:t xml:space="preserve">concrete</w:t>
      </w:r>
      <w:r>
        <w:rPr>
          <w:sz w:val="24"/>
          <w:szCs w:val="24"/>
          <w:lang w:val="en-GB"/>
        </w:rPr>
        <w:t xml:space="preserve"> vehicle an epistemic representation of its target </w:t>
      </w:r>
      <w:r>
        <w:rPr>
          <w:i/>
          <w:iCs/>
          <w:sz w:val="24"/>
          <w:szCs w:val="24"/>
          <w:lang w:val="en-GB"/>
        </w:rPr>
        <w:t xml:space="preserve">in a particular context</w:t>
      </w:r>
      <w:r>
        <w:rPr>
          <w:sz w:val="24"/>
          <w:szCs w:val="24"/>
          <w:lang w:val="en-GB"/>
        </w:rPr>
        <w:t xml:space="preserve"> is given in terms of the mental states of the user, and this account is sufficiently complex to make epistemic representation markedly distinct from symbolic representation, there</w:t>
      </w:r>
      <w:r>
        <w:rPr>
          <w:rFonts w:cs="Lohit Devanagari" w:eastAsia="Noto Sans CJK SC Regular"/>
          <w:color w:val="auto"/>
          <w:sz w:val="24"/>
          <w:szCs w:val="24"/>
          <w:lang w:val="en-GB" w:bidi="hi-IN" w:eastAsia="zh-CN"/>
        </w:rPr>
        <w:t xml:space="preserve">by</w:t>
      </w:r>
      <w:r>
        <w:rPr>
          <w:sz w:val="24"/>
          <w:szCs w:val="24"/>
          <w:lang w:val="en-GB"/>
        </w:rPr>
        <w:t xml:space="preserve"> addressing some of Liu’s remarks. </w:t>
      </w:r>
      <w:r>
        <w:rPr>
          <w:rFonts w:cs="Lohit Devanagari" w:eastAsia="Noto Sans CJK SC Regular"/>
          <w:color w:val="auto"/>
          <w:sz w:val="24"/>
          <w:szCs w:val="24"/>
          <w:lang w:val="en-GB" w:bidi="hi-IN" w:eastAsia="zh-CN"/>
        </w:rPr>
        <w:t xml:space="preserve">In the second stage, an account of what makes an </w:t>
      </w:r>
      <w:r>
        <w:rPr>
          <w:rFonts w:cs="Lohit Devanagari" w:eastAsia="Noto Sans CJK SC Regular"/>
          <w:i/>
          <w:iCs/>
          <w:color w:val="auto"/>
          <w:sz w:val="24"/>
          <w:szCs w:val="24"/>
          <w:lang w:val="en-GB" w:bidi="hi-IN" w:eastAsia="zh-CN"/>
        </w:rPr>
        <w:t xml:space="preserve">abstract</w:t>
      </w:r>
      <w:r>
        <w:rPr>
          <w:rFonts w:cs="Lohit Devanagari" w:eastAsia="Noto Sans CJK SC Regular"/>
          <w:color w:val="auto"/>
          <w:sz w:val="24"/>
          <w:szCs w:val="24"/>
          <w:lang w:val="en-GB" w:bidi="hi-IN" w:eastAsia="zh-CN"/>
        </w:rPr>
        <w:t xml:space="preserve"> vehicle a representation of its target </w:t>
      </w:r>
      <w:r>
        <w:rPr>
          <w:rFonts w:cs="Lohit Devanagari" w:eastAsia="Noto Sans CJK SC Regular"/>
          <w:i/>
          <w:iCs/>
          <w:color w:val="auto"/>
          <w:sz w:val="24"/>
          <w:szCs w:val="24"/>
          <w:lang w:val="en-GB" w:bidi="hi-IN" w:eastAsia="zh-CN"/>
        </w:rPr>
        <w:t xml:space="preserve">in general</w:t>
      </w:r>
      <w:r>
        <w:rPr>
          <w:rFonts w:cs="Lohit Devanagari" w:eastAsia="Noto Sans CJK SC Regular"/>
          <w:color w:val="auto"/>
          <w:sz w:val="24"/>
          <w:szCs w:val="24"/>
          <w:lang w:val="en-GB" w:bidi="hi-IN" w:eastAsia="zh-CN"/>
        </w:rPr>
        <w:t xml:space="preserve"> is given in terms of norms of appropriateness, and this is a communal aspect that does not reduce to mere stipulation, nor to the mental states of particular users, and that is responsive to empirical aims, thus responding to Boesch and Liu’s other co</w:t>
      </w:r>
      <w:r>
        <w:rPr>
          <w:rFonts w:cs="Lohit Devanagari" w:eastAsia="Noto Sans CJK SC Regular"/>
          <w:color w:val="auto"/>
          <w:sz w:val="24"/>
          <w:szCs w:val="24"/>
          <w:lang w:val="en-GB" w:bidi="hi-IN" w:eastAsia="zh-CN"/>
        </w:rPr>
        <w:t xml:space="preserve">ncerns. Furthermore, this account addresses another issue in the debate on scientific representation: the fact that vehicles of representation are often conceived of as abstract entities, even though concrete entities are used in representational contexts.</w:t>
      </w:r>
      <w:r/>
    </w:p>
    <w:p>
      <w:pPr>
        <w:pStyle w:val="1_1989"/>
      </w:pPr>
      <w:r>
        <w:rPr>
          <w:sz w:val="24"/>
          <w:szCs w:val="24"/>
          <w:lang w:val="en-GB"/>
        </w:rPr>
        <w:t xml:space="preserve">Before presenting the resulting account in full detail, let us </w:t>
      </w:r>
      <w:r>
        <w:rPr>
          <w:rFonts w:cs="Lohit Devanagari" w:eastAsia="Noto Sans CJK SC Regular"/>
          <w:color w:val="auto"/>
          <w:sz w:val="24"/>
          <w:szCs w:val="24"/>
          <w:lang w:val="en-GB" w:bidi="hi-IN" w:eastAsia="zh-CN"/>
        </w:rPr>
        <w:t xml:space="preserve">introduce</w:t>
      </w:r>
      <w:r>
        <w:rPr>
          <w:sz w:val="24"/>
          <w:szCs w:val="24"/>
          <w:lang w:val="en-GB"/>
        </w:rPr>
        <w:t xml:space="preserve"> one more </w:t>
      </w:r>
      <w:r>
        <w:rPr>
          <w:rFonts w:cs="Lohit Devanagari" w:eastAsia="Noto Sans CJK SC Regular"/>
          <w:color w:val="auto"/>
          <w:sz w:val="24"/>
          <w:szCs w:val="24"/>
          <w:lang w:val="en-GB" w:bidi="hi-IN" w:eastAsia="zh-CN"/>
        </w:rPr>
        <w:t xml:space="preserve">technicality. It </w:t>
      </w:r>
      <w:r>
        <w:rPr>
          <w:sz w:val="24"/>
          <w:szCs w:val="24"/>
          <w:lang w:val="en-GB"/>
        </w:rPr>
        <w:t xml:space="preserve">concern</w:t>
      </w:r>
      <w:r>
        <w:rPr>
          <w:rFonts w:cs="Lohit Devanagari" w:eastAsia="Noto Sans CJK SC Regular"/>
          <w:color w:val="auto"/>
          <w:sz w:val="24"/>
          <w:szCs w:val="24"/>
          <w:lang w:val="en-GB" w:bidi="hi-IN" w:eastAsia="zh-CN"/>
        </w:rPr>
        <w:t xml:space="preserve">s</w:t>
      </w:r>
      <w:r>
        <w:rPr>
          <w:sz w:val="24"/>
          <w:szCs w:val="24"/>
          <w:lang w:val="en-GB"/>
        </w:rPr>
        <w:t xml:space="preserve"> the relationship between contextual use and general representational status. Epistemic uses often concern one particular target to which we refer directly in context. In contrast, an ab</w:t>
      </w:r>
      <w:r>
        <w:rPr>
          <w:sz w:val="24"/>
          <w:szCs w:val="24"/>
          <w:lang w:val="en-GB"/>
        </w:rPr>
        <w:t xml:space="preserve">stract symbolic structure cannot refer to contextual entities in full generality. For example, the model of the hydrogen atom can be used to represent one particular atom in an experimental context, but it does not represent any particular atom in general.</w:t>
      </w:r>
      <w:r/>
    </w:p>
    <w:p>
      <w:pPr>
        <w:pStyle w:val="1_1989"/>
        <w:rPr>
          <w:sz w:val="24"/>
          <w:szCs w:val="24"/>
          <w:lang w:val="en-GB"/>
        </w:rPr>
      </w:pPr>
      <w:r>
        <w:rPr>
          <w:sz w:val="24"/>
          <w:szCs w:val="24"/>
          <w:lang w:val="en-GB"/>
        </w:rPr>
        <w:t xml:space="preserve">I think the best way to account for this aspect is to borrow from philosophy of language the notion of indexicality, as analysed by Kaplan (1989). Indexical terms like “I” or “now” do not have a referent outside of a context, but according to Kaplan, the</w:t>
      </w:r>
      <w:r>
        <w:rPr>
          <w:sz w:val="24"/>
          <w:szCs w:val="24"/>
          <w:lang w:val="en-GB"/>
        </w:rPr>
        <w:t xml:space="preserve">y have a “character”, which is a function from context of locution to content. For example, the character of “I” specifies that it refers to the speaker in context. Expressions containing indexicals also have a character, and their utterances have content.</w:t>
      </w:r>
      <w:r/>
    </w:p>
    <w:p>
      <w:pPr>
        <w:pStyle w:val="1_1989"/>
      </w:pPr>
      <w:r>
        <w:rPr>
          <w:sz w:val="24"/>
          <w:szCs w:val="24"/>
          <w:lang w:val="en-GB"/>
        </w:rPr>
        <w:t xml:space="preserve">The interpretative rules and afforded purposes of an abstract symbolic structure could be characterised by such functions. For example: the model</w:t>
      </w:r>
      <w:r>
        <w:rPr>
          <w:sz w:val="24"/>
          <w:szCs w:val="24"/>
          <w:lang w:val="en-GB"/>
        </w:rPr>
        <w:t xml:space="preserve"> represents the salient atom of hydrogen in context; the symbol “O” (the origin of coordinates) refers to the centre of mass of the salient atom, etc. In context, these components acquire concrete referents that can be the object of concrete purposes, and </w:t>
      </w:r>
      <w:r>
        <w:rPr>
          <w:sz w:val="24"/>
          <w:szCs w:val="24"/>
          <w:lang w:val="en-GB"/>
        </w:rPr>
        <w:t xml:space="preserve">the interpretative rules become applicable. Outside of a context, we can only imagine how these rules would be applied to achieve particular purposes. This is a way of giving a genuine representational status to abstract entities in terms of a “character”.</w:t>
      </w:r>
      <w:r/>
    </w:p>
    <w:p>
      <w:pPr>
        <w:pStyle w:val="1_1989"/>
        <w:rPr>
          <w:sz w:val="24"/>
          <w:szCs w:val="24"/>
          <w:lang w:val="en-GB"/>
        </w:rPr>
      </w:pPr>
      <w:r>
        <w:rPr>
          <w:sz w:val="24"/>
          <w:szCs w:val="24"/>
          <w:lang w:val="en-GB"/>
        </w:rPr>
        <w:t xml:space="preserve">At this point, we can synthesise our final account of epistemic representation:</w:t>
      </w:r>
      <w:r/>
    </w:p>
    <w:p>
      <w:pPr>
        <w:pStyle w:val="618"/>
        <w:numPr>
          <w:ilvl w:val="0"/>
          <w:numId w:val="7"/>
        </w:numPr>
        <w:jc w:val="both"/>
      </w:pPr>
      <w:r>
        <w:rPr>
          <w:sz w:val="24"/>
          <w:szCs w:val="24"/>
          <w:lang w:val="en-GB"/>
        </w:rPr>
        <w:t xml:space="preserve">A concrete vehicle </w:t>
      </w:r>
      <w:r>
        <w:rPr>
          <w:i/>
          <w:iCs/>
          <w:sz w:val="24"/>
          <w:szCs w:val="24"/>
          <w:lang w:val="en-GB"/>
        </w:rPr>
        <w:t xml:space="preserve">V</w:t>
      </w:r>
      <w:r>
        <w:rPr>
          <w:sz w:val="24"/>
          <w:szCs w:val="24"/>
          <w:lang w:val="en-GB"/>
        </w:rPr>
        <w:t xml:space="preserve"> is used by </w:t>
      </w:r>
      <w:r>
        <w:rPr>
          <w:i/>
          <w:iCs/>
          <w:sz w:val="24"/>
          <w:szCs w:val="24"/>
          <w:lang w:val="en-GB"/>
        </w:rPr>
        <w:t xml:space="preserve">U</w:t>
      </w:r>
      <w:r>
        <w:rPr>
          <w:sz w:val="24"/>
          <w:szCs w:val="24"/>
          <w:lang w:val="en-GB"/>
        </w:rPr>
        <w:t xml:space="preserve"> with interpretational rules </w:t>
      </w:r>
      <w:r>
        <w:rPr>
          <w:i/>
          <w:iCs/>
          <w:sz w:val="24"/>
          <w:szCs w:val="24"/>
          <w:lang w:val="en-GB"/>
        </w:rPr>
        <w:t xml:space="preserve">R</w:t>
      </w:r>
      <w:r>
        <w:rPr>
          <w:sz w:val="24"/>
          <w:szCs w:val="24"/>
          <w:lang w:val="en-GB"/>
        </w:rPr>
        <w:t xml:space="preserve"> as an epistemic representation for a set of possible purposes </w:t>
      </w:r>
      <w:r>
        <w:rPr>
          <w:i/>
          <w:iCs/>
          <w:sz w:val="24"/>
          <w:szCs w:val="24"/>
          <w:lang w:val="en-GB"/>
        </w:rPr>
        <w:t xml:space="preserve">P</w:t>
      </w:r>
      <w:r>
        <w:rPr>
          <w:sz w:val="24"/>
          <w:szCs w:val="24"/>
          <w:lang w:val="en-GB"/>
        </w:rPr>
        <w:t xml:space="preserve"> (the “target”) if and only if:</w:t>
      </w:r>
      <w:r/>
    </w:p>
    <w:p>
      <w:pPr>
        <w:pStyle w:val="618"/>
        <w:numPr>
          <w:ilvl w:val="1"/>
          <w:numId w:val="7"/>
        </w:numPr>
        <w:contextualSpacing w:val="true"/>
        <w:ind w:left="1134" w:right="0" w:hanging="340"/>
        <w:jc w:val="both"/>
        <w:spacing w:lineRule="auto" w:line="480" w:after="170" w:before="170"/>
      </w:pPr>
      <w:r>
        <w:rPr>
          <w:i/>
          <w:iCs/>
          <w:sz w:val="24"/>
          <w:szCs w:val="24"/>
          <w:lang w:val="en-GB"/>
        </w:rPr>
        <w:t xml:space="preserve">V</w:t>
      </w:r>
      <w:r>
        <w:rPr>
          <w:sz w:val="24"/>
          <w:szCs w:val="24"/>
          <w:lang w:val="en-GB"/>
        </w:rPr>
        <w:t xml:space="preserve"> is capable of inducing complex sequences of mental states (intentions or beliefs) in </w:t>
      </w:r>
      <w:r>
        <w:rPr>
          <w:i/>
          <w:iCs/>
          <w:sz w:val="24"/>
          <w:szCs w:val="24"/>
          <w:lang w:val="en-GB"/>
        </w:rPr>
        <w:t xml:space="preserve">U</w:t>
      </w:r>
      <w:r>
        <w:rPr>
          <w:sz w:val="24"/>
          <w:szCs w:val="24"/>
          <w:lang w:val="en-GB"/>
        </w:rPr>
        <w:t xml:space="preserve">, which can be retrieved systematically by using </w:t>
      </w:r>
      <w:r>
        <w:rPr>
          <w:i/>
          <w:iCs/>
          <w:sz w:val="24"/>
          <w:szCs w:val="24"/>
          <w:lang w:val="en-GB"/>
        </w:rPr>
        <w:t xml:space="preserve">R </w:t>
      </w:r>
      <w:r>
        <w:rPr>
          <w:i w:val="false"/>
          <w:iCs w:val="false"/>
          <w:sz w:val="24"/>
          <w:szCs w:val="24"/>
          <w:lang w:val="en-GB"/>
        </w:rPr>
        <w:t xml:space="preserve">(clauses a, d and e of section 4)</w:t>
      </w:r>
      <w:r>
        <w:rPr>
          <w:sz w:val="24"/>
          <w:szCs w:val="24"/>
          <w:lang w:val="en-GB"/>
        </w:rPr>
        <w:t xml:space="preserve">, and</w:t>
      </w:r>
      <w:r/>
    </w:p>
    <w:p>
      <w:pPr>
        <w:pStyle w:val="618"/>
        <w:numPr>
          <w:ilvl w:val="1"/>
          <w:numId w:val="7"/>
        </w:numPr>
        <w:contextualSpacing w:val="true"/>
        <w:ind w:left="1134" w:right="0" w:hanging="340"/>
        <w:jc w:val="both"/>
        <w:spacing w:lineRule="auto" w:line="480" w:after="170" w:before="170"/>
      </w:pPr>
      <w:r>
        <w:rPr>
          <w:i/>
          <w:iCs/>
          <w:sz w:val="24"/>
          <w:szCs w:val="24"/>
          <w:lang w:val="en-GB"/>
        </w:rPr>
        <w:t xml:space="preserve">U</w:t>
      </w:r>
      <w:r>
        <w:rPr>
          <w:sz w:val="24"/>
          <w:szCs w:val="24"/>
          <w:lang w:val="en-GB"/>
        </w:rPr>
        <w:t xml:space="preserve"> assumes or pretends that inducing these mental states with adapted rules is a reliable means of achieving any possible purpose within </w:t>
      </w:r>
      <w:r>
        <w:rPr>
          <w:i/>
          <w:iCs/>
          <w:sz w:val="24"/>
          <w:szCs w:val="24"/>
          <w:lang w:val="en-GB"/>
        </w:rPr>
        <w:t xml:space="preserve">P </w:t>
      </w:r>
      <w:r>
        <w:rPr>
          <w:i w:val="false"/>
          <w:iCs w:val="false"/>
          <w:sz w:val="24"/>
          <w:szCs w:val="24"/>
          <w:lang w:val="en-GB"/>
        </w:rPr>
        <w:t xml:space="preserve">(clauses b and c)</w:t>
      </w:r>
      <w:r>
        <w:rPr>
          <w:sz w:val="24"/>
          <w:szCs w:val="24"/>
          <w:lang w:val="en-GB"/>
        </w:rPr>
        <w:t xml:space="preserve">.</w:t>
      </w:r>
      <w:r/>
    </w:p>
    <w:p>
      <w:pPr>
        <w:pStyle w:val="618"/>
        <w:numPr>
          <w:ilvl w:val="0"/>
          <w:numId w:val="7"/>
        </w:numPr>
      </w:pPr>
      <w:r>
        <w:rPr>
          <w:sz w:val="24"/>
          <w:szCs w:val="24"/>
          <w:lang w:val="en-GB"/>
        </w:rPr>
        <w:t xml:space="preserve">An abstract symbolic structure </w:t>
      </w:r>
      <w:r>
        <w:rPr>
          <w:i/>
          <w:iCs/>
          <w:sz w:val="24"/>
          <w:szCs w:val="24"/>
          <w:lang w:val="en-GB"/>
        </w:rPr>
        <w:t xml:space="preserve">S</w:t>
      </w:r>
      <w:r>
        <w:rPr>
          <w:sz w:val="24"/>
          <w:szCs w:val="24"/>
          <w:lang w:val="en-GB"/>
        </w:rPr>
        <w:t xml:space="preserve"> is an epistemic representation for a set of </w:t>
      </w:r>
      <w:r>
        <w:rPr>
          <w:i/>
          <w:iCs/>
          <w:sz w:val="24"/>
          <w:szCs w:val="24"/>
          <w:lang w:val="en-GB"/>
        </w:rPr>
        <w:t xml:space="preserve">indexical</w:t>
      </w:r>
      <w:r>
        <w:rPr>
          <w:sz w:val="24"/>
          <w:szCs w:val="24"/>
          <w:lang w:val="en-GB"/>
        </w:rPr>
        <w:t xml:space="preserve"> purposes </w:t>
      </w:r>
      <w:r>
        <w:rPr>
          <w:i/>
          <w:iCs/>
          <w:sz w:val="24"/>
          <w:szCs w:val="24"/>
          <w:lang w:val="en-GB"/>
        </w:rPr>
        <w:t xml:space="preserve">P*</w:t>
      </w:r>
      <w:r>
        <w:rPr>
          <w:sz w:val="24"/>
          <w:szCs w:val="24"/>
          <w:lang w:val="en-GB"/>
        </w:rPr>
        <w:t xml:space="preserve"> and </w:t>
      </w:r>
      <w:r>
        <w:rPr>
          <w:i/>
          <w:iCs/>
          <w:sz w:val="24"/>
          <w:szCs w:val="24"/>
          <w:lang w:val="en-GB"/>
        </w:rPr>
        <w:t xml:space="preserve">indexical</w:t>
      </w:r>
      <w:r>
        <w:rPr>
          <w:sz w:val="24"/>
          <w:szCs w:val="24"/>
          <w:lang w:val="en-GB"/>
        </w:rPr>
        <w:t xml:space="preserve"> rules </w:t>
      </w:r>
      <w:r>
        <w:rPr>
          <w:i/>
          <w:iCs/>
          <w:sz w:val="24"/>
          <w:szCs w:val="24"/>
          <w:lang w:val="en-GB"/>
        </w:rPr>
        <w:t xml:space="preserve">R*</w:t>
      </w:r>
      <w:r>
        <w:rPr>
          <w:sz w:val="24"/>
          <w:szCs w:val="24"/>
          <w:lang w:val="en-GB"/>
        </w:rPr>
        <w:t xml:space="preserve"> within a community </w:t>
      </w:r>
      <w:r>
        <w:rPr>
          <w:i/>
          <w:iCs/>
          <w:sz w:val="24"/>
          <w:szCs w:val="24"/>
          <w:lang w:val="en-GB"/>
        </w:rPr>
        <w:t xml:space="preserve">K</w:t>
      </w:r>
      <w:r>
        <w:rPr>
          <w:sz w:val="24"/>
          <w:szCs w:val="24"/>
          <w:lang w:val="en-GB"/>
        </w:rPr>
        <w:t xml:space="preserve"> if and only if it is considered appropriate or optimal for any member </w:t>
      </w:r>
      <w:r>
        <w:rPr>
          <w:i/>
          <w:iCs/>
          <w:sz w:val="24"/>
          <w:szCs w:val="24"/>
          <w:lang w:val="en-GB"/>
        </w:rPr>
        <w:t xml:space="preserve">U</w:t>
      </w:r>
      <w:r>
        <w:rPr>
          <w:sz w:val="24"/>
          <w:szCs w:val="24"/>
          <w:lang w:val="en-GB"/>
        </w:rPr>
        <w:t xml:space="preserve"> of </w:t>
      </w:r>
      <w:r>
        <w:rPr>
          <w:i/>
          <w:iCs/>
          <w:sz w:val="24"/>
          <w:szCs w:val="24"/>
          <w:lang w:val="en-GB"/>
        </w:rPr>
        <w:t xml:space="preserve">K</w:t>
      </w:r>
      <w:r>
        <w:rPr>
          <w:sz w:val="24"/>
          <w:szCs w:val="24"/>
          <w:lang w:val="en-GB"/>
        </w:rPr>
        <w:t xml:space="preserve">, in any context </w:t>
      </w:r>
      <w:r>
        <w:rPr>
          <w:i/>
          <w:iCs/>
          <w:sz w:val="24"/>
          <w:szCs w:val="24"/>
          <w:lang w:val="en-GB"/>
        </w:rPr>
        <w:t xml:space="preserve">C</w:t>
      </w:r>
      <w:r>
        <w:rPr>
          <w:i w:val="false"/>
          <w:iCs w:val="false"/>
          <w:sz w:val="24"/>
          <w:szCs w:val="24"/>
          <w:lang w:val="en-GB"/>
        </w:rPr>
        <w:t xml:space="preserve">,</w:t>
      </w:r>
      <w:r>
        <w:rPr>
          <w:sz w:val="24"/>
          <w:szCs w:val="24"/>
          <w:lang w:val="en-GB"/>
        </w:rPr>
        <w:t xml:space="preserve"> to use a vehicle instantiating or describing </w:t>
      </w:r>
      <w:r>
        <w:rPr>
          <w:i/>
          <w:iCs/>
          <w:sz w:val="24"/>
          <w:szCs w:val="24"/>
          <w:lang w:val="en-GB"/>
        </w:rPr>
        <w:t xml:space="preserve">S</w:t>
      </w:r>
      <w:r>
        <w:rPr>
          <w:sz w:val="24"/>
          <w:szCs w:val="24"/>
          <w:lang w:val="en-GB"/>
        </w:rPr>
        <w:t xml:space="preserve"> with rules </w:t>
      </w:r>
      <w:r>
        <w:rPr>
          <w:i/>
          <w:iCs/>
          <w:sz w:val="24"/>
          <w:szCs w:val="24"/>
          <w:lang w:val="en-GB"/>
        </w:rPr>
        <w:t xml:space="preserve">R*(C)</w:t>
      </w:r>
      <w:r>
        <w:rPr>
          <w:sz w:val="24"/>
          <w:szCs w:val="24"/>
          <w:lang w:val="en-GB"/>
        </w:rPr>
        <w:t xml:space="preserve"> as an epistemic representation for purposes </w:t>
      </w:r>
      <w:r>
        <w:rPr>
          <w:i/>
          <w:iCs/>
          <w:sz w:val="24"/>
          <w:szCs w:val="24"/>
          <w:lang w:val="en-GB"/>
        </w:rPr>
        <w:t xml:space="preserve">P*(C).</w:t>
      </w:r>
      <w:r/>
    </w:p>
    <w:p>
      <w:pPr>
        <w:pStyle w:val="1_1989"/>
      </w:pPr>
      <w:r>
        <w:rPr>
          <w:sz w:val="24"/>
          <w:szCs w:val="24"/>
          <w:lang w:val="en-GB"/>
        </w:rPr>
        <w:t xml:space="preserve">I have argued that this conception does not fall prey to the criticisms of section </w:t>
      </w:r>
      <w:r>
        <w:rPr>
          <w:sz w:val="24"/>
          <w:szCs w:val="24"/>
        </w:rPr>
        <w:fldChar w:fldCharType="begin"/>
      </w:r>
      <w:r>
        <w:rPr>
          <w:sz w:val="24"/>
          <w:szCs w:val="24"/>
        </w:rPr>
        <w:instrText xml:space="preserve"> REF __RefHeading___Toc1139_3930323596 \n \h </w:instrText>
      </w:r>
      <w:r>
        <w:rPr>
          <w:sz w:val="24"/>
          <w:szCs w:val="24"/>
        </w:rPr>
        <w:fldChar w:fldCharType="separate"/>
      </w:r>
      <w:r>
        <w:rPr>
          <w:sz w:val="24"/>
          <w:szCs w:val="24"/>
        </w:rPr>
        <w:t xml:space="preserve">2</w:t>
      </w:r>
      <w:r>
        <w:rPr>
          <w:sz w:val="24"/>
          <w:szCs w:val="24"/>
        </w:rPr>
        <w:fldChar w:fldCharType="end"/>
      </w:r>
      <w:r>
        <w:rPr>
          <w:sz w:val="24"/>
          <w:szCs w:val="24"/>
          <w:lang w:val="en-GB"/>
        </w:rPr>
        <w:t xml:space="preserve">. It also fulfils one of the main desiderata of any account of representation at both levels: the possibility of misrepresentation. This is so because the fact that </w:t>
      </w:r>
      <w:r>
        <w:rPr>
          <w:i/>
          <w:iCs/>
          <w:sz w:val="24"/>
          <w:szCs w:val="24"/>
          <w:lang w:val="en-GB"/>
        </w:rPr>
        <w:t xml:space="preserve">U</w:t>
      </w:r>
      <w:r>
        <w:rPr>
          <w:sz w:val="24"/>
          <w:szCs w:val="24"/>
          <w:lang w:val="en-GB"/>
        </w:rPr>
        <w:t xml:space="preserve"> assumes that the vehicle is reliable does not entail that it is, even less so if </w:t>
      </w:r>
      <w:r>
        <w:rPr>
          <w:i/>
          <w:iCs/>
          <w:sz w:val="24"/>
          <w:szCs w:val="24"/>
          <w:lang w:val="en-GB"/>
        </w:rPr>
        <w:t xml:space="preserve">U</w:t>
      </w:r>
      <w:r>
        <w:rPr>
          <w:sz w:val="24"/>
          <w:szCs w:val="24"/>
          <w:lang w:val="en-GB"/>
        </w:rPr>
        <w:t xml:space="preserve"> only pretends this, and the same goes for the fact that the representation is considered optimal within a community (although </w:t>
      </w:r>
      <w:r>
        <w:rPr>
          <w:rFonts w:cs="Lohit Devanagari" w:eastAsia="Noto Sans CJK SC Regular"/>
          <w:color w:val="auto"/>
          <w:sz w:val="24"/>
          <w:szCs w:val="24"/>
          <w:lang w:val="en-GB" w:bidi="hi-IN" w:eastAsia="zh-CN"/>
        </w:rPr>
        <w:t xml:space="preserve">reliability does play a role at this stage, perfect reliability is not necessarily a condition for being licensed by the community)</w:t>
      </w:r>
      <w:r>
        <w:rPr>
          <w:sz w:val="24"/>
          <w:szCs w:val="24"/>
          <w:lang w:val="en-GB"/>
        </w:rPr>
        <w:t xml:space="preserve">. This accou</w:t>
      </w:r>
      <w:r>
        <w:rPr>
          <w:sz w:val="24"/>
          <w:szCs w:val="24"/>
          <w:lang w:val="en-GB"/>
        </w:rPr>
        <w:t xml:space="preserve">nt is consistent with many aspects recently emphasised in the literature on scientific representation, notably the role of users, purposes, communal norms and contexts. It has the unique virtue of making explicit the articulation between all these aspects.</w:t>
      </w:r>
      <w:r/>
    </w:p>
    <w:p>
      <w:pPr>
        <w:pStyle w:val="602"/>
        <w:numPr>
          <w:ilvl w:val="0"/>
          <w:numId w:val="2"/>
        </w:numPr>
        <w:rPr>
          <w:lang w:val="en-GB"/>
        </w:rPr>
      </w:pPr>
      <w:r/>
      <w:bookmarkStart w:id="5" w:name="__RefHeading___Toc1147_3930323596"/>
      <w:r/>
      <w:bookmarkEnd w:id="5"/>
      <w:r>
        <w:rPr>
          <w:lang w:val="en-GB"/>
        </w:rPr>
        <w:t xml:space="preserve">From Epistemic to Scientific Representation</w:t>
      </w:r>
      <w:r/>
    </w:p>
    <w:p>
      <w:pPr>
        <w:pStyle w:val="622"/>
        <w:rPr>
          <w:sz w:val="24"/>
          <w:szCs w:val="24"/>
          <w:lang w:val="en-GB"/>
        </w:rPr>
      </w:pPr>
      <w:r>
        <w:rPr>
          <w:sz w:val="24"/>
          <w:szCs w:val="24"/>
          <w:lang w:val="en-GB"/>
        </w:rPr>
        <w:t xml:space="preserve">Scient</w:t>
      </w:r>
      <w:r>
        <w:rPr>
          <w:sz w:val="24"/>
          <w:szCs w:val="24"/>
          <w:lang w:val="en-GB"/>
        </w:rPr>
        <w:t xml:space="preserve">ific vehicles, such as theoretical models, are epistemic vehicles, but do they have particularities that make them distinctively scientific? Callender and Cohen think that this question boils down to the pragmatic problem of delimiting scientific activity.</w:t>
      </w:r>
      <w:r/>
    </w:p>
    <w:p>
      <w:pPr>
        <w:pStyle w:val="1_1989"/>
      </w:pPr>
      <w:r>
        <w:rPr>
          <w:sz w:val="24"/>
          <w:szCs w:val="24"/>
          <w:lang w:val="en-GB"/>
        </w:rPr>
        <w:t xml:space="preserve">I have mentioned various criticisms of this idea, to the effect that some aspects would be constitutive of scientific representation rather than merely pragmatic. However, all thes</w:t>
      </w:r>
      <w:r>
        <w:rPr>
          <w:sz w:val="24"/>
          <w:szCs w:val="24"/>
          <w:lang w:val="en-GB"/>
        </w:rPr>
        <w:t xml:space="preserve">e specificities apparently concern the fact that scientific representation is epistemic. Since we now have an account of epistemic representation, it is not clear that the particularities of science will be anything more than pragmatic features: whichever </w:t>
      </w:r>
      <w:r>
        <w:rPr>
          <w:i/>
          <w:iCs/>
          <w:sz w:val="24"/>
          <w:szCs w:val="24"/>
          <w:lang w:val="en-GB"/>
        </w:rPr>
        <w:t xml:space="preserve">epistemic</w:t>
      </w:r>
      <w:r>
        <w:rPr>
          <w:sz w:val="24"/>
          <w:szCs w:val="24"/>
          <w:lang w:val="en-GB"/>
        </w:rPr>
        <w:t xml:space="preserve"> vehicles are found useful or appropriate by the scientific community. One reaso</w:t>
      </w:r>
      <w:r>
        <w:rPr>
          <w:sz w:val="24"/>
          <w:szCs w:val="24"/>
          <w:lang w:val="en-GB"/>
        </w:rPr>
        <w:t xml:space="preserve">n to think that this is the case is that there is a wide variety of representational devices in science (equations, diagrams, images, etc.) across very different disciplines (economics, biology, physics). These representational devices do not seem to have </w:t>
      </w:r>
      <w:r>
        <w:rPr>
          <w:sz w:val="24"/>
          <w:szCs w:val="24"/>
          <w:lang w:val="en-GB"/>
        </w:rPr>
        <w:t xml:space="preserve">much in common, apart from the fact that they are epistemic. Another reason is that many types of representational devices used in science, such as maps and diagrams, are also used outside of science, so that the prospect of a clear demarcation seems moot.</w:t>
      </w:r>
      <w:r/>
    </w:p>
    <w:p>
      <w:pPr>
        <w:pStyle w:val="1_1989"/>
      </w:pPr>
      <w:r>
        <w:rPr>
          <w:sz w:val="24"/>
          <w:szCs w:val="24"/>
          <w:lang w:val="en-GB"/>
        </w:rPr>
        <w:t xml:space="preserve">One characteristic of scientific models is that they are often un</w:t>
      </w:r>
      <w:r>
        <w:rPr>
          <w:sz w:val="24"/>
          <w:szCs w:val="24"/>
          <w:lang w:val="en-GB"/>
        </w:rPr>
        <w:t xml:space="preserve">ified in a theoretical framework. But this is not always the case, and models have relative autonomy from theories (Morgan and Morrison 1999). In any case, the theoretical framework could be understood as part of the communal prescriptions for “optimality”</w:t>
      </w:r>
      <w:r>
        <w:rPr>
          <w:sz w:val="24"/>
          <w:szCs w:val="24"/>
          <w:lang w:val="en-GB"/>
        </w:rPr>
        <w:t xml:space="preserve">, constraining the licensing of particular vehicles: in order to model this type of phenomenon, one should use this type of model. This could be explained further in terms of the communal epistemic values of science, in particular, theoretical unification.</w:t>
      </w:r>
      <w:r/>
    </w:p>
    <w:p>
      <w:pPr>
        <w:pStyle w:val="1_1989"/>
      </w:pPr>
      <w:r>
        <w:rPr>
          <w:sz w:val="24"/>
          <w:szCs w:val="24"/>
          <w:lang w:val="en-GB"/>
        </w:rPr>
        <w:t xml:space="preserve">We could also characterise science by its hypothetical nature. Scientific models often function as hypotheses to explain phenomena. In the map narrative of section </w:t>
      </w:r>
      <w:r>
        <w:rPr>
          <w:sz w:val="24"/>
          <w:szCs w:val="24"/>
        </w:rPr>
        <w:fldChar w:fldCharType="begin"/>
      </w:r>
      <w:r>
        <w:rPr>
          <w:sz w:val="24"/>
          <w:szCs w:val="24"/>
        </w:rPr>
        <w:instrText xml:space="preserve"> REF __RefHeading___Toc1143_3930323596 \n \h </w:instrText>
      </w:r>
      <w:r>
        <w:rPr>
          <w:sz w:val="24"/>
          <w:szCs w:val="24"/>
        </w:rPr>
        <w:fldChar w:fldCharType="separate"/>
      </w:r>
      <w:r>
        <w:rPr>
          <w:sz w:val="24"/>
          <w:szCs w:val="24"/>
        </w:rPr>
        <w:t xml:space="preserve">4</w:t>
      </w:r>
      <w:r>
        <w:rPr>
          <w:sz w:val="24"/>
          <w:szCs w:val="24"/>
        </w:rPr>
        <w:fldChar w:fldCharType="end"/>
      </w:r>
      <w:r>
        <w:rPr>
          <w:sz w:val="24"/>
          <w:szCs w:val="24"/>
          <w:lang w:val="en-GB"/>
        </w:rPr>
        <w:t xml:space="preserve">, the mental states induced by the representation (“turn left” or “turn right”) are entirely controlled by the producer of the map, who seems to know the city perfec</w:t>
      </w:r>
      <w:r>
        <w:rPr>
          <w:sz w:val="24"/>
          <w:szCs w:val="24"/>
          <w:lang w:val="en-GB"/>
        </w:rPr>
        <w:t xml:space="preserve">tly well: no hypothesis is involved. But this is an artefact of the narrative that is not required by the final account. In so far as the mental states induced by the representation are not merely listed in the vehicle, but encoded in a minimal structure (</w:t>
      </w:r>
      <w:r>
        <w:rPr>
          <w:sz w:val="24"/>
          <w:szCs w:val="24"/>
          <w:lang w:val="en-GB"/>
        </w:rPr>
        <w:t xml:space="preserve">as per clause (d) of the account), the idea that the producer herself could infer something new from her representation, and take it as hypothetical rather than certain, is not precluded. For example, the producer of a map could observe that paths form par</w:t>
      </w:r>
      <w:r>
        <w:rPr>
          <w:sz w:val="24"/>
          <w:szCs w:val="24"/>
          <w:lang w:val="en-GB"/>
        </w:rPr>
        <w:t xml:space="preserve">t of a grid pattern, and encode this idea in the map, which will result in hypothesising new paths in the city. She could pretend that the hypothesis is true and that the new map is reliable for the sake of an experimental test, thus satisfying clause (b).</w:t>
      </w:r>
      <w:r/>
    </w:p>
    <w:p>
      <w:pPr>
        <w:pStyle w:val="1_1989"/>
      </w:pPr>
      <w:r>
        <w:rPr>
          <w:sz w:val="24"/>
          <w:szCs w:val="24"/>
          <w:lang w:val="en-GB"/>
        </w:rPr>
        <w:t xml:space="preserve">The </w:t>
      </w:r>
      <w:r>
        <w:rPr>
          <w:rFonts w:cs="Lohit Devanagari" w:eastAsia="Noto Sans CJK SC Regular"/>
          <w:color w:val="auto"/>
          <w:sz w:val="24"/>
          <w:szCs w:val="24"/>
          <w:lang w:val="en-GB" w:bidi="hi-IN" w:eastAsia="zh-CN"/>
        </w:rPr>
        <w:t xml:space="preserve">account of epistemic representation provided at the end of section 5 applies quite well to scientific models. Take, for instance, the case of a scien</w:t>
      </w:r>
      <w:r>
        <w:rPr>
          <w:rFonts w:cs="Lohit Devanagari" w:eastAsia="Noto Sans CJK SC Regular"/>
          <w:color w:val="auto"/>
          <w:sz w:val="24"/>
          <w:szCs w:val="24"/>
          <w:lang w:val="en-GB" w:bidi="hi-IN" w:eastAsia="zh-CN"/>
        </w:rPr>
        <w:t xml:space="preserve">tist using a Newtonian model of the solar system. The concrete model is constituted of equations on a paper. The user is capable of inducing sequences of mental states, for example beliefs concerning various aspects of the solar system, using mathematical </w:t>
      </w:r>
      <w:r>
        <w:rPr>
          <w:rFonts w:cs="Lohit Devanagari" w:eastAsia="Noto Sans CJK SC Regular"/>
          <w:color w:val="auto"/>
          <w:sz w:val="24"/>
          <w:szCs w:val="24"/>
          <w:lang w:val="en-GB" w:bidi="hi-IN" w:eastAsia="zh-CN"/>
        </w:rPr>
        <w:t xml:space="preserve">rules. She assumes that this is a reliable means of achieving certain purposes, such as knowing the position of Venus in the sky. Finally, this kind of use is licensed by the community: this is a proper way of using the Newtonian model of the solar system.</w:t>
      </w:r>
      <w:r/>
    </w:p>
    <w:p>
      <w:pPr>
        <w:pStyle w:val="1_1989"/>
      </w:pPr>
      <w:r>
        <w:rPr>
          <w:sz w:val="24"/>
          <w:szCs w:val="24"/>
          <w:lang w:val="en-GB"/>
        </w:rPr>
        <w:t xml:space="preserve">I think that the narrative provided in section 4 could be reproduced to some extent with </w:t>
      </w:r>
      <w:r>
        <w:rPr>
          <w:rFonts w:cs="Lohit Devanagari" w:eastAsia="Noto Sans CJK SC Regular"/>
          <w:color w:val="auto"/>
          <w:sz w:val="24"/>
          <w:szCs w:val="24"/>
          <w:lang w:val="en-GB" w:bidi="hi-IN" w:eastAsia="zh-CN"/>
        </w:rPr>
        <w:t xml:space="preserve">examples like this (where the symbols “turn left” and “turn right” would be replaced by numeric symbols interpreted as “point your telescope in direction x at time t”, for instance). After all, simple predictive models in physics, specifying dynamic</w:t>
      </w:r>
      <w:r>
        <w:rPr>
          <w:rFonts w:cs="Lohit Devanagari" w:eastAsia="Noto Sans CJK SC Regular"/>
          <w:color w:val="auto"/>
          <w:sz w:val="24"/>
          <w:szCs w:val="24"/>
          <w:lang w:val="en-GB" w:bidi="hi-IN" w:eastAsia="zh-CN"/>
        </w:rPr>
        <w:t xml:space="preserve">al transitions between initial and final states, are analogous to maps specifying paths between starting points and destinations. This analogy is developed by van Fraassen (2008), notably with his discussion of self-location (pp. 75-82) and of measurement </w:t>
      </w:r>
      <w:r>
        <w:rPr>
          <w:rFonts w:cs="Lohit Devanagari" w:eastAsia="Noto Sans CJK SC Regular"/>
          <w:color w:val="auto"/>
          <w:sz w:val="24"/>
          <w:szCs w:val="24"/>
          <w:lang w:val="en-GB" w:bidi="hi-IN" w:eastAsia="zh-CN"/>
        </w:rPr>
        <w:t xml:space="preserve">as location in the logical space of a model (ch. 7). Of course, the interpretation of symbols in operational terms, which is required to “locate” physical objects in a logical space and to assess the model adequacy, is much more sophisticated in the case o</w:t>
      </w:r>
      <w:r>
        <w:rPr>
          <w:rFonts w:cs="Lohit Devanagari" w:eastAsia="Noto Sans CJK SC Regular"/>
          <w:color w:val="auto"/>
          <w:sz w:val="24"/>
          <w:szCs w:val="24"/>
          <w:lang w:val="en-GB" w:bidi="hi-IN" w:eastAsia="zh-CN"/>
        </w:rPr>
        <w:t xml:space="preserve">f scientific models than in the case of city maps. This interpretation is often mediated by auxiliary theories or by models of experiments, for instance. But this does not affect the essence of the representation, only the complexity of the rules involved.</w:t>
      </w:r>
      <w:r/>
    </w:p>
    <w:p>
      <w:pPr>
        <w:pStyle w:val="611"/>
        <w:jc w:val="both"/>
      </w:pPr>
      <w:r>
        <w:rPr>
          <w:sz w:val="24"/>
          <w:szCs w:val="24"/>
          <w:lang w:val="en-GB"/>
        </w:rPr>
        <w:t xml:space="preserve">One could object that there is more structure </w:t>
      </w:r>
      <w:r>
        <w:rPr>
          <w:rFonts w:cs="Lohit Devanagari" w:eastAsia="Noto Sans CJK SC Regular"/>
          <w:color w:val="auto"/>
          <w:sz w:val="24"/>
          <w:szCs w:val="24"/>
          <w:lang w:val="en-GB" w:bidi="hi-IN" w:eastAsia="zh-CN"/>
        </w:rPr>
        <w:t xml:space="preserve">in a scientific model than what is required by the narrative proposed i</w:t>
      </w:r>
      <w:r>
        <w:rPr>
          <w:rFonts w:cs="Lohit Devanagari" w:eastAsia="Noto Sans CJK SC Regular"/>
          <w:color w:val="auto"/>
          <w:sz w:val="24"/>
          <w:szCs w:val="24"/>
          <w:lang w:val="en-GB" w:bidi="hi-IN" w:eastAsia="zh-CN"/>
        </w:rPr>
        <w:t xml:space="preserve">n section 4,</w:t>
      </w:r>
      <w:r>
        <w:rPr>
          <w:rFonts w:cs="Lohit Devanagari" w:eastAsia="Noto Sans CJK SC Regular"/>
          <w:color w:val="auto"/>
          <w:sz w:val="24"/>
          <w:szCs w:val="24"/>
          <w:lang w:val="en-GB" w:bidi="hi-IN" w:eastAsia="zh-CN"/>
        </w:rPr>
        <w:t xml:space="preserve"> so maybe a scientific model is more than just a reliable guide to achieve a set of purposes. We can address this objection by looking at Kepler’s laws of planetary motion. Do they merely synthesise the observable trajectories of known planets? Could we re</w:t>
      </w:r>
      <w:r>
        <w:rPr>
          <w:rFonts w:cs="Lohit Devanagari" w:eastAsia="Noto Sans CJK SC Regular"/>
          <w:color w:val="auto"/>
          <w:sz w:val="24"/>
          <w:szCs w:val="24"/>
          <w:lang w:val="en-GB" w:bidi="hi-IN" w:eastAsia="zh-CN"/>
        </w:rPr>
        <w:t xml:space="preserve">ally start from a situation where symbols corresponding to “point your telescope in direction x” are used to a situation where the laws of Kepler are presented, simply by incorporating various possible purposes and synthesising corresponding instructions? </w:t>
      </w:r>
      <w:r/>
    </w:p>
    <w:p>
      <w:pPr>
        <w:pStyle w:val="1_1989"/>
      </w:pPr>
      <w:r>
        <w:rPr>
          <w:rFonts w:cs="Lohit Devanagari" w:eastAsia="Noto Sans CJK SC Regular"/>
          <w:color w:val="auto"/>
          <w:sz w:val="24"/>
          <w:szCs w:val="24"/>
          <w:lang w:val="en-GB" w:bidi="hi-IN" w:eastAsia="zh-CN"/>
        </w:rPr>
        <w:t xml:space="preserve">One aspect of the issue is that Kepler’s laws were not constructed by mere synthesis of observed trajectories, contrarily </w:t>
      </w:r>
      <w:r>
        <w:rPr>
          <w:rFonts w:cs="Lohit Devanagari" w:eastAsia="Noto Sans CJK SC Regular"/>
          <w:color w:val="auto"/>
          <w:sz w:val="24"/>
          <w:szCs w:val="24"/>
          <w:lang w:val="en-GB" w:bidi="hi-IN" w:eastAsia="zh-CN"/>
        </w:rPr>
        <w:t xml:space="preserve">to what the map narrative of section 4 could suggest. They were more probably the result of an inference to the best explanation. However, this narrative is not an account of how epistemic representations are actually constructed, so this is not a problem.</w:t>
      </w:r>
      <w:r/>
    </w:p>
    <w:p>
      <w:pPr>
        <w:pStyle w:val="1_1989"/>
      </w:pPr>
      <w:r>
        <w:rPr>
          <w:rFonts w:cs="Lohit Devanagari" w:eastAsia="Noto Sans CJK SC Regular"/>
          <w:color w:val="auto"/>
          <w:sz w:val="24"/>
          <w:szCs w:val="24"/>
          <w:lang w:val="en-GB" w:bidi="hi-IN" w:eastAsia="zh-CN"/>
        </w:rPr>
        <w:t xml:space="preserve">A more serious problem is that Kepler’s laws contain more than a synthesis of observable trajectories. They are more general, because they relate (among other things) the distance from the Sun and the orbital period of any planet, </w:t>
      </w:r>
      <w:r>
        <w:rPr>
          <w:rFonts w:cs="Lohit Devanagari" w:eastAsia="Noto Sans CJK SC Regular"/>
          <w:i/>
          <w:iCs/>
          <w:color w:val="auto"/>
          <w:sz w:val="24"/>
          <w:szCs w:val="24"/>
          <w:lang w:val="en-GB" w:bidi="hi-IN" w:eastAsia="zh-CN"/>
        </w:rPr>
        <w:t xml:space="preserve">including counterfactual ones</w:t>
      </w:r>
      <w:r>
        <w:rPr>
          <w:rFonts w:cs="Lohit Devanagari" w:eastAsia="Noto Sans CJK SC Regular"/>
          <w:color w:val="auto"/>
          <w:sz w:val="24"/>
          <w:szCs w:val="24"/>
          <w:lang w:val="en-GB" w:bidi="hi-IN" w:eastAsia="zh-CN"/>
        </w:rPr>
        <w:t xml:space="preserve">. The laws do not specify a particular value for the distance of the planet from the Sun, so they would apply to a counterfactual planet. But this aspect can be accounted for by considering that Kepl</w:t>
      </w:r>
      <w:r>
        <w:rPr>
          <w:rFonts w:cs="Lohit Devanagari" w:eastAsia="Noto Sans CJK SC Regular"/>
          <w:color w:val="auto"/>
          <w:sz w:val="24"/>
          <w:szCs w:val="24"/>
          <w:lang w:val="en-GB" w:bidi="hi-IN" w:eastAsia="zh-CN"/>
        </w:rPr>
        <w:t xml:space="preserve">er’s laws merely enlarge the set of afforded purposes, from knowing the position of one of the known planets at any time (which is what a model like Copernicus’s affords) to knowing the position of any planet that would be salient in any possible context, </w:t>
      </w:r>
      <w:r>
        <w:rPr>
          <w:rFonts w:cs="Lohit Devanagari" w:eastAsia="Noto Sans CJK SC Regular"/>
          <w:i/>
          <w:iCs/>
          <w:color w:val="auto"/>
          <w:sz w:val="24"/>
          <w:szCs w:val="24"/>
          <w:lang w:val="en-GB" w:bidi="hi-IN" w:eastAsia="zh-CN"/>
        </w:rPr>
        <w:t xml:space="preserve">including non-actual contexts</w:t>
      </w:r>
      <w:r>
        <w:rPr>
          <w:rFonts w:cs="Lohit Devanagari" w:eastAsia="Noto Sans CJK SC Regular"/>
          <w:color w:val="auto"/>
          <w:sz w:val="24"/>
          <w:szCs w:val="24"/>
          <w:lang w:val="en-GB" w:bidi="hi-IN" w:eastAsia="zh-CN"/>
        </w:rPr>
        <w:t xml:space="preserve">. This entails that Kepler’s laws are still usable after a new planet is discovered, which is a pragmatic virtue. Another response to this problem would be to claim that Kepler’s laws do not constitute an epistemic m</w:t>
      </w:r>
      <w:r>
        <w:rPr>
          <w:rFonts w:cs="Lohit Devanagari" w:eastAsia="Noto Sans CJK SC Regular"/>
          <w:color w:val="auto"/>
          <w:sz w:val="24"/>
          <w:szCs w:val="24"/>
          <w:lang w:val="en-GB" w:bidi="hi-IN" w:eastAsia="zh-CN"/>
        </w:rPr>
        <w:t xml:space="preserve">odel, but rather a tool for building epistemic models. But the present account is compatible with the idea that abstract laws such as Kepler’s laws do describe an epistemic model, assuming this epistemic model could help us achieve counterfactual purposes.</w:t>
      </w:r>
      <w:r/>
    </w:p>
    <w:p>
      <w:pPr>
        <w:pStyle w:val="1_1989"/>
        <w:rPr>
          <w:sz w:val="24"/>
          <w:szCs w:val="24"/>
          <w:lang w:val="en-GB"/>
        </w:rPr>
      </w:pPr>
      <w:r>
        <w:t xml:space="preserve">So nothing in scientific practice seems to call for an amendment of my account, and once the distinction between epistemic</w:t>
      </w:r>
      <w:r>
        <w:t xml:space="preserve"> and symbolic representation is in place, the specificities of scientific representation can be understood as pragmatic specificities, having to do with the aims shared by members of the scientific community (such as theoretical unification, generality of </w:t>
      </w:r>
      <w:r>
        <w:rPr>
          <w:rFonts w:cs="Lohit Devanagari" w:eastAsia="Noto Sans CJK SC Regular"/>
          <w:color w:val="auto"/>
          <w:sz w:val="24"/>
          <w:szCs w:val="24"/>
          <w:lang w:val="en-GB" w:bidi="hi-IN" w:eastAsia="zh-CN"/>
        </w:rPr>
        <w:t xml:space="preserve">purposes</w:t>
      </w:r>
      <w:r>
        <w:t xml:space="preserve"> and hypothetical reasoning), and what they judge optimal or not for these aims.</w:t>
      </w:r>
      <w:r/>
    </w:p>
    <w:p>
      <w:pPr>
        <w:pStyle w:val="602"/>
        <w:numPr>
          <w:ilvl w:val="0"/>
          <w:numId w:val="2"/>
        </w:numPr>
        <w:rPr>
          <w:lang w:val="en-GB"/>
        </w:rPr>
      </w:pPr>
      <w:r>
        <w:rPr>
          <w:lang w:val="en-GB"/>
        </w:rPr>
        <w:t xml:space="preserve">Conclusion</w:t>
      </w:r>
      <w:r/>
    </w:p>
    <w:p>
      <w:pPr>
        <w:pStyle w:val="622"/>
        <w:rPr>
          <w:sz w:val="24"/>
          <w:szCs w:val="24"/>
          <w:lang w:val="en-GB"/>
        </w:rPr>
      </w:pPr>
      <w:r>
        <w:rPr>
          <w:sz w:val="24"/>
          <w:szCs w:val="24"/>
          <w:lang w:val="en-GB"/>
        </w:rPr>
        <w:t xml:space="preserve">Callender a</w:t>
      </w:r>
      <w:r>
        <w:rPr>
          <w:sz w:val="24"/>
          <w:szCs w:val="24"/>
          <w:lang w:val="en-GB"/>
        </w:rPr>
        <w:t xml:space="preserve">nd Cohen’s project of applying a Gricean strategy to the constitution problem of scientific representation is a very interesting proposal. However, their account makes only superficial use of Grice’s ideas and methods, and falls prey to various criticisms.</w:t>
      </w:r>
      <w:r/>
    </w:p>
    <w:p>
      <w:pPr>
        <w:pStyle w:val="1_1989"/>
        <w:rPr>
          <w:sz w:val="24"/>
          <w:szCs w:val="24"/>
          <w:lang w:val="en-GB"/>
        </w:rPr>
      </w:pPr>
      <w:r>
        <w:rPr>
          <w:sz w:val="24"/>
          <w:szCs w:val="24"/>
          <w:lang w:val="en-GB"/>
        </w:rPr>
        <w:t xml:space="preserve">In this article, I h</w:t>
      </w:r>
      <w:r>
        <w:rPr>
          <w:sz w:val="24"/>
          <w:szCs w:val="24"/>
          <w:lang w:val="en-GB"/>
        </w:rPr>
        <w:t xml:space="preserve">ave proposed to pay more attention to the detail of Grice’s work, and I have transposed it to epistemic representation. This results in a reduction of epistemic representation to mental states that can avoid the criticisms of Callender and Cohen’s account.</w:t>
      </w:r>
      <w:r/>
    </w:p>
    <w:p>
      <w:pPr>
        <w:pStyle w:val="1_1989"/>
      </w:pPr>
      <w:r>
        <w:rPr>
          <w:sz w:val="24"/>
          <w:szCs w:val="24"/>
          <w:lang w:val="en-GB"/>
        </w:rPr>
        <w:t xml:space="preserve">There are </w:t>
      </w:r>
      <w:r>
        <w:rPr>
          <w:sz w:val="24"/>
          <w:szCs w:val="24"/>
          <w:lang w:val="en-GB"/>
        </w:rPr>
        <w:t xml:space="preserve">two main novelties in the resulting conception of epistemic representation. The first one is that the target of representation is not an object, but a set of afforded purposes. The second novelty is a distinction between the contextual epistemic use of a c</w:t>
      </w:r>
      <w:r>
        <w:rPr>
          <w:sz w:val="24"/>
          <w:szCs w:val="24"/>
          <w:lang w:val="en-GB"/>
        </w:rPr>
        <w:t xml:space="preserve">oncrete vehicle and the general epistemic status of an abstract representation. The former is tied to the user’s mental states, in particular her attitudes towards the reliability of the vehicle for achieving certain purposes, while the latter has to do wi</w:t>
      </w:r>
      <w:r>
        <w:rPr>
          <w:sz w:val="24"/>
          <w:szCs w:val="24"/>
          <w:lang w:val="en-GB"/>
        </w:rPr>
        <w:t xml:space="preserve">th communal licensing of particular uses and their optimality. This important distinction, which is missing in contemporary discussions, could shed light on a number of controversies (for example, between morphism and similarity accounts of representation </w:t>
      </w:r>
      <w:r>
        <w:rPr>
          <w:rFonts w:cs="Lohit Devanagari" w:eastAsia="Noto Sans CJK SC Regular"/>
          <w:color w:val="auto"/>
          <w:sz w:val="24"/>
          <w:szCs w:val="24"/>
          <w:lang w:val="en-GB" w:bidi="hi-IN" w:eastAsia="zh-CN"/>
        </w:rPr>
        <w:t xml:space="preserve">(Giere 1991; Bueno and French 2011)</w:t>
      </w:r>
      <w:r>
        <w:rPr>
          <w:sz w:val="24"/>
          <w:szCs w:val="24"/>
          <w:lang w:val="en-GB"/>
        </w:rPr>
        <w:t xml:space="preserve">, apparently focused on norms of optimality, and their critics </w:t>
      </w:r>
      <w:r>
        <w:rPr>
          <w:rFonts w:cs="Lohit Devanagari" w:eastAsia="Noto Sans CJK SC Regular"/>
          <w:b w:val="false"/>
          <w:i w:val="false"/>
          <w:caps w:val="false"/>
          <w:smallCaps w:val="false"/>
          <w:color w:val="auto"/>
          <w:position w:val="0"/>
          <w:sz w:val="24"/>
          <w:szCs w:val="24"/>
          <w:u w:val="none"/>
          <w:vertAlign w:val="baseline"/>
          <w:lang w:val="en-GB" w:bidi="hi-IN" w:eastAsia="zh-CN"/>
        </w:rPr>
        <w:t xml:space="preserve">(Suárez 2003)</w:t>
      </w:r>
      <w:r>
        <w:rPr>
          <w:sz w:val="24"/>
          <w:szCs w:val="24"/>
          <w:lang w:val="en-GB"/>
        </w:rPr>
        <w:t xml:space="preserve">, </w:t>
      </w:r>
      <w:r>
        <w:rPr>
          <w:rFonts w:cs="Lohit Devanagari" w:eastAsia="Noto Sans CJK SC Regular"/>
          <w:color w:val="auto"/>
          <w:sz w:val="24"/>
          <w:szCs w:val="24"/>
          <w:lang w:val="en-GB" w:bidi="hi-IN" w:eastAsia="zh-CN"/>
        </w:rPr>
        <w:t xml:space="preserve">who</w:t>
      </w:r>
      <w:r>
        <w:rPr>
          <w:sz w:val="24"/>
          <w:szCs w:val="24"/>
          <w:lang w:val="en-GB"/>
        </w:rPr>
        <w:t xml:space="preserve"> </w:t>
      </w:r>
      <w:r>
        <w:rPr>
          <w:sz w:val="24"/>
          <w:szCs w:val="24"/>
          <w:lang w:val="en-GB"/>
        </w:rPr>
        <w:t xml:space="preserve">seem more focused on contextual use). It explains how abstract structures can have representational status outside of a context, and clarifies the connection between concrete vehicles and abstract structures, which can be analysed in terms of indexicality.</w:t>
      </w:r>
      <w:r/>
    </w:p>
    <w:p>
      <w:pPr>
        <w:pStyle w:val="1_1989"/>
      </w:pPr>
      <w:r>
        <w:rPr>
          <w:sz w:val="24"/>
          <w:szCs w:val="24"/>
          <w:lang w:val="en-GB"/>
        </w:rPr>
        <w:t xml:space="preserve">The consequence of this account is that indeed, as Callender and Cohen claim, </w:t>
      </w:r>
      <w:r>
        <w:rPr>
          <w:rFonts w:cs="Lohit Devanagari" w:eastAsia="Noto Sans CJK SC Regular"/>
          <w:color w:val="auto"/>
          <w:sz w:val="24"/>
          <w:szCs w:val="24"/>
          <w:lang w:val="en-GB" w:bidi="hi-IN" w:eastAsia="zh-CN"/>
        </w:rPr>
        <w:t xml:space="preserve">t</w:t>
      </w:r>
      <w:r>
        <w:rPr>
          <w:sz w:val="24"/>
          <w:szCs w:val="24"/>
          <w:lang w:val="en-GB"/>
        </w:rPr>
        <w:t xml:space="preserve">he relation between vehicles and targets of epistemic representation in particular contextual uses can be accoun</w:t>
      </w:r>
      <w:r>
        <w:rPr>
          <w:sz w:val="24"/>
          <w:szCs w:val="24"/>
          <w:lang w:val="en-GB"/>
        </w:rPr>
        <w:t xml:space="preserve">ted for in terms of the mental states of the user, thus delegating the deep issues to the philosophy of mind. However, this reduction is less trivial than the one provided by Callender and Cohen, and it distinguishes symbolic and epistemic representation. </w:t>
      </w:r>
      <w:r>
        <w:rPr>
          <w:rFonts w:cs="Lohit Devanagari" w:eastAsia="Noto Sans CJK SC Regular"/>
          <w:color w:val="auto"/>
          <w:sz w:val="24"/>
          <w:szCs w:val="24"/>
          <w:lang w:val="en-GB" w:bidi="hi-IN" w:eastAsia="zh-CN"/>
        </w:rPr>
        <w:t xml:space="preserve">Furthermore</w:t>
      </w:r>
      <w:r>
        <w:rPr>
          <w:sz w:val="24"/>
          <w:szCs w:val="24"/>
          <w:lang w:val="en-GB"/>
        </w:rPr>
        <w:t xml:space="preserve">, </w:t>
      </w:r>
      <w:r>
        <w:rPr>
          <w:rFonts w:cs="Lohit Devanagari" w:eastAsia="Noto Sans CJK SC Regular"/>
          <w:color w:val="auto"/>
          <w:sz w:val="24"/>
          <w:szCs w:val="24"/>
          <w:lang w:val="en-GB" w:bidi="hi-IN" w:eastAsia="zh-CN"/>
        </w:rPr>
        <w:t xml:space="preserve">contextual use</w:t>
      </w:r>
      <w:r>
        <w:rPr>
          <w:sz w:val="24"/>
          <w:szCs w:val="24"/>
          <w:lang w:val="en-GB"/>
        </w:rPr>
        <w:t xml:space="preserve"> is only one </w:t>
      </w:r>
      <w:r>
        <w:rPr>
          <w:rFonts w:cs="Lohit Devanagari" w:eastAsia="Noto Sans CJK SC Regular"/>
          <w:color w:val="auto"/>
          <w:sz w:val="24"/>
          <w:szCs w:val="24"/>
          <w:lang w:val="en-GB" w:bidi="hi-IN" w:eastAsia="zh-CN"/>
        </w:rPr>
        <w:t xml:space="preserve">aspect</w:t>
      </w:r>
      <w:r>
        <w:rPr>
          <w:sz w:val="24"/>
          <w:szCs w:val="24"/>
          <w:lang w:val="en-GB"/>
        </w:rPr>
        <w:t xml:space="preserve"> of scientific representation. The other aspect</w:t>
      </w:r>
      <w:r>
        <w:rPr>
          <w:rFonts w:cs="Lohit Devanagari" w:eastAsia="Noto Sans CJK SC Regular"/>
          <w:color w:val="auto"/>
          <w:sz w:val="24"/>
          <w:szCs w:val="24"/>
          <w:lang w:val="en-GB" w:bidi="hi-IN" w:eastAsia="zh-CN"/>
        </w:rPr>
        <w:t xml:space="preserve"> involves communal values, which are not reducible to the mental states of particular users.</w:t>
      </w:r>
      <w:r>
        <w:rPr>
          <w:sz w:val="24"/>
          <w:szCs w:val="24"/>
          <w:lang w:val="en-GB"/>
        </w:rPr>
        <w:t xml:space="preserve"> What remains specific to science is which types of </w:t>
      </w:r>
      <w:r>
        <w:rPr>
          <w:sz w:val="24"/>
          <w:szCs w:val="24"/>
          <w:lang w:val="en-GB"/>
        </w:rPr>
        <w:t xml:space="preserve">epistemic </w:t>
      </w:r>
      <w:r>
        <w:rPr>
          <w:sz w:val="24"/>
          <w:szCs w:val="24"/>
          <w:lang w:val="en-GB"/>
        </w:rPr>
        <w:t xml:space="preserve">vehicles are considered appropriate and optimal within the scientific community for particular uses. Presumably, this depends on the values that bring together and animate the members of this community.</w:t>
      </w:r>
      <w:r/>
    </w:p>
    <w:p>
      <w:pPr>
        <w:shd w:val="nil" w:color="auto" w:fill="FFFFFF"/>
        <w:rPr>
          <w:lang w:val="en-GB"/>
        </w:rPr>
      </w:pPr>
      <w:r>
        <w:rPr>
          <w:lang w:val="en-GB"/>
        </w:rPr>
        <w:br w:type="page"/>
      </w:r>
      <w:r/>
    </w:p>
    <w:p>
      <w:pPr>
        <w:pStyle w:val="602"/>
        <w:numPr>
          <w:ilvl w:val="0"/>
          <w:numId w:val="0"/>
        </w:numPr>
        <w:ind w:left="0" w:right="0" w:firstLine="0"/>
        <w:rPr>
          <w:lang w:val="en-GB"/>
        </w:rPr>
      </w:pPr>
      <w:r>
        <w:rPr>
          <w:lang w:val="en-GB"/>
        </w:rPr>
        <w:t xml:space="preserve">References</w:t>
      </w:r>
      <w:r/>
    </w:p>
    <w:p>
      <w:pPr>
        <w:sectPr>
          <w:footerReference w:type="default" r:id="rId8"/>
          <w:footnotePr/>
          <w:type w:val="nextPage"/>
          <w:pgSz w:w="11906" w:h="16838" w:orient="portrait"/>
          <w:pgMar w:top="2268" w:right="1417" w:bottom="2804" w:left="1701" w:header="0" w:footer="2268"/>
          <w:cols w:num="1" w:sep="0" w:space="1701" w:equalWidth="1"/>
          <w:docGrid w:linePitch="360"/>
        </w:sectPr>
      </w:pPr>
      <w:r/>
      <w:r/>
    </w:p>
    <w:p>
      <w:pPr>
        <w:pStyle w:val="623"/>
      </w:pPr>
      <w:r>
        <w:t xml:space="preserve">Bailer-Jones, Daniela M. 2003. “When Scientific Models Represent.” </w:t>
      </w:r>
      <w:r>
        <w:rPr>
          <w:i/>
        </w:rPr>
        <w:t xml:space="preserve">International Studies in the Philosophy of Science</w:t>
      </w:r>
      <w:r>
        <w:t xml:space="preserve"> 17 (1): 59–74. https://doi.org/10.1080/02698590305238.</w:t>
      </w:r>
      <w:r/>
    </w:p>
    <w:p>
      <w:pPr>
        <w:pStyle w:val="623"/>
      </w:pPr>
      <w:r>
        <w:t xml:space="preserve">Boesch, Brandon. 2017. “There Is a Special Problem of Scientific Representation.” </w:t>
      </w:r>
      <w:r>
        <w:rPr>
          <w:i/>
        </w:rPr>
        <w:t xml:space="preserve">Philosophy of Science</w:t>
      </w:r>
      <w:r>
        <w:t xml:space="preserve"> 84 (5): 970–981.</w:t>
      </w:r>
      <w:r/>
    </w:p>
    <w:p>
      <w:pPr>
        <w:pStyle w:val="623"/>
      </w:pPr>
      <w:r>
        <w:t xml:space="preserve">Bueno, Otavio, and Steven French. 2011. “How Theories Represent.” </w:t>
      </w:r>
      <w:r>
        <w:rPr>
          <w:i/>
        </w:rPr>
        <w:t xml:space="preserve">British Journal for the Philosophy of Science</w:t>
      </w:r>
      <w:r>
        <w:t xml:space="preserve"> 62 (4): 857–894.</w:t>
      </w:r>
      <w:r/>
    </w:p>
    <w:p>
      <w:pPr>
        <w:pStyle w:val="623"/>
      </w:pPr>
      <w:r>
        <w:t xml:space="preserve">Callender, Craig, and Jonathan Cohen. 2006. “There Is No Special Problem About Scientific Representation.” </w:t>
      </w:r>
      <w:r>
        <w:rPr>
          <w:i/>
        </w:rPr>
        <w:t xml:space="preserve">Theoria: Revista de Teoría, Historia y Fundamentos de La Ciencia</w:t>
      </w:r>
      <w:r>
        <w:t xml:space="preserve"> 21 (1): 67–85.</w:t>
      </w:r>
      <w:r/>
    </w:p>
    <w:p>
      <w:pPr>
        <w:pStyle w:val="623"/>
      </w:pPr>
      <w:r>
        <w:t xml:space="preserve">Chakravartty, Anjan. 2010. “Informational versus Functional Theories of Scientific Representation.” </w:t>
      </w:r>
      <w:r>
        <w:rPr>
          <w:i/>
        </w:rPr>
        <w:t xml:space="preserve">Synthese</w:t>
      </w:r>
      <w:r>
        <w:t xml:space="preserve"> 172 (2): 197–213. https://doi.org/10.1007/s11229-009-9502-3.</w:t>
      </w:r>
      <w:r/>
    </w:p>
    <w:p>
      <w:pPr>
        <w:pStyle w:val="623"/>
      </w:pPr>
      <w:r>
        <w:t xml:space="preserve">Ducheyne, Steffen. 2012. “Scientific Representations as Limiting Cases.” </w:t>
      </w:r>
      <w:r>
        <w:rPr>
          <w:i/>
        </w:rPr>
        <w:t xml:space="preserve">Erkenntnis</w:t>
      </w:r>
      <w:r>
        <w:t xml:space="preserve"> 76 (1): 73–89. https://doi.org/10.1007/s10670-011-9309-8.</w:t>
      </w:r>
      <w:r/>
    </w:p>
    <w:p>
      <w:pPr>
        <w:pStyle w:val="623"/>
      </w:pPr>
      <w:r>
        <w:t xml:space="preserve">Frigg, Roman, and James Nguyen. 2017. “Scientific Representation Is Representation-As.” In </w:t>
      </w:r>
      <w:r>
        <w:rPr>
          <w:i/>
        </w:rPr>
        <w:t xml:space="preserve">Philosophy of Science in Practice: Nancy Cartwright and the Nature of Scientific Reasoning.</w:t>
      </w:r>
      <w:r>
        <w:t xml:space="preserve">, edited by Hsiang-Ke Chao and Julian Reiss, 149–79. Springer International Publishing.</w:t>
      </w:r>
      <w:r/>
    </w:p>
    <w:p>
      <w:pPr>
        <w:pStyle w:val="623"/>
      </w:pPr>
      <w:r>
        <w:t xml:space="preserve">Giere, Ronald. 1991. “Explaining Science: A Cognitive Approach.” </w:t>
      </w:r>
      <w:r>
        <w:rPr>
          <w:i/>
        </w:rPr>
        <w:t xml:space="preserve">Philosophical Review</w:t>
      </w:r>
      <w:r>
        <w:t xml:space="preserve"> 100 (4): 653–656.</w:t>
      </w:r>
      <w:r/>
    </w:p>
    <w:p>
      <w:pPr>
        <w:pStyle w:val="623"/>
      </w:pPr>
      <w:r>
        <w:t xml:space="preserve">———</w:t>
      </w:r>
      <w:r>
        <w:t xml:space="preserve">. 2004. “How Models Are Used to Represent Reality.” </w:t>
      </w:r>
      <w:r>
        <w:rPr>
          <w:i/>
        </w:rPr>
        <w:t xml:space="preserve">Philosophy of Science</w:t>
      </w:r>
      <w:r>
        <w:t xml:space="preserve"> 71 (5): 742–752.</w:t>
      </w:r>
      <w:r/>
    </w:p>
    <w:p>
      <w:pPr>
        <w:pStyle w:val="623"/>
      </w:pPr>
      <w:r>
        <w:t xml:space="preserve">Grice, H. Paul. 1968. “Utterer’s Meaning, Sentence-Meaning, and Word-Meaning.” </w:t>
      </w:r>
      <w:r>
        <w:rPr>
          <w:i/>
        </w:rPr>
        <w:t xml:space="preserve">Foundations of Language</w:t>
      </w:r>
      <w:r>
        <w:t xml:space="preserve"> 4 (3): 225–42.</w:t>
      </w:r>
      <w:r/>
    </w:p>
    <w:p>
      <w:pPr>
        <w:pStyle w:val="623"/>
      </w:pPr>
      <w:r>
        <w:t xml:space="preserve">———</w:t>
      </w:r>
      <w:r>
        <w:t xml:space="preserve">. 1989. </w:t>
      </w:r>
      <w:r>
        <w:rPr>
          <w:i/>
        </w:rPr>
        <w:t xml:space="preserve">Studies in the Way of Words</w:t>
      </w:r>
      <w:r>
        <w:t xml:space="preserve">. Cambridge, Mass: Harvard University Press.</w:t>
      </w:r>
      <w:r/>
    </w:p>
    <w:p>
      <w:pPr>
        <w:pStyle w:val="623"/>
      </w:pPr>
      <w:r>
        <w:t xml:space="preserve">Kaplan, David. 1989. “Demonstratives: An Essay on the Semantics, Logic, Metaphysics and Epistemology of Demonstratives and Other Indexicals.” In </w:t>
      </w:r>
      <w:r>
        <w:rPr>
          <w:i/>
        </w:rPr>
        <w:t xml:space="preserve">Themes From Kaplan</w:t>
      </w:r>
      <w:r>
        <w:t xml:space="preserve">, edited by Joseph Almog, John Perry, and Howard Wettstein, 481–563. Oxford University Press.</w:t>
      </w:r>
      <w:r/>
    </w:p>
    <w:p>
      <w:pPr>
        <w:pStyle w:val="623"/>
      </w:pPr>
      <w:r>
        <w:t xml:space="preserve">Knuuttila, Tarja, and Mieke Boon. 2011. “How Do Models Give Us Knowledge? The Case of Carnot’s Ideal Heat Engine.” </w:t>
      </w:r>
      <w:r>
        <w:rPr>
          <w:i/>
        </w:rPr>
        <w:t xml:space="preserve">European Journal for Philosophy of Science</w:t>
      </w:r>
      <w:r>
        <w:t xml:space="preserve"> 1 (3): 309–34. https://doi.org/10.1007/s13194-011-0029-3.</w:t>
      </w:r>
      <w:r/>
    </w:p>
    <w:p>
      <w:pPr>
        <w:pStyle w:val="623"/>
      </w:pPr>
      <w:r>
        <w:t xml:space="preserve">Levy, Arnon. 2015. “Modeling without Models.” </w:t>
      </w:r>
      <w:r>
        <w:rPr>
          <w:i/>
        </w:rPr>
        <w:t xml:space="preserve">Philosophical Studies</w:t>
      </w:r>
      <w:r>
        <w:t xml:space="preserve"> 172 (3): 781–98. </w:t>
      </w:r>
      <w:r>
        <w:t xml:space="preserve">https://doi.org/10.1007/s11098-014-0333-9</w:t>
      </w:r>
      <w:r>
        <w:t xml:space="preserve">.</w:t>
      </w:r>
      <w:r/>
    </w:p>
    <w:p>
      <w:pPr>
        <w:pStyle w:val="623"/>
      </w:pPr>
      <w:r>
        <w:t xml:space="preserve">Liu, Chuang. 2015. “Re-Inflating the Conception of Scientific Representation.” </w:t>
      </w:r>
      <w:r>
        <w:rPr>
          <w:i/>
        </w:rPr>
        <w:t xml:space="preserve">International Studies in the Philosophy of Science</w:t>
      </w:r>
      <w:r>
        <w:t xml:space="preserve"> 29 (1): 41–59. </w:t>
      </w:r>
      <w:r>
        <w:rPr>
          <w:rStyle w:val="609"/>
          <w:b w:val="false"/>
          <w:bCs w:val="false"/>
          <w:color w:val="auto"/>
          <w:u w:val="none"/>
        </w:rPr>
        <w:t xml:space="preserve">https://doi.org/10.1080/02698595.2014.979671</w:t>
      </w:r>
      <w:r>
        <w:rPr>
          <w:b w:val="false"/>
          <w:bCs w:val="false"/>
          <w:u w:val="none"/>
        </w:rPr>
        <w:t xml:space="preserve">.</w:t>
      </w:r>
      <w:r/>
    </w:p>
    <w:p>
      <w:pPr>
        <w:pStyle w:val="623"/>
      </w:pPr>
      <w:r>
        <w:t xml:space="preserve">Mäki, Uskali. 2009. “MISSing the World. Models as Isolations and Credible Surrogate Systems.” </w:t>
      </w:r>
      <w:r>
        <w:rPr>
          <w:i/>
        </w:rPr>
        <w:t xml:space="preserve">Erkenntnis</w:t>
      </w:r>
      <w:r>
        <w:t xml:space="preserve"> 70 (1): 29–43. https://doi.org/10.1007/s10670-008-9135-9.</w:t>
      </w:r>
      <w:r/>
    </w:p>
    <w:p>
      <w:pPr>
        <w:pStyle w:val="623"/>
      </w:pPr>
      <w:r>
        <w:t xml:space="preserve">Morgan, Mary, and Margaret Morrison. 1999. </w:t>
      </w:r>
      <w:r>
        <w:rPr>
          <w:i/>
        </w:rPr>
        <w:t xml:space="preserve">Models as Mediators: Perspectives on Natural and Social Science</w:t>
      </w:r>
      <w:r>
        <w:t xml:space="preserve">. Cambridge University Press.</w:t>
      </w:r>
      <w:r/>
    </w:p>
    <w:p>
      <w:pPr>
        <w:pStyle w:val="623"/>
      </w:pPr>
      <w:r>
        <w:t xml:space="preserve">Morrison, Margaret. 2011. “One Phenomenon, Many Models: Inconsistency and Complementarity.” </w:t>
      </w:r>
      <w:r>
        <w:rPr>
          <w:i/>
        </w:rPr>
        <w:t xml:space="preserve">Studies in History and Philosophy of Science Part A</w:t>
      </w:r>
      <w:r>
        <w:t xml:space="preserve"> 42 (2): 342–51. https://doi.org/10.1016/j.shpsa.2010.11.042.</w:t>
      </w:r>
      <w:r/>
    </w:p>
    <w:p>
      <w:pPr>
        <w:pStyle w:val="623"/>
      </w:pPr>
      <w:r>
        <w:t xml:space="preserve">Peschard, Isabelle. 2011. “Making Sense of Modeling: Beyond Representation.” </w:t>
      </w:r>
      <w:r>
        <w:rPr>
          <w:i/>
        </w:rPr>
        <w:t xml:space="preserve">European Journal for Philosophy of Science</w:t>
      </w:r>
      <w:r>
        <w:t xml:space="preserve"> 1 (3): 335–52. https://doi.org/10.1007/s13194-011-0032-8.</w:t>
      </w:r>
      <w:r/>
    </w:p>
    <w:p>
      <w:pPr>
        <w:pStyle w:val="623"/>
      </w:pPr>
      <w:r>
        <w:t xml:space="preserve">Suárez, Mauricio. 2003. “Scientific Representation: Against Similarity and Isomorphism.” </w:t>
      </w:r>
      <w:r>
        <w:rPr>
          <w:i/>
        </w:rPr>
        <w:t xml:space="preserve">International Studies in the Philosophy of Science</w:t>
      </w:r>
      <w:r>
        <w:t xml:space="preserve"> 17 (3): 225–244.</w:t>
      </w:r>
      <w:r/>
    </w:p>
    <w:p>
      <w:pPr>
        <w:pStyle w:val="623"/>
      </w:pPr>
      <w:r>
        <w:t xml:space="preserve">Toon, Adam. 2010. “Models as Make-Believe.” In </w:t>
      </w:r>
      <w:r>
        <w:rPr>
          <w:i/>
        </w:rPr>
        <w:t xml:space="preserve">Beyond Mimesis and Convention: Representation in Art and Science</w:t>
      </w:r>
      <w:r>
        <w:t xml:space="preserve">, edited by Roman Frigg and Matthew Hunter. Boston Studies in Philosophy of Science.</w:t>
      </w:r>
      <w:r/>
    </w:p>
    <w:p>
      <w:pPr>
        <w:pStyle w:val="623"/>
      </w:pPr>
      <w:r>
        <w:t xml:space="preserve">Van Fraassen, Bas. 2008. </w:t>
      </w:r>
      <w:r>
        <w:rPr>
          <w:i/>
        </w:rPr>
        <w:t xml:space="preserve">Scientific Representation: Paradoxes of Perspective</w:t>
      </w:r>
      <w:r>
        <w:t xml:space="preserve">. Vol. 70. Oxford University Press.</w:t>
      </w:r>
      <w:r/>
      <w:r/>
      <w:r/>
    </w:p>
    <w:sectPr>
      <w:footnotePr/>
      <w:type w:val="continuous"/>
      <w:pgSz w:w="11906" w:h="16838" w:orient="portrait"/>
      <w:pgMar w:top="2268" w:right="1417" w:bottom="2804" w:left="1701" w:header="0" w:footer="2268"/>
      <w:cols w:num="1" w:sep="0" w:space="1701"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OpenSymbol">
    <w:panose1 w:val="05010000000000000000"/>
  </w:font>
  <w:font w:name="Arial">
    <w:panose1 w:val="020B0604020202020204"/>
  </w:font>
  <w:font w:name="Noto Sans CJK SC Regular">
    <w:panose1 w:val="020B0800000000000000"/>
  </w:font>
  <w:font w:name="Lohit Devanagari">
    <w:panose1 w:val="020B0600000000000000"/>
  </w:font>
  <w:font w:name="Liberation Sans">
    <w:panose1 w:val="020B0604020202090204"/>
  </w:font>
  <w:font w:name="Liberation Serif">
    <w:panose1 w:val="020206030504050203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25"/>
    </w:pPr>
    <w:r>
      <w:fldChar w:fldCharType="begin"/>
    </w:r>
    <w:r>
      <w:instrText xml:space="preserve"> PAGE </w:instrText>
    </w:r>
    <w:r>
      <w:fldChar w:fldCharType="separate"/>
    </w:r>
    <w:r>
      <w:t xml:space="preserve">37</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 w:id="1">
    <w:p>
      <w:pPr>
        <w:pStyle w:val="619"/>
      </w:pPr>
      <w:r>
        <w:rPr>
          <w:rStyle w:val="590"/>
        </w:rPr>
        <w:footnoteRef/>
      </w:r>
      <w:r>
        <w:t xml:space="preserve"> </w:t>
      </w:r>
      <w:r>
        <w:t xml:space="preserve">Except perhaps for Chakravartty (2010, 209, footnote 10) differentiating “the issue of what a representation is, as a means, and the issue of how representations are used”.</w:t>
      </w:r>
      <w:r/>
    </w:p>
  </w:footnote>
  <w:footnote w:id="2">
    <w:p>
      <w:pPr>
        <w:pStyle w:val="619"/>
        <w:jc w:val="both"/>
        <w:tabs>
          <w:tab w:val="left" w:pos="1559" w:leader="none"/>
        </w:tabs>
      </w:pPr>
      <w:r>
        <w:rPr>
          <w:rStyle w:val="590"/>
        </w:rPr>
        <w:footnoteRef/>
      </w:r>
      <w:r>
        <w:t xml:space="preserve"> </w:t>
      </w:r>
      <w:r>
        <w:t xml:space="preserve">N</w:t>
      </w:r>
      <w:r>
        <w:t xml:space="preserve">ote that this account has been criticised, with counterexamples involving cases where the utterer already knows that the audience believes that p, such as confessions, or cases where there is no audience, such as uses of language in thought. However, Grice</w:t>
      </w:r>
      <w:r>
        <w:t xml:space="preserve">’s specific </w:t>
      </w:r>
      <w:r>
        <w:t xml:space="preserve">account </w:t>
      </w:r>
      <w:r>
        <w:t xml:space="preserve">of linguistic meaning will not affect the developments of this article.</w:t>
      </w:r>
      <w:r/>
    </w:p>
  </w:footnote>
  <w:footnote w:id="3">
    <w:p>
      <w:pPr>
        <w:pStyle w:val="619"/>
      </w:pPr>
      <w:r>
        <w:rPr>
          <w:rStyle w:val="590"/>
        </w:rPr>
        <w:footnoteRef/>
      </w:r>
      <w:r>
        <w:t xml:space="preserve"> </w:t>
      </w:r>
      <w:r>
        <w:t xml:space="preserve">Perhaps we could also invoke emotional states and extend this account to artistic representation, although I suspect that in the case of art, purposes will be tied to the artist, and not to the user.</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02"/>
      <w:isLgl w:val="false"/>
      <w:suff w:val="tab"/>
      <w:lvlText w:val=" %1 "/>
      <w:lvlJc w:val="left"/>
      <w:pPr>
        <w:ind w:left="0" w:firstLine="0"/>
      </w:pPr>
    </w:lvl>
    <w:lvl w:ilvl="1">
      <w:start w:val="1"/>
      <w:numFmt w:val="decimal"/>
      <w:pStyle w:val="603"/>
      <w:isLgl w:val="false"/>
      <w:suff w:val="tab"/>
      <w:lvlText w:val=" %1.%2 "/>
      <w:lvlJc w:val="left"/>
      <w:pPr>
        <w:ind w:left="113" w:hanging="113"/>
      </w:pPr>
    </w:lvl>
    <w:lvl w:ilvl="2">
      <w:start w:val="1"/>
      <w:numFmt w:val="decimal"/>
      <w:pStyle w:val="604"/>
      <w:isLgl w:val="false"/>
      <w:suff w:val="tab"/>
      <w:lvlText w:val=" %1.%2.%3 "/>
      <w:lvlJc w:val="left"/>
      <w:pPr>
        <w:ind w:left="57" w:hanging="57"/>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
    <w:multiLevelType w:val="hybridMultilevel"/>
    <w:lvl w:ilvl="0">
      <w:start w:val="1"/>
      <w:numFmt w:val="decimal"/>
      <w:isLgl w:val="false"/>
      <w:suff w:val="tab"/>
      <w:lvlText w:val=" %1 "/>
      <w:lvlJc w:val="left"/>
      <w:pPr>
        <w:ind w:left="0" w:firstLine="0"/>
      </w:pPr>
    </w:lvl>
    <w:lvl w:ilvl="1">
      <w:start w:val="1"/>
      <w:numFmt w:val="decimal"/>
      <w:isLgl w:val="false"/>
      <w:suff w:val="tab"/>
      <w:lvlText w:val=" %1.%2 "/>
      <w:lvlJc w:val="left"/>
      <w:pPr>
        <w:ind w:left="113" w:hanging="113"/>
      </w:pPr>
    </w:lvl>
    <w:lvl w:ilvl="2">
      <w:start w:val="1"/>
      <w:numFmt w:val="decimal"/>
      <w:isLgl w:val="false"/>
      <w:suff w:val="tab"/>
      <w:lvlText w:val=" %1.%2.%3 "/>
      <w:lvlJc w:val="left"/>
      <w:pPr>
        <w:ind w:left="57" w:hanging="57"/>
      </w:pPr>
    </w:lvl>
    <w:lvl w:ilvl="3">
      <w:start w:val="1"/>
      <w:numFmt w:val="decimal"/>
      <w:isLgl w:val="false"/>
      <w:suff w:val="tab"/>
      <w:lvlText w:val=" %1.%2.%3.%4 "/>
      <w:lvlJc w:val="left"/>
      <w:pPr>
        <w:ind w:left="0" w:firstLine="0"/>
      </w:pPr>
    </w:lvl>
    <w:lvl w:ilvl="4">
      <w:start w:val="1"/>
      <w:numFmt w:val="decimal"/>
      <w:isLgl w:val="false"/>
      <w:suff w:val="tab"/>
      <w:lvlText w:val=" %1.%2.%3.%4.%5 "/>
      <w:lvlJc w:val="left"/>
      <w:pPr>
        <w:ind w:left="0" w:firstLine="0"/>
      </w:pPr>
    </w:lvl>
    <w:lvl w:ilvl="5">
      <w:start w:val="1"/>
      <w:numFmt w:val="decimal"/>
      <w:isLgl w:val="false"/>
      <w:suff w:val="tab"/>
      <w:lvlText w:val=" %1.%2.%3.%4.%5.%6 "/>
      <w:lvlJc w:val="left"/>
      <w:pPr>
        <w:ind w:left="0" w:firstLine="0"/>
      </w:pPr>
    </w:lvl>
    <w:lvl w:ilvl="6">
      <w:start w:val="1"/>
      <w:numFmt w:val="decimal"/>
      <w:isLgl w:val="false"/>
      <w:suff w:val="tab"/>
      <w:lvlText w:val=" %1.%2.%3.%4.%5.%6.%7 "/>
      <w:lvlJc w:val="left"/>
      <w:pPr>
        <w:ind w:left="0" w:firstLine="0"/>
      </w:pPr>
    </w:lvl>
    <w:lvl w:ilvl="7">
      <w:start w:val="1"/>
      <w:numFmt w:val="decimal"/>
      <w:isLgl w:val="false"/>
      <w:suff w:val="tab"/>
      <w:lvlText w:val=" %1.%2.%3.%4.%5.%6.%7.%8 "/>
      <w:lvlJc w:val="left"/>
      <w:pPr>
        <w:ind w:left="0" w:firstLine="0"/>
      </w:pPr>
    </w:lvl>
    <w:lvl w:ilvl="8">
      <w:start w:val="1"/>
      <w:numFmt w:val="decimal"/>
      <w:isLgl w:val="false"/>
      <w:suff w:val="tab"/>
      <w:lvlText w:val=" %1.%2.%3.%4.%5.%6.%7.%8.%9 "/>
      <w:lvlJc w:val="left"/>
      <w:pPr>
        <w:ind w:left="0" w:firstLine="0"/>
      </w:pPr>
    </w:lvl>
  </w:abstractNum>
  <w:abstractNum w:abstractNumId="2">
    <w:multiLevelType w:val="hybridMultilevel"/>
    <w:lvl w:ilvl="0">
      <w:start w:val="1"/>
      <w:numFmt w:val="lowerLetter"/>
      <w:isLgl w:val="false"/>
      <w:suff w:val="tab"/>
      <w:lvlText w:val="(%1)"/>
      <w:lvlJc w:val="left"/>
      <w:pPr>
        <w:ind w:left="720" w:hanging="360"/>
        <w:tabs>
          <w:tab w:val="left" w:pos="720" w:leader="none"/>
        </w:tabs>
      </w:pPr>
    </w:lvl>
    <w:lvl w:ilvl="1">
      <w:start w:val="1"/>
      <w:numFmt w:val="lowerLetter"/>
      <w:isLgl w:val="false"/>
      <w:suff w:val="tab"/>
      <w:lvlText w:val="(%2)"/>
      <w:lvlJc w:val="left"/>
      <w:pPr>
        <w:ind w:left="1080" w:hanging="360"/>
        <w:tabs>
          <w:tab w:val="left" w:pos="1080" w:leader="none"/>
        </w:tabs>
      </w:pPr>
    </w:lvl>
    <w:lvl w:ilvl="2">
      <w:start w:val="1"/>
      <w:numFmt w:val="lowerLetter"/>
      <w:isLgl w:val="false"/>
      <w:suff w:val="tab"/>
      <w:lvlText w:val="(%3)"/>
      <w:lvlJc w:val="left"/>
      <w:pPr>
        <w:ind w:left="1440" w:hanging="360"/>
        <w:tabs>
          <w:tab w:val="left" w:pos="1440" w:leader="none"/>
        </w:tabs>
      </w:pPr>
    </w:lvl>
    <w:lvl w:ilvl="3">
      <w:start w:val="1"/>
      <w:numFmt w:val="lowerLetter"/>
      <w:isLgl w:val="false"/>
      <w:suff w:val="tab"/>
      <w:lvlText w:val="(%4)"/>
      <w:lvlJc w:val="left"/>
      <w:pPr>
        <w:ind w:left="1800" w:hanging="360"/>
        <w:tabs>
          <w:tab w:val="left" w:pos="1800" w:leader="none"/>
        </w:tabs>
      </w:pPr>
    </w:lvl>
    <w:lvl w:ilvl="4">
      <w:start w:val="1"/>
      <w:numFmt w:val="lowerLetter"/>
      <w:isLgl w:val="false"/>
      <w:suff w:val="tab"/>
      <w:lvlText w:val="(%5)"/>
      <w:lvlJc w:val="left"/>
      <w:pPr>
        <w:ind w:left="2160" w:hanging="360"/>
        <w:tabs>
          <w:tab w:val="left" w:pos="2160" w:leader="none"/>
        </w:tabs>
      </w:pPr>
    </w:lvl>
    <w:lvl w:ilvl="5">
      <w:start w:val="1"/>
      <w:numFmt w:val="lowerLetter"/>
      <w:isLgl w:val="false"/>
      <w:suff w:val="tab"/>
      <w:lvlText w:val="(%6)"/>
      <w:lvlJc w:val="left"/>
      <w:pPr>
        <w:ind w:left="2520" w:hanging="360"/>
        <w:tabs>
          <w:tab w:val="left" w:pos="2520" w:leader="none"/>
        </w:tabs>
      </w:pPr>
    </w:lvl>
    <w:lvl w:ilvl="6">
      <w:start w:val="1"/>
      <w:numFmt w:val="lowerLetter"/>
      <w:isLgl w:val="false"/>
      <w:suff w:val="tab"/>
      <w:lvlText w:val="(%7)"/>
      <w:lvlJc w:val="left"/>
      <w:pPr>
        <w:ind w:left="2880" w:hanging="360"/>
        <w:tabs>
          <w:tab w:val="left" w:pos="2880" w:leader="none"/>
        </w:tabs>
      </w:pPr>
    </w:lvl>
    <w:lvl w:ilvl="7">
      <w:start w:val="1"/>
      <w:numFmt w:val="lowerLetter"/>
      <w:isLgl w:val="false"/>
      <w:suff w:val="tab"/>
      <w:lvlText w:val="(%8)"/>
      <w:lvlJc w:val="left"/>
      <w:pPr>
        <w:ind w:left="3240" w:hanging="360"/>
        <w:tabs>
          <w:tab w:val="left" w:pos="3240" w:leader="none"/>
        </w:tabs>
      </w:pPr>
    </w:lvl>
    <w:lvl w:ilvl="8">
      <w:start w:val="1"/>
      <w:numFmt w:val="lowerLetter"/>
      <w:isLgl w:val="false"/>
      <w:suff w:val="tab"/>
      <w:lvlText w:val="(%9)"/>
      <w:lvlJc w:val="left"/>
      <w:pPr>
        <w:ind w:left="3600" w:hanging="360"/>
        <w:tabs>
          <w:tab w:val="left" w:pos="3600" w:leader="none"/>
        </w:tabs>
      </w:pPr>
    </w:lvl>
  </w:abstractNum>
  <w:abstractNum w:abstractNumId="3">
    <w:multiLevelType w:val="hybridMultilevel"/>
    <w:lvl w:ilvl="0">
      <w:start w:val="1"/>
      <w:numFmt w:val="bullet"/>
      <w:isLgl w:val="false"/>
      <w:suff w:val="tab"/>
      <w:lvlText w:val="·"/>
      <w:lvlJc w:val="left"/>
      <w:pPr>
        <w:ind w:left="720" w:hanging="360"/>
        <w:tabs>
          <w:tab w:val="left" w:pos="720" w:leader="none"/>
        </w:tabs>
      </w:pPr>
      <w:rPr>
        <w:rFonts w:ascii="Symbol" w:hAnsi="Symbol" w:cs="Symbol" w:eastAsia="Symbol"/>
      </w:rPr>
    </w:lvl>
    <w:lvl w:ilvl="1">
      <w:start w:val="1"/>
      <w:numFmt w:val="bullet"/>
      <w:isLgl w:val="false"/>
      <w:suff w:val="tab"/>
      <w:lvlText w:val="◦"/>
      <w:lvlJc w:val="left"/>
      <w:pPr>
        <w:ind w:left="1080" w:hanging="360"/>
        <w:tabs>
          <w:tab w:val="left" w:pos="1080" w:leader="none"/>
        </w:tabs>
      </w:pPr>
      <w:rPr>
        <w:rFonts w:cs="OpenSymbol"/>
        <w:sz w:val="24"/>
      </w:rPr>
    </w:lvl>
    <w:lvl w:ilvl="2">
      <w:start w:val="1"/>
      <w:numFmt w:val="bullet"/>
      <w:isLgl w:val="false"/>
      <w:suff w:val="tab"/>
      <w:lvlText w:val="▪"/>
      <w:lvlJc w:val="left"/>
      <w:pPr>
        <w:ind w:left="1440" w:hanging="360"/>
        <w:tabs>
          <w:tab w:val="left" w:pos="1440" w:leader="none"/>
        </w:tabs>
      </w:pPr>
      <w:rPr>
        <w:rFonts w:cs="OpenSymbol"/>
      </w:rPr>
    </w:lvl>
    <w:lvl w:ilvl="3">
      <w:start w:val="1"/>
      <w:numFmt w:val="bullet"/>
      <w:isLgl w:val="false"/>
      <w:suff w:val="tab"/>
      <w:lvlText w:val=""/>
      <w:lvlJc w:val="left"/>
      <w:pPr>
        <w:ind w:left="1800" w:hanging="360"/>
        <w:tabs>
          <w:tab w:val="left" w:pos="1800" w:leader="none"/>
        </w:tabs>
      </w:pPr>
      <w:rPr>
        <w:rFonts w:cs="OpenSymbol"/>
      </w:rPr>
    </w:lvl>
    <w:lvl w:ilvl="4">
      <w:start w:val="1"/>
      <w:numFmt w:val="bullet"/>
      <w:isLgl w:val="false"/>
      <w:suff w:val="tab"/>
      <w:lvlText w:val="◦"/>
      <w:lvlJc w:val="left"/>
      <w:pPr>
        <w:ind w:left="2160" w:hanging="360"/>
        <w:tabs>
          <w:tab w:val="left" w:pos="2160" w:leader="none"/>
        </w:tabs>
      </w:pPr>
      <w:rPr>
        <w:rFonts w:cs="OpenSymbol"/>
      </w:rPr>
    </w:lvl>
    <w:lvl w:ilvl="5">
      <w:start w:val="1"/>
      <w:numFmt w:val="bullet"/>
      <w:isLgl w:val="false"/>
      <w:suff w:val="tab"/>
      <w:lvlText w:val="▪"/>
      <w:lvlJc w:val="left"/>
      <w:pPr>
        <w:ind w:left="2520" w:hanging="360"/>
        <w:tabs>
          <w:tab w:val="left" w:pos="2520" w:leader="none"/>
        </w:tabs>
      </w:pPr>
      <w:rPr>
        <w:rFonts w:cs="OpenSymbol"/>
      </w:rPr>
    </w:lvl>
    <w:lvl w:ilvl="6">
      <w:start w:val="1"/>
      <w:numFmt w:val="bullet"/>
      <w:isLgl w:val="false"/>
      <w:suff w:val="tab"/>
      <w:lvlText w:val=""/>
      <w:lvlJc w:val="left"/>
      <w:pPr>
        <w:ind w:left="2880" w:hanging="360"/>
        <w:tabs>
          <w:tab w:val="left" w:pos="2880" w:leader="none"/>
        </w:tabs>
      </w:pPr>
      <w:rPr>
        <w:rFonts w:cs="OpenSymbol"/>
      </w:rPr>
    </w:lvl>
    <w:lvl w:ilvl="7">
      <w:start w:val="1"/>
      <w:numFmt w:val="bullet"/>
      <w:isLgl w:val="false"/>
      <w:suff w:val="tab"/>
      <w:lvlText w:val="◦"/>
      <w:lvlJc w:val="left"/>
      <w:pPr>
        <w:ind w:left="3240" w:hanging="360"/>
        <w:tabs>
          <w:tab w:val="left" w:pos="3240" w:leader="none"/>
        </w:tabs>
      </w:pPr>
      <w:rPr>
        <w:rFonts w:cs="OpenSymbol"/>
      </w:rPr>
    </w:lvl>
    <w:lvl w:ilvl="8">
      <w:start w:val="1"/>
      <w:numFmt w:val="bullet"/>
      <w:isLgl w:val="false"/>
      <w:suff w:val="tab"/>
      <w:lvlText w:val="▪"/>
      <w:lvlJc w:val="left"/>
      <w:pPr>
        <w:ind w:left="3600" w:hanging="360"/>
        <w:tabs>
          <w:tab w:val="left" w:pos="3600" w:leader="none"/>
        </w:tabs>
      </w:pPr>
      <w:rPr>
        <w:rFonts w:cs="OpenSymbol"/>
      </w:rPr>
    </w:lvl>
  </w:abstractNum>
  <w:abstractNum w:abstractNumId="4">
    <w:multiLevelType w:val="hybridMultilevel"/>
    <w:lvl w:ilvl="0">
      <w:start w:val="1"/>
      <w:numFmt w:val="lowerLetter"/>
      <w:isLgl w:val="false"/>
      <w:suff w:val="tab"/>
      <w:lvlText w:val="(%1)"/>
      <w:lvlJc w:val="left"/>
      <w:pPr>
        <w:ind w:left="720" w:hanging="360"/>
        <w:tabs>
          <w:tab w:val="left" w:pos="720" w:leader="none"/>
        </w:tabs>
      </w:pPr>
    </w:lvl>
    <w:lvl w:ilvl="1">
      <w:start w:val="1"/>
      <w:numFmt w:val="bullet"/>
      <w:isLgl w:val="false"/>
      <w:suff w:val="tab"/>
      <w:lvlText w:val="◦"/>
      <w:lvlJc w:val="left"/>
      <w:pPr>
        <w:ind w:left="1080" w:hanging="360"/>
        <w:tabs>
          <w:tab w:val="left" w:pos="1080" w:leader="none"/>
        </w:tabs>
      </w:pPr>
      <w:rPr>
        <w:rFonts w:cs="OpenSymbol"/>
      </w:rPr>
    </w:lvl>
    <w:lvl w:ilvl="2">
      <w:start w:val="1"/>
      <w:numFmt w:val="bullet"/>
      <w:isLgl w:val="false"/>
      <w:suff w:val="tab"/>
      <w:lvlText w:val="▪"/>
      <w:lvlJc w:val="left"/>
      <w:pPr>
        <w:ind w:left="1440" w:hanging="360"/>
        <w:tabs>
          <w:tab w:val="left" w:pos="1440" w:leader="none"/>
        </w:tabs>
      </w:pPr>
      <w:rPr>
        <w:rFonts w:cs="OpenSymbol"/>
      </w:rPr>
    </w:lvl>
    <w:lvl w:ilvl="3">
      <w:start w:val="1"/>
      <w:numFmt w:val="bullet"/>
      <w:isLgl w:val="false"/>
      <w:suff w:val="tab"/>
      <w:lvlText w:val=""/>
      <w:lvlJc w:val="left"/>
      <w:pPr>
        <w:ind w:left="1800" w:hanging="360"/>
        <w:tabs>
          <w:tab w:val="left" w:pos="1800" w:leader="none"/>
        </w:tabs>
      </w:pPr>
      <w:rPr>
        <w:rFonts w:cs="OpenSymbol"/>
      </w:rPr>
    </w:lvl>
    <w:lvl w:ilvl="4">
      <w:start w:val="1"/>
      <w:numFmt w:val="bullet"/>
      <w:isLgl w:val="false"/>
      <w:suff w:val="tab"/>
      <w:lvlText w:val="◦"/>
      <w:lvlJc w:val="left"/>
      <w:pPr>
        <w:ind w:left="2160" w:hanging="360"/>
        <w:tabs>
          <w:tab w:val="left" w:pos="2160" w:leader="none"/>
        </w:tabs>
      </w:pPr>
      <w:rPr>
        <w:rFonts w:cs="OpenSymbol"/>
      </w:rPr>
    </w:lvl>
    <w:lvl w:ilvl="5">
      <w:start w:val="1"/>
      <w:numFmt w:val="bullet"/>
      <w:isLgl w:val="false"/>
      <w:suff w:val="tab"/>
      <w:lvlText w:val="▪"/>
      <w:lvlJc w:val="left"/>
      <w:pPr>
        <w:ind w:left="2520" w:hanging="360"/>
        <w:tabs>
          <w:tab w:val="left" w:pos="2520" w:leader="none"/>
        </w:tabs>
      </w:pPr>
      <w:rPr>
        <w:rFonts w:cs="OpenSymbol"/>
      </w:rPr>
    </w:lvl>
    <w:lvl w:ilvl="6">
      <w:start w:val="1"/>
      <w:numFmt w:val="bullet"/>
      <w:isLgl w:val="false"/>
      <w:suff w:val="tab"/>
      <w:lvlText w:val=""/>
      <w:lvlJc w:val="left"/>
      <w:pPr>
        <w:ind w:left="2880" w:hanging="360"/>
        <w:tabs>
          <w:tab w:val="left" w:pos="2880" w:leader="none"/>
        </w:tabs>
      </w:pPr>
      <w:rPr>
        <w:rFonts w:cs="OpenSymbol"/>
      </w:rPr>
    </w:lvl>
    <w:lvl w:ilvl="7">
      <w:start w:val="1"/>
      <w:numFmt w:val="bullet"/>
      <w:isLgl w:val="false"/>
      <w:suff w:val="tab"/>
      <w:lvlText w:val="◦"/>
      <w:lvlJc w:val="left"/>
      <w:pPr>
        <w:ind w:left="3240" w:hanging="360"/>
        <w:tabs>
          <w:tab w:val="left" w:pos="3240" w:leader="none"/>
        </w:tabs>
      </w:pPr>
      <w:rPr>
        <w:rFonts w:cs="OpenSymbol"/>
      </w:rPr>
    </w:lvl>
    <w:lvl w:ilvl="8">
      <w:start w:val="1"/>
      <w:numFmt w:val="bullet"/>
      <w:isLgl w:val="false"/>
      <w:suff w:val="tab"/>
      <w:lvlText w:val="▪"/>
      <w:lvlJc w:val="left"/>
      <w:pPr>
        <w:ind w:left="3600" w:hanging="360"/>
        <w:tabs>
          <w:tab w:val="left" w:pos="3600" w:leader="none"/>
        </w:tabs>
      </w:pPr>
      <w:rPr>
        <w:rFonts w:cs="OpenSymbol"/>
      </w:rPr>
    </w:lvl>
  </w:abstractNum>
  <w:abstractNum w:abstractNumId="5">
    <w:multiLevelType w:val="hybridMultilevel"/>
    <w:lvl w:ilvl="0">
      <w:start w:val="1"/>
      <w:numFmt w:val="bullet"/>
      <w:isLgl w:val="false"/>
      <w:suff w:val="tab"/>
      <w:lvlText w:val="·"/>
      <w:lvlJc w:val="left"/>
      <w:pPr>
        <w:ind w:left="720" w:hanging="360"/>
        <w:tabs>
          <w:tab w:val="left" w:pos="720" w:leader="none"/>
        </w:tabs>
      </w:pPr>
      <w:rPr>
        <w:rFonts w:ascii="Symbol" w:hAnsi="Symbol" w:cs="Symbol" w:eastAsia="Symbol"/>
      </w:rPr>
    </w:lvl>
    <w:lvl w:ilvl="1">
      <w:start w:val="1"/>
      <w:numFmt w:val="bullet"/>
      <w:isLgl w:val="false"/>
      <w:suff w:val="tab"/>
      <w:lvlText w:val="◦"/>
      <w:lvlJc w:val="left"/>
      <w:pPr>
        <w:ind w:left="1080" w:hanging="360"/>
        <w:tabs>
          <w:tab w:val="left" w:pos="1080" w:leader="none"/>
        </w:tabs>
      </w:pPr>
      <w:rPr>
        <w:rFonts w:cs="OpenSymbol"/>
      </w:rPr>
    </w:lvl>
    <w:lvl w:ilvl="2">
      <w:start w:val="1"/>
      <w:numFmt w:val="bullet"/>
      <w:isLgl w:val="false"/>
      <w:suff w:val="tab"/>
      <w:lvlText w:val="▪"/>
      <w:lvlJc w:val="left"/>
      <w:pPr>
        <w:ind w:left="1440" w:hanging="360"/>
        <w:tabs>
          <w:tab w:val="left" w:pos="1440" w:leader="none"/>
        </w:tabs>
      </w:pPr>
      <w:rPr>
        <w:rFonts w:cs="OpenSymbol"/>
      </w:rPr>
    </w:lvl>
    <w:lvl w:ilvl="3">
      <w:start w:val="1"/>
      <w:numFmt w:val="bullet"/>
      <w:isLgl w:val="false"/>
      <w:suff w:val="tab"/>
      <w:lvlText w:val=""/>
      <w:lvlJc w:val="left"/>
      <w:pPr>
        <w:ind w:left="1800" w:hanging="360"/>
        <w:tabs>
          <w:tab w:val="left" w:pos="1800" w:leader="none"/>
        </w:tabs>
      </w:pPr>
      <w:rPr>
        <w:rFonts w:cs="OpenSymbol"/>
      </w:rPr>
    </w:lvl>
    <w:lvl w:ilvl="4">
      <w:start w:val="1"/>
      <w:numFmt w:val="bullet"/>
      <w:isLgl w:val="false"/>
      <w:suff w:val="tab"/>
      <w:lvlText w:val="◦"/>
      <w:lvlJc w:val="left"/>
      <w:pPr>
        <w:ind w:left="2160" w:hanging="360"/>
        <w:tabs>
          <w:tab w:val="left" w:pos="2160" w:leader="none"/>
        </w:tabs>
      </w:pPr>
      <w:rPr>
        <w:rFonts w:cs="OpenSymbol"/>
      </w:rPr>
    </w:lvl>
    <w:lvl w:ilvl="5">
      <w:start w:val="1"/>
      <w:numFmt w:val="bullet"/>
      <w:isLgl w:val="false"/>
      <w:suff w:val="tab"/>
      <w:lvlText w:val="▪"/>
      <w:lvlJc w:val="left"/>
      <w:pPr>
        <w:ind w:left="2520" w:hanging="360"/>
        <w:tabs>
          <w:tab w:val="left" w:pos="2520" w:leader="none"/>
        </w:tabs>
      </w:pPr>
      <w:rPr>
        <w:rFonts w:cs="OpenSymbol"/>
      </w:rPr>
    </w:lvl>
    <w:lvl w:ilvl="6">
      <w:start w:val="1"/>
      <w:numFmt w:val="bullet"/>
      <w:isLgl w:val="false"/>
      <w:suff w:val="tab"/>
      <w:lvlText w:val=""/>
      <w:lvlJc w:val="left"/>
      <w:pPr>
        <w:ind w:left="2880" w:hanging="360"/>
        <w:tabs>
          <w:tab w:val="left" w:pos="2880" w:leader="none"/>
        </w:tabs>
      </w:pPr>
      <w:rPr>
        <w:rFonts w:cs="OpenSymbol"/>
      </w:rPr>
    </w:lvl>
    <w:lvl w:ilvl="7">
      <w:start w:val="1"/>
      <w:numFmt w:val="bullet"/>
      <w:isLgl w:val="false"/>
      <w:suff w:val="tab"/>
      <w:lvlText w:val="◦"/>
      <w:lvlJc w:val="left"/>
      <w:pPr>
        <w:ind w:left="3240" w:hanging="360"/>
        <w:tabs>
          <w:tab w:val="left" w:pos="3240" w:leader="none"/>
        </w:tabs>
      </w:pPr>
      <w:rPr>
        <w:rFonts w:cs="OpenSymbol"/>
      </w:rPr>
    </w:lvl>
    <w:lvl w:ilvl="8">
      <w:start w:val="1"/>
      <w:numFmt w:val="bullet"/>
      <w:isLgl w:val="false"/>
      <w:suff w:val="tab"/>
      <w:lvlText w:val="▪"/>
      <w:lvlJc w:val="left"/>
      <w:pPr>
        <w:ind w:left="3600" w:hanging="360"/>
        <w:tabs>
          <w:tab w:val="left" w:pos="3600" w:leader="none"/>
        </w:tabs>
      </w:pPr>
      <w:rPr>
        <w:rFonts w:cs="OpenSymbol"/>
      </w:rPr>
    </w:lvl>
  </w:abstractNum>
  <w:abstractNum w:abstractNumId="6">
    <w:multiLevelType w:val="hybridMultilevel"/>
    <w:lvl w:ilvl="0">
      <w:start w:val="1"/>
      <w:numFmt w:val="decimal"/>
      <w:isLgl w:val="false"/>
      <w:suff w:val="tab"/>
      <w:lvlText w:val="%1)"/>
      <w:lvlJc w:val="left"/>
      <w:pPr>
        <w:ind w:left="720" w:hanging="360"/>
        <w:tabs>
          <w:tab w:val="left" w:pos="720" w:leader="none"/>
        </w:tabs>
      </w:pPr>
    </w:lvl>
    <w:lvl w:ilvl="1">
      <w:start w:val="1"/>
      <w:numFmt w:val="bullet"/>
      <w:isLgl w:val="false"/>
      <w:suff w:val="tab"/>
      <w:lvlText w:val="·"/>
      <w:lvlJc w:val="left"/>
      <w:pPr>
        <w:ind w:left="1080" w:hanging="360"/>
        <w:tabs>
          <w:tab w:val="left" w:pos="1080" w:leader="none"/>
        </w:tabs>
      </w:pPr>
      <w:rPr>
        <w:rFonts w:ascii="Symbol" w:hAnsi="Symbol" w:cs="Symbol" w:eastAsia="Symbol"/>
      </w:rPr>
    </w:lvl>
    <w:lvl w:ilvl="2">
      <w:start w:val="1"/>
      <w:numFmt w:val="decimal"/>
      <w:isLgl w:val="false"/>
      <w:suff w:val="tab"/>
      <w:lvlText w:val="%3)"/>
      <w:lvlJc w:val="left"/>
      <w:pPr>
        <w:ind w:left="1440" w:hanging="360"/>
        <w:tabs>
          <w:tab w:val="left" w:pos="1440" w:leader="none"/>
        </w:tabs>
      </w:pPr>
    </w:lvl>
    <w:lvl w:ilvl="3">
      <w:start w:val="1"/>
      <w:numFmt w:val="decimal"/>
      <w:isLgl w:val="false"/>
      <w:suff w:val="tab"/>
      <w:lvlText w:val="%4)"/>
      <w:lvlJc w:val="left"/>
      <w:pPr>
        <w:ind w:left="1800" w:hanging="360"/>
        <w:tabs>
          <w:tab w:val="left" w:pos="1800" w:leader="none"/>
        </w:tabs>
      </w:pPr>
    </w:lvl>
    <w:lvl w:ilvl="4">
      <w:start w:val="1"/>
      <w:numFmt w:val="decimal"/>
      <w:isLgl w:val="false"/>
      <w:suff w:val="tab"/>
      <w:lvlText w:val="%5)"/>
      <w:lvlJc w:val="left"/>
      <w:pPr>
        <w:ind w:left="2160" w:hanging="360"/>
        <w:tabs>
          <w:tab w:val="left" w:pos="2160" w:leader="none"/>
        </w:tabs>
      </w:pPr>
    </w:lvl>
    <w:lvl w:ilvl="5">
      <w:start w:val="1"/>
      <w:numFmt w:val="decimal"/>
      <w:isLgl w:val="false"/>
      <w:suff w:val="tab"/>
      <w:lvlText w:val="%6)"/>
      <w:lvlJc w:val="left"/>
      <w:pPr>
        <w:ind w:left="2520" w:hanging="360"/>
        <w:tabs>
          <w:tab w:val="left" w:pos="2520" w:leader="none"/>
        </w:tabs>
      </w:pPr>
    </w:lvl>
    <w:lvl w:ilvl="6">
      <w:start w:val="1"/>
      <w:numFmt w:val="decimal"/>
      <w:isLgl w:val="false"/>
      <w:suff w:val="tab"/>
      <w:lvlText w:val="%7)"/>
      <w:lvlJc w:val="left"/>
      <w:pPr>
        <w:ind w:left="2880" w:hanging="360"/>
        <w:tabs>
          <w:tab w:val="left" w:pos="2880" w:leader="none"/>
        </w:tabs>
      </w:pPr>
    </w:lvl>
    <w:lvl w:ilvl="7">
      <w:start w:val="1"/>
      <w:numFmt w:val="decimal"/>
      <w:isLgl w:val="false"/>
      <w:suff w:val="tab"/>
      <w:lvlText w:val="%8)"/>
      <w:lvlJc w:val="left"/>
      <w:pPr>
        <w:ind w:left="3240" w:hanging="360"/>
        <w:tabs>
          <w:tab w:val="left" w:pos="3240" w:leader="none"/>
        </w:tabs>
      </w:pPr>
    </w:lvl>
    <w:lvl w:ilvl="8">
      <w:start w:val="1"/>
      <w:numFmt w:val="decimal"/>
      <w:isLgl w:val="false"/>
      <w:suff w:val="tab"/>
      <w:lvlText w:val="%9)"/>
      <w:lvlJc w:val="left"/>
      <w:pPr>
        <w:ind w:left="3600" w:hanging="360"/>
        <w:tabs>
          <w:tab w:val="left" w:pos="3600" w:leader="none"/>
        </w:tabs>
      </w:pPr>
    </w:lvl>
  </w:abstractNum>
  <w:abstractNum w:abstractNumId="7">
    <w:multiLevelType w:val="hybridMultilevel"/>
    <w:lvl w:ilvl="0">
      <w:start w:val="1"/>
      <w:numFmt w:val="lowerLetter"/>
      <w:isLgl w:val="false"/>
      <w:suff w:val="tab"/>
      <w:lvlText w:val="(%1)"/>
      <w:lvlJc w:val="left"/>
      <w:pPr>
        <w:ind w:left="720" w:hanging="360"/>
        <w:tabs>
          <w:tab w:val="left" w:pos="720" w:leader="none"/>
        </w:tabs>
      </w:pPr>
    </w:lvl>
    <w:lvl w:ilvl="1">
      <w:start w:val="1"/>
      <w:numFmt w:val="lowerLetter"/>
      <w:isLgl w:val="false"/>
      <w:suff w:val="tab"/>
      <w:lvlText w:val="(%2)"/>
      <w:lvlJc w:val="left"/>
      <w:pPr>
        <w:ind w:left="1080" w:hanging="360"/>
        <w:tabs>
          <w:tab w:val="left" w:pos="1080" w:leader="none"/>
        </w:tabs>
      </w:pPr>
    </w:lvl>
    <w:lvl w:ilvl="2">
      <w:start w:val="1"/>
      <w:numFmt w:val="lowerLetter"/>
      <w:isLgl w:val="false"/>
      <w:suff w:val="tab"/>
      <w:lvlText w:val="(%3)"/>
      <w:lvlJc w:val="left"/>
      <w:pPr>
        <w:ind w:left="1440" w:hanging="360"/>
        <w:tabs>
          <w:tab w:val="left" w:pos="1440" w:leader="none"/>
        </w:tabs>
      </w:pPr>
    </w:lvl>
    <w:lvl w:ilvl="3">
      <w:start w:val="1"/>
      <w:numFmt w:val="lowerLetter"/>
      <w:isLgl w:val="false"/>
      <w:suff w:val="tab"/>
      <w:lvlText w:val="(%4)"/>
      <w:lvlJc w:val="left"/>
      <w:pPr>
        <w:ind w:left="1800" w:hanging="360"/>
        <w:tabs>
          <w:tab w:val="left" w:pos="1800" w:leader="none"/>
        </w:tabs>
      </w:pPr>
    </w:lvl>
    <w:lvl w:ilvl="4">
      <w:start w:val="1"/>
      <w:numFmt w:val="lowerLetter"/>
      <w:isLgl w:val="false"/>
      <w:suff w:val="tab"/>
      <w:lvlText w:val="(%5)"/>
      <w:lvlJc w:val="left"/>
      <w:pPr>
        <w:ind w:left="2160" w:hanging="360"/>
        <w:tabs>
          <w:tab w:val="left" w:pos="2160" w:leader="none"/>
        </w:tabs>
      </w:pPr>
    </w:lvl>
    <w:lvl w:ilvl="5">
      <w:start w:val="1"/>
      <w:numFmt w:val="lowerLetter"/>
      <w:isLgl w:val="false"/>
      <w:suff w:val="tab"/>
      <w:lvlText w:val="(%6)"/>
      <w:lvlJc w:val="left"/>
      <w:pPr>
        <w:ind w:left="2520" w:hanging="360"/>
        <w:tabs>
          <w:tab w:val="left" w:pos="2520" w:leader="none"/>
        </w:tabs>
      </w:pPr>
    </w:lvl>
    <w:lvl w:ilvl="6">
      <w:start w:val="1"/>
      <w:numFmt w:val="lowerLetter"/>
      <w:isLgl w:val="false"/>
      <w:suff w:val="tab"/>
      <w:lvlText w:val="(%7)"/>
      <w:lvlJc w:val="left"/>
      <w:pPr>
        <w:ind w:left="2880" w:hanging="360"/>
        <w:tabs>
          <w:tab w:val="left" w:pos="2880" w:leader="none"/>
        </w:tabs>
      </w:pPr>
    </w:lvl>
    <w:lvl w:ilvl="7">
      <w:start w:val="1"/>
      <w:numFmt w:val="lowerLetter"/>
      <w:isLgl w:val="false"/>
      <w:suff w:val="tab"/>
      <w:lvlText w:val="(%8)"/>
      <w:lvlJc w:val="left"/>
      <w:pPr>
        <w:ind w:left="3240" w:hanging="360"/>
        <w:tabs>
          <w:tab w:val="left" w:pos="3240" w:leader="none"/>
        </w:tabs>
      </w:pPr>
    </w:lvl>
    <w:lvl w:ilvl="8">
      <w:start w:val="1"/>
      <w:numFmt w:val="lowerLetter"/>
      <w:isLgl w:val="false"/>
      <w:suff w:val="tab"/>
      <w:lvlText w:val="(%9)"/>
      <w:lvlJc w:val="left"/>
      <w:pPr>
        <w:ind w:left="3600" w:hanging="360"/>
        <w:tabs>
          <w:tab w:val="left" w:pos="360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footnotePr>
    <w:footnote w:id="-1"/>
    <w:footnote w:id="0"/>
    <w:numFmt w:val="decimal"/>
    <w:numRestart w:val="continuous"/>
    <w:numStart w:val="1"/>
    <w:pos w:val="pageBottom"/>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Lohit Devanagari" w:eastAsia="Noto Sans CJK SC Regular" w:hint="default"/>
        <w:color w:val="auto"/>
        <w:spacing w:val="0"/>
        <w:position w:val="0"/>
        <w:sz w:val="20"/>
        <w:szCs w:val="24"/>
        <w:lang w:val="en-GB" w:bidi="hi-IN" w:eastAsia="zh-CN"/>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36">
    <w:name w:val="Heading 1 Char"/>
    <w:link w:val="602"/>
    <w:uiPriority w:val="9"/>
    <w:rPr>
      <w:rFonts w:ascii="Arial" w:hAnsi="Arial" w:cs="Arial" w:eastAsia="Arial"/>
      <w:sz w:val="40"/>
      <w:szCs w:val="40"/>
    </w:rPr>
  </w:style>
  <w:style w:type="character" w:styleId="437">
    <w:name w:val="Heading 2 Char"/>
    <w:link w:val="603"/>
    <w:uiPriority w:val="9"/>
    <w:rPr>
      <w:rFonts w:ascii="Arial" w:hAnsi="Arial" w:cs="Arial" w:eastAsia="Arial"/>
      <w:sz w:val="34"/>
    </w:rPr>
  </w:style>
  <w:style w:type="character" w:styleId="438">
    <w:name w:val="Heading 3 Char"/>
    <w:link w:val="604"/>
    <w:uiPriority w:val="9"/>
    <w:rPr>
      <w:rFonts w:ascii="Arial" w:hAnsi="Arial" w:cs="Arial" w:eastAsia="Arial"/>
      <w:sz w:val="30"/>
      <w:szCs w:val="30"/>
    </w:rPr>
  </w:style>
  <w:style w:type="paragraph" w:styleId="439">
    <w:name w:val="Heading 4"/>
    <w:basedOn w:val="601"/>
    <w:next w:val="601"/>
    <w:link w:val="440"/>
    <w:qFormat/>
    <w:uiPriority w:val="9"/>
    <w:unhideWhenUsed/>
    <w:rPr>
      <w:rFonts w:ascii="Arial" w:hAnsi="Arial" w:cs="Arial" w:eastAsia="Arial"/>
      <w:b/>
      <w:bCs/>
      <w:sz w:val="26"/>
      <w:szCs w:val="26"/>
    </w:rPr>
    <w:pPr>
      <w:keepLines/>
      <w:keepNext/>
      <w:spacing w:after="200" w:before="320"/>
      <w:outlineLvl w:val="3"/>
    </w:pPr>
  </w:style>
  <w:style w:type="character" w:styleId="440">
    <w:name w:val="Heading 4 Char"/>
    <w:link w:val="439"/>
    <w:uiPriority w:val="9"/>
    <w:rPr>
      <w:rFonts w:ascii="Arial" w:hAnsi="Arial" w:cs="Arial" w:eastAsia="Arial"/>
      <w:b/>
      <w:bCs/>
      <w:sz w:val="26"/>
      <w:szCs w:val="26"/>
    </w:rPr>
  </w:style>
  <w:style w:type="paragraph" w:styleId="441">
    <w:name w:val="Heading 5"/>
    <w:basedOn w:val="601"/>
    <w:next w:val="601"/>
    <w:link w:val="442"/>
    <w:qFormat/>
    <w:uiPriority w:val="9"/>
    <w:unhideWhenUsed/>
    <w:rPr>
      <w:rFonts w:ascii="Arial" w:hAnsi="Arial" w:cs="Arial" w:eastAsia="Arial"/>
      <w:b/>
      <w:bCs/>
      <w:sz w:val="24"/>
      <w:szCs w:val="24"/>
    </w:rPr>
    <w:pPr>
      <w:keepLines/>
      <w:keepNext/>
      <w:spacing w:after="200" w:before="320"/>
      <w:outlineLvl w:val="4"/>
    </w:pPr>
  </w:style>
  <w:style w:type="character" w:styleId="442">
    <w:name w:val="Heading 5 Char"/>
    <w:link w:val="441"/>
    <w:uiPriority w:val="9"/>
    <w:rPr>
      <w:rFonts w:ascii="Arial" w:hAnsi="Arial" w:cs="Arial" w:eastAsia="Arial"/>
      <w:b/>
      <w:bCs/>
      <w:sz w:val="24"/>
      <w:szCs w:val="24"/>
    </w:rPr>
  </w:style>
  <w:style w:type="paragraph" w:styleId="443">
    <w:name w:val="Heading 6"/>
    <w:basedOn w:val="601"/>
    <w:next w:val="601"/>
    <w:link w:val="444"/>
    <w:qFormat/>
    <w:uiPriority w:val="9"/>
    <w:unhideWhenUsed/>
    <w:rPr>
      <w:rFonts w:ascii="Arial" w:hAnsi="Arial" w:cs="Arial" w:eastAsia="Arial"/>
      <w:b/>
      <w:bCs/>
      <w:sz w:val="22"/>
      <w:szCs w:val="22"/>
    </w:rPr>
    <w:pPr>
      <w:keepLines/>
      <w:keepNext/>
      <w:spacing w:after="200" w:before="320"/>
      <w:outlineLvl w:val="5"/>
    </w:pPr>
  </w:style>
  <w:style w:type="character" w:styleId="444">
    <w:name w:val="Heading 6 Char"/>
    <w:link w:val="443"/>
    <w:uiPriority w:val="9"/>
    <w:rPr>
      <w:rFonts w:ascii="Arial" w:hAnsi="Arial" w:cs="Arial" w:eastAsia="Arial"/>
      <w:b/>
      <w:bCs/>
      <w:sz w:val="22"/>
      <w:szCs w:val="22"/>
    </w:rPr>
  </w:style>
  <w:style w:type="paragraph" w:styleId="445">
    <w:name w:val="Heading 7"/>
    <w:basedOn w:val="601"/>
    <w:next w:val="601"/>
    <w:link w:val="446"/>
    <w:qFormat/>
    <w:uiPriority w:val="9"/>
    <w:unhideWhenUsed/>
    <w:rPr>
      <w:rFonts w:ascii="Arial" w:hAnsi="Arial" w:cs="Arial" w:eastAsia="Arial"/>
      <w:b/>
      <w:bCs/>
      <w:i/>
      <w:iCs/>
      <w:sz w:val="22"/>
      <w:szCs w:val="22"/>
    </w:rPr>
    <w:pPr>
      <w:keepLines/>
      <w:keepNext/>
      <w:spacing w:after="200" w:before="320"/>
      <w:outlineLvl w:val="6"/>
    </w:pPr>
  </w:style>
  <w:style w:type="character" w:styleId="446">
    <w:name w:val="Heading 7 Char"/>
    <w:link w:val="445"/>
    <w:uiPriority w:val="9"/>
    <w:rPr>
      <w:rFonts w:ascii="Arial" w:hAnsi="Arial" w:cs="Arial" w:eastAsia="Arial"/>
      <w:b/>
      <w:bCs/>
      <w:i/>
      <w:iCs/>
      <w:sz w:val="22"/>
      <w:szCs w:val="22"/>
    </w:rPr>
  </w:style>
  <w:style w:type="paragraph" w:styleId="447">
    <w:name w:val="Heading 8"/>
    <w:basedOn w:val="601"/>
    <w:next w:val="601"/>
    <w:link w:val="448"/>
    <w:qFormat/>
    <w:uiPriority w:val="9"/>
    <w:unhideWhenUsed/>
    <w:rPr>
      <w:rFonts w:ascii="Arial" w:hAnsi="Arial" w:cs="Arial" w:eastAsia="Arial"/>
      <w:i/>
      <w:iCs/>
      <w:sz w:val="22"/>
      <w:szCs w:val="22"/>
    </w:rPr>
    <w:pPr>
      <w:keepLines/>
      <w:keepNext/>
      <w:spacing w:after="200" w:before="320"/>
      <w:outlineLvl w:val="7"/>
    </w:pPr>
  </w:style>
  <w:style w:type="character" w:styleId="448">
    <w:name w:val="Heading 8 Char"/>
    <w:link w:val="447"/>
    <w:uiPriority w:val="9"/>
    <w:rPr>
      <w:rFonts w:ascii="Arial" w:hAnsi="Arial" w:cs="Arial" w:eastAsia="Arial"/>
      <w:i/>
      <w:iCs/>
      <w:sz w:val="22"/>
      <w:szCs w:val="22"/>
    </w:rPr>
  </w:style>
  <w:style w:type="paragraph" w:styleId="449">
    <w:name w:val="Heading 9"/>
    <w:basedOn w:val="601"/>
    <w:next w:val="601"/>
    <w:link w:val="450"/>
    <w:qFormat/>
    <w:uiPriority w:val="9"/>
    <w:unhideWhenUsed/>
    <w:rPr>
      <w:rFonts w:ascii="Arial" w:hAnsi="Arial" w:cs="Arial" w:eastAsia="Arial"/>
      <w:i/>
      <w:iCs/>
      <w:sz w:val="21"/>
      <w:szCs w:val="21"/>
    </w:rPr>
    <w:pPr>
      <w:keepLines/>
      <w:keepNext/>
      <w:spacing w:after="200" w:before="320"/>
      <w:outlineLvl w:val="8"/>
    </w:pPr>
  </w:style>
  <w:style w:type="character" w:styleId="450">
    <w:name w:val="Heading 9 Char"/>
    <w:link w:val="449"/>
    <w:uiPriority w:val="9"/>
    <w:rPr>
      <w:rFonts w:ascii="Arial" w:hAnsi="Arial" w:cs="Arial" w:eastAsia="Arial"/>
      <w:i/>
      <w:iCs/>
      <w:sz w:val="21"/>
      <w:szCs w:val="21"/>
    </w:rPr>
  </w:style>
  <w:style w:type="paragraph" w:styleId="451">
    <w:name w:val="List Paragraph"/>
    <w:basedOn w:val="601"/>
    <w:qFormat/>
    <w:uiPriority w:val="34"/>
    <w:pPr>
      <w:contextualSpacing w:val="true"/>
      <w:ind w:left="720"/>
    </w:pPr>
  </w:style>
  <w:style w:type="paragraph" w:styleId="452">
    <w:name w:val="No Spacing"/>
    <w:qFormat/>
    <w:uiPriority w:val="1"/>
    <w:pPr>
      <w:spacing w:lineRule="auto" w:line="240" w:after="0" w:before="0"/>
    </w:pPr>
  </w:style>
  <w:style w:type="character" w:styleId="453">
    <w:name w:val="Title Char"/>
    <w:link w:val="615"/>
    <w:uiPriority w:val="10"/>
    <w:rPr>
      <w:sz w:val="48"/>
      <w:szCs w:val="48"/>
    </w:rPr>
  </w:style>
  <w:style w:type="character" w:styleId="454">
    <w:name w:val="Subtitle Char"/>
    <w:link w:val="616"/>
    <w:uiPriority w:val="11"/>
    <w:rPr>
      <w:sz w:val="24"/>
      <w:szCs w:val="24"/>
    </w:rPr>
  </w:style>
  <w:style w:type="paragraph" w:styleId="455">
    <w:name w:val="Quote"/>
    <w:basedOn w:val="601"/>
    <w:next w:val="601"/>
    <w:link w:val="456"/>
    <w:qFormat/>
    <w:uiPriority w:val="29"/>
    <w:rPr>
      <w:i/>
    </w:rPr>
    <w:pPr>
      <w:ind w:left="720" w:right="720"/>
    </w:pPr>
  </w:style>
  <w:style w:type="character" w:styleId="456">
    <w:name w:val="Quote Char"/>
    <w:link w:val="455"/>
    <w:uiPriority w:val="29"/>
    <w:rPr>
      <w:i/>
    </w:rPr>
  </w:style>
  <w:style w:type="paragraph" w:styleId="457">
    <w:name w:val="Intense Quote"/>
    <w:basedOn w:val="601"/>
    <w:next w:val="601"/>
    <w:link w:val="458"/>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58">
    <w:name w:val="Intense Quote Char"/>
    <w:link w:val="457"/>
    <w:uiPriority w:val="30"/>
    <w:rPr>
      <w:i/>
    </w:rPr>
  </w:style>
  <w:style w:type="paragraph" w:styleId="459">
    <w:name w:val="Header"/>
    <w:basedOn w:val="601"/>
    <w:link w:val="460"/>
    <w:uiPriority w:val="99"/>
    <w:unhideWhenUsed/>
    <w:pPr>
      <w:spacing w:lineRule="auto" w:line="240" w:after="0"/>
      <w:tabs>
        <w:tab w:val="center" w:pos="7143" w:leader="none"/>
        <w:tab w:val="right" w:pos="14287" w:leader="none"/>
      </w:tabs>
    </w:pPr>
  </w:style>
  <w:style w:type="character" w:styleId="460">
    <w:name w:val="Header Char"/>
    <w:link w:val="459"/>
    <w:uiPriority w:val="99"/>
  </w:style>
  <w:style w:type="character" w:styleId="461">
    <w:name w:val="Footer Char"/>
    <w:link w:val="625"/>
    <w:uiPriority w:val="99"/>
  </w:style>
  <w:style w:type="table" w:styleId="462">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63">
    <w:name w:val="Table Grid Light"/>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4">
    <w:name w:val="Plain Table 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65">
    <w:name w:val="Plain Table 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66">
    <w:name w:val="Plain Table 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67">
    <w:name w:val="Plain Table 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68">
    <w:name w:val="Plain Table 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69">
    <w:name w:val="Grid Table 1 Light"/>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70">
    <w:name w:val="Grid Table 1 Light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71">
    <w:name w:val="Grid Table 1 Light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72">
    <w:name w:val="Grid Table 1 Light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73">
    <w:name w:val="Grid Table 1 Light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74">
    <w:name w:val="Grid Table 1 Light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75">
    <w:name w:val="Grid Table 1 Light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76">
    <w:name w:val="Grid Table 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477">
    <w:name w:val="Grid Table 2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78">
    <w:name w:val="Grid Table 2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79">
    <w:name w:val="Grid Table 2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80">
    <w:name w:val="Grid Table 2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81">
    <w:name w:val="Grid Table 2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482">
    <w:name w:val="Grid Table 2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483">
    <w:name w:val="Grid Table 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4">
    <w:name w:val="Grid Table 3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5">
    <w:name w:val="Grid Table 3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6">
    <w:name w:val="Grid Table 3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7">
    <w:name w:val="Grid Table 3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8">
    <w:name w:val="Grid Table 3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9">
    <w:name w:val="Grid Table 3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90">
    <w:name w:val="Grid Table 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91">
    <w:name w:val="Grid Table 4 - Accent 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92">
    <w:name w:val="Grid Table 4 - Accent 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93">
    <w:name w:val="Grid Table 4 - Accent 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94">
    <w:name w:val="Grid Table 4 - Accent 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95">
    <w:name w:val="Grid Table 4 - Accent 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96">
    <w:name w:val="Grid Table 4 - Accent 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97">
    <w:name w:val="Grid Table 5 Dark"/>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498">
    <w:name w:val="Grid Table 5 Dark- Accent 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499">
    <w:name w:val="Grid Table 5 Dark - Accent 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500">
    <w:name w:val="Grid Table 5 Dark - Accent 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501">
    <w:name w:val="Grid Table 5 Dark- Accent 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502">
    <w:name w:val="Grid Table 5 Dark - Accent 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503">
    <w:name w:val="Grid Table 5 Dark - Accent 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504">
    <w:name w:val="Grid Table 6 Colorful"/>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505">
    <w:name w:val="Grid Table 6 Colorful - Accent 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506">
    <w:name w:val="Grid Table 6 Colorful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507">
    <w:name w:val="Grid Table 6 Colorful - Accent 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508">
    <w:name w:val="Grid Table 6 Colorful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509">
    <w:name w:val="Grid Table 6 Colorful - Accent 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10">
    <w:name w:val="Grid Table 6 Colorful - Accent 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11">
    <w:name w:val="Grid Table 7 Colorful"/>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12">
    <w:name w:val="Grid Table 7 Colorful - Accent 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13">
    <w:name w:val="Grid Table 7 Colorful - Accent 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14">
    <w:name w:val="Grid Table 7 Colorful - Accent 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15">
    <w:name w:val="Grid Table 7 Colorful - Accent 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16">
    <w:name w:val="Grid Table 7 Colorful - Accent 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17">
    <w:name w:val="Grid Table 7 Colorful - Accent 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18">
    <w:name w:val="List Table 1 Light"/>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19">
    <w:name w:val="List Table 1 Light - Accent 1"/>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20">
    <w:name w:val="List Table 1 Light - Accent 2"/>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21">
    <w:name w:val="List Table 1 Light - Accent 3"/>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22">
    <w:name w:val="List Table 1 Light - Accent 4"/>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23">
    <w:name w:val="List Table 1 Light - Accent 5"/>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24">
    <w:name w:val="List Table 1 Light - Accent 6"/>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25">
    <w:name w:val="List Table 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26">
    <w:name w:val="List Table 2 - Accent 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27">
    <w:name w:val="List Table 2 - Accent 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28">
    <w:name w:val="List Table 2 - Accent 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29">
    <w:name w:val="List Table 2 - Accent 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30">
    <w:name w:val="List Table 2 - Accent 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31">
    <w:name w:val="List Table 2 - Accent 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32">
    <w:name w:val="List Table 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33">
    <w:name w:val="List Table 3 - Accent 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34">
    <w:name w:val="List Table 3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535">
    <w:name w:val="List Table 3 - Accent 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536">
    <w:name w:val="List Table 3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537">
    <w:name w:val="List Table 3 - Accent 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538">
    <w:name w:val="List Table 3 - Accent 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539">
    <w:name w:val="List Table 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40">
    <w:name w:val="List Table 4 - Accent 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41">
    <w:name w:val="List Table 4 - Accent 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542">
    <w:name w:val="List Table 4 - Accent 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543">
    <w:name w:val="List Table 4 - Accent 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544">
    <w:name w:val="List Table 4 - Accent 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545">
    <w:name w:val="List Table 4 - Accent 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546">
    <w:name w:val="List Table 5 Dark"/>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7">
    <w:name w:val="List Table 5 Dark - Accent 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8">
    <w:name w:val="List Table 5 Dark - Accent 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9">
    <w:name w:val="List Table 5 Dark - Accent 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50">
    <w:name w:val="List Table 5 Dark - Accent 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51">
    <w:name w:val="List Table 5 Dark - Accent 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52">
    <w:name w:val="List Table 5 Dark - Accent 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53">
    <w:name w:val="List Table 6 Colorful"/>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54">
    <w:name w:val="List Table 6 Colorful - Accent 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555">
    <w:name w:val="List Table 6 Colorful - Accent 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556">
    <w:name w:val="List Table 6 Colorful - Accent 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557">
    <w:name w:val="List Table 6 Colorful - Accent 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558">
    <w:name w:val="List Table 6 Colorful - Accent 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559">
    <w:name w:val="List Table 6 Colorful - Accent 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560">
    <w:name w:val="List Table 7 Colorful"/>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61">
    <w:name w:val="List Table 7 Colorful - Accent 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562">
    <w:name w:val="List Table 7 Colorful - Accent 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563">
    <w:name w:val="List Table 7 Colorful - Accent 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564">
    <w:name w:val="List Table 7 Colorful - Accent 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565">
    <w:name w:val="List Table 7 Colorful - Accent 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566">
    <w:name w:val="List Table 7 Colorful - Accent 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567">
    <w:name w:val="Lined - Accent"/>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68">
    <w:name w:val="Lined - Accent 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69">
    <w:name w:val="Lined - Accent 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70">
    <w:name w:val="Lined - Accent 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71">
    <w:name w:val="Lined - Accent 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72">
    <w:name w:val="Lined - Accent 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73">
    <w:name w:val="Lined - Accent 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74">
    <w:name w:val="Bordered &amp; Lined - Accent"/>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75">
    <w:name w:val="Bordered &amp; Lined - Accent 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76">
    <w:name w:val="Bordered &amp; Lined - Accent 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77">
    <w:name w:val="Bordered &amp; Lined - Accent 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78">
    <w:name w:val="Bordered &amp; Lined - Accent 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79">
    <w:name w:val="Bordered &amp; Lined - Accent 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80">
    <w:name w:val="Bordered &amp; Lined - Accent 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81">
    <w:name w:val="Bordered"/>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582">
    <w:name w:val="Bordered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583">
    <w:name w:val="Bordered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584">
    <w:name w:val="Bordered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585">
    <w:name w:val="Bordered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586">
    <w:name w:val="Bordered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587">
    <w:name w:val="Bordered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588">
    <w:name w:val="Hyperlink"/>
    <w:uiPriority w:val="99"/>
    <w:unhideWhenUsed/>
    <w:rPr>
      <w:color w:val="0000FF" w:themeColor="hyperlink"/>
      <w:u w:val="single"/>
    </w:rPr>
  </w:style>
  <w:style w:type="character" w:styleId="589">
    <w:name w:val="Footnote Text Char"/>
    <w:link w:val="619"/>
    <w:uiPriority w:val="99"/>
    <w:rPr>
      <w:sz w:val="18"/>
    </w:rPr>
  </w:style>
  <w:style w:type="character" w:styleId="590">
    <w:name w:val="footnote reference"/>
    <w:uiPriority w:val="99"/>
    <w:unhideWhenUsed/>
    <w:rPr>
      <w:vertAlign w:val="superscript"/>
    </w:rPr>
  </w:style>
  <w:style w:type="paragraph" w:styleId="591">
    <w:name w:val="toc 1"/>
    <w:basedOn w:val="601"/>
    <w:next w:val="601"/>
    <w:uiPriority w:val="39"/>
    <w:unhideWhenUsed/>
    <w:pPr>
      <w:ind w:left="0" w:right="0" w:firstLine="0"/>
      <w:spacing w:after="57"/>
    </w:pPr>
  </w:style>
  <w:style w:type="paragraph" w:styleId="592">
    <w:name w:val="toc 2"/>
    <w:basedOn w:val="601"/>
    <w:next w:val="601"/>
    <w:uiPriority w:val="39"/>
    <w:unhideWhenUsed/>
    <w:pPr>
      <w:ind w:left="283" w:right="0" w:firstLine="0"/>
      <w:spacing w:after="57"/>
    </w:pPr>
  </w:style>
  <w:style w:type="paragraph" w:styleId="593">
    <w:name w:val="toc 3"/>
    <w:basedOn w:val="601"/>
    <w:next w:val="601"/>
    <w:uiPriority w:val="39"/>
    <w:unhideWhenUsed/>
    <w:pPr>
      <w:ind w:left="567" w:right="0" w:firstLine="0"/>
      <w:spacing w:after="57"/>
    </w:pPr>
  </w:style>
  <w:style w:type="paragraph" w:styleId="594">
    <w:name w:val="toc 4"/>
    <w:basedOn w:val="601"/>
    <w:next w:val="601"/>
    <w:uiPriority w:val="39"/>
    <w:unhideWhenUsed/>
    <w:pPr>
      <w:ind w:left="850" w:right="0" w:firstLine="0"/>
      <w:spacing w:after="57"/>
    </w:pPr>
  </w:style>
  <w:style w:type="paragraph" w:styleId="595">
    <w:name w:val="toc 5"/>
    <w:basedOn w:val="601"/>
    <w:next w:val="601"/>
    <w:uiPriority w:val="39"/>
    <w:unhideWhenUsed/>
    <w:pPr>
      <w:ind w:left="1134" w:right="0" w:firstLine="0"/>
      <w:spacing w:after="57"/>
    </w:pPr>
  </w:style>
  <w:style w:type="paragraph" w:styleId="596">
    <w:name w:val="toc 6"/>
    <w:basedOn w:val="601"/>
    <w:next w:val="601"/>
    <w:uiPriority w:val="39"/>
    <w:unhideWhenUsed/>
    <w:pPr>
      <w:ind w:left="1417" w:right="0" w:firstLine="0"/>
      <w:spacing w:after="57"/>
    </w:pPr>
  </w:style>
  <w:style w:type="paragraph" w:styleId="597">
    <w:name w:val="toc 7"/>
    <w:basedOn w:val="601"/>
    <w:next w:val="601"/>
    <w:uiPriority w:val="39"/>
    <w:unhideWhenUsed/>
    <w:pPr>
      <w:ind w:left="1701" w:right="0" w:firstLine="0"/>
      <w:spacing w:after="57"/>
    </w:pPr>
  </w:style>
  <w:style w:type="paragraph" w:styleId="598">
    <w:name w:val="toc 8"/>
    <w:basedOn w:val="601"/>
    <w:next w:val="601"/>
    <w:uiPriority w:val="39"/>
    <w:unhideWhenUsed/>
    <w:pPr>
      <w:ind w:left="1984" w:right="0" w:firstLine="0"/>
      <w:spacing w:after="57"/>
    </w:pPr>
  </w:style>
  <w:style w:type="paragraph" w:styleId="599">
    <w:name w:val="toc 9"/>
    <w:basedOn w:val="601"/>
    <w:next w:val="601"/>
    <w:uiPriority w:val="39"/>
    <w:unhideWhenUsed/>
    <w:pPr>
      <w:ind w:left="2268" w:right="0" w:firstLine="0"/>
      <w:spacing w:after="57"/>
    </w:pPr>
  </w:style>
  <w:style w:type="paragraph" w:styleId="600">
    <w:name w:val="TOC Heading"/>
    <w:uiPriority w:val="39"/>
    <w:unhideWhenUsed/>
  </w:style>
  <w:style w:type="paragraph" w:styleId="601" w:default="1">
    <w:name w:val="Normal"/>
    <w:qFormat/>
    <w:rPr>
      <w:rFonts w:ascii="Liberation Serif" w:hAnsi="Liberation Serif" w:cs="Lohit Devanagari" w:eastAsia="Noto Sans CJK SC Regular"/>
      <w:color w:val="auto"/>
      <w:sz w:val="24"/>
      <w:szCs w:val="24"/>
      <w:lang w:val="en-GB" w:bidi="hi-IN" w:eastAsia="zh-CN"/>
    </w:rPr>
    <w:pPr>
      <w:jc w:val="left"/>
      <w:spacing w:lineRule="auto" w:line="276"/>
      <w:widowControl/>
    </w:pPr>
  </w:style>
  <w:style w:type="paragraph" w:styleId="602">
    <w:name w:val="Heading 1"/>
    <w:basedOn w:val="610"/>
    <w:next w:val="611"/>
    <w:qFormat/>
    <w:rPr>
      <w:rFonts w:ascii="Liberation Serif" w:hAnsi="Liberation Serif"/>
      <w:b/>
      <w:bCs/>
      <w:sz w:val="30"/>
      <w:szCs w:val="36"/>
    </w:rPr>
    <w:pPr>
      <w:numPr>
        <w:ilvl w:val="0"/>
        <w:numId w:val="1"/>
      </w:numPr>
      <w:spacing w:lineRule="auto" w:line="480" w:after="113" w:before="227"/>
      <w:outlineLvl w:val="0"/>
    </w:pPr>
  </w:style>
  <w:style w:type="paragraph" w:styleId="603">
    <w:name w:val="Heading 2"/>
    <w:basedOn w:val="610"/>
    <w:next w:val="611"/>
    <w:qFormat/>
    <w:rPr>
      <w:rFonts w:ascii="Liberation Serif" w:hAnsi="Liberation Serif"/>
      <w:b/>
      <w:bCs/>
      <w:sz w:val="26"/>
      <w:szCs w:val="32"/>
    </w:rPr>
    <w:pPr>
      <w:numPr>
        <w:ilvl w:val="1"/>
        <w:numId w:val="1"/>
      </w:numPr>
      <w:spacing w:after="57" w:before="57"/>
      <w:outlineLvl w:val="1"/>
    </w:pPr>
  </w:style>
  <w:style w:type="paragraph" w:styleId="604">
    <w:name w:val="Heading 3"/>
    <w:basedOn w:val="610"/>
    <w:next w:val="611"/>
    <w:qFormat/>
    <w:rPr>
      <w:rFonts w:ascii="Liberation Serif" w:hAnsi="Liberation Serif"/>
      <w:b w:val="false"/>
      <w:bCs/>
      <w:i/>
      <w:sz w:val="24"/>
      <w:szCs w:val="28"/>
    </w:rPr>
    <w:pPr>
      <w:numPr>
        <w:ilvl w:val="2"/>
        <w:numId w:val="1"/>
      </w:numPr>
      <w:spacing w:after="113" w:before="113"/>
      <w:outlineLvl w:val="2"/>
    </w:pPr>
  </w:style>
  <w:style w:type="character" w:styleId="605">
    <w:name w:val="Puces"/>
    <w:qFormat/>
    <w:rPr>
      <w:rFonts w:ascii="OpenSymbol" w:hAnsi="OpenSymbol" w:cs="OpenSymbol" w:eastAsia="OpenSymbol"/>
    </w:rPr>
  </w:style>
  <w:style w:type="character" w:styleId="606">
    <w:name w:val="Caractères de note de bas de page"/>
    <w:qFormat/>
  </w:style>
  <w:style w:type="character" w:styleId="607">
    <w:name w:val="Ancre de note de bas de page"/>
    <w:rPr>
      <w:vertAlign w:val="superscript"/>
    </w:rPr>
  </w:style>
  <w:style w:type="character" w:styleId="608">
    <w:name w:val="Caractères de numérotation"/>
    <w:qFormat/>
  </w:style>
  <w:style w:type="character" w:styleId="609">
    <w:name w:val="Lien Internet"/>
    <w:rPr>
      <w:color w:val="000080"/>
      <w:u w:val="single"/>
    </w:rPr>
  </w:style>
  <w:style w:type="paragraph" w:styleId="610">
    <w:name w:val="Titre"/>
    <w:basedOn w:val="601"/>
    <w:next w:val="611"/>
    <w:qFormat/>
    <w:rPr>
      <w:rFonts w:ascii="Liberation Sans" w:hAnsi="Liberation Sans" w:cs="Lohit Devanagari" w:eastAsia="Noto Sans CJK SC Regular"/>
      <w:sz w:val="28"/>
      <w:szCs w:val="28"/>
    </w:rPr>
    <w:pPr>
      <w:keepNext/>
      <w:spacing w:after="120" w:before="240"/>
    </w:pPr>
  </w:style>
  <w:style w:type="paragraph" w:styleId="611">
    <w:name w:val="Body Text"/>
    <w:basedOn w:val="601"/>
    <w:rPr>
      <w:sz w:val="24"/>
    </w:rPr>
    <w:pPr>
      <w:ind w:left="0" w:right="0" w:firstLine="397"/>
      <w:jc w:val="left"/>
      <w:spacing w:lineRule="auto" w:line="480" w:after="0" w:before="0"/>
    </w:pPr>
  </w:style>
  <w:style w:type="paragraph" w:styleId="612">
    <w:name w:val="List"/>
    <w:basedOn w:val="611"/>
    <w:rPr>
      <w:rFonts w:cs="Lohit Devanagari"/>
    </w:rPr>
  </w:style>
  <w:style w:type="paragraph" w:styleId="613">
    <w:name w:val="Caption"/>
    <w:basedOn w:val="601"/>
    <w:qFormat/>
    <w:rPr>
      <w:rFonts w:cs="Lohit Devanagari"/>
      <w:i/>
      <w:iCs/>
      <w:sz w:val="24"/>
      <w:szCs w:val="24"/>
    </w:rPr>
    <w:pPr>
      <w:spacing w:after="120" w:before="120"/>
    </w:pPr>
  </w:style>
  <w:style w:type="paragraph" w:styleId="614">
    <w:name w:val="Index"/>
    <w:basedOn w:val="601"/>
    <w:qFormat/>
    <w:rPr>
      <w:rFonts w:cs="Lohit Devanagari"/>
    </w:rPr>
  </w:style>
  <w:style w:type="paragraph" w:styleId="615">
    <w:name w:val="Title"/>
    <w:basedOn w:val="610"/>
    <w:next w:val="611"/>
    <w:qFormat/>
    <w:rPr>
      <w:rFonts w:ascii="Liberation Serif" w:hAnsi="Liberation Serif"/>
      <w:b w:val="false"/>
      <w:bCs/>
      <w:sz w:val="36"/>
      <w:szCs w:val="56"/>
    </w:rPr>
    <w:pPr>
      <w:contextualSpacing w:val="true"/>
      <w:jc w:val="center"/>
      <w:spacing w:after="850" w:before="1701"/>
    </w:pPr>
  </w:style>
  <w:style w:type="paragraph" w:styleId="616">
    <w:name w:val="Subtitle"/>
    <w:basedOn w:val="610"/>
    <w:next w:val="611"/>
    <w:qFormat/>
    <w:rPr>
      <w:rFonts w:ascii="Liberation Serif" w:hAnsi="Liberation Serif"/>
      <w:sz w:val="28"/>
      <w:szCs w:val="36"/>
    </w:rPr>
    <w:pPr>
      <w:jc w:val="center"/>
      <w:spacing w:after="567" w:before="62"/>
    </w:pPr>
  </w:style>
  <w:style w:type="paragraph" w:styleId="617">
    <w:name w:val="TOA Heading"/>
    <w:basedOn w:val="610"/>
    <w:qFormat/>
    <w:rPr>
      <w:rFonts w:ascii="Liberation Serif" w:hAnsi="Liberation Serif"/>
      <w:b/>
      <w:bCs/>
      <w:sz w:val="22"/>
      <w:szCs w:val="32"/>
    </w:rPr>
    <w:pPr>
      <w:ind w:left="0" w:right="0" w:firstLine="0"/>
      <w:jc w:val="center"/>
      <w:spacing w:after="113" w:before="113"/>
    </w:pPr>
  </w:style>
  <w:style w:type="paragraph" w:styleId="618">
    <w:name w:val="Citations"/>
    <w:basedOn w:val="601"/>
    <w:qFormat/>
    <w:rPr>
      <w:sz w:val="22"/>
    </w:rPr>
    <w:pPr>
      <w:contextualSpacing w:val="true"/>
      <w:ind w:left="567" w:right="567" w:firstLine="0"/>
      <w:jc w:val="both"/>
      <w:spacing w:lineRule="auto" w:line="480" w:after="170" w:before="170"/>
    </w:pPr>
  </w:style>
  <w:style w:type="paragraph" w:styleId="619">
    <w:name w:val="footnote text"/>
    <w:basedOn w:val="601"/>
    <w:rPr>
      <w:sz w:val="20"/>
      <w:szCs w:val="20"/>
    </w:rPr>
    <w:pPr>
      <w:ind w:left="339" w:right="0" w:hanging="339"/>
      <w:jc w:val="both"/>
      <w:tabs>
        <w:tab w:val="left" w:pos="1559" w:leader="none"/>
      </w:tabs>
    </w:pPr>
  </w:style>
  <w:style w:type="paragraph" w:styleId="620">
    <w:name w:val="Abstract"/>
    <w:basedOn w:val="611"/>
    <w:qFormat/>
    <w:pPr>
      <w:ind w:left="1134" w:right="1134" w:firstLine="567"/>
      <w:spacing w:after="567" w:before="0"/>
    </w:pPr>
  </w:style>
  <w:style w:type="paragraph" w:styleId="621">
    <w:name w:val="List Bullet 3"/>
    <w:basedOn w:val="612"/>
    <w:qFormat/>
    <w:pPr>
      <w:contextualSpacing w:val="true"/>
      <w:ind w:left="360" w:right="0" w:hanging="360"/>
      <w:spacing w:after="113" w:before="57"/>
    </w:pPr>
  </w:style>
  <w:style w:type="paragraph" w:styleId="622">
    <w:name w:val="Premier paragraphe"/>
    <w:basedOn w:val="611"/>
    <w:qFormat/>
    <w:rPr>
      <w:sz w:val="24"/>
      <w:szCs w:val="24"/>
      <w:lang w:val="en-GB"/>
    </w:rPr>
    <w:pPr>
      <w:ind w:left="0" w:right="0" w:firstLine="0"/>
      <w:jc w:val="both"/>
      <w:spacing w:lineRule="auto" w:line="480" w:after="0" w:before="0"/>
    </w:pPr>
  </w:style>
  <w:style w:type="paragraph" w:styleId="623">
    <w:name w:val="Bibliographie 1"/>
    <w:basedOn w:val="614"/>
    <w:qFormat/>
    <w:pPr>
      <w:ind w:left="720" w:right="0" w:hanging="720"/>
      <w:spacing w:lineRule="atLeast" w:line="240" w:after="0" w:before="0"/>
      <w:tabs>
        <w:tab w:val="clear" w:pos="720" w:leader="none"/>
      </w:tabs>
    </w:pPr>
  </w:style>
  <w:style w:type="paragraph" w:styleId="624">
    <w:name w:val="En-tête et pied de page"/>
    <w:basedOn w:val="601"/>
    <w:qFormat/>
    <w:pPr>
      <w:tabs>
        <w:tab w:val="clear" w:pos="720" w:leader="none"/>
        <w:tab w:val="center" w:pos="4252" w:leader="none"/>
        <w:tab w:val="right" w:pos="8504" w:leader="none"/>
      </w:tabs>
    </w:pPr>
  </w:style>
  <w:style w:type="paragraph" w:styleId="625">
    <w:name w:val="Footer"/>
    <w:basedOn w:val="624"/>
    <w:rPr>
      <w:sz w:val="22"/>
    </w:rPr>
    <w:pPr>
      <w:jc w:val="center"/>
      <w:tabs>
        <w:tab w:val="center" w:pos="4252" w:leader="none"/>
        <w:tab w:val="right" w:pos="8504" w:leader="none"/>
      </w:tabs>
    </w:pPr>
  </w:style>
  <w:style w:type="numbering" w:styleId="626">
    <w:name w:val="Puce •"/>
    <w:qFormat/>
  </w:style>
  <w:style w:type="character" w:styleId="627" w:default="1">
    <w:name w:val="Default Paragraph Font"/>
    <w:uiPriority w:val="1"/>
    <w:semiHidden/>
    <w:unhideWhenUsed/>
  </w:style>
  <w:style w:type="numbering" w:styleId="628" w:default="1">
    <w:name w:val="No List"/>
    <w:uiPriority w:val="99"/>
    <w:semiHidden/>
    <w:unhideWhenUsed/>
  </w:style>
  <w:style w:type="table" w:styleId="629" w:default="1">
    <w:name w:val="Normal Table"/>
    <w:uiPriority w:val="99"/>
    <w:semiHidden/>
    <w:unhideWhenUsed/>
    <w:tblPr/>
  </w:style>
  <w:style w:type="character" w:styleId="1_1990" w:customStyle="1">
    <w:name w:val="Corps de texte_character"/>
    <w:link w:val="1_1989"/>
    <w:rPr>
      <w:sz w:val="24"/>
      <w:szCs w:val="24"/>
      <w:lang w:val="en-GB"/>
    </w:rPr>
  </w:style>
  <w:style w:type="paragraph" w:styleId="1_1989" w:customStyle="1">
    <w:name w:val="Corps de texte"/>
    <w:basedOn w:val="611"/>
    <w:link w:val="1_1990"/>
    <w:qFormat/>
    <w:rPr>
      <w:sz w:val="24"/>
      <w:szCs w:val="24"/>
      <w:lang w:val="en-GB"/>
    </w:rPr>
    <w:pPr>
      <w:jc w:val="both"/>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ONLYOFFICE/5.4.1.33</Application>
  <Template>default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dc:language>fr-FR</dc:language>
  <cp:revision>562</cp:revision>
  <dcterms:created xsi:type="dcterms:W3CDTF">2019-10-23T17:05:06Z</dcterms:created>
  <dcterms:modified xsi:type="dcterms:W3CDTF">2020-03-10T18:37:54Z</dcterms:modified>
</cp:coreProperties>
</file>