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rFonts w:ascii="Times new roman" w:hAnsi="Times new roman" w:cs="Times New Roman"/>
          <w:b/>
          <w:b/>
          <w:i/>
          <w:i/>
          <w:color w:val="000000"/>
        </w:rPr>
      </w:pPr>
      <w:r>
        <w:rPr>
          <w:rFonts w:cs="Times New Roman" w:ascii="Times new roman" w:hAnsi="Times new roman"/>
          <w:b/>
          <w:i/>
          <w:color w:val="000000"/>
        </w:rPr>
      </w:r>
    </w:p>
    <w:p>
      <w:pPr>
        <w:pStyle w:val="Header"/>
        <w:spacing w:lineRule="auto" w:line="480"/>
        <w:jc w:val="center"/>
        <w:rPr>
          <w:rFonts w:ascii="Times new roman" w:hAnsi="Times new roman"/>
        </w:rPr>
      </w:pPr>
      <w:r>
        <w:rPr>
          <w:rFonts w:cs="Times New Roman" w:ascii="Times new roman" w:hAnsi="Times new roman"/>
          <w:b/>
          <w:bCs/>
          <w:color w:val="000000"/>
          <w:sz w:val="40"/>
          <w:szCs w:val="40"/>
        </w:rPr>
        <w:t>Data Identity and Perspectivism</w:t>
      </w:r>
    </w:p>
    <w:p>
      <w:pPr>
        <w:pStyle w:val="Normal"/>
        <w:spacing w:lineRule="auto" w:line="480"/>
        <w:jc w:val="center"/>
        <w:rPr>
          <w:rFonts w:ascii="Times new roman" w:hAnsi="Times new roman"/>
          <w:b/>
          <w:b/>
          <w:bCs/>
          <w:i/>
          <w:i/>
          <w:iCs/>
        </w:rPr>
      </w:pPr>
      <w:r>
        <w:rPr>
          <w:rFonts w:cs="Times New Roman" w:ascii="Times new roman" w:hAnsi="Times new roman"/>
          <w:b/>
          <w:bCs/>
          <w:i w:val="false"/>
          <w:iCs w:val="false"/>
          <w:color w:val="000000"/>
        </w:rPr>
        <w:t>Franklin Jacoby</w:t>
      </w:r>
    </w:p>
    <w:p>
      <w:pPr>
        <w:pStyle w:val="Normal"/>
        <w:spacing w:lineRule="auto" w:line="480"/>
        <w:jc w:val="center"/>
        <w:rPr>
          <w:rFonts w:ascii="Times new roman" w:hAnsi="Times new roman"/>
        </w:rPr>
      </w:pPr>
      <w:r>
        <w:rPr>
          <w:rFonts w:cs="Times New Roman" w:ascii="Times new roman" w:hAnsi="Times new roman"/>
          <w:color w:val="000000"/>
        </w:rPr>
        <w:t xml:space="preserve">[Preprint, forthcoming in </w:t>
      </w:r>
      <w:r>
        <w:rPr>
          <w:rFonts w:cs="Times New Roman" w:ascii="Times new roman" w:hAnsi="Times new roman"/>
          <w:i/>
          <w:iCs/>
          <w:color w:val="000000"/>
        </w:rPr>
        <w:t>Synthese</w:t>
      </w:r>
      <w:r>
        <w:rPr>
          <w:rFonts w:cs="Times New Roman" w:ascii="Times new roman" w:hAnsi="Times new roman"/>
          <w:i w:val="false"/>
          <w:iCs w:val="false"/>
          <w:color w:val="000000"/>
        </w:rPr>
        <w:t>]</w:t>
      </w:r>
    </w:p>
    <w:p>
      <w:pPr>
        <w:pStyle w:val="Normal"/>
        <w:spacing w:lineRule="auto" w:line="480"/>
        <w:jc w:val="center"/>
        <w:rPr>
          <w:rFonts w:cs="Times New Roman"/>
          <w:i/>
          <w:i/>
          <w:iCs/>
          <w:color w:val="000000"/>
        </w:rPr>
      </w:pPr>
      <w:r>
        <w:rPr>
          <w:rFonts w:ascii="Times new roman" w:hAnsi="Times new roman"/>
        </w:rPr>
      </w:r>
    </w:p>
    <w:p>
      <w:pPr>
        <w:pStyle w:val="Normal"/>
        <w:widowControl/>
        <w:overflowPunct w:val="false"/>
        <w:bidi w:val="0"/>
        <w:spacing w:lineRule="auto" w:line="480"/>
        <w:ind w:left="567" w:right="624" w:hanging="0"/>
        <w:jc w:val="left"/>
        <w:rPr>
          <w:rFonts w:ascii="Times new roman" w:hAnsi="Times new roman"/>
          <w:sz w:val="22"/>
          <w:szCs w:val="22"/>
        </w:rPr>
      </w:pPr>
      <w:r>
        <w:rPr>
          <w:rFonts w:cs="Times New Roman" w:ascii="Times new roman" w:hAnsi="Times new roman"/>
          <w:color w:val="000000"/>
          <w:sz w:val="22"/>
          <w:szCs w:val="22"/>
        </w:rPr>
        <w:t xml:space="preserve">This paper </w:t>
      </w:r>
      <w:r>
        <w:rPr>
          <w:rFonts w:eastAsia="ＭＳ 明朝" w:cs="Times New Roman" w:ascii="Times new roman" w:hAnsi="Times new roman"/>
          <w:color w:val="000000"/>
          <w:kern w:val="0"/>
          <w:sz w:val="22"/>
          <w:szCs w:val="22"/>
          <w:lang w:val="en-GB" w:eastAsia="en-US" w:bidi="ar-SA"/>
        </w:rPr>
        <w:t>u</w:t>
      </w:r>
      <w:r>
        <w:rPr>
          <w:rFonts w:eastAsia="ＭＳ 明朝" w:cs="Times New Roman" w:ascii="Times new roman" w:hAnsi="Times new roman"/>
          <w:color w:val="000000"/>
          <w:kern w:val="0"/>
          <w:sz w:val="22"/>
          <w:szCs w:val="22"/>
          <w:lang w:val="en-GB" w:eastAsia="en-US" w:bidi="ar-SA"/>
        </w:rPr>
        <w:t>ses several case studies to suggest</w:t>
      </w:r>
      <w:r>
        <w:rPr>
          <w:rFonts w:cs="Times New Roman" w:ascii="Times new roman" w:hAnsi="Times new roman"/>
          <w:color w:val="000000"/>
          <w:sz w:val="22"/>
          <w:szCs w:val="22"/>
        </w:rPr>
        <w:t xml:space="preserve"> that </w:t>
      </w:r>
      <w:r>
        <w:rPr>
          <w:rFonts w:cs="Times New Roman" w:ascii="Times new roman" w:hAnsi="Times new roman"/>
          <w:color w:val="000000"/>
          <w:sz w:val="22"/>
          <w:szCs w:val="22"/>
        </w:rPr>
        <w:t xml:space="preserve">1) two prominent definitions of data </w:t>
      </w:r>
      <w:r>
        <w:rPr>
          <w:rFonts w:eastAsia="ＭＳ 明朝" w:cs="Times New Roman" w:ascii="Times new roman" w:hAnsi="Times new roman"/>
          <w:color w:val="000000"/>
          <w:kern w:val="0"/>
          <w:sz w:val="22"/>
          <w:szCs w:val="22"/>
          <w:lang w:val="en-GB" w:eastAsia="en-US" w:bidi="ar-SA"/>
        </w:rPr>
        <w:t>do not on their own capture how scientists use data</w:t>
      </w:r>
      <w:r>
        <w:rPr>
          <w:rFonts w:cs="Times New Roman" w:ascii="Times new roman" w:hAnsi="Times new roman"/>
          <w:color w:val="000000"/>
          <w:sz w:val="22"/>
          <w:szCs w:val="22"/>
        </w:rPr>
        <w:t xml:space="preserve"> and 2)</w:t>
      </w:r>
      <w:r>
        <w:rPr>
          <w:rFonts w:cs="Times New Roman" w:ascii="Times new roman" w:hAnsi="Times new roman"/>
          <w:color w:val="000000"/>
          <w:sz w:val="22"/>
          <w:szCs w:val="22"/>
        </w:rPr>
        <w:t xml:space="preserve"> a novel perspectival </w:t>
      </w:r>
      <w:r>
        <w:rPr>
          <w:rFonts w:cs="Times New Roman" w:ascii="Times new roman" w:hAnsi="Times new roman"/>
          <w:color w:val="000000"/>
          <w:sz w:val="22"/>
          <w:szCs w:val="22"/>
        </w:rPr>
        <w:t>account</w:t>
      </w:r>
      <w:r>
        <w:rPr>
          <w:rFonts w:cs="Times New Roman" w:ascii="Times new roman" w:hAnsi="Times new roman"/>
          <w:color w:val="000000"/>
          <w:sz w:val="22"/>
          <w:szCs w:val="22"/>
        </w:rPr>
        <w:t xml:space="preserve"> of data </w:t>
      </w:r>
      <w:r>
        <w:rPr>
          <w:rFonts w:cs="Times New Roman" w:ascii="Times new roman" w:hAnsi="Times new roman"/>
          <w:color w:val="000000"/>
          <w:sz w:val="22"/>
          <w:szCs w:val="22"/>
        </w:rPr>
        <w:t>is needed</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It then outlines some key features of what this account could look like.</w:t>
      </w:r>
      <w:r>
        <w:rPr>
          <w:rFonts w:cs="Times New Roman" w:ascii="Times new roman" w:hAnsi="Times new roman"/>
          <w:color w:val="000000"/>
          <w:sz w:val="22"/>
          <w:szCs w:val="22"/>
        </w:rPr>
        <w:t xml:space="preserve"> Those views, the relational and representational, do not fully capture what data are and how they function in science. The representational view is insensitive to the scientific context in which data are used. The relational account does not fully account for the empirical nature of data and how it is possible for data to be evidentially useful. The perspectival account surmounts these problems by accommodating a representational element to data. At the same time, data depend upon the epistemic context because they are the product of situated and informed judgements. </w:t>
      </w:r>
    </w:p>
    <w:p>
      <w:pPr>
        <w:pStyle w:val="Normal"/>
        <w:spacing w:lineRule="auto" w:line="480"/>
        <w:rPr>
          <w:rFonts w:ascii="Times new roman" w:hAnsi="Times new roman" w:cs="Times New Roman"/>
          <w:b/>
          <w:b/>
          <w:i/>
          <w:i/>
          <w:color w:val="000000"/>
        </w:rPr>
      </w:pPr>
      <w:r>
        <w:rPr>
          <w:rFonts w:cs="Times New Roman" w:ascii="Times new roman" w:hAnsi="Times new roman"/>
          <w:b/>
          <w:i/>
          <w:color w:val="000000"/>
        </w:rPr>
      </w:r>
    </w:p>
    <w:p>
      <w:pPr>
        <w:pStyle w:val="Heading1"/>
        <w:numPr>
          <w:ilvl w:val="0"/>
          <w:numId w:val="2"/>
        </w:numPr>
        <w:rPr>
          <w:rFonts w:ascii="Times new roman" w:hAnsi="Times new roman"/>
        </w:rPr>
      </w:pPr>
      <w:r>
        <w:rPr>
          <w:rFonts w:ascii="Times new roman" w:hAnsi="Times new roman"/>
        </w:rPr>
        <w:t>1. Introduction</w:t>
      </w:r>
    </w:p>
    <w:p>
      <w:pPr>
        <w:pStyle w:val="Heading1"/>
        <w:numPr>
          <w:ilvl w:val="0"/>
          <w:numId w:val="2"/>
        </w:numPr>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cs="Times New Roman" w:ascii="Times new roman" w:hAnsi="Times new roman"/>
          <w:color w:val="000000"/>
        </w:rPr>
        <w:t>What are scientific data? There are two main answers. One influential answer, first defended by Bogen and Woodward (</w:t>
      </w:r>
      <w:bookmarkStart w:id="0" w:name="__Fieldmark__5_423805334"/>
      <w:r>
        <w:rPr>
          <w:rFonts w:cs="Times New Roman" w:ascii="Times new roman" w:hAnsi="Times new roman"/>
          <w:color w:val="000000"/>
        </w:rPr>
        <w:t>B</w:t>
      </w:r>
      <w:bookmarkStart w:id="1" w:name="__Fieldmark__7_1054606512"/>
      <w:r>
        <w:rPr>
          <w:rFonts w:cs="Times New Roman" w:ascii="Times new roman" w:hAnsi="Times new roman"/>
          <w:color w:val="000000"/>
        </w:rPr>
        <w:t>o</w:t>
      </w:r>
      <w:bookmarkStart w:id="2" w:name="__Fieldmark__2082_4042349503"/>
      <w:r>
        <w:rPr>
          <w:rFonts w:cs="Times New Roman" w:ascii="Times new roman" w:hAnsi="Times new roman"/>
          <w:color w:val="000000"/>
        </w:rPr>
        <w:t>g</w:t>
      </w:r>
      <w:bookmarkStart w:id="3" w:name="__Fieldmark__5_3398287000"/>
      <w:r>
        <w:rPr>
          <w:rFonts w:cs="Times New Roman" w:ascii="Times new roman" w:hAnsi="Times new roman"/>
          <w:color w:val="000000"/>
        </w:rPr>
        <w:t>e</w:t>
      </w:r>
      <w:r>
        <w:fldChar w:fldCharType="begin"/>
      </w:r>
      <w:r>
        <w:rPr>
          <w:rFonts w:cs="Times New Roman" w:ascii="Times new roman" w:hAnsi="Times new roman"/>
        </w:rPr>
        <w:instrText>ADDIN CSL_CITATION {"citationItems":[{"id":"ITEM-1","itemData":{"author":[{"dropping-particle":"","family":"Bogen","given":"James","non-dropping-particle":"","parse-names":false,"suffix":""},{"dropping-particle":"","family":"Woodward","given":"James","non-dropping-particle":"","parse-names":false,"suffix":""}],"container-title":"The Philosophical Review","id":"ITEM-1","issue":"3","issued":{"date-parts":[["1988"]]},"page":"303-352","title":"Saving the phenomena","type":"article-journal","volume":"97"},"uris":["http://www.mendeley.com/documents/?uuid=2e3ef0ca-bb53-4eed-95a3-fd68de9833e5"]}],"mendeley":{"formattedCitation":"(Bogen and Woodward 1988)","plainTextFormattedCitation":"(Bogen and Woodward 1988)","previouslyFormattedCitation":"(Bogen and Woodward 1988)"},"properties":{"noteIndex":0},"schema":"https://github.com/citation-style-language/schema/raw/master/csl-citation.json"}</w:instrText>
      </w:r>
      <w:r>
        <w:rPr>
          <w:rFonts w:cs="Times New Roman" w:ascii="Times new roman" w:hAnsi="Times new roman"/>
        </w:rPr>
        <w:fldChar w:fldCharType="separate"/>
      </w:r>
      <w:bookmarkStart w:id="4" w:name="__Fieldmark__28_3335229593"/>
      <w:r>
        <w:rPr>
          <w:rFonts w:cs="Times New Roman" w:ascii="Times new roman" w:hAnsi="Times new roman"/>
          <w:color w:val="000000"/>
        </w:rPr>
        <w:t>n and Woodward 1988)</w:t>
      </w:r>
      <w:r>
        <w:rPr>
          <w:rFonts w:ascii="Times new roman" w:hAnsi="Times new roman"/>
        </w:rPr>
      </w:r>
      <w:r>
        <w:rPr>
          <w:rFonts w:ascii="Times new roman" w:hAnsi="Times new roman"/>
        </w:rPr>
        <w:fldChar w:fldCharType="end"/>
      </w:r>
      <w:bookmarkEnd w:id="0"/>
      <w:bookmarkEnd w:id="1"/>
      <w:bookmarkEnd w:id="2"/>
      <w:bookmarkEnd w:id="3"/>
      <w:bookmarkEnd w:id="4"/>
      <w:r>
        <w:rPr>
          <w:rFonts w:cs="Times New Roman" w:ascii="Times new roman" w:hAnsi="Times new roman"/>
          <w:color w:val="000000"/>
        </w:rPr>
        <w:t xml:space="preserve">, is that data are representational. They represent in virtue of being records produced by reliable experiments. Data provide empirical evidence and, as such, </w:t>
      </w:r>
      <w:r>
        <w:rPr>
          <w:rFonts w:cs="Times New Roman" w:ascii="Times new roman" w:hAnsi="Times new roman"/>
          <w:color w:val="000000"/>
        </w:rPr>
        <w:t>are</w:t>
      </w:r>
      <w:r>
        <w:rPr>
          <w:rFonts w:cs="Times New Roman" w:ascii="Times new roman" w:hAnsi="Times new roman"/>
          <w:color w:val="000000"/>
        </w:rPr>
        <w:t xml:space="preserve"> free from theoretical assumptions and determined, in crucial ways, by nature. They are also stable, meaning their identity does not change even if </w:t>
      </w:r>
      <w:r>
        <w:rPr>
          <w:rFonts w:cs="Times New Roman" w:ascii="Times new roman" w:hAnsi="Times new roman"/>
          <w:color w:val="000000"/>
        </w:rPr>
        <w:t>theoretical or experimental practices change</w:t>
      </w:r>
      <w:r>
        <w:rPr>
          <w:rFonts w:cs="Times New Roman" w:ascii="Times new roman" w:hAnsi="Times new roman"/>
          <w:color w:val="000000"/>
        </w:rPr>
        <w:t>.</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Another answer, more recently defended, is the relational account (</w:t>
      </w:r>
      <w:bookmarkStart w:id="5" w:name="__Fieldmark__26_423805334"/>
      <w:r>
        <w:rPr>
          <w:rFonts w:cs="Times New Roman" w:ascii="Times new roman" w:hAnsi="Times new roman"/>
          <w:color w:val="000000"/>
        </w:rPr>
        <w:t>L</w:t>
      </w:r>
      <w:bookmarkStart w:id="6" w:name="__Fieldmark__24_1054606512"/>
      <w:r>
        <w:rPr>
          <w:rFonts w:cs="Times New Roman" w:ascii="Times new roman" w:hAnsi="Times new roman"/>
          <w:color w:val="000000"/>
        </w:rPr>
        <w:t>e</w:t>
      </w:r>
      <w:bookmarkStart w:id="7" w:name="__Fieldmark__2097_4042349503"/>
      <w:r>
        <w:rPr>
          <w:rFonts w:cs="Times New Roman" w:ascii="Times new roman" w:hAnsi="Times new roman"/>
          <w:color w:val="000000"/>
        </w:rPr>
        <w:t>o</w:t>
      </w:r>
      <w:bookmarkStart w:id="8" w:name="__Fieldmark__14_3398287000"/>
      <w:r>
        <w:rPr>
          <w:rFonts w:cs="Times New Roman" w:ascii="Times new roman" w:hAnsi="Times new roman"/>
          <w:color w:val="000000"/>
        </w:rPr>
        <w:t>n</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study","type":"book"},"uris":["http://www.mendeley.com/documents/?uuid=e73a61c5-e4e3-4e7b-bb07-5c47db2b1359"]}],"mendeley":{"formattedCitation":"(Leonelli 2016)","plainTextFormattedCitation":"(Leonelli 2016)","previouslyFormattedCitation":"(Leonelli 2016)"},"properties":{"noteIndex":0},"schema":"https://github.com/citation-style-language/schema/raw/master/csl-citation.json"}</w:instrText>
      </w:r>
      <w:r>
        <w:rPr>
          <w:rFonts w:cs="Times New Roman" w:ascii="Times new roman" w:hAnsi="Times new roman"/>
        </w:rPr>
        <w:fldChar w:fldCharType="separate"/>
      </w:r>
      <w:bookmarkStart w:id="9" w:name="__Fieldmark__41_3335229593"/>
      <w:r>
        <w:rPr>
          <w:rFonts w:cs="Times New Roman" w:ascii="Times new roman" w:hAnsi="Times new roman"/>
          <w:color w:val="000000"/>
        </w:rPr>
        <w:t>elli 2016)</w:t>
      </w:r>
      <w:r>
        <w:rPr>
          <w:rFonts w:ascii="Times new roman" w:hAnsi="Times new roman"/>
        </w:rPr>
      </w:r>
      <w:r>
        <w:rPr>
          <w:rFonts w:ascii="Times new roman" w:hAnsi="Times new roman"/>
        </w:rPr>
        <w:fldChar w:fldCharType="end"/>
      </w:r>
      <w:bookmarkEnd w:id="5"/>
      <w:bookmarkEnd w:id="6"/>
      <w:bookmarkEnd w:id="7"/>
      <w:bookmarkEnd w:id="8"/>
      <w:bookmarkEnd w:id="9"/>
      <w:r>
        <w:rPr>
          <w:rFonts w:cs="Times New Roman" w:ascii="Times new roman" w:hAnsi="Times new roman"/>
          <w:color w:val="000000"/>
        </w:rPr>
        <w:t>. Data are defined principally by their use as evidence. Consequently data identity depends upon the particular inquiry in which they feature and their identity changes as the inquiry changes. Different inquiries put different demands upon data and, to meet these demands, data change identity. Because these demands are many and varied, data identit</w:t>
      </w:r>
      <w:bookmarkStart w:id="10" w:name="_GoBack"/>
      <w:bookmarkEnd w:id="10"/>
      <w:r>
        <w:rPr>
          <w:rFonts w:cs="Times New Roman" w:ascii="Times new roman" w:hAnsi="Times new roman"/>
          <w:color w:val="000000"/>
        </w:rPr>
        <w:t>y changes often.</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 xml:space="preserve">Given these two seeming incompatible options, how should we define scientific data? Do data have a changing identity and, if so, what precipitates identity change? In trying to clarify the role of data in science, this paper will strike a middle option between the representational and relational accounts. I will call this third view a perspectival account, </w:t>
      </w:r>
      <w:r>
        <w:rPr>
          <w:rFonts w:cs="Times New Roman" w:ascii="Times new roman" w:hAnsi="Times new roman"/>
          <w:color w:val="000000"/>
        </w:rPr>
        <w:t>which is commited to two claims about data</w:t>
      </w:r>
      <w:r>
        <w:rPr>
          <w:rFonts w:cs="Times New Roman" w:ascii="Times new roman" w:hAnsi="Times new roman"/>
          <w:color w:val="000000"/>
        </w:rPr>
        <w:t>: (1) data identity changes much less frequently and easily than the relational account suggests because data are representational; and (2) data identity is not completely stable because data</w:t>
      </w:r>
      <w:r>
        <w:rPr>
          <w:rFonts w:cs="Times New Roman" w:ascii="Times new roman" w:hAnsi="Times new roman"/>
          <w:color w:val="000000"/>
        </w:rPr>
        <w:t xml:space="preserve"> depend upon distinctions that scientists make</w:t>
      </w:r>
      <w:r>
        <w:rPr>
          <w:rFonts w:cs="Times New Roman" w:ascii="Times new roman" w:hAnsi="Times new roman"/>
          <w:color w:val="000000"/>
        </w:rPr>
        <w:t xml:space="preserve">. This dependence can be helpfully understood by appeal to perspectivism.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 xml:space="preserve">In section 2 I discuss </w:t>
      </w:r>
      <w:r>
        <w:rPr>
          <w:rFonts w:cs="Times New Roman" w:ascii="Times new roman" w:hAnsi="Times new roman"/>
          <w:color w:val="000000"/>
        </w:rPr>
        <w:t>why</w:t>
      </w:r>
      <w:r>
        <w:rPr>
          <w:rFonts w:cs="Times New Roman" w:ascii="Times new roman" w:hAnsi="Times new roman"/>
          <w:color w:val="000000"/>
        </w:rPr>
        <w:t xml:space="preserve"> the relational account, </w:t>
      </w:r>
      <w:r>
        <w:rPr>
          <w:rFonts w:cs="Times New Roman" w:ascii="Times new roman" w:hAnsi="Times new roman"/>
          <w:color w:val="000000"/>
        </w:rPr>
        <w:t>as I have presented it,</w:t>
      </w:r>
      <w:r>
        <w:rPr>
          <w:rFonts w:cs="Times New Roman" w:ascii="Times new roman" w:hAnsi="Times new roman"/>
          <w:color w:val="000000"/>
        </w:rPr>
        <w:t xml:space="preserve"> provides a foil to explicating a view with stronger representational commitments. </w:t>
      </w:r>
      <w:r>
        <w:rPr>
          <w:rFonts w:cs="Times New Roman" w:ascii="Times new roman" w:hAnsi="Times new roman"/>
          <w:color w:val="000000"/>
        </w:rPr>
        <w:t xml:space="preserve">Section 3 develops a case study that suggests data have some representational element. Section 4 shows what a representational view that is sensitive to historical cases might look like. </w:t>
      </w:r>
    </w:p>
    <w:p>
      <w:pPr>
        <w:pStyle w:val="Heading1"/>
        <w:numPr>
          <w:ilvl w:val="0"/>
          <w:numId w:val="2"/>
        </w:numPr>
        <w:rPr>
          <w:rFonts w:ascii="Times new roman" w:hAnsi="Times new roman"/>
        </w:rPr>
      </w:pPr>
      <w:r>
        <w:rPr>
          <w:rFonts w:ascii="Times new roman" w:hAnsi="Times new roman"/>
        </w:rPr>
        <w:t>2. Representational and Relational Accounts of Data</w:t>
      </w:r>
    </w:p>
    <w:p>
      <w:pPr>
        <w:pStyle w:val="Heading1"/>
        <w:numPr>
          <w:ilvl w:val="0"/>
          <w:numId w:val="2"/>
        </w:numPr>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cs="Times New Roman" w:ascii="Times new roman" w:hAnsi="Times new roman"/>
          <w:color w:val="000000"/>
        </w:rPr>
        <w:t>The representational view of data (</w:t>
      </w:r>
      <w:bookmarkStart w:id="11" w:name="__Fieldmark__55_423805334"/>
      <w:r>
        <w:rPr>
          <w:rFonts w:cs="Times New Roman" w:ascii="Times new roman" w:hAnsi="Times new roman"/>
          <w:color w:val="000000"/>
        </w:rPr>
        <w:t>L</w:t>
      </w:r>
      <w:bookmarkStart w:id="12" w:name="__Fieldmark__51_1054606512"/>
      <w:r>
        <w:rPr>
          <w:rFonts w:cs="Times New Roman" w:ascii="Times new roman" w:hAnsi="Times new roman"/>
          <w:color w:val="000000"/>
        </w:rPr>
        <w:t>a</w:t>
      </w:r>
      <w:bookmarkStart w:id="13" w:name="__Fieldmark__2117_4042349503"/>
      <w:r>
        <w:rPr>
          <w:rFonts w:cs="Times New Roman" w:ascii="Times new roman" w:hAnsi="Times new roman"/>
          <w:color w:val="000000"/>
        </w:rPr>
        <w:t>t</w:t>
      </w:r>
      <w:bookmarkStart w:id="14" w:name="__Fieldmark__40_3398287000"/>
      <w:r>
        <w:rPr>
          <w:rFonts w:cs="Times New Roman" w:ascii="Times new roman" w:hAnsi="Times new roman"/>
          <w:color w:val="000000"/>
        </w:rPr>
        <w:t>o</w:t>
      </w:r>
      <w:r>
        <w:fldChar w:fldCharType="begin"/>
      </w:r>
      <w:r>
        <w:rPr>
          <w:rFonts w:cs="Times New Roman" w:ascii="Times new roman" w:hAnsi="Times new roman"/>
        </w:rPr>
        <w:instrText>ADDIN CSL_CITATION {"citationItems":[{"id":"ITEM-1","itemData":{"author":[{"dropping-particle":"","family":"Latour","given":"Bruno","non-dropping-particle":"","parse-names":false,"suffix":""}],"id":"ITEM-1","issued":{"date-parts":[["1999"]]},"publisher":"Harvard university press","title":"Pandora's hope: essays on the reality of science studies","type":"book"},"uris":["http://www.mendeley.com/documents/?uuid=3c9f8755-b9b5-4710-835c-7e25eff4f8ca"]},{"id":"ITEM-2","itemData":{"author":[{"dropping-particle":"","family":"Rheinberger","given":"Hans-Jörg","non-dropping-particle":"","parse-names":false,"suffix":""}],"container-title":"History of Science","id":"ITEM-2","issue":"3","issued":{"date-parts":[["2011"]]},"page":"337-348","publisher":"SAGE Publications Sage UK: London, England","title":"Infra-experimentality: from traces to data, from data to patterning facts","type":"article-journal","volume":"49"},"uris":["http://www.mendeley.com/documents/?uuid=b8810b13-d5fa-4b1b-be8c-92112aafbc6b"]},{"id":"ITEM-3","itemData":{"author":[{"dropping-particle":"","family":"Bogen","given":"James","non-dropping-particle":"","parse-names":false,"suffix":""},{"dropping-particle":"","family":"Woodward","given":"James","non-dropping-particle":"","parse-names":false,"suffix":""}],"container-title":"The Philosophical Review","id":"ITEM-3","issue":"3","issued":{"date-parts":[["1988"]]},"page":"303-352","title":"Saving the phenomena","type":"article-journal","volume":"97"},"uris":["http://www.mendeley.com/documents/?uuid=2e3ef0ca-bb53-4eed-95a3-fd68de9833e5"]},{"id":"ITEM-4","itemData":{"abstract":"'IRS' is our term for the logical empiricist idea that the best way to understand the epistemic bearing of observational evidence on scientific theories is to model it in terms of Inferential Relations among Sentences representing the evidence, and sentences representing hypotheses the evidence is used to evaluate. Developing ideas from our earlier work, including 'Saving the Phenomena' we argue that the bearing of observational evidence on theory depends upon causal connections and error characteristics of the processes by which data is produced and used to detect features of phenomena. Neither of these depends upon, or is greatly illuminated by a consideration of, formal relations among observation and theoretical sentences or propositions. By taking causal structures and error characteristics, you too can evade the IRS. In doing so, you can gain insight into Hempel's raven paradox, theory loading, and other issues from the standard philosophical literature on confirmation theory.","author":[{"dropping-particle":"","family":"Bogen","given":"James","non-dropping-particle":"","parse-names":false,"suffix":""},{"dropping-particle":"","family":"Woodword","given":"James","non-dropping-particle":"","parse-names":false,"suffix":""}],"container-title":"Poznań Studies in the Philosophy of the Sciences and the Humanities","id":"ITEM-4","issued":{"date-parts":[["2003"]]},"page":"223-256","title":"Evading the IRS","type":"article-journal","volume":"20"},"uris":["http://www.mendeley.com/documents/?uuid=4b18352c-32ec-4e74-98ae-f8efd7ddd295"]}],"mendeley":{"formattedCitation":"(Latour 1999; Rheinberger 2011; Bogen and Woodward 1988; Bogen and Woodword 2003)","plainTextFormattedCitation":"(Latour 1999; Rheinberger 2011; Bogen and Woodward 1988; Bogen and Woodword 2003)","previouslyFormattedCitation":"(Latour 1999; Rheinberger 2011; Bogen and Woodward 1988; Bogen and Woodword 2003)"},"properties":{"noteIndex":0},"schema":"https://github.com/citation-style-language/schema/raw/master/csl-citation.json"}</w:instrText>
      </w:r>
      <w:r>
        <w:rPr>
          <w:rFonts w:cs="Times New Roman" w:ascii="Times new roman" w:hAnsi="Times new roman"/>
        </w:rPr>
        <w:fldChar w:fldCharType="separate"/>
      </w:r>
      <w:bookmarkStart w:id="15" w:name="__Fieldmark__90_3335229593"/>
      <w:r>
        <w:rPr>
          <w:rFonts w:cs="Times New Roman" w:ascii="Times new roman" w:hAnsi="Times new roman"/>
          <w:color w:val="000000"/>
        </w:rPr>
        <w:t>ur 1999; Rheinberger 2011; Bogen and Woodward 1988; Bogen and Woodword 2003)</w:t>
      </w:r>
      <w:r>
        <w:rPr>
          <w:rFonts w:ascii="Times new roman" w:hAnsi="Times new roman"/>
        </w:rPr>
      </w:r>
      <w:r>
        <w:rPr>
          <w:rFonts w:ascii="Times new roman" w:hAnsi="Times new roman"/>
        </w:rPr>
        <w:fldChar w:fldCharType="end"/>
      </w:r>
      <w:bookmarkEnd w:id="11"/>
      <w:bookmarkEnd w:id="12"/>
      <w:bookmarkEnd w:id="13"/>
      <w:bookmarkEnd w:id="14"/>
      <w:bookmarkEnd w:id="15"/>
      <w:r>
        <w:rPr>
          <w:rFonts w:cs="Times New Roman" w:ascii="Times new roman" w:hAnsi="Times new roman"/>
          <w:color w:val="000000"/>
        </w:rPr>
        <w:t xml:space="preserve"> </w:t>
      </w:r>
      <w:r>
        <w:rPr>
          <w:rFonts w:cs="Times New Roman" w:ascii="Times new roman" w:hAnsi="Times new roman"/>
          <w:color w:val="000000"/>
        </w:rPr>
        <w:t xml:space="preserve">is the view that knowledge claims are grounded on a largely theory-free and empirical contribution from data. Data are theory-free in the sense that they are not the kind of objects that scientists attempt to explain using theory, nor can they be derived from or predicted by theory </w:t>
      </w:r>
      <w:bookmarkStart w:id="16" w:name="__UnoMark__9208_3335229593"/>
      <w:r>
        <w:rPr>
          <w:rFonts w:cs="Times New Roman" w:ascii="Times new roman" w:hAnsi="Times new roman"/>
          <w:color w:val="000000"/>
          <w:position w:val="0"/>
          <w:sz w:val="24"/>
          <w:sz w:val="24"/>
          <w:vertAlign w:val="baseline"/>
        </w:rPr>
        <w:t>(J. Woodward 1989, 394)</w:t>
      </w:r>
      <w:bookmarkEnd w:id="16"/>
      <w:r>
        <w:rPr>
          <w:rFonts w:cs="Times New Roman" w:ascii="Times new roman" w:hAnsi="Times new roman"/>
          <w:color w:val="000000"/>
        </w:rPr>
        <w:t xml:space="preserve">⁠. As well as being theory-free, data are mostly independent from the epistemic context, i.e. independent of the actions, beliefs, and other epistemic features of the scientists who collect or use them. I say “mostly” because the representational view does make room for some of these considerations, but they allocate them to “noise,” that is, factors that obscure the causal origin of the data </w:t>
      </w:r>
      <w:bookmarkStart w:id="17" w:name="__UnoMark__9209_3335229593"/>
      <w:r>
        <w:rPr>
          <w:rFonts w:cs="Times New Roman" w:ascii="Times new roman" w:hAnsi="Times new roman"/>
          <w:color w:val="000000"/>
          <w:position w:val="0"/>
          <w:sz w:val="24"/>
          <w:sz w:val="24"/>
          <w:vertAlign w:val="baseline"/>
        </w:rPr>
        <w:t>(J. Woodward 2010, 793)</w:t>
      </w:r>
      <w:bookmarkEnd w:id="17"/>
      <w:r>
        <w:rPr>
          <w:rFonts w:cs="Times New Roman" w:ascii="Times new roman" w:hAnsi="Times new roman"/>
          <w:color w:val="000000"/>
        </w:rPr>
        <w:t xml:space="preserve">⁠. Data, when reliably produced, provide a signal and the causal origin of that signal is a phenomenon. That is why, Woodward thinks, data can be used as evidence: because they are causally produced by phenomena. </w:t>
      </w:r>
      <w:r>
        <w:rPr>
          <w:rFonts w:cs="Times New Roman" w:ascii="Times new roman" w:hAnsi="Times new roman"/>
          <w:color w:val="000000"/>
        </w:rPr>
        <w:t xml:space="preserve">These </w:t>
      </w:r>
      <w:r>
        <w:rPr>
          <w:rFonts w:cs="Times New Roman" w:ascii="Times new roman" w:hAnsi="Times new roman"/>
          <w:color w:val="000000"/>
        </w:rPr>
        <w:t>henomena are not, however, the only causes acting on data (</w:t>
      </w:r>
      <w:r>
        <w:rPr>
          <w:rFonts w:cs="Times New Roman" w:ascii="Times new roman" w:hAnsi="Times new roman"/>
          <w:i/>
          <w:iCs/>
          <w:color w:val="000000"/>
        </w:rPr>
        <w:t>Ibid</w:t>
      </w:r>
      <w:r>
        <w:rPr>
          <w:rFonts w:cs="Times New Roman" w:ascii="Times new roman" w:hAnsi="Times new roman"/>
          <w:i w:val="false"/>
          <w:iCs w:val="false"/>
          <w:color w:val="000000"/>
        </w:rPr>
        <w:t>). Any causal factors that are not the phenomenon of interest count as noise. For example, if I am interesting in the melting point of lead and I measure a series of melting lead samples, I should get consistent results. The consistency, the signal, is due to the phenomenon (melting lead), but I am likely to have some variation in my data. The variation (noise) is likely to due to extraneous factors, such as impur</w:t>
      </w:r>
      <w:r>
        <w:rPr>
          <w:rFonts w:cs="Times New Roman" w:ascii="Times new roman" w:hAnsi="Times new roman"/>
          <w:i w:val="false"/>
          <w:iCs w:val="false"/>
          <w:color w:val="000000"/>
        </w:rPr>
        <w:t>ities in the</w:t>
      </w:r>
      <w:r>
        <w:rPr>
          <w:rFonts w:cs="Times New Roman" w:ascii="Times new roman" w:hAnsi="Times new roman"/>
          <w:i w:val="false"/>
          <w:iCs w:val="false"/>
          <w:color w:val="000000"/>
        </w:rPr>
        <w:t xml:space="preserve"> sample of lead, incorrect positioning of the thermometer, a malfunctioning thermometer, failure to measure temperature at the correct moment, and </w:t>
      </w:r>
      <w:r>
        <w:rPr>
          <w:rFonts w:eastAsia="ＭＳ 明朝" w:cs="Times New Roman" w:ascii="Times new roman" w:hAnsi="Times new roman"/>
          <w:i w:val="false"/>
          <w:iCs w:val="false"/>
          <w:color w:val="000000"/>
          <w:kern w:val="0"/>
          <w:sz w:val="24"/>
          <w:szCs w:val="24"/>
          <w:lang w:val="en-GB" w:eastAsia="en-US" w:bidi="ar-SA"/>
        </w:rPr>
        <w:t xml:space="preserve">so </w:t>
      </w:r>
      <w:r>
        <w:rPr>
          <w:rFonts w:cs="Times New Roman" w:ascii="Times new roman" w:hAnsi="Times new roman"/>
          <w:i w:val="false"/>
          <w:iCs w:val="false"/>
          <w:color w:val="000000"/>
        </w:rPr>
        <w:t xml:space="preserve">on. One crucial feature of this view is that the causal role the scientist plays is restricted to the noise. Data are largely independent of the epistemic context in that the causal origin of any data set is free from human interference.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Scientists record data and, because phenomena are the causal origin of data, the data can serve as unchanging evidence against which theories and models can be compared, or upon which theories and models are built. Data serve as the empirical arbitrator by being evidence that supports more theoretical claims about phenomena, phenomena such as the melting point of lead, neutrinos, black holes, aggressive behaviour, or evolutionary traits (</w:t>
      </w:r>
      <w:bookmarkStart w:id="18" w:name="__Fieldmark__87_423805334"/>
      <w:r>
        <w:rPr>
          <w:rFonts w:cs="Times New Roman" w:ascii="Times new roman" w:hAnsi="Times new roman"/>
          <w:color w:val="000000"/>
        </w:rPr>
        <w:t>B</w:t>
      </w:r>
      <w:bookmarkStart w:id="19" w:name="__Fieldmark__80_1054606512"/>
      <w:r>
        <w:rPr>
          <w:rFonts w:cs="Times New Roman" w:ascii="Times new roman" w:hAnsi="Times new roman"/>
          <w:color w:val="000000"/>
        </w:rPr>
        <w:t>o</w:t>
      </w:r>
      <w:bookmarkStart w:id="20" w:name="__Fieldmark__2146_4042349503"/>
      <w:r>
        <w:rPr>
          <w:rFonts w:cs="Times New Roman" w:ascii="Times new roman" w:hAnsi="Times new roman"/>
          <w:color w:val="000000"/>
        </w:rPr>
        <w:t>g</w:t>
      </w:r>
      <w:bookmarkStart w:id="21" w:name="__Fieldmark__73_3398287000"/>
      <w:r>
        <w:rPr>
          <w:rFonts w:cs="Times New Roman" w:ascii="Times new roman" w:hAnsi="Times new roman"/>
          <w:color w:val="000000"/>
        </w:rPr>
        <w:t>e</w:t>
      </w:r>
      <w:r>
        <w:fldChar w:fldCharType="begin"/>
      </w:r>
      <w:r>
        <w:rPr>
          <w:rFonts w:cs="Times New Roman" w:ascii="Times new roman" w:hAnsi="Times new roman"/>
        </w:rPr>
        <w:instrText>ADDIN CSL_CITATION {"citationItems":[{"id":"ITEM-1","itemData":{"author":[{"dropping-particle":"","family":"Bogen","given":"James","non-dropping-particle":"","parse-names":false,"suffix":""},{"dropping-particle":"","family":"Woodward","given":"James","non-dropping-particle":"","parse-names":false,"suffix":""}],"container-title":"The Philosophical Review","id":"ITEM-1","issue":"3","issued":{"date-parts":[["1988"]]},"page":"303-352","title":"Saving the phenomena","type":"article-journal","volume":"97"},"uris":["http://www.mendeley.com/documents/?uuid=2e3ef0ca-bb53-4eed-95a3-fd68de9833e5"]}],"mendeley":{"formattedCitation":"(Bogen and Woodward 1988)","plainTextFormattedCitation":"(Bogen and Woodward 1988)","previouslyFormattedCitation":"(Bogen and Woodward 1988)"},"properties":{"noteIndex":0},"schema":"https://github.com/citation-style-language/schema/raw/master/csl-citation.json"}</w:instrText>
      </w:r>
      <w:r>
        <w:rPr>
          <w:rFonts w:cs="Times New Roman" w:ascii="Times new roman" w:hAnsi="Times new roman"/>
        </w:rPr>
        <w:fldChar w:fldCharType="separate"/>
      </w:r>
      <w:bookmarkStart w:id="22" w:name="__Fieldmark__147_3335229593"/>
      <w:r>
        <w:rPr>
          <w:rFonts w:cs="Times New Roman" w:ascii="Times new roman" w:hAnsi="Times new roman"/>
          <w:color w:val="000000"/>
        </w:rPr>
        <w:t>n and Woodward 1988)</w:t>
      </w:r>
      <w:r>
        <w:rPr>
          <w:rFonts w:ascii="Times new roman" w:hAnsi="Times new roman"/>
        </w:rPr>
      </w:r>
      <w:r>
        <w:rPr>
          <w:rFonts w:ascii="Times new roman" w:hAnsi="Times new roman"/>
        </w:rPr>
        <w:fldChar w:fldCharType="end"/>
      </w:r>
      <w:bookmarkEnd w:id="18"/>
      <w:bookmarkEnd w:id="19"/>
      <w:bookmarkEnd w:id="20"/>
      <w:bookmarkEnd w:id="21"/>
      <w:bookmarkEnd w:id="22"/>
      <w:r>
        <w:rPr>
          <w:rFonts w:cs="Times New Roman" w:ascii="Times new roman" w:hAnsi="Times new roman"/>
          <w:color w:val="000000"/>
        </w:rPr>
        <w:t xml:space="preserve">.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cs="Times New Roman"/>
          <w:color w:val="auto"/>
        </w:rPr>
      </w:pPr>
      <w:r>
        <w:rPr>
          <w:rFonts w:cs="Times New Roman" w:ascii="Times new roman" w:hAnsi="Times new roman"/>
          <w:color w:val="auto"/>
        </w:rPr>
        <w:t>Throughout their collection and use, data are stable because they are causally connected, sometimes through long causal chains, to stable phenomena. We can see Woodward making this point in two stages. First, phenomena are stable:</w:t>
      </w:r>
    </w:p>
    <w:p>
      <w:pPr>
        <w:pStyle w:val="Quotations"/>
        <w:rPr>
          <w:rFonts w:ascii="Times new roman" w:hAnsi="Times new roman"/>
        </w:rPr>
      </w:pPr>
      <w:r>
        <w:rPr>
          <w:rFonts w:ascii="Times new roman" w:hAnsi="Times new roman"/>
          <w:color w:val="auto"/>
        </w:rPr>
        <w:t xml:space="preserve">Phenomena, as I shall use the term, are relatively stable and general features of the world which are potential objects of explanation and prediction by general theory. </w:t>
      </w:r>
      <w:bookmarkStart w:id="23" w:name="__UnoMark__9210_3335229593"/>
      <w:r>
        <w:rPr>
          <w:rFonts w:ascii="Times new roman" w:hAnsi="Times new roman"/>
          <w:color w:val="auto"/>
        </w:rPr>
        <w:t>(J. Woodward 1989, 393)</w:t>
      </w:r>
      <w:bookmarkEnd w:id="23"/>
      <w:r>
        <w:rPr>
          <w:rFonts w:ascii="Times new roman" w:hAnsi="Times new roman"/>
          <w:color w:val="auto"/>
          <w:position w:val="0"/>
          <w:sz w:val="24"/>
          <w:sz w:val="24"/>
          <w:vertAlign w:val="baseline"/>
        </w:rPr>
        <w:t>.</w:t>
      </w:r>
      <w:r>
        <w:rPr>
          <w:rFonts w:ascii="Times new roman" w:hAnsi="Times new roman"/>
          <w:color w:val="auto"/>
        </w:rPr>
        <w:t>⁠</w:t>
      </w:r>
    </w:p>
    <w:p>
      <w:pPr>
        <w:pStyle w:val="Normal"/>
        <w:spacing w:lineRule="auto" w:line="480"/>
        <w:rPr/>
      </w:pPr>
      <w:r>
        <w:rPr>
          <w:rFonts w:cs="Times New Roman" w:ascii="Times new roman" w:hAnsi="Times new roman"/>
          <w:color w:val="auto"/>
        </w:rPr>
        <w:t xml:space="preserve"> </w:t>
      </w:r>
      <w:r>
        <w:rPr>
          <w:rFonts w:cs="Times New Roman" w:ascii="Times new roman" w:hAnsi="Times new roman"/>
          <w:color w:val="auto"/>
        </w:rPr>
        <w:t>Because phenomena are stable features of the world, it stands to reason that anything causally produced by those stable features is at least partly stable, which in this case is data.</w:t>
      </w:r>
      <w:r>
        <w:rPr>
          <w:rStyle w:val="FootnoteAnchor"/>
          <w:rStyle w:val="FootnoteAnchor"/>
          <w:rFonts w:cs="Times New Roman" w:ascii="Times new roman" w:hAnsi="Times new roman"/>
          <w:color w:val="auto"/>
        </w:rPr>
        <w:footnoteReference w:id="2"/>
      </w:r>
      <w:r>
        <w:rPr>
          <w:rFonts w:cs="Times New Roman" w:ascii="Times new roman" w:hAnsi="Times new roman"/>
          <w:color w:val="auto"/>
        </w:rPr>
        <w:t xml:space="preserve"> Woodward makes this point a little later in his </w:t>
      </w:r>
      <w:r>
        <w:rPr>
          <w:rFonts w:cs="Times New Roman" w:ascii="Times new roman" w:hAnsi="Times new roman"/>
          <w:color w:val="auto"/>
          <w:position w:val="0"/>
          <w:sz w:val="24"/>
          <w:sz w:val="24"/>
          <w:vertAlign w:val="baseline"/>
        </w:rPr>
        <w:t>(1989,</w:t>
      </w:r>
      <w:bookmarkStart w:id="24" w:name="__UnoMark__9211_3335229593"/>
      <w:bookmarkEnd w:id="24"/>
      <w:r>
        <w:rPr>
          <w:rFonts w:cs="Times New Roman" w:ascii="Times new roman" w:hAnsi="Times new roman"/>
          <w:color w:val="auto"/>
          <w:position w:val="0"/>
          <w:sz w:val="24"/>
          <w:sz w:val="24"/>
          <w:vertAlign w:val="baseline"/>
        </w:rPr>
        <w:t xml:space="preserve"> 404):</w:t>
      </w:r>
    </w:p>
    <w:p>
      <w:pPr>
        <w:pStyle w:val="Quotations"/>
        <w:rPr>
          <w:rFonts w:ascii="Times new roman" w:hAnsi="Times new roman"/>
        </w:rPr>
      </w:pPr>
      <w:r>
        <w:rPr>
          <w:rFonts w:cs="Times New Roman" w:ascii="Times new roman" w:hAnsi="Times new roman"/>
          <w:color w:val="auto"/>
          <w:position w:val="0"/>
          <w:sz w:val="24"/>
          <w:sz w:val="24"/>
          <w:vertAlign w:val="baseline"/>
        </w:rPr>
        <w:t>It is very common to understand in principle how a phenomenon plays a causal role in the production of a certain body of data, without being in a position to extract reliable information from that data regarding the phenomenon in question.</w:t>
      </w:r>
      <w:r>
        <w:rPr>
          <w:rFonts w:cs="Times New Roman" w:ascii="Times new roman" w:hAnsi="Times new roman"/>
          <w:color w:val="auto"/>
        </w:rPr>
        <w:t>⁠</w:t>
      </w:r>
    </w:p>
    <w:p>
      <w:pPr>
        <w:pStyle w:val="TextBody"/>
        <w:spacing w:lineRule="auto" w:line="480" w:before="0" w:after="140"/>
        <w:rPr>
          <w:rFonts w:ascii="Times new roman" w:hAnsi="Times new roman" w:cs="Times New Roman"/>
          <w:color w:val="auto"/>
        </w:rPr>
      </w:pPr>
      <w:r>
        <w:rPr>
          <w:rFonts w:cs="Times New Roman" w:ascii="Times new roman" w:hAnsi="Times new roman"/>
          <w:color w:val="auto"/>
        </w:rPr>
        <w:t>We can see from this quotation that data and phenomena are causally linked and that this link exists regardless of whether scientists are “in a position” to know anything about that link. This suggests to me that the representational view treats data, as well as the phenomenon that caused them, as stable, i.e. possessing an unchanging identity in the face of epistemic change.</w:t>
      </w:r>
    </w:p>
    <w:p>
      <w:pPr>
        <w:pStyle w:val="TextBody"/>
        <w:spacing w:lineRule="auto" w:line="480" w:before="0" w:after="140"/>
        <w:rPr>
          <w:rFonts w:ascii="Times new roman" w:hAnsi="Times new roman"/>
        </w:rPr>
      </w:pPr>
      <w:r>
        <w:rPr>
          <w:rFonts w:cs="Times New Roman" w:ascii="Times new roman" w:hAnsi="Times new roman"/>
          <w:color w:val="000000"/>
        </w:rPr>
        <w:t>Leonelli (</w:t>
      </w:r>
      <w:bookmarkStart w:id="25" w:name="__Fieldmark__151_423805334"/>
      <w:r>
        <w:rPr>
          <w:rFonts w:cs="Times New Roman" w:ascii="Times new roman" w:hAnsi="Times new roman"/>
          <w:color w:val="000000"/>
        </w:rPr>
        <w:t>2</w:t>
      </w:r>
      <w:bookmarkStart w:id="26" w:name="__Fieldmark__140_1054606512"/>
      <w:r>
        <w:rPr>
          <w:rFonts w:cs="Times New Roman" w:ascii="Times new roman" w:hAnsi="Times new roman"/>
          <w:color w:val="000000"/>
        </w:rPr>
        <w:t>0</w:t>
      </w:r>
      <w:bookmarkStart w:id="27" w:name="__Fieldmark__2198_4042349503"/>
      <w:r>
        <w:rPr>
          <w:rFonts w:cs="Times New Roman" w:ascii="Times new roman" w:hAnsi="Times new roman"/>
          <w:color w:val="000000"/>
        </w:rPr>
        <w:t>0</w:t>
      </w:r>
      <w:bookmarkStart w:id="28" w:name="__Fieldmark__135_3398287000"/>
      <w:r>
        <w:rPr>
          <w:rFonts w:cs="Times New Roman" w:ascii="Times new roman" w:hAnsi="Times new roman"/>
          <w:color w:val="000000"/>
        </w:rPr>
        <w:t>9</w:t>
      </w:r>
      <w:r>
        <w:fldChar w:fldCharType="begin"/>
      </w:r>
      <w:r>
        <w:rPr>
          <w:rFonts w:cs="Times New Roman" w:ascii="Times new roman" w:hAnsi="Times new roman"/>
        </w:rPr>
        <w:instrText>ADDIN CSL_CITATION {"citationItems":[{"id":"ITEM-1","itemData":{"ISSN":"0031-8248","abstract":"Bogen and Woodward characterized data as embedded in the context in which they are produced (‘local’) and claims about phenomena as retaining their significance beyond that context (‘nonlocal’). This view does not fit sciences such as biology, which successfully disseminate data via packaging processes that include appropriate labels, vehicles, and human interventions. These processes enhance the evidential scope of data and ensure that claims about phenomena are understood in the same way across research communities. I conclude that the degree of locality of both data and claims about phenomena varies depending on the packaging used to make them travel and on the research setting in which they are used.","author":[{"dropping-particle":"","family":"Leonelli","given":"Sabina","non-dropping-particle":"","parse-names":false,"suffix":""}],"container-title":"Philosophy of Science","id":"ITEM-1","issue":"5","issued":{"date-parts":[["2009"]]},"page":"737-749","title":"On the Locality of Data and Claims about Phenomena","type":"article-journal","volume":"76"},"suppress-author":1,"uris":["http://www.mendeley.com/documents/?uuid=7691d350-56d9-41f9-af9f-a7ba3b975cb8"]},{"id":"ITEM-2","itemData":{"author":[{"dropping-particle":"","family":"Leonelli","given":"Sabina","non-dropping-particle":"","parse-names":false,"suffix":""}],"id":"ITEM-2","issued":{"date-parts":[["2016"]]},"publisher":"University of Chicago Press","title":"Data-centric biology: a philosophical study","type":"book"},"suppress-author":1,"uris":["http://www.mendeley.com/documents/?uuid=e73a61c5-e4e3-4e7b-bb07-5c47db2b1359"]},{"id":"ITEM-3","itemData":{"author":[{"dropping-particle":"","family":"Leonelli","given":"Sabina","non-dropping-particle":"","parse-names":false,"suffix":""}],"container-title":"Philosophy of Science","id":"ITEM-3","issue":"5","issued":{"date-parts":[["2015"]]},"page":"1-11","title":"What Counts as Scientific Data? A Relational Framework","type":"article-journal","volume":"82"},"suppress-author":1,"uris":["http://www.mendeley.com/documents/?uuid=dc6ed61a-7912-4dc7-a620-c4583df23521"]}],"mendeley":{"formattedCitation":"(2009, 2016, 2015)","plainTextFormattedCitation":"(2009, 2016, 2015)","previouslyFormattedCitation":"(2009, 2016, 2015)"},"properties":{"noteIndex":0},"schema":"https://github.com/citation-style-language/schema/raw/master/csl-citation.json"}</w:instrText>
      </w:r>
      <w:r>
        <w:rPr>
          <w:rFonts w:cs="Times New Roman" w:ascii="Times new roman" w:hAnsi="Times new roman"/>
        </w:rPr>
        <w:fldChar w:fldCharType="separate"/>
      </w:r>
      <w:bookmarkStart w:id="29" w:name="__Fieldmark__232_3335229593"/>
      <w:r>
        <w:rPr>
          <w:rFonts w:cs="Times New Roman" w:ascii="Times new roman" w:hAnsi="Times new roman"/>
          <w:color w:val="000000"/>
        </w:rPr>
        <w:t>, 2016, 2015)</w:t>
      </w:r>
      <w:r>
        <w:rPr>
          <w:rFonts w:ascii="Times new roman" w:hAnsi="Times new roman"/>
        </w:rPr>
      </w:r>
      <w:r>
        <w:rPr>
          <w:rFonts w:ascii="Times new roman" w:hAnsi="Times new roman"/>
        </w:rPr>
        <w:fldChar w:fldCharType="end"/>
      </w:r>
      <w:bookmarkEnd w:id="25"/>
      <w:bookmarkEnd w:id="26"/>
      <w:bookmarkEnd w:id="27"/>
      <w:bookmarkEnd w:id="28"/>
      <w:bookmarkEnd w:id="29"/>
      <w:r>
        <w:rPr>
          <w:rFonts w:cs="Times New Roman" w:ascii="Times new roman" w:hAnsi="Times new roman"/>
          <w:color w:val="000000"/>
        </w:rPr>
        <w:t xml:space="preserve"> rejects the representational view and defends a relational account. This </w:t>
      </w:r>
      <w:r>
        <w:rPr>
          <w:rFonts w:cs="Times New Roman" w:ascii="Times new roman" w:hAnsi="Times new roman"/>
          <w:color w:val="000000"/>
        </w:rPr>
        <w:t xml:space="preserve">second </w:t>
      </w:r>
      <w:r>
        <w:rPr>
          <w:rFonts w:cs="Times New Roman" w:ascii="Times new roman" w:hAnsi="Times new roman"/>
          <w:color w:val="000000"/>
        </w:rPr>
        <w:t xml:space="preserve">account claims data are material artefacts whose identity is determined by their evidential use. After describing how this view is motivated, I will argue that accounts that do not treat data as at least partly representational—face two issues: the problem of identity and the problem of data stability. </w:t>
      </w:r>
    </w:p>
    <w:p>
      <w:pPr>
        <w:pStyle w:val="TextBody"/>
        <w:spacing w:lineRule="auto" w:line="480" w:before="0" w:after="140"/>
        <w:rPr>
          <w:rFonts w:ascii="Times new roman" w:hAnsi="Times new roman"/>
        </w:rPr>
      </w:pPr>
      <w:r>
        <w:rPr>
          <w:rFonts w:cs="Times New Roman" w:ascii="Times new roman" w:hAnsi="Times new roman"/>
          <w:color w:val="000000"/>
        </w:rPr>
        <w:t xml:space="preserve">Leonelli argues that </w:t>
      </w:r>
      <w:r>
        <w:rPr>
          <w:rFonts w:eastAsia="ＭＳ 明朝" w:cs="Times New Roman" w:ascii="Times new roman" w:hAnsi="Times new roman"/>
          <w:color w:val="000000"/>
          <w:kern w:val="0"/>
          <w:sz w:val="24"/>
          <w:szCs w:val="24"/>
          <w:lang w:val="en-GB" w:eastAsia="en-US" w:bidi="ar-SA"/>
        </w:rPr>
        <w:t xml:space="preserve">data must be able to travel and </w:t>
      </w:r>
      <w:r>
        <w:rPr>
          <w:rFonts w:eastAsia="ＭＳ 明朝" w:cs="Times New Roman" w:ascii="Times new roman" w:hAnsi="Times new roman"/>
          <w:color w:val="000000"/>
          <w:kern w:val="0"/>
          <w:sz w:val="24"/>
          <w:szCs w:val="24"/>
          <w:lang w:val="en-GB" w:eastAsia="en-US" w:bidi="ar-SA"/>
        </w:rPr>
        <w:t>that they</w:t>
      </w:r>
      <w:r>
        <w:rPr>
          <w:rFonts w:eastAsia="ＭＳ 明朝" w:cs="Times New Roman" w:ascii="Times new roman" w:hAnsi="Times new roman"/>
          <w:color w:val="000000"/>
          <w:kern w:val="0"/>
          <w:sz w:val="24"/>
          <w:szCs w:val="24"/>
          <w:lang w:val="en-GB" w:eastAsia="en-US" w:bidi="ar-SA"/>
        </w:rPr>
        <w:t xml:space="preserve"> must be evidential; these</w:t>
      </w:r>
      <w:r>
        <w:rPr>
          <w:rFonts w:cs="Times New Roman" w:ascii="Times new roman" w:hAnsi="Times new roman"/>
          <w:color w:val="000000"/>
        </w:rPr>
        <w:t xml:space="preserve"> two considerations require substantive identity changes in data (</w:t>
      </w:r>
      <w:bookmarkStart w:id="30" w:name="__Fieldmark__172_423805334"/>
      <w:r>
        <w:rPr>
          <w:rFonts w:cs="Times New Roman" w:ascii="Times new roman" w:hAnsi="Times new roman"/>
          <w:color w:val="000000"/>
        </w:rPr>
        <w:t>L</w:t>
      </w:r>
      <w:bookmarkStart w:id="31" w:name="__Fieldmark__157_1054606512"/>
      <w:r>
        <w:rPr>
          <w:rFonts w:cs="Times New Roman" w:ascii="Times new roman" w:hAnsi="Times new roman"/>
          <w:color w:val="000000"/>
        </w:rPr>
        <w:t>e</w:t>
      </w:r>
      <w:bookmarkStart w:id="32" w:name="__Fieldmark__2211_4042349503"/>
      <w:r>
        <w:rPr>
          <w:rFonts w:cs="Times New Roman" w:ascii="Times new roman" w:hAnsi="Times new roman"/>
          <w:color w:val="000000"/>
        </w:rPr>
        <w:t>o</w:t>
      </w:r>
      <w:bookmarkStart w:id="33" w:name="__Fieldmark__146_3398287000"/>
      <w:r>
        <w:rPr>
          <w:rFonts w:cs="Times New Roman" w:ascii="Times new roman" w:hAnsi="Times new roman"/>
          <w:color w:val="000000"/>
        </w:rPr>
        <w:t>n</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study","type":"book"},"uris":["http://www.mendeley.com/documents/?uuid=e73a61c5-e4e3-4e7b-bb07-5c47db2b1359"]},{"id":"ITEM-2","itemData":{"DOI":"10.1016/j.shpsc.2013.03.020","ISBN":"1369-8486","ISSN":"13698486","PMID":"23571025","abstract":"This paper discusses what it means and what it takes to integrate data in order to acquire new knowledge about biological entities and processes. Maureen O'Malley and Orkun Soyer have pointed to the scientific work involved in data integration as important and distinct from the work required by other forms of integration, such as methodological and explanatory integration, which have been more successful in captivating the attention of philosophers of science. Here I explore what data integration involves in more detail and with a focus on the role of data-sharing tools, like online databases, in facilitating this process; and I point to the philosophical implications of focusing on data as a unit of analysis. I then analyse three cases of data integration in the field of plant science, each of which highlights a different mode of integration: (1) inter-level integration, which involves data documenting different features of the same species, aims to acquire an interdisciplinary understanding of organisms as complex wholes and is exemplified by research on Arabidopsis thaliana; (2) cross-species integration, which involves data acquired on different species, aims to understand plant biology in all its different manifestations and is exemplified by research on Miscanthus giganteus; and (3) translational integration, which involves data acquired from sources within as well as outside academia, aims at the provision of interventions to improve human health (e.g. by sustaining the environment in which humans thrive) and is exemplified by research on Phytophtora ramorum. Recognising the differences between these efforts sheds light on the dynamics and diverse outcomes of data dissemination and integrative research; and the relations between the social and institutional roles of science, the development of data-sharing infrastructures and the production of scientific knowledge.","author":[{"dropping-particle":"","family":"Leonelli","given":"Sabina","non-dropping-particle":"","parse-names":false,"suffix":""}],"container-title":"Studies in History and Philosophy of Science Part C :Studies in History and Philosophy of Biological and Biomedical Sciences","id":"ITEM-2","issue":"4","issued":{"date-parts":[["2013"]]},"page":"503-514","publisher":"Elsevier Ltd","title":"Integrating data to acquire new knowledge: Three modes of integration in plant science","type":"article-journal","volume":"44"},"uris":["http://www.mendeley.com/documents/?uuid=d4a4ab50-f5bc-40fd-bae7-b52122dd532f"]},{"id":"ITEM-3","itemData":{"ISSN":"0031-8248","abstract":"Bogen and Woodward characterized data as embedded in the context in which they are produced (‘local’) and claims about phenomena as retaining their significance beyond that context (‘nonlocal’). This view does not fit sciences such as biology, which successfully disseminate data via packaging processes that include appropriate labels, vehicles, and human interventions. These processes enhance the evidential scope of data and ensure that claims about phenomena are understood in the same way across research communities. I conclude that the degree of locality of both data and claims about phenomena varies depending on the packaging used to make them travel and on the research setting in which they are used.","author":[{"dropping-particle":"","family":"Leonelli","given":"Sabina","non-dropping-particle":"","parse-names":false,"suffix":""}],"container-title":"Philosophy of Science","id":"ITEM-3","issue":"5","issued":{"date-parts":[["2009"]]},"page":"737-749","title":"On the Locality of Data and Claims about Phenomena","type":"article-journal","volume":"76"},"uris":["http://www.mendeley.com/documents/?uuid=7691d350-56d9-41f9-af9f-a7ba3b975cb8"]},{"id":"ITEM-4","itemData":{"DOI":"10.1016/j.shpsc.2011.10.001","abstract":"Studies in History and Philosophy of Biol &amp;amp; Biomed Sci, 43 (2012) 1-3. doi:10.1016/j.shpsc.2011.10.001","author":[{"dropping-particle":"","family":"Leonelli","given":"Sabina","non-dropping-particle":"","parse-names":false,"suffix":""}],"container-title":"Studies in the History and the Philosophy of the Biological and Biomedical Sciences: Part C","id":"ITEM-4","issue":"1","issued":{"date-parts":[["2012"]]},"page":"1-3","title":"Introduction: Making sense of data-driven research in the biological and biomedical sciences","type":"article-journal","volume":"43"},"uris":["http://www.mendeley.com/documents/?uuid=c73d6881-1fd6-439f-9bde-1bd7fe794f1a"]},{"id":"ITEM-5","itemData":{"author":[{"dropping-particle":"","family":"Leonelli","given":"Sabina","non-dropping-particle":"","parse-names":false,"suffix":""}],"container-title":"Philosophy of Science","id":"ITEM-5","issue":"5","issued":{"date-parts":[["2015"]]},"page":"1-11","title":"What Counts as Scientific Data? A Relational Framework","type":"article-journal","volume":"82"},"uris":["http://www.mendeley.com/documents/?uuid=dc6ed61a-7912-4dc7-a620-c4583df23521"]}],"mendeley":{"formattedCitation":"(Leonelli 2016, 2013, 2009, 2012, 2015)","manualFormatting":"(Leonelli, 2012, 2009, 2013, 2016a, 2016b)","plainTextFormattedCitation":"(Leonelli 2016, 2013, 2009, 2012, 2015)","previouslyFormattedCitation":"(Leonelli 2016, 2013, 2009, 2012, 2015)"},"properties":{"noteIndex":0},"schema":"https://github.com/citation-style-language/schema/raw/master/csl-citation.json"}</w:instrText>
      </w:r>
      <w:r>
        <w:rPr>
          <w:rFonts w:cs="Times New Roman" w:ascii="Times new roman" w:hAnsi="Times new roman"/>
        </w:rPr>
        <w:fldChar w:fldCharType="separate"/>
      </w:r>
      <w:bookmarkStart w:id="34" w:name="__Fieldmark__247_3335229593"/>
      <w:r>
        <w:rPr>
          <w:rFonts w:cs="Times New Roman" w:ascii="Times new roman" w:hAnsi="Times new roman"/>
          <w:color w:val="000000"/>
        </w:rPr>
        <w:t>elli, 2012, 2009, 2013, 2016a, 2016b)</w:t>
      </w:r>
      <w:r>
        <w:rPr>
          <w:rFonts w:ascii="Times new roman" w:hAnsi="Times new roman"/>
        </w:rPr>
      </w:r>
      <w:r>
        <w:rPr>
          <w:rFonts w:ascii="Times new roman" w:hAnsi="Times new roman"/>
        </w:rPr>
        <w:fldChar w:fldCharType="end"/>
      </w:r>
      <w:bookmarkEnd w:id="30"/>
      <w:bookmarkEnd w:id="31"/>
      <w:bookmarkEnd w:id="32"/>
      <w:bookmarkEnd w:id="33"/>
      <w:bookmarkEnd w:id="34"/>
      <w:r>
        <w:rPr>
          <w:rFonts w:cs="Times New Roman" w:ascii="Times new roman" w:hAnsi="Times new roman"/>
          <w:color w:val="000000"/>
        </w:rPr>
        <w:t>. Here is an excerpt from Leonelli’s work where she discusses this change in identity, couched in terms of stability:</w:t>
      </w:r>
    </w:p>
    <w:p>
      <w:pPr>
        <w:pStyle w:val="Quotations"/>
        <w:rPr>
          <w:rFonts w:ascii="Times new roman" w:hAnsi="Times new roman"/>
        </w:rPr>
      </w:pPr>
      <w:r>
        <w:rPr>
          <w:rFonts w:ascii="Times new roman" w:hAnsi="Times new roman"/>
        </w:rPr>
        <w:t xml:space="preserve">What I do not share [with the representational view of data] is the emphasis on stability. When travelling from their original context of production to a database, and from there to a new context of inquiry, biological data are anything but stable objects. (Leonelli 2016, p. 5). </w:t>
      </w:r>
    </w:p>
    <w:p>
      <w:pPr>
        <w:pStyle w:val="Normal"/>
        <w:spacing w:lineRule="auto" w:line="480" w:before="280" w:after="280"/>
        <w:rPr>
          <w:rFonts w:ascii="Times new roman" w:hAnsi="Times new roman" w:cs="Times New Roman"/>
          <w:color w:val="000000"/>
        </w:rPr>
      </w:pPr>
      <w:r>
        <w:rPr>
          <w:rFonts w:cs="Times New Roman" w:ascii="Times new roman" w:hAnsi="Times new roman"/>
          <w:color w:val="000000"/>
        </w:rPr>
        <w:t>Data must be transported to be used: they are not used right at the time and location of collection. To make data suitable for movement and use, they must be formatted, classified, organized with meta-data, and filed for later use. Scientists make these material changes so the data can be put to new and different evidential uses. Leonelli also writes:</w:t>
      </w:r>
    </w:p>
    <w:p>
      <w:pPr>
        <w:pStyle w:val="Quotations"/>
        <w:rPr>
          <w:rFonts w:ascii="Times new roman" w:hAnsi="Times new roman"/>
        </w:rPr>
      </w:pPr>
      <w:r>
        <w:rPr>
          <w:rFonts w:cs="Times New Roman" w:ascii="Times new roman" w:hAnsi="Times new roman"/>
          <w:color w:val="000000"/>
        </w:rPr>
        <w:t>Within this framework, it is meaningless to ask what objects count as data in the abstract, because data are defined in terms of their function within specific processes of inquiry (</w:t>
      </w:r>
      <w:r>
        <w:rPr>
          <w:rFonts w:cs="Times New Roman" w:ascii="Times new roman" w:hAnsi="Times new roman"/>
          <w:i/>
          <w:color w:val="000000"/>
        </w:rPr>
        <w:t>Ibid</w:t>
      </w:r>
      <w:r>
        <w:rPr>
          <w:rFonts w:cs="Times New Roman" w:ascii="Times new roman" w:hAnsi="Times new roman"/>
          <w:color w:val="000000"/>
        </w:rPr>
        <w:t>. p. 7).</w:t>
      </w:r>
    </w:p>
    <w:p>
      <w:pPr>
        <w:pStyle w:val="Normal"/>
        <w:spacing w:lineRule="auto" w:line="480" w:before="280" w:after="280"/>
        <w:rPr>
          <w:rFonts w:ascii="Times new roman" w:hAnsi="Times new roman"/>
        </w:rPr>
      </w:pPr>
      <w:r>
        <w:rPr>
          <w:rFonts w:cs="Times New Roman" w:ascii="Times new roman" w:hAnsi="Times new roman"/>
          <w:color w:val="000000"/>
        </w:rPr>
        <w:t>This passage suggests that data are defined by their use, or the “role they are made to play” (</w:t>
      </w:r>
      <w:bookmarkStart w:id="35" w:name="__Fieldmark__198_423805334"/>
      <w:r>
        <w:rPr>
          <w:rFonts w:cs="Times New Roman" w:ascii="Times new roman" w:hAnsi="Times new roman"/>
          <w:color w:val="000000"/>
        </w:rPr>
        <w:t>L</w:t>
      </w:r>
      <w:bookmarkStart w:id="36" w:name="__Fieldmark__179_1054606512"/>
      <w:r>
        <w:rPr>
          <w:rFonts w:cs="Times New Roman" w:ascii="Times new roman" w:hAnsi="Times new roman"/>
          <w:color w:val="000000"/>
        </w:rPr>
        <w:t>e</w:t>
      </w:r>
      <w:bookmarkStart w:id="37" w:name="__Fieldmark__2229_4042349503"/>
      <w:r>
        <w:rPr>
          <w:rFonts w:cs="Times New Roman" w:ascii="Times new roman" w:hAnsi="Times new roman"/>
          <w:color w:val="000000"/>
        </w:rPr>
        <w:t>o</w:t>
      </w:r>
      <w:bookmarkStart w:id="38" w:name="__Fieldmark__160_3398287000"/>
      <w:r>
        <w:rPr>
          <w:rFonts w:cs="Times New Roman" w:ascii="Times new roman" w:hAnsi="Times new roman"/>
          <w:color w:val="000000"/>
        </w:rPr>
        <w:t>n</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study","type":"book"},"locator":"78","uris":["http://www.mendeley.com/documents/?uuid=e73a61c5-e4e3-4e7b-bb07-5c47db2b1359"]}],"mendeley":{"formattedCitation":"(Leonelli 2016, 78)","plainTextFormattedCitation":"(Leonelli 2016, 78)","previouslyFormattedCitation":"(Leonelli 2016, 78)"},"properties":{"noteIndex":0},"schema":"https://github.com/citation-style-language/schema/raw/master/csl-citation.json"}</w:instrText>
      </w:r>
      <w:r>
        <w:rPr>
          <w:rFonts w:cs="Times New Roman" w:ascii="Times new roman" w:hAnsi="Times new roman"/>
        </w:rPr>
        <w:fldChar w:fldCharType="separate"/>
      </w:r>
      <w:bookmarkStart w:id="39" w:name="__Fieldmark__273_3335229593"/>
      <w:r>
        <w:rPr>
          <w:rFonts w:cs="Times New Roman" w:ascii="Times new roman" w:hAnsi="Times new roman"/>
          <w:color w:val="000000"/>
        </w:rPr>
        <w:t>elli 2016, 78)</w:t>
      </w:r>
      <w:r>
        <w:rPr>
          <w:rFonts w:ascii="Times new roman" w:hAnsi="Times new roman"/>
        </w:rPr>
      </w:r>
      <w:r>
        <w:rPr>
          <w:rFonts w:ascii="Times new roman" w:hAnsi="Times new roman"/>
        </w:rPr>
        <w:fldChar w:fldCharType="end"/>
      </w:r>
      <w:bookmarkEnd w:id="35"/>
      <w:bookmarkEnd w:id="36"/>
      <w:bookmarkEnd w:id="37"/>
      <w:bookmarkEnd w:id="38"/>
      <w:bookmarkEnd w:id="39"/>
      <w:r>
        <w:rPr>
          <w:rFonts w:cs="Times New Roman" w:ascii="Times new roman" w:hAnsi="Times new roman"/>
          <w:color w:val="000000"/>
        </w:rPr>
        <w:t xml:space="preserve">. Leonelli’s account is relational because it rejects the consideration of a datum independently of the context in which it is used. Consequently, what are data to one scientist in one context of inquiry may be different data to a scientist in a different context, or not data at all. This is the particular feature of relational accounts, namely that data are “defined in terms of their function within specific processes of inquiry” that I want to critically engage with in the rest of this paper and somehow mitigate by arguing that the representational view might in fact have some important insights, even though we do not want to reject the importance of examining data within the epistemic contexts in which they are used.  Let us then consider in more detail what data are according to Leonelli’s account: </w:t>
      </w:r>
    </w:p>
    <w:p>
      <w:pPr>
        <w:pStyle w:val="Quotations"/>
        <w:rPr>
          <w:rFonts w:ascii="Times new roman" w:hAnsi="Times new roman"/>
        </w:rPr>
      </w:pPr>
      <w:r>
        <w:rPr>
          <w:rFonts w:cs="Times New Roman" w:ascii="Times new roman" w:hAnsi="Times new roman"/>
          <w:color w:val="000000"/>
          <w:lang w:val="en-US"/>
        </w:rPr>
        <w:t>[…] any object can be considered as a datum as long as (1) it is treated as potential evidence for one or more claims about phenomena, and (2) it is possible to circulate it among individuals” (</w:t>
      </w:r>
      <w:bookmarkStart w:id="40" w:name="__Fieldmark__219_423805334"/>
      <w:r>
        <w:rPr>
          <w:rFonts w:cs="Times New Roman" w:ascii="Times new roman" w:hAnsi="Times new roman"/>
          <w:color w:val="000000"/>
          <w:lang w:val="en-US"/>
        </w:rPr>
        <w:t>2</w:t>
      </w:r>
      <w:bookmarkStart w:id="41" w:name="__Fieldmark__196_1054606512"/>
      <w:r>
        <w:rPr>
          <w:rFonts w:cs="Times New Roman" w:ascii="Times new roman" w:hAnsi="Times new roman"/>
          <w:color w:val="000000"/>
          <w:lang w:val="en-US"/>
        </w:rPr>
        <w:t>0</w:t>
      </w:r>
      <w:bookmarkStart w:id="42" w:name="__Fieldmark__2244_4042349503"/>
      <w:r>
        <w:rPr>
          <w:rFonts w:cs="Times New Roman" w:ascii="Times new roman" w:hAnsi="Times new roman"/>
          <w:color w:val="000000"/>
          <w:lang w:val="en-US"/>
        </w:rPr>
        <w:t>1</w:t>
      </w:r>
      <w:bookmarkStart w:id="43" w:name="__Fieldmark__172_3398287000"/>
      <w:r>
        <w:rPr>
          <w:rFonts w:cs="Times New Roman" w:ascii="Times new roman" w:hAnsi="Times new roman"/>
          <w:color w:val="000000"/>
          <w:lang w:val="en-US"/>
        </w:rPr>
        <w:t>5</w:t>
      </w:r>
      <w:r>
        <w:fldChar w:fldCharType="begin"/>
      </w:r>
      <w:r>
        <w:rPr>
          <w:rFonts w:cs="Times New Roman" w:ascii="Times new roman" w:hAnsi="Times new roman"/>
        </w:rPr>
        <w:instrText>ADDIN CSL_CITATION {"citationItems":[{"id":"ITEM-1","itemData":{"author":[{"dropping-particle":"","family":"Leonelli","given":"Sabina","non-dropping-particle":"","parse-names":false,"suffix":""}],"container-title":"Philosophy of Science","id":"ITEM-1","issue":"5","issued":{"date-parts":[["2015"]]},"page":"1-11","title":"What Counts as Scientific Data? A Relational Framework","type":"article-journal","volume":"82"},"locator":"2","suppress-author":1,"uris":["http://www.mendeley.com/documents/?uuid=dc6ed61a-7912-4dc7-a620-c4583df23521"]}],"mendeley":{"formattedCitation":"(2015, 2)","plainTextFormattedCitation":"(2015, 2)","previouslyFormattedCitation":"(2015, 2)"},"properties":{"noteIndex":0},"schema":"https://github.com/citation-style-language/schema/raw/master/csl-citation.json"}</w:instrText>
      </w:r>
      <w:r>
        <w:rPr>
          <w:rFonts w:cs="Times New Roman" w:ascii="Times new roman" w:hAnsi="Times new roman"/>
        </w:rPr>
        <w:fldChar w:fldCharType="separate"/>
      </w:r>
      <w:bookmarkStart w:id="44" w:name="__Fieldmark__290_3335229593"/>
      <w:r>
        <w:rPr>
          <w:rFonts w:cs="Times New Roman" w:ascii="Times new roman" w:hAnsi="Times new roman"/>
          <w:color w:val="000000"/>
          <w:lang w:val="en-US"/>
        </w:rPr>
        <w:t>, 2)</w:t>
      </w:r>
      <w:r>
        <w:rPr>
          <w:rFonts w:ascii="Times new roman" w:hAnsi="Times new roman"/>
        </w:rPr>
      </w:r>
      <w:r>
        <w:rPr>
          <w:rFonts w:ascii="Times new roman" w:hAnsi="Times new roman"/>
        </w:rPr>
        <w:fldChar w:fldCharType="end"/>
      </w:r>
      <w:bookmarkEnd w:id="40"/>
      <w:bookmarkEnd w:id="41"/>
      <w:bookmarkEnd w:id="42"/>
      <w:bookmarkEnd w:id="43"/>
      <w:bookmarkEnd w:id="44"/>
      <w:r>
        <w:rPr>
          <w:rFonts w:cs="Times New Roman" w:ascii="Times new roman" w:hAnsi="Times new roman"/>
          <w:color w:val="000000"/>
          <w:lang w:val="en-US"/>
        </w:rPr>
        <w:t xml:space="preserve">. </w:t>
      </w:r>
      <w:r>
        <w:rPr>
          <w:rFonts w:cs="Times New Roman" w:ascii="Times new roman" w:hAnsi="Times new roman"/>
          <w:color w:val="000000"/>
        </w:rPr>
        <w:t xml:space="preserve"> </w:t>
      </w:r>
    </w:p>
    <w:p>
      <w:pPr>
        <w:pStyle w:val="Normal"/>
        <w:spacing w:lineRule="auto" w:line="480" w:before="280" w:after="280"/>
        <w:rPr>
          <w:rFonts w:ascii="Times new roman" w:hAnsi="Times new roman"/>
        </w:rPr>
      </w:pPr>
      <w:r>
        <w:rPr>
          <w:rFonts w:cs="Times New Roman" w:ascii="Times new roman" w:hAnsi="Times new roman"/>
          <w:color w:val="000000"/>
        </w:rPr>
        <w:t xml:space="preserve">A set of records are data when those objects function as evidence and when the set can be transported. Data are defined by their functioning as potential evidence </w:t>
      </w:r>
      <w:r>
        <w:rPr>
          <w:rFonts w:cs="Times New Roman" w:ascii="Times new roman" w:hAnsi="Times new roman"/>
          <w:i/>
          <w:color w:val="000000"/>
        </w:rPr>
        <w:t xml:space="preserve">and </w:t>
      </w:r>
      <w:r>
        <w:rPr>
          <w:rFonts w:eastAsia="ＭＳ 明朝" w:cs="Times New Roman" w:ascii="Times new roman" w:hAnsi="Times new roman"/>
          <w:color w:val="000000"/>
          <w:kern w:val="0"/>
          <w:sz w:val="24"/>
          <w:szCs w:val="24"/>
          <w:lang w:val="en-GB" w:eastAsia="en-US" w:bidi="ar-SA"/>
        </w:rPr>
        <w:t>by</w:t>
      </w:r>
      <w:r>
        <w:rPr>
          <w:rFonts w:cs="Times New Roman" w:ascii="Times new roman" w:hAnsi="Times new roman"/>
          <w:color w:val="000000"/>
        </w:rPr>
        <w:t xml:space="preserve"> virtue of their physical form. Because data are defined by these two criteria, a set of data does not merely acquire or lose properties or characteristics when its use or form changes, the set of data actually ceases to be data or becomes different data. </w:t>
      </w:r>
      <w:r>
        <w:rPr>
          <w:rFonts w:cs="Times New Roman" w:ascii="Times new roman" w:hAnsi="Times new roman"/>
          <w:i/>
          <w:color w:val="000000"/>
        </w:rPr>
        <w:t>The identity of the data set has changed.</w:t>
      </w:r>
      <w:r>
        <w:rPr>
          <w:rFonts w:cs="Times New Roman" w:ascii="Times new roman" w:hAnsi="Times new roman"/>
          <w:color w:val="000000"/>
        </w:rPr>
        <w:t xml:space="preserve"> Data, this view seems to suggest, are unstable because what data are depend on purposes of specific agents that want to make evidential claims about some phenomena. As soon as different epistemic communities have different purposes in mind, what </w:t>
      </w:r>
      <w:r>
        <w:rPr>
          <w:rFonts w:eastAsia="ＭＳ 明朝" w:cs="Times New Roman" w:ascii="Times new roman" w:hAnsi="Times new roman"/>
          <w:color w:val="000000"/>
          <w:kern w:val="0"/>
          <w:sz w:val="24"/>
          <w:szCs w:val="24"/>
          <w:lang w:val="en-GB" w:eastAsia="en-US" w:bidi="ar-SA"/>
        </w:rPr>
        <w:t>was once</w:t>
      </w:r>
      <w:r>
        <w:rPr>
          <w:rFonts w:cs="Times New Roman" w:ascii="Times new roman" w:hAnsi="Times new roman"/>
          <w:color w:val="000000"/>
        </w:rPr>
        <w:t xml:space="preserve"> a data set might no longer count as such. </w:t>
      </w:r>
    </w:p>
    <w:p>
      <w:pPr>
        <w:pStyle w:val="Normal"/>
        <w:spacing w:lineRule="auto" w:line="480" w:before="280" w:after="280"/>
        <w:rPr>
          <w:rFonts w:ascii="Times new roman" w:hAnsi="Times new roman" w:cs="Times New Roman"/>
          <w:color w:val="000000"/>
        </w:rPr>
      </w:pPr>
      <w:r>
        <w:rPr>
          <w:rFonts w:cs="Times New Roman" w:ascii="Times new roman" w:hAnsi="Times new roman"/>
          <w:color w:val="000000"/>
        </w:rPr>
        <w:t>My purpose in what follows is to address the problem of data instability by suggesting that relational accounts leave room for a further discussion concerning what data are in addition to their evidential role. There are two issues to address concerning the relational account: (I) is use-as-evidence sufficient in identifying data (discussed in 2.</w:t>
      </w:r>
      <w:r>
        <w:rPr>
          <w:rFonts w:cs="Times New Roman" w:ascii="Times new roman" w:hAnsi="Times new roman"/>
          <w:color w:val="000000"/>
        </w:rPr>
        <w:t>1.</w:t>
      </w:r>
      <w:r>
        <w:rPr>
          <w:rFonts w:cs="Times New Roman" w:ascii="Times new roman" w:hAnsi="Times new roman"/>
          <w:color w:val="000000"/>
        </w:rPr>
        <w:t>)? and (II) is the materiality of the data important in establishing identity (discussed in 2.</w:t>
      </w:r>
      <w:r>
        <w:rPr>
          <w:rFonts w:cs="Times New Roman" w:ascii="Times new roman" w:hAnsi="Times new roman"/>
          <w:color w:val="000000"/>
        </w:rPr>
        <w:t>2.</w:t>
      </w:r>
      <w:r>
        <w:rPr>
          <w:rFonts w:cs="Times New Roman" w:ascii="Times new roman" w:hAnsi="Times new roman"/>
          <w:color w:val="000000"/>
        </w:rPr>
        <w:t>)?</w:t>
      </w:r>
    </w:p>
    <w:p>
      <w:pPr>
        <w:pStyle w:val="Heading2"/>
        <w:numPr>
          <w:ilvl w:val="1"/>
          <w:numId w:val="2"/>
        </w:numPr>
        <w:rPr>
          <w:rFonts w:ascii="Times new roman" w:hAnsi="Times new roman"/>
        </w:rPr>
      </w:pPr>
      <w:r>
        <w:rPr>
          <w:rFonts w:ascii="Times new roman" w:hAnsi="Times new roman"/>
        </w:rPr>
        <w:t>2.</w:t>
      </w:r>
      <w:r>
        <w:rPr>
          <w:rFonts w:ascii="Times new roman" w:hAnsi="Times new roman"/>
        </w:rPr>
        <w:t>1</w:t>
      </w:r>
      <w:r>
        <w:rPr>
          <w:rFonts w:ascii="Times new roman" w:hAnsi="Times new roman"/>
        </w:rPr>
        <w:t>. Potential Evidence</w:t>
      </w:r>
    </w:p>
    <w:p>
      <w:pPr>
        <w:pStyle w:val="Heading2"/>
        <w:numPr>
          <w:ilvl w:val="1"/>
          <w:numId w:val="2"/>
        </w:numPr>
        <w:rPr>
          <w:rFonts w:ascii="Times new roman" w:hAnsi="Times new roman"/>
        </w:rPr>
      </w:pPr>
      <w:r>
        <w:rPr>
          <w:rFonts w:ascii="Times new roman" w:hAnsi="Times new roman"/>
        </w:rPr>
      </w:r>
    </w:p>
    <w:p>
      <w:pPr>
        <w:pStyle w:val="Normal"/>
        <w:spacing w:lineRule="auto" w:line="480" w:before="280" w:after="280"/>
        <w:rPr>
          <w:rFonts w:ascii="Times new roman" w:hAnsi="Times new roman" w:cs="Times New Roman"/>
          <w:color w:val="000000"/>
        </w:rPr>
      </w:pPr>
      <w:r>
        <w:rPr>
          <w:rFonts w:cs="Times New Roman" w:ascii="Times new roman" w:hAnsi="Times new roman"/>
          <w:color w:val="000000"/>
        </w:rPr>
        <w:t xml:space="preserve">I here suggest (I) is problematic for two reasons. First, data are not the only source of  evidence in science. A model or simulation, for example, might provide evidence that a hurricane will strike a particular place at a particular time, but both these forms of scientific evidence are distinct from scientific data. </w:t>
      </w:r>
    </w:p>
    <w:p>
      <w:pPr>
        <w:pStyle w:val="Normal"/>
        <w:spacing w:lineRule="auto" w:line="480" w:before="280" w:after="280"/>
        <w:rPr>
          <w:rFonts w:ascii="Times new roman" w:hAnsi="Times new roman"/>
        </w:rPr>
      </w:pPr>
      <w:r>
        <w:rPr>
          <w:rFonts w:cs="Times New Roman" w:ascii="Times new roman" w:hAnsi="Times new roman"/>
          <w:color w:val="000000"/>
        </w:rPr>
        <w:t>Leonelli acknowledge</w:t>
      </w:r>
      <w:r>
        <w:rPr>
          <w:rFonts w:cs="Times New Roman" w:ascii="Times new roman" w:hAnsi="Times new roman"/>
          <w:color w:val="000000"/>
        </w:rPr>
        <w:t>s</w:t>
      </w:r>
      <w:r>
        <w:rPr>
          <w:rFonts w:cs="Times New Roman" w:ascii="Times new roman" w:hAnsi="Times new roman"/>
          <w:color w:val="000000"/>
        </w:rPr>
        <w:t xml:space="preserve"> that the products of models and simulations can indeed be evidential, but for her they are therefore data </w:t>
      </w:r>
      <w:bookmarkStart w:id="45" w:name="__UnoMark__9212_3335229593"/>
      <w:r>
        <w:rPr>
          <w:rFonts w:cs="Times New Roman" w:ascii="Times new roman" w:hAnsi="Times new roman"/>
          <w:color w:val="000000"/>
          <w:position w:val="0"/>
          <w:sz w:val="24"/>
          <w:sz w:val="24"/>
          <w:vertAlign w:val="baseline"/>
        </w:rPr>
        <w:t>(2015, 817)</w:t>
      </w:r>
      <w:bookmarkEnd w:id="45"/>
      <w:r>
        <w:rPr>
          <w:rFonts w:cs="Times New Roman" w:ascii="Times new roman" w:hAnsi="Times new roman"/>
          <w:color w:val="000000"/>
        </w:rPr>
        <w:t>⁠. But this is strange because in the case of hurricane predictions, there are two very different pieces of information involved. Such models and simulations take something that is known or collected (inputs) and create predictions (outputs). To call both data—which I believe relational accounts must because they are both evidential—misses an important epistemic difference between data that can be used as a basis for modelling and the output, which is something in which we have much less epistemic confidence. In essence, there is a distinction between data—things we collect or record—and predictions. Defining data in terms of evidence fails to respect this distinction.</w:t>
      </w:r>
    </w:p>
    <w:p>
      <w:pPr>
        <w:pStyle w:val="Normal"/>
        <w:spacing w:lineRule="auto" w:line="480" w:before="280" w:after="280"/>
        <w:rPr>
          <w:rFonts w:ascii="Times new roman" w:hAnsi="Times new roman"/>
        </w:rPr>
      </w:pPr>
      <w:r>
        <w:rPr>
          <w:rFonts w:cs="Times New Roman" w:ascii="Times new roman" w:hAnsi="Times new roman"/>
          <w:color w:val="000000"/>
        </w:rPr>
        <w:t xml:space="preserve">But what is evidence anyway? There is, I think, general agreement between representational and relational views. Both Bogen and Woodward </w:t>
      </w:r>
      <w:bookmarkStart w:id="46" w:name="__UnoMark__9213_3335229593"/>
      <w:r>
        <w:rPr>
          <w:rFonts w:ascii="Times new roman" w:hAnsi="Times new roman"/>
        </w:rPr>
        <w:t>(1988, 304)</w:t>
      </w:r>
      <w:bookmarkEnd w:id="46"/>
      <w:r>
        <w:rPr>
          <w:rFonts w:cs="Times New Roman" w:ascii="Times new roman" w:hAnsi="Times new roman"/>
          <w:color w:val="000000"/>
          <w:position w:val="0"/>
          <w:sz w:val="24"/>
          <w:sz w:val="24"/>
          <w:vertAlign w:val="baseline"/>
        </w:rPr>
        <w:t xml:space="preserve"> and Leonelli </w:t>
      </w:r>
      <w:bookmarkStart w:id="47" w:name="__UnoMark__9214_3335229593"/>
      <w:r>
        <w:rPr>
          <w:rFonts w:cs="Times New Roman" w:ascii="Times new roman" w:hAnsi="Times new roman"/>
          <w:color w:val="000000"/>
          <w:position w:val="0"/>
          <w:sz w:val="24"/>
          <w:sz w:val="24"/>
          <w:vertAlign w:val="baseline"/>
        </w:rPr>
        <w:t>(2013, 505)</w:t>
      </w:r>
      <w:bookmarkEnd w:id="47"/>
      <w:r>
        <w:rPr>
          <w:rFonts w:cs="Times New Roman" w:ascii="Times new roman" w:hAnsi="Times new roman"/>
          <w:color w:val="000000"/>
          <w:position w:val="0"/>
          <w:sz w:val="24"/>
          <w:sz w:val="24"/>
          <w:vertAlign w:val="baseline"/>
        </w:rPr>
        <w:t xml:space="preserve"> argue data are evidence because they provide support for claims, typically claims about phenomena. Both (</w:t>
      </w:r>
      <w:r>
        <w:rPr>
          <w:rFonts w:cs="Times New Roman" w:ascii="Times new roman" w:hAnsi="Times new roman"/>
          <w:i/>
          <w:iCs/>
          <w:color w:val="000000"/>
          <w:position w:val="0"/>
          <w:sz w:val="24"/>
          <w:sz w:val="24"/>
          <w:vertAlign w:val="baseline"/>
        </w:rPr>
        <w:t>Ibid.)</w:t>
      </w:r>
      <w:r>
        <w:rPr>
          <w:rFonts w:cs="Times New Roman" w:ascii="Times new roman" w:hAnsi="Times new roman"/>
          <w:i w:val="false"/>
          <w:iCs w:val="false"/>
          <w:color w:val="000000"/>
          <w:position w:val="0"/>
          <w:sz w:val="24"/>
          <w:sz w:val="24"/>
          <w:vertAlign w:val="baseline"/>
        </w:rPr>
        <w:t xml:space="preserve"> also suggest an important element of how data provide evidence emerges from patterns in data sets. Depending on how and if one wanted to characterize patterns and support, the notion of evidence is quite permissive, which suggests that it is reasonable to think a number of different forms of evidence (of which data is one) are possible. </w:t>
      </w:r>
      <w:r>
        <w:rPr>
          <w:rFonts w:cs="Times New Roman" w:ascii="Times new roman" w:hAnsi="Times new roman"/>
          <w:color w:val="000000"/>
          <w:position w:val="0"/>
          <w:sz w:val="24"/>
          <w:sz w:val="24"/>
          <w:vertAlign w:val="baseline"/>
        </w:rPr>
        <w:t>⁠</w:t>
      </w:r>
      <w:r>
        <w:rPr>
          <w:rFonts w:cs="Times New Roman" w:ascii="Times new roman" w:hAnsi="Times new roman"/>
          <w:color w:val="000000"/>
        </w:rPr>
        <w:t>⁠</w:t>
      </w:r>
    </w:p>
    <w:p>
      <w:pPr>
        <w:pStyle w:val="Normal"/>
        <w:spacing w:lineRule="auto" w:line="480" w:before="280" w:after="280"/>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 xml:space="preserve">This further suggests, together with an appreciation of models and simulations, data are not the </w:t>
      </w:r>
      <w:r>
        <w:rPr>
          <w:rFonts w:cs="Times New Roman" w:ascii="Times new roman" w:hAnsi="Times new roman"/>
          <w:i/>
          <w:color w:val="000000"/>
        </w:rPr>
        <w:t>only</w:t>
      </w:r>
      <w:r>
        <w:rPr>
          <w:rFonts w:cs="Times New Roman" w:ascii="Times new roman" w:hAnsi="Times new roman"/>
          <w:color w:val="000000"/>
        </w:rPr>
        <w:t xml:space="preserve"> evidence. How then should they be distinguished from other forms of scientific evidence (say simulated evidence)? Or, differently put, can simulated evidence—the outputs of a simulation—count as evidence under the relational account? And if so, is not there a risk that </w:t>
      </w:r>
      <w:r>
        <w:rPr>
          <w:rFonts w:eastAsia="ＭＳ 明朝" w:cs="Times New Roman" w:ascii="Times new roman" w:hAnsi="Times new roman"/>
          <w:color w:val="000000"/>
          <w:kern w:val="0"/>
          <w:sz w:val="24"/>
          <w:szCs w:val="24"/>
          <w:lang w:val="en-GB" w:eastAsia="en-US" w:bidi="ar-SA"/>
        </w:rPr>
        <w:t>our theorizing here is too course</w:t>
      </w:r>
      <w:r>
        <w:rPr>
          <w:rFonts w:cs="Times New Roman" w:ascii="Times new roman" w:hAnsi="Times new roman"/>
          <w:color w:val="000000"/>
        </w:rPr>
        <w:t xml:space="preserve"> to capture what count as data and therefore obscuring important epistemic distinctions? ⁠</w:t>
      </w:r>
    </w:p>
    <w:p>
      <w:pPr>
        <w:pStyle w:val="Normal"/>
        <w:spacing w:lineRule="auto" w:line="480" w:before="280" w:after="280"/>
        <w:rPr>
          <w:rFonts w:ascii="Times new roman" w:hAnsi="Times new roman"/>
        </w:rPr>
      </w:pPr>
      <w:r>
        <w:rPr>
          <w:rFonts w:cs="Times New Roman" w:ascii="Times new roman" w:hAnsi="Times new roman"/>
          <w:color w:val="000000"/>
        </w:rPr>
        <w:t xml:space="preserve">Second, it is unclear how data can be used as potential evidence. To use data as evidence seems straightforward, but “potential evidence” is presumably not a use because any such use would just be a straightforward case of using data as evidence. This suggests potential use is more like an attitude scientists have toward a set. If it is this attitude that defines data, then we have a problem. </w:t>
      </w:r>
    </w:p>
    <w:p>
      <w:pPr>
        <w:pStyle w:val="Normal"/>
        <w:spacing w:lineRule="auto" w:line="480" w:before="280" w:after="280"/>
        <w:rPr>
          <w:rFonts w:ascii="Times new roman" w:hAnsi="Times new roman" w:cs="Times New Roman"/>
          <w:color w:val="000000"/>
        </w:rPr>
      </w:pPr>
      <w:r>
        <w:rPr>
          <w:rFonts w:cs="Times New Roman" w:ascii="Times new roman" w:hAnsi="Times new roman"/>
          <w:color w:val="000000"/>
        </w:rPr>
        <w:t>The problem stems from how to identify a set of data based on an expectation. The expectation that a set of data will be evidentially useful seems almost intuitive; the products of experiment will be useful in this way, otherwise why conduct experiments? It also means that scientists can perform experiments and collect data without necessarily needing to know what claims that potential evidence will support. Finally, identifying data as potential evidence means that what scientists collect in an experiment—or another research setting—can be useful evidentially to other scientists in other places who are investigating different research questions.</w:t>
      </w:r>
    </w:p>
    <w:p>
      <w:pPr>
        <w:pStyle w:val="Normal"/>
        <w:spacing w:lineRule="auto" w:line="480" w:before="280" w:after="280"/>
        <w:rPr>
          <w:rFonts w:ascii="Times new roman" w:hAnsi="Times new roman"/>
        </w:rPr>
      </w:pPr>
      <w:r>
        <w:rPr>
          <w:rFonts w:cs="Times New Roman" w:ascii="Times new roman" w:hAnsi="Times new roman"/>
          <w:color w:val="000000"/>
        </w:rPr>
        <w:t xml:space="preserve">The problem now is this: what is this potential evidence produced through experiment or observation? Is it data—and hence potential evidence—or is it just a record? Leonelli seems to suggest that potential evidence, i.e. an expectation about the usefulness of data, makes objects data. But if that is the case, then how a set of data is used evidentially for any particular claim is not an identity condition. In other words, one’s records are data regardless of the particular claim that those data support. This in turn suggests that how data are used as evidence does not change the identity of those data. It also suggests a set of objects that are potential evidence—and therefore a set of data—do not change identity when they are transported or put to different uses, </w:t>
      </w:r>
      <w:r>
        <w:rPr>
          <w:rFonts w:cs="Times New Roman" w:ascii="Times new roman" w:hAnsi="Times new roman"/>
          <w:color w:val="000000"/>
        </w:rPr>
        <w:t>provided there remains an expectation about evidential value</w:t>
      </w:r>
      <w:r>
        <w:rPr>
          <w:rFonts w:cs="Times New Roman" w:ascii="Times new roman" w:hAnsi="Times new roman"/>
          <w:color w:val="000000"/>
        </w:rPr>
        <w:t xml:space="preserve">. If the use of data does not determine their identity, then data are not as relational as it may seem. This is a problem for some of the claims Leonelli makes, specifically when she writes that </w:t>
      </w:r>
    </w:p>
    <w:p>
      <w:pPr>
        <w:pStyle w:val="Quotations"/>
        <w:rPr>
          <w:rFonts w:ascii="Times new roman" w:hAnsi="Times new roman"/>
        </w:rPr>
      </w:pP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rPr>
        <w:t xml:space="preserve">"[…] the same objects may or may not be functioning as data, depending on which role they are made to play" (p. 817). </w:t>
      </w:r>
      <w:bookmarkStart w:id="48" w:name="__UnoMark__7127_3335229593"/>
      <w:bookmarkStart w:id="49" w:name="__UnoMark__6538_3335229593"/>
      <w:bookmarkStart w:id="50" w:name="__UnoMark__9215_3335229593"/>
      <w:r>
        <w:rPr>
          <w:rFonts w:cs="Times New Roman" w:ascii="Times new roman" w:hAnsi="Times new roman"/>
          <w:b w:val="false"/>
          <w:bCs w:val="false"/>
          <w:color w:val="000000"/>
          <w:position w:val="0"/>
          <w:sz w:val="24"/>
          <w:sz w:val="24"/>
          <w:vertAlign w:val="baseline"/>
        </w:rPr>
        <w:t>(Leonelli 2015, 817)</w:t>
      </w:r>
      <w:bookmarkEnd w:id="48"/>
      <w:bookmarkEnd w:id="49"/>
      <w:bookmarkEnd w:id="50"/>
      <w:r>
        <w:rPr>
          <w:rFonts w:cs="Times New Roman" w:ascii="Times new roman" w:hAnsi="Times new roman"/>
          <w:color w:val="000000"/>
        </w:rPr>
        <w:t>⁠</w:t>
      </w:r>
    </w:p>
    <w:p>
      <w:pPr>
        <w:pStyle w:val="Normal"/>
        <w:spacing w:lineRule="auto" w:line="480" w:before="280" w:after="280"/>
        <w:rPr/>
      </w:pPr>
      <w:r>
        <w:rPr>
          <w:rFonts w:cs="Times New Roman" w:ascii="Times new roman" w:hAnsi="Times new roman"/>
          <w:color w:val="000000"/>
        </w:rPr>
        <w:t>This suggests that objects, or records, are or are not data depending on their evidential use, or the “role they are made to play.” But if data are potential evidence, then surely the particular role cannot be so significant.</w:t>
      </w:r>
      <w:r>
        <w:rPr>
          <w:rStyle w:val="FootnoteAnchor"/>
          <w:rStyle w:val="FootnoteAnchor"/>
          <w:rFonts w:cs="Times New Roman" w:ascii="Times new roman" w:hAnsi="Times new roman"/>
          <w:color w:val="000000"/>
        </w:rPr>
        <w:footnoteReference w:id="3"/>
      </w:r>
      <w:r>
        <w:rPr>
          <w:rFonts w:cs="Times New Roman" w:ascii="Times new roman" w:hAnsi="Times new roman"/>
          <w:color w:val="000000"/>
        </w:rPr>
        <w:t xml:space="preserve"> </w:t>
      </w:r>
    </w:p>
    <w:p>
      <w:pPr>
        <w:pStyle w:val="Normal"/>
        <w:spacing w:lineRule="auto" w:line="480" w:before="280" w:after="280"/>
        <w:rPr>
          <w:rFonts w:ascii="Times new roman" w:hAnsi="Times new roman"/>
        </w:rPr>
      </w:pPr>
      <w:r>
        <w:rPr>
          <w:rFonts w:cs="Times New Roman" w:ascii="Times new roman" w:hAnsi="Times new roman"/>
          <w:color w:val="000000"/>
        </w:rPr>
        <w:t xml:space="preserve">These two issues—defining data so as to include too many types of evidence and appealing to potential evidence—show that data should not be defined solely in terms of evidence: something further must be said about what data are if we are to understand how they can be used. My point here is not that data are </w:t>
      </w:r>
      <w:r>
        <w:rPr>
          <w:rFonts w:cs="Times New Roman" w:ascii="Times new roman" w:hAnsi="Times new roman"/>
          <w:i/>
          <w:color w:val="000000"/>
        </w:rPr>
        <w:t>not</w:t>
      </w:r>
      <w:r>
        <w:rPr>
          <w:rFonts w:cs="Times New Roman" w:ascii="Times new roman" w:hAnsi="Times new roman"/>
          <w:color w:val="000000"/>
        </w:rPr>
        <w:t xml:space="preserve"> evidence, but that in order to address why data can function as evidence, there is a logically prior question about what they are. </w:t>
      </w:r>
    </w:p>
    <w:p>
      <w:pPr>
        <w:pStyle w:val="Heading2"/>
        <w:numPr>
          <w:ilvl w:val="1"/>
          <w:numId w:val="2"/>
        </w:numPr>
        <w:rPr>
          <w:rFonts w:ascii="Times new roman" w:hAnsi="Times new roman"/>
        </w:rPr>
      </w:pPr>
      <w:r>
        <w:rPr>
          <w:rFonts w:ascii="Times new roman" w:hAnsi="Times new roman"/>
        </w:rPr>
        <w:t>2.</w:t>
      </w:r>
      <w:r>
        <w:rPr>
          <w:rFonts w:ascii="Times new roman" w:hAnsi="Times new roman"/>
        </w:rPr>
        <w:t>2</w:t>
      </w:r>
      <w:r>
        <w:rPr>
          <w:rFonts w:ascii="Times new roman" w:hAnsi="Times new roman"/>
        </w:rPr>
        <w:t>. Data Materiality</w:t>
      </w:r>
    </w:p>
    <w:p>
      <w:pPr>
        <w:pStyle w:val="Heading2"/>
        <w:numPr>
          <w:ilvl w:val="1"/>
          <w:numId w:val="2"/>
        </w:numPr>
        <w:rPr>
          <w:rFonts w:ascii="Times new roman" w:hAnsi="Times new roman"/>
        </w:rPr>
      </w:pPr>
      <w:r>
        <w:rPr>
          <w:rFonts w:ascii="Times new roman" w:hAnsi="Times new roman"/>
        </w:rPr>
      </w:r>
    </w:p>
    <w:p>
      <w:pPr>
        <w:pStyle w:val="Normal"/>
        <w:spacing w:lineRule="auto" w:line="480" w:before="280" w:after="280"/>
        <w:rPr>
          <w:rFonts w:ascii="Times new roman" w:hAnsi="Times new roman"/>
        </w:rPr>
      </w:pPr>
      <w:r>
        <w:rPr>
          <w:rFonts w:cs="Times New Roman" w:ascii="Times new roman" w:hAnsi="Times new roman"/>
          <w:color w:val="000000"/>
        </w:rPr>
        <w:t>But perhaps this is too hasty. Leonelli may have anticipated some of these objections and may have more of a story to tell about what defines data. For she compares data to biological individuals, which also have some kind of identity through continuous change over time, like a succession of states (</w:t>
      </w:r>
      <w:bookmarkStart w:id="51" w:name="__Fieldmark__306_423805334"/>
      <w:r>
        <w:rPr>
          <w:rFonts w:cs="Times New Roman" w:ascii="Times new roman" w:hAnsi="Times new roman"/>
          <w:color w:val="000000"/>
        </w:rPr>
        <w:t>2</w:t>
      </w:r>
      <w:bookmarkStart w:id="52" w:name="__Fieldmark__279_1054606512"/>
      <w:r>
        <w:rPr>
          <w:rFonts w:cs="Times New Roman" w:ascii="Times new roman" w:hAnsi="Times new roman"/>
          <w:color w:val="000000"/>
        </w:rPr>
        <w:t>0</w:t>
      </w:r>
      <w:bookmarkStart w:id="53" w:name="__Fieldmark__2320_4042349503"/>
      <w:r>
        <w:rPr>
          <w:rFonts w:cs="Times New Roman" w:ascii="Times new roman" w:hAnsi="Times new roman"/>
          <w:color w:val="000000"/>
        </w:rPr>
        <w:t>1</w:t>
      </w:r>
      <w:bookmarkStart w:id="54" w:name="__Fieldmark__300_3398287000"/>
      <w:r>
        <w:rPr>
          <w:rFonts w:cs="Times New Roman" w:ascii="Times new roman" w:hAnsi="Times new roman"/>
          <w:color w:val="000000"/>
        </w:rPr>
        <w:t>6</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study","type":"book"},"locator":"82","suppress-author":1,"uris":["http://www.mendeley.com/documents/?uuid=e73a61c5-e4e3-4e7b-bb07-5c47db2b1359"]}],"mendeley":{"formattedCitation":"(2016, 82)","plainTextFormattedCitation":"(2016, 82)","previouslyFormattedCitation":"(2016, 82)"},"properties":{"noteIndex":0},"schema":"https://github.com/citation-style-language/schema/raw/master/csl-citation.json"}</w:instrText>
      </w:r>
      <w:r>
        <w:rPr>
          <w:rFonts w:cs="Times New Roman" w:ascii="Times new roman" w:hAnsi="Times new roman"/>
        </w:rPr>
        <w:fldChar w:fldCharType="separate"/>
      </w:r>
      <w:bookmarkStart w:id="55" w:name="__Fieldmark__508_3335229593"/>
      <w:r>
        <w:rPr>
          <w:rFonts w:cs="Times New Roman" w:ascii="Times new roman" w:hAnsi="Times new roman"/>
          <w:color w:val="000000"/>
        </w:rPr>
        <w:t>, 82)</w:t>
      </w:r>
      <w:r>
        <w:rPr>
          <w:rFonts w:ascii="Times new roman" w:hAnsi="Times new roman"/>
        </w:rPr>
      </w:r>
      <w:r>
        <w:rPr>
          <w:rFonts w:ascii="Times new roman" w:hAnsi="Times new roman"/>
        </w:rPr>
        <w:fldChar w:fldCharType="end"/>
      </w:r>
      <w:bookmarkEnd w:id="51"/>
      <w:bookmarkEnd w:id="52"/>
      <w:bookmarkEnd w:id="53"/>
      <w:bookmarkEnd w:id="54"/>
      <w:bookmarkEnd w:id="55"/>
      <w:r>
        <w:rPr>
          <w:rFonts w:cs="Times New Roman" w:ascii="Times new roman" w:hAnsi="Times new roman"/>
          <w:color w:val="000000"/>
        </w:rPr>
        <w:t>. This comparison preserves the intuition that something about data does persist across time and space, even though what persists continuously changes. If this is right, then data can be connected to their collection and to previous uses, giving scientists motivation for treating them as potential evidence, while at the same time preserving a relational account.</w:t>
      </w:r>
    </w:p>
    <w:p>
      <w:pPr>
        <w:pStyle w:val="Normal"/>
        <w:spacing w:lineRule="auto" w:line="480" w:before="280" w:after="280"/>
        <w:rPr>
          <w:rFonts w:ascii="Times new roman" w:hAnsi="Times new roman" w:cs="Times New Roman"/>
          <w:color w:val="000000"/>
        </w:rPr>
      </w:pPr>
      <w:r>
        <w:rPr>
          <w:rFonts w:cs="Times New Roman" w:ascii="Times new roman" w:hAnsi="Times new roman"/>
          <w:color w:val="000000"/>
        </w:rPr>
        <w:t xml:space="preserve">This analogy only works loosely and it only works if we consider the materiality of data important for their identity. I do not have space to properly address this response, but I will briefly discuss why it should not satisfy us. First, biological individuals may be too unlike data. We might think, for instance, that reproduction, evolutionary relationships, birth, and death are important determinants of biological individuality. These considerations are not, however, relevant for data. Second, biological individuals, to the extent they change, do so materially; this is what the analogy hangs on. I am sceptical that materiality is important for data identity. </w:t>
      </w:r>
    </w:p>
    <w:p>
      <w:pPr>
        <w:pStyle w:val="Normal"/>
        <w:spacing w:lineRule="auto" w:line="480" w:before="280" w:after="280"/>
        <w:rPr>
          <w:rFonts w:ascii="Times new roman" w:hAnsi="Times new roman"/>
        </w:rPr>
      </w:pPr>
      <w:r>
        <w:rPr>
          <w:rFonts w:cs="Times New Roman" w:ascii="Times new roman" w:hAnsi="Times new roman"/>
          <w:color w:val="000000"/>
        </w:rPr>
        <w:t xml:space="preserve">One reason for thinking the material change in data can be overplayed stems from the high level of stability data often have. This is </w:t>
      </w:r>
      <w:r>
        <w:rPr>
          <w:rFonts w:cs="Times New Roman" w:ascii="Times new roman" w:hAnsi="Times new roman"/>
          <w:i/>
          <w:color w:val="000000"/>
        </w:rPr>
        <w:t>the problem of instability</w:t>
      </w:r>
      <w:r>
        <w:rPr>
          <w:rFonts w:cs="Times New Roman" w:ascii="Times new roman" w:hAnsi="Times new roman"/>
          <w:color w:val="000000"/>
        </w:rPr>
        <w:t xml:space="preserve">: data must have some stability to function as evidence. This is exemplified in cases where changes in data form are symmetric: for example, cases where we can take digital information and write it down on a data sheet, then enter that information on a computer, thus getting the same material object that we started with. Transformation that allows for a return to the original form in this way does not seem very substantive since data can often be moved and transformed without </w:t>
      </w:r>
      <w:r>
        <w:rPr>
          <w:rFonts w:cs="Times New Roman" w:ascii="Times new roman" w:hAnsi="Times new roman"/>
          <w:i/>
          <w:color w:val="000000"/>
        </w:rPr>
        <w:t>loss of information</w:t>
      </w:r>
      <w:r>
        <w:rPr>
          <w:rFonts w:cs="Times New Roman" w:ascii="Times new roman" w:hAnsi="Times new roman"/>
          <w:color w:val="000000"/>
        </w:rPr>
        <w:t xml:space="preserve">. If the information were lost, then change back to the original would not be possible. </w:t>
      </w:r>
    </w:p>
    <w:p>
      <w:pPr>
        <w:pStyle w:val="Normal"/>
        <w:spacing w:lineRule="auto" w:line="480" w:before="280" w:after="280"/>
        <w:rPr>
          <w:rFonts w:ascii="Times new roman" w:hAnsi="Times new roman"/>
        </w:rPr>
      </w:pPr>
      <w:r>
        <w:rPr>
          <w:rFonts w:cs="Times New Roman" w:ascii="Times new roman" w:hAnsi="Times new roman"/>
          <w:color w:val="000000"/>
        </w:rPr>
        <w:t>The requirement that data be stable is also exemplified when data are moved and transformed, especially when scientists critique or respond to one another. Consider as an example the historical and philosophical work that Allan Franklin (</w:t>
      </w:r>
      <w:bookmarkStart w:id="56" w:name="__Fieldmark__333_423805334"/>
      <w:r>
        <w:rPr>
          <w:rFonts w:cs="Times New Roman" w:ascii="Times new roman" w:hAnsi="Times new roman"/>
          <w:color w:val="000000"/>
        </w:rPr>
        <w:t>1</w:t>
      </w:r>
      <w:bookmarkStart w:id="57" w:name="__Fieldmark__302_1054606512"/>
      <w:r>
        <w:rPr>
          <w:rFonts w:cs="Times New Roman" w:ascii="Times new roman" w:hAnsi="Times new roman"/>
          <w:color w:val="000000"/>
        </w:rPr>
        <w:t>9</w:t>
      </w:r>
      <w:bookmarkStart w:id="58" w:name="__Fieldmark__2340_4042349503"/>
      <w:r>
        <w:rPr>
          <w:rFonts w:cs="Times New Roman" w:ascii="Times new roman" w:hAnsi="Times new roman"/>
          <w:color w:val="000000"/>
        </w:rPr>
        <w:t>8</w:t>
      </w:r>
      <w:bookmarkStart w:id="59" w:name="__Fieldmark__315_3398287000"/>
      <w:r>
        <w:rPr>
          <w:rFonts w:cs="Times New Roman" w:ascii="Times new roman" w:hAnsi="Times new roman"/>
          <w:color w:val="000000"/>
        </w:rPr>
        <w:t>1</w:t>
      </w:r>
      <w:r>
        <w:fldChar w:fldCharType="begin"/>
      </w:r>
      <w:r>
        <w:rPr>
          <w:rFonts w:cs="Times New Roman" w:ascii="Times new roman" w:hAnsi="Times new roman"/>
        </w:rPr>
        <w:instrText>ADDIN CSL_CITATION {"citationItems":[{"id":"ITEM-1","itemData":{"author":[{"dropping-particle":"","family":"Franklin","given":"Allan D","non-dropping-particle":"","parse-names":false,"suffix":""}],"container-title":"Historical Studies in the Physical Sciences","id":"ITEM-1","issue":"2","issued":{"date-parts":[["1981"]]},"page":"185-201","publisher":"JSTOR","title":"Millikan's published and unpublished data on oil drops","type":"article-journal","volume":"11"},"suppress-author":1,"uris":["http://www.mendeley.com/documents/?uuid=59997ac3-bea3-48d1-a50f-2eddf86d5460"]}],"mendeley":{"formattedCitation":"(1981)","plainTextFormattedCitation":"(1981)","previouslyFormattedCitation":"(1981)"},"properties":{"noteIndex":0},"schema":"https://github.com/citation-style-language/schema/raw/master/csl-citation.json"}</w:instrText>
      </w:r>
      <w:r>
        <w:rPr>
          <w:rFonts w:cs="Times New Roman" w:ascii="Times new roman" w:hAnsi="Times new roman"/>
        </w:rPr>
        <w:fldChar w:fldCharType="separate"/>
      </w:r>
      <w:bookmarkStart w:id="60" w:name="__Fieldmark__539_3335229593"/>
      <w:r>
        <w:rPr>
          <w:rFonts w:cs="Times New Roman" w:ascii="Times new roman" w:hAnsi="Times new roman"/>
          <w:color w:val="000000"/>
        </w:rPr>
        <w:t>)</w:t>
      </w:r>
      <w:r>
        <w:rPr>
          <w:rFonts w:ascii="Times new roman" w:hAnsi="Times new roman"/>
        </w:rPr>
      </w:r>
      <w:r>
        <w:rPr>
          <w:rFonts w:ascii="Times new roman" w:hAnsi="Times new roman"/>
        </w:rPr>
        <w:fldChar w:fldCharType="end"/>
      </w:r>
      <w:bookmarkEnd w:id="56"/>
      <w:bookmarkEnd w:id="57"/>
      <w:bookmarkEnd w:id="58"/>
      <w:bookmarkEnd w:id="59"/>
      <w:bookmarkEnd w:id="60"/>
      <w:r>
        <w:rPr>
          <w:rFonts w:cs="Times New Roman" w:ascii="Times new roman" w:hAnsi="Times new roman"/>
          <w:color w:val="000000"/>
        </w:rPr>
        <w:t xml:space="preserve"> conducted on the electron’s charge, building on Millikan’s oil drop experiment. In the early 20</w:t>
      </w:r>
      <w:r>
        <w:rPr>
          <w:rFonts w:cs="Times New Roman" w:ascii="Times new roman" w:hAnsi="Times new roman"/>
          <w:color w:val="000000"/>
          <w:vertAlign w:val="superscript"/>
        </w:rPr>
        <w:t>th</w:t>
      </w:r>
      <w:r>
        <w:rPr>
          <w:rFonts w:cs="Times New Roman" w:ascii="Times new roman" w:hAnsi="Times new roman"/>
          <w:color w:val="000000"/>
        </w:rPr>
        <w:t xml:space="preserve"> century, Robert Millikan was interested in precisely measuring the charge on an electron and famously measured the falling rate of electrically charged oil drops to do so. Based on how fast the drops fell, he was able to calculate the size of an electron charge. He did not, however, publish all his data, only a selection. Franklin (</w:t>
      </w:r>
      <w:r>
        <w:rPr>
          <w:rFonts w:cs="Times New Roman" w:ascii="Times new roman" w:hAnsi="Times new roman"/>
          <w:i/>
          <w:color w:val="000000"/>
        </w:rPr>
        <w:t>Ibid.</w:t>
      </w:r>
      <w:r>
        <w:rPr>
          <w:rFonts w:cs="Times New Roman" w:ascii="Times new roman" w:hAnsi="Times new roman"/>
          <w:color w:val="000000"/>
        </w:rPr>
        <w:t xml:space="preserve">) revisited Millikan’s notebooks to see, among other things, how Millikan’s conclusion might </w:t>
      </w:r>
      <w:r>
        <w:rPr>
          <w:rFonts w:cs="Times New Roman" w:ascii="Times new roman" w:hAnsi="Times new roman"/>
          <w:color w:val="000000"/>
        </w:rPr>
        <w:t>have</w:t>
      </w:r>
      <w:r>
        <w:rPr>
          <w:rFonts w:cs="Times New Roman" w:ascii="Times new roman" w:hAnsi="Times new roman"/>
          <w:color w:val="000000"/>
        </w:rPr>
        <w:t xml:space="preserve"> differ</w:t>
      </w:r>
      <w:r>
        <w:rPr>
          <w:rFonts w:cs="Times New Roman" w:ascii="Times new roman" w:hAnsi="Times new roman"/>
          <w:color w:val="000000"/>
        </w:rPr>
        <w:t>ed</w:t>
      </w:r>
      <w:r>
        <w:rPr>
          <w:rFonts w:cs="Times New Roman" w:ascii="Times new roman" w:hAnsi="Times new roman"/>
          <w:color w:val="000000"/>
        </w:rPr>
        <w:t xml:space="preserve"> if all data were included in the calculations. This is where my point about transformation arises. Millikan recorded his data in a notebook using a pencil. His notebooks were later photographed and the photographs were stored as microfilm in the Millikan Collection at the California Institute of Technology. Franklin obtained digital copies of these microfilms (or at least some versions of his published paper used digitized versions of the microfilms). It seems to me that the data underwent extensive transformations before Franklin could verify Millikan’s results. They began as pencil parks in a notebook and ended as bytes on a hard drive several decades later. Despite these extensive transformations, it would be odd to say that Franklin was</w:t>
      </w:r>
      <w:r>
        <w:rPr>
          <w:rFonts w:cs="Times New Roman" w:ascii="Times new roman" w:hAnsi="Times new roman"/>
          <w:i/>
          <w:color w:val="000000"/>
        </w:rPr>
        <w:t xml:space="preserve"> not</w:t>
      </w:r>
      <w:r>
        <w:rPr>
          <w:rFonts w:cs="Times New Roman" w:ascii="Times new roman" w:hAnsi="Times new roman"/>
          <w:color w:val="000000"/>
        </w:rPr>
        <w:t xml:space="preserve"> working with Millikan’s data; the entire purpose of Franklin’s work was to re-examine the data to determine whether some data points that Millikan omitted affected the results. This suggests that, despite some great material and contextual changes, Millikan’s data did not change.</w:t>
      </w:r>
    </w:p>
    <w:p>
      <w:pPr>
        <w:pStyle w:val="Normal"/>
        <w:spacing w:lineRule="auto" w:line="480" w:before="280" w:after="280"/>
        <w:rPr>
          <w:rFonts w:ascii="Times new roman" w:hAnsi="Times new roman" w:cs="Times New Roman"/>
          <w:color w:val="000000"/>
        </w:rPr>
      </w:pPr>
      <w:r>
        <w:rPr>
          <w:rFonts w:cs="Times New Roman" w:ascii="Times new roman" w:hAnsi="Times new roman"/>
          <w:color w:val="000000"/>
        </w:rPr>
        <w:t>Leonelli’s account of data has an insight here by noting the significance of the form data must take to use them in certain ways. However, it would seem that the identity of the data (in terms of their informational content) persists through this material change. Specifically, the persisting information, in the Millikan case, is the record of the following:</w:t>
      </w:r>
    </w:p>
    <w:p>
      <w:pPr>
        <w:pStyle w:val="Quotations"/>
        <w:rPr>
          <w:rFonts w:ascii="Times new roman" w:hAnsi="Times new roman"/>
        </w:rPr>
      </w:pPr>
      <w:r>
        <w:rPr>
          <w:rFonts w:cs="Times New Roman" w:ascii="Times new roman" w:hAnsi="Times new roman"/>
          <w:color w:val="000000"/>
          <w:lang w:val="en-US"/>
        </w:rPr>
        <w:t>The notebooks contain observations on 175 drops along with voltage and chronoscope corrections and measurements of the density of clock oil.</w:t>
      </w:r>
      <w:r>
        <w:rPr>
          <w:rFonts w:cs="Times New Roman" w:ascii="Times new roman" w:hAnsi="Times new roman"/>
          <w:color w:val="000000"/>
        </w:rPr>
        <w:t xml:space="preserve"> (</w:t>
      </w:r>
      <w:bookmarkStart w:id="61" w:name="__Fieldmark__362_423805334"/>
      <w:r>
        <w:rPr>
          <w:rFonts w:cs="Times New Roman" w:ascii="Times new roman" w:hAnsi="Times new roman"/>
          <w:color w:val="000000"/>
        </w:rPr>
        <w:t>F</w:t>
      </w:r>
      <w:bookmarkStart w:id="62" w:name="__Fieldmark__327_1054606512"/>
      <w:r>
        <w:rPr>
          <w:rFonts w:cs="Times New Roman" w:ascii="Times new roman" w:hAnsi="Times new roman"/>
          <w:color w:val="000000"/>
        </w:rPr>
        <w:t>r</w:t>
      </w:r>
      <w:bookmarkStart w:id="63" w:name="__Fieldmark__2361_4042349503"/>
      <w:r>
        <w:rPr>
          <w:rFonts w:cs="Times New Roman" w:ascii="Times new roman" w:hAnsi="Times new roman"/>
          <w:color w:val="000000"/>
        </w:rPr>
        <w:t>a</w:t>
      </w:r>
      <w:bookmarkStart w:id="64" w:name="__Fieldmark__332_3398287000"/>
      <w:r>
        <w:rPr>
          <w:rFonts w:cs="Times New Roman" w:ascii="Times new roman" w:hAnsi="Times new roman"/>
          <w:color w:val="000000"/>
        </w:rPr>
        <w:t>n</w:t>
      </w:r>
      <w:r>
        <w:fldChar w:fldCharType="begin"/>
      </w:r>
      <w:r>
        <w:rPr>
          <w:rFonts w:cs="Times New Roman" w:ascii="Times new roman" w:hAnsi="Times new roman"/>
        </w:rPr>
        <w:instrText>ADDIN CSL_CITATION {"citationItems":[{"id":"ITEM-1","itemData":{"author":[{"dropping-particle":"","family":"Franklin","given":"Allan D","non-dropping-particle":"","parse-names":false,"suffix":""}],"container-title":"Historical Studies in the Physical Sciences","id":"ITEM-1","issue":"2","issued":{"date-parts":[["1981"]]},"page":"185-201","publisher":"JSTOR","title":"Millikan's published and unpublished data on oil drops","type":"article-journal","volume":"11"},"locator":"187","uris":["http://www.mendeley.com/documents/?uuid=59997ac3-bea3-48d1-a50f-2eddf86d5460"]}],"mendeley":{"formattedCitation":"(Franklin 1981, 187)","plainTextFormattedCitation":"(Franklin 1981, 187)","previouslyFormattedCitation":"(Franklin 1981, 187)"},"properties":{"noteIndex":0},"schema":"https://github.com/citation-style-language/schema/raw/master/csl-citation.json"}</w:instrText>
      </w:r>
      <w:r>
        <w:rPr>
          <w:rFonts w:cs="Times New Roman" w:ascii="Times new roman" w:hAnsi="Times new roman"/>
        </w:rPr>
        <w:fldChar w:fldCharType="separate"/>
      </w:r>
      <w:bookmarkStart w:id="65" w:name="__Fieldmark__569_3335229593"/>
      <w:r>
        <w:rPr>
          <w:rFonts w:cs="Times New Roman" w:ascii="Times new roman" w:hAnsi="Times new roman"/>
          <w:color w:val="000000"/>
        </w:rPr>
        <w:t>klin 1981, 187)</w:t>
      </w:r>
      <w:r>
        <w:rPr>
          <w:rFonts w:ascii="Times new roman" w:hAnsi="Times new roman"/>
        </w:rPr>
      </w:r>
      <w:r>
        <w:rPr>
          <w:rFonts w:ascii="Times new roman" w:hAnsi="Times new roman"/>
        </w:rPr>
        <w:fldChar w:fldCharType="end"/>
      </w:r>
      <w:bookmarkEnd w:id="61"/>
      <w:bookmarkEnd w:id="62"/>
      <w:bookmarkEnd w:id="63"/>
      <w:bookmarkEnd w:id="64"/>
      <w:bookmarkEnd w:id="65"/>
    </w:p>
    <w:p>
      <w:pPr>
        <w:pStyle w:val="Normal"/>
        <w:spacing w:lineRule="auto" w:line="480" w:before="280" w:after="280"/>
        <w:rPr>
          <w:rFonts w:ascii="Times new roman" w:hAnsi="Times new roman"/>
        </w:rPr>
      </w:pPr>
      <w:r>
        <w:rPr>
          <w:rFonts w:cs="Times New Roman" w:ascii="Times new roman" w:hAnsi="Times new roman"/>
          <w:color w:val="000000"/>
        </w:rPr>
        <w:t xml:space="preserve">The notebooks contained information about the charge (voltage) on each drop as well as time corrections and the density of the oil. They are the records of the measurements and observations that Millikan made and consisted, in this case, of a table of numbers with labelled columns. This information seems to me the same regardless of whether it is in a notebook, Franklin’s hard drive, or transcribed from my own computer to my notebook. I take it a relational account is committed to the idea that the data on the hard drive are different from the data in the notebook and this is puzzling. </w:t>
      </w:r>
    </w:p>
    <w:p>
      <w:pPr>
        <w:pStyle w:val="Normal"/>
        <w:spacing w:lineRule="auto" w:line="480" w:before="280" w:after="280"/>
        <w:rPr>
          <w:rFonts w:ascii="Times new roman" w:hAnsi="Times new roman"/>
        </w:rPr>
      </w:pPr>
      <w:r>
        <w:rPr>
          <w:rFonts w:cs="Times New Roman" w:ascii="Times new roman" w:hAnsi="Times new roman"/>
          <w:color w:val="000000"/>
          <w:lang w:val="en-US"/>
        </w:rPr>
        <w:t>These material changes may seem too trivial to worry the relational account, but they are actually quite substantial. Once microfilmed, Millikan’s notebooks were archived with other material from his life and curated. There is even a published guide to assist the researcher in navigating the microfilm archive (</w:t>
      </w:r>
      <w:bookmarkStart w:id="66" w:name="__Fieldmark__383_423805334"/>
      <w:r>
        <w:rPr>
          <w:rFonts w:cs="Times New Roman" w:ascii="Times new roman" w:hAnsi="Times new roman"/>
          <w:color w:val="000000"/>
          <w:lang w:val="en-US"/>
        </w:rPr>
        <w:t>G</w:t>
      </w:r>
      <w:bookmarkStart w:id="67" w:name="__Fieldmark__344_1054606512"/>
      <w:r>
        <w:rPr>
          <w:rFonts w:cs="Times New Roman" w:ascii="Times new roman" w:hAnsi="Times new roman"/>
          <w:color w:val="000000"/>
          <w:lang w:val="en-US"/>
        </w:rPr>
        <w:t>o</w:t>
      </w:r>
      <w:bookmarkStart w:id="68" w:name="__Fieldmark__2374_4042349503"/>
      <w:r>
        <w:rPr>
          <w:rFonts w:cs="Times New Roman" w:ascii="Times new roman" w:hAnsi="Times new roman"/>
          <w:color w:val="000000"/>
          <w:lang w:val="en-US"/>
        </w:rPr>
        <w:t>o</w:t>
      </w:r>
      <w:bookmarkStart w:id="69" w:name="__Fieldmark__341_3398287000"/>
      <w:r>
        <w:rPr>
          <w:rFonts w:cs="Times New Roman" w:ascii="Times new roman" w:hAnsi="Times new roman"/>
          <w:color w:val="000000"/>
          <w:lang w:val="en-US"/>
        </w:rPr>
        <w:t>d</w:t>
      </w:r>
      <w:r>
        <w:fldChar w:fldCharType="begin"/>
      </w:r>
      <w:r>
        <w:rPr>
          <w:rFonts w:cs="Times New Roman" w:ascii="Times new roman" w:hAnsi="Times new roman"/>
        </w:rPr>
        <w:instrText>ADDIN CSL_CITATION {"citationItems":[{"id":"ITEM-1","itemData":{"author":[{"dropping-particle":"","family":"Goodstein","given":"Judith R","non-dropping-particle":"","parse-names":false,"suffix":""},{"dropping-particle":"","family":"Gunns","given":"Albert F","non-dropping-particle":"","parse-names":false,"suffix":""},{"dropping-particle":"","family":"Underleak","given":"Ann","non-dropping-particle":"","parse-names":false,"suffix":""}],"id":"ITEM-1","issued":{"date-parts":[["1977"]]},"publisher":"California Institute of Technology","title":"The Robert Andrews Millikan collection at the California Institute of Technology: guide to a microfilm edition","type":"book"},"uris":["http://www.mendeley.com/documents/?uuid=a77d7318-063c-40ba-8c19-a464426a7174"]}],"mendeley":{"formattedCitation":"(Goodstein, Gunns, and Underleak 1977)","plainTextFormattedCitation":"(Goodstein, Gunns, and Underleak 1977)","previouslyFormattedCitation":"(Goodstein, Gunns, and Underleak 1977)"},"properties":{"noteIndex":0},"schema":"https://github.com/citation-style-language/schema/raw/master/csl-citation.json"}</w:instrText>
      </w:r>
      <w:r>
        <w:rPr>
          <w:rFonts w:cs="Times New Roman" w:ascii="Times new roman" w:hAnsi="Times new roman"/>
        </w:rPr>
        <w:fldChar w:fldCharType="separate"/>
      </w:r>
      <w:bookmarkStart w:id="70" w:name="__Fieldmark__581_3335229593"/>
      <w:r>
        <w:rPr>
          <w:rFonts w:cs="Times New Roman" w:ascii="Times new roman" w:hAnsi="Times new roman"/>
          <w:color w:val="000000"/>
          <w:lang w:val="en-US"/>
        </w:rPr>
        <w:t>stein, Gunns, and Underleak 1977)</w:t>
      </w:r>
      <w:r>
        <w:rPr>
          <w:rFonts w:ascii="Times new roman" w:hAnsi="Times new roman"/>
        </w:rPr>
      </w:r>
      <w:r>
        <w:rPr>
          <w:rFonts w:ascii="Times new roman" w:hAnsi="Times new roman"/>
        </w:rPr>
        <w:fldChar w:fldCharType="end"/>
      </w:r>
      <w:bookmarkEnd w:id="66"/>
      <w:bookmarkEnd w:id="67"/>
      <w:bookmarkEnd w:id="68"/>
      <w:bookmarkEnd w:id="69"/>
      <w:bookmarkEnd w:id="70"/>
      <w:r>
        <w:rPr>
          <w:rFonts w:cs="Times New Roman" w:ascii="Times new roman" w:hAnsi="Times new roman"/>
          <w:color w:val="000000"/>
          <w:lang w:val="en-US"/>
        </w:rPr>
        <w:t>. Extracting data from these notebooks was no easy task.</w:t>
      </w:r>
    </w:p>
    <w:p>
      <w:pPr>
        <w:pStyle w:val="Normal"/>
        <w:spacing w:lineRule="auto" w:line="480" w:before="280" w:after="280"/>
        <w:rPr>
          <w:rFonts w:ascii="Times new roman" w:hAnsi="Times new roman"/>
        </w:rPr>
      </w:pPr>
      <w:r>
        <w:rPr>
          <w:rFonts w:cs="Times New Roman" w:ascii="Times new roman" w:hAnsi="Times new roman"/>
          <w:color w:val="000000"/>
        </w:rPr>
        <w:t xml:space="preserve">A relational view of data might want to give due consideration to elements of data practices, such as those illustrated by this electron charge example. Indeed, any account should do this and the view I defend </w:t>
      </w:r>
      <w:r>
        <w:rPr>
          <w:rFonts w:eastAsia="ＭＳ 明朝" w:cs="Times New Roman" w:ascii="Times new roman" w:hAnsi="Times new roman"/>
          <w:color w:val="000000"/>
          <w:kern w:val="0"/>
          <w:sz w:val="24"/>
          <w:szCs w:val="24"/>
          <w:lang w:val="en-GB" w:eastAsia="en-US" w:bidi="ar-SA"/>
        </w:rPr>
        <w:t xml:space="preserve">below </w:t>
      </w:r>
      <w:r>
        <w:rPr>
          <w:rFonts w:cs="Times New Roman" w:ascii="Times new roman" w:hAnsi="Times new roman"/>
          <w:color w:val="000000"/>
        </w:rPr>
        <w:t xml:space="preserve">seeks to accommodate this consideration. But an account must also be able to explain how different scientists across time with different interests and using different tools could nonetheless study the same phenomenon and I do not believe relational accounts have an explanation for this as yet. Franklin and Millikan were both interested in the same oil drops and the same charges on those oil drops. Their research interests were slightly different: Millikan wanted to calculate the charge of an electron and Franklin wanted to determine whether Millikan made no important omissions. Both of these different research interests required the same data set. It is difficult to make sense of how they could have their respective research interests and pursue them, unless they were working with the same data. This case suggests that the data, the records that began in a notebook, provided a link between two scientifically-minded researchers and a set of oil drops. This conclusion gets us out of the problem of stability: data are stable enough to support a variety of research interests and this stability stems from the fact that they are records, not just evidence. </w:t>
      </w:r>
    </w:p>
    <w:p>
      <w:pPr>
        <w:pStyle w:val="Normal"/>
        <w:spacing w:lineRule="auto" w:line="480" w:before="280" w:after="280"/>
        <w:rPr>
          <w:rFonts w:ascii="Times new roman" w:hAnsi="Times new roman"/>
        </w:rPr>
      </w:pPr>
      <w:r>
        <w:rPr>
          <w:rFonts w:cs="Times New Roman" w:ascii="Times new roman" w:hAnsi="Times new roman"/>
          <w:color w:val="000000"/>
        </w:rPr>
        <w:t>Relational accounts do have resources to discuss the relationship between data and the world. One possible strategy may be to use meta-data. Leonelli discusses (</w:t>
      </w:r>
      <w:bookmarkStart w:id="71" w:name="__Fieldmark__405_423805334"/>
      <w:r>
        <w:rPr>
          <w:rFonts w:cs="Times New Roman" w:ascii="Times new roman" w:hAnsi="Times new roman"/>
          <w:color w:val="000000"/>
        </w:rPr>
        <w:t>2</w:t>
      </w:r>
      <w:bookmarkStart w:id="72" w:name="__Fieldmark__362_1054606512"/>
      <w:r>
        <w:rPr>
          <w:rFonts w:cs="Times New Roman" w:ascii="Times new roman" w:hAnsi="Times new roman"/>
          <w:color w:val="000000"/>
        </w:rPr>
        <w:t>0</w:t>
      </w:r>
      <w:bookmarkStart w:id="73" w:name="__Fieldmark__2388_4042349503"/>
      <w:r>
        <w:rPr>
          <w:rFonts w:cs="Times New Roman" w:ascii="Times new roman" w:hAnsi="Times new roman"/>
          <w:color w:val="000000"/>
        </w:rPr>
        <w:t>1</w:t>
      </w:r>
      <w:bookmarkStart w:id="74" w:name="__Fieldmark__351_3398287000"/>
      <w:r>
        <w:rPr>
          <w:rFonts w:cs="Times New Roman" w:ascii="Times new roman" w:hAnsi="Times new roman"/>
          <w:color w:val="000000"/>
        </w:rPr>
        <w:t>6</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study","type":"book"},"locator":"189-190","suppress-author":1,"uris":["http://www.mendeley.com/documents/?uuid=e73a61c5-e4e3-4e7b-bb07-5c47db2b1359"]}],"mendeley":{"formattedCitation":"(2016, 189–90)","plainTextFormattedCitation":"(2016, 189–90)","previouslyFormattedCitation":"(2016, 189–90)"},"properties":{"noteIndex":0},"schema":"https://github.com/citation-style-language/schema/raw/master/csl-citation.json"}</w:instrText>
      </w:r>
      <w:r>
        <w:rPr>
          <w:rFonts w:cs="Times New Roman" w:ascii="Times new roman" w:hAnsi="Times new roman"/>
        </w:rPr>
        <w:fldChar w:fldCharType="separate"/>
      </w:r>
      <w:bookmarkStart w:id="75" w:name="__Fieldmark__599_3335229593"/>
      <w:r>
        <w:rPr>
          <w:rFonts w:cs="Times New Roman" w:ascii="Times new roman" w:hAnsi="Times new roman"/>
          <w:color w:val="000000"/>
        </w:rPr>
        <w:t>, 189–90)</w:t>
      </w:r>
      <w:r>
        <w:rPr>
          <w:rFonts w:ascii="Times new roman" w:hAnsi="Times new roman"/>
        </w:rPr>
      </w:r>
      <w:r>
        <w:rPr>
          <w:rFonts w:ascii="Times new roman" w:hAnsi="Times new roman"/>
        </w:rPr>
        <w:fldChar w:fldCharType="end"/>
      </w:r>
      <w:bookmarkEnd w:id="71"/>
      <w:bookmarkEnd w:id="72"/>
      <w:bookmarkEnd w:id="73"/>
      <w:bookmarkEnd w:id="74"/>
      <w:bookmarkEnd w:id="75"/>
      <w:r>
        <w:rPr>
          <w:rFonts w:cs="Times New Roman" w:ascii="Times new roman" w:hAnsi="Times new roman"/>
          <w:color w:val="000000"/>
        </w:rPr>
        <w:t xml:space="preserve"> the importance of curatorial work in packaging data. Such work involves recording what kind of experiment and recording techniques were used in producing the data. Such meta-data are important for communicating how data were collected, what instruments were used, who made the record, and under what conditions, etc. So perhaps meta-data can explain why scientists should expect data to serve as evidence. </w:t>
      </w:r>
    </w:p>
    <w:p>
      <w:pPr>
        <w:pStyle w:val="Normal"/>
        <w:spacing w:lineRule="auto" w:line="480" w:before="280" w:after="280"/>
        <w:rPr>
          <w:rFonts w:ascii="Times new roman" w:hAnsi="Times new roman"/>
        </w:rPr>
      </w:pPr>
      <w:r>
        <w:rPr>
          <w:rFonts w:cs="Times New Roman" w:ascii="Times new roman" w:hAnsi="Times new roman"/>
          <w:color w:val="000000"/>
        </w:rPr>
        <w:t xml:space="preserve">Without denying the importance of meta-data, one might still worry about how meta-data make a set of data </w:t>
      </w:r>
      <w:r>
        <w:rPr>
          <w:rFonts w:cs="Times New Roman" w:ascii="Times new roman" w:hAnsi="Times new roman"/>
          <w:i/>
          <w:color w:val="000000"/>
        </w:rPr>
        <w:t>that set</w:t>
      </w:r>
      <w:r>
        <w:rPr>
          <w:rFonts w:cs="Times New Roman" w:ascii="Times new roman" w:hAnsi="Times new roman"/>
          <w:color w:val="000000"/>
        </w:rPr>
        <w:t xml:space="preserve"> and different from another set. If I read Leonelli correctly, meta-data are primarily important for evidential, but not identity, reasons. By allotting data-collection and experiment to meta-data, this relational account suggests data identity is not </w:t>
      </w:r>
      <w:r>
        <w:rPr>
          <w:rFonts w:cs="Times New Roman" w:ascii="Times new roman" w:hAnsi="Times new roman"/>
          <w:i/>
          <w:color w:val="000000"/>
        </w:rPr>
        <w:t>primarily</w:t>
      </w:r>
      <w:r>
        <w:rPr>
          <w:rFonts w:cs="Times New Roman" w:ascii="Times new roman" w:hAnsi="Times new roman"/>
          <w:color w:val="000000"/>
        </w:rPr>
        <w:t xml:space="preserve"> affected by how data are produced. Assigning meta-data this secondary role is reasonable; after all, meta-data must be recorded in addition to recording data, but I contend that a set of data would have a life of its own even if one neglected to record the meta-data (though they may be evidentially not useful). </w:t>
      </w:r>
    </w:p>
    <w:p>
      <w:pPr>
        <w:pStyle w:val="Normal"/>
        <w:spacing w:lineRule="auto" w:line="480" w:before="280" w:after="280"/>
        <w:rPr>
          <w:rFonts w:ascii="Times new roman" w:hAnsi="Times new roman"/>
        </w:rPr>
      </w:pPr>
      <w:r>
        <w:rPr>
          <w:rFonts w:cs="Times New Roman" w:ascii="Times new roman" w:hAnsi="Times new roman"/>
          <w:color w:val="000000"/>
        </w:rPr>
        <w:t xml:space="preserve">To sum up, I have argued that the ontology and use of a data set leave open questions about data identity. I noted that data identity, if data are potential evidence, is not affected affected by their use. Nor is the materiality of data important for determining their identity. This leaves room, I believe, for a treatment of what data are </w:t>
      </w:r>
      <w:r>
        <w:rPr>
          <w:rFonts w:cs="Times New Roman" w:ascii="Times new roman" w:hAnsi="Times new roman"/>
          <w:i/>
          <w:color w:val="000000"/>
        </w:rPr>
        <w:t>qua</w:t>
      </w:r>
      <w:r>
        <w:rPr>
          <w:rFonts w:cs="Times New Roman" w:ascii="Times new roman" w:hAnsi="Times new roman"/>
          <w:color w:val="000000"/>
        </w:rPr>
        <w:t xml:space="preserve"> data, independent of evidence. </w:t>
      </w:r>
    </w:p>
    <w:p>
      <w:pPr>
        <w:pStyle w:val="Heading1"/>
        <w:rPr>
          <w:rFonts w:ascii="Times new roman" w:hAnsi="Times new roman"/>
          <w:i w:val="false"/>
          <w:i w:val="false"/>
          <w:iCs w:val="false"/>
        </w:rPr>
      </w:pPr>
      <w:r>
        <w:rPr>
          <w:rFonts w:ascii="Times new roman" w:hAnsi="Times new roman"/>
          <w:b/>
          <w:i w:val="false"/>
          <w:iCs w:val="false"/>
          <w:color w:val="000000"/>
          <w:lang w:val="en-US"/>
        </w:rPr>
        <w:t>3.</w:t>
      </w:r>
      <w:r>
        <w:rPr>
          <w:rFonts w:ascii="Times new roman" w:hAnsi="Times new roman"/>
          <w:b/>
          <w:i w:val="false"/>
          <w:iCs w:val="false"/>
          <w:color w:val="000000"/>
          <w:lang w:val="en-US"/>
        </w:rPr>
        <w:t xml:space="preserve"> </w:t>
      </w:r>
      <w:r>
        <w:rPr>
          <w:rFonts w:ascii="Times new roman" w:hAnsi="Times new roman"/>
          <w:b/>
          <w:i w:val="false"/>
          <w:iCs w:val="false"/>
          <w:color w:val="000000"/>
          <w:lang w:val="en-US"/>
        </w:rPr>
        <w:t xml:space="preserve">A </w:t>
      </w:r>
      <w:r>
        <w:rPr>
          <w:rFonts w:ascii="Times new roman" w:hAnsi="Times new roman"/>
          <w:b/>
          <w:i w:val="false"/>
          <w:iCs w:val="false"/>
          <w:color w:val="000000"/>
          <w:lang w:val="en-US"/>
        </w:rPr>
        <w:t>New Star</w:t>
      </w:r>
    </w:p>
    <w:p>
      <w:pPr>
        <w:pStyle w:val="Heading1"/>
        <w:rPr>
          <w:b/>
          <w:b/>
          <w:i/>
          <w:i/>
          <w:color w:val="000000"/>
          <w:lang w:val="en-US"/>
        </w:rPr>
      </w:pPr>
      <w:r>
        <w:rPr>
          <w:rFonts w:ascii="Times new roman" w:hAnsi="Times new roman"/>
        </w:rPr>
      </w:r>
    </w:p>
    <w:p>
      <w:pPr>
        <w:pStyle w:val="Normal"/>
        <w:spacing w:lineRule="auto" w:line="480"/>
        <w:rPr>
          <w:rFonts w:ascii="Times new roman" w:hAnsi="Times new roman"/>
        </w:rPr>
      </w:pPr>
      <w:r>
        <w:rPr>
          <w:rFonts w:cs="Times New Roman" w:ascii="Times new roman" w:hAnsi="Times new roman"/>
        </w:rPr>
        <w:t xml:space="preserve">The history of science provides a rich source for thinking about </w:t>
      </w:r>
      <w:r>
        <w:rPr>
          <w:rFonts w:cs="Times New Roman" w:ascii="Times new roman" w:hAnsi="Times new roman"/>
        </w:rPr>
        <w:t xml:space="preserve">what </w:t>
      </w:r>
      <w:r>
        <w:rPr>
          <w:rFonts w:cs="Times New Roman" w:ascii="Times new roman" w:hAnsi="Times new roman"/>
        </w:rPr>
        <w:t xml:space="preserve">data </w:t>
      </w:r>
      <w:r>
        <w:rPr>
          <w:rFonts w:cs="Times New Roman" w:ascii="Times new roman" w:hAnsi="Times new roman"/>
        </w:rPr>
        <w:t>are and how they</w:t>
      </w:r>
      <w:r>
        <w:rPr>
          <w:rFonts w:cs="Times New Roman" w:ascii="Times new roman" w:hAnsi="Times new roman"/>
        </w:rPr>
        <w:t xml:space="preserve"> change through time. </w:t>
      </w:r>
      <w:r>
        <w:rPr>
          <w:rFonts w:cs="Times New Roman" w:ascii="Times new roman" w:hAnsi="Times new roman"/>
        </w:rPr>
        <w:t>A</w:t>
      </w:r>
      <w:r>
        <w:rPr>
          <w:rFonts w:cs="Times New Roman" w:ascii="Times new roman" w:hAnsi="Times new roman"/>
        </w:rPr>
        <w:t xml:space="preserve">stronomy, because of its particularly long history, is </w:t>
      </w:r>
      <w:r>
        <w:rPr>
          <w:rFonts w:cs="Times New Roman" w:ascii="Times new roman" w:hAnsi="Times new roman"/>
        </w:rPr>
        <w:t>an</w:t>
      </w:r>
      <w:r>
        <w:rPr>
          <w:rFonts w:cs="Times New Roman" w:ascii="Times new roman" w:hAnsi="Times new roman"/>
        </w:rPr>
        <w:t xml:space="preserve"> especially rich </w:t>
      </w:r>
      <w:r>
        <w:rPr>
          <w:rFonts w:cs="Times New Roman" w:ascii="Times new roman" w:hAnsi="Times new roman"/>
        </w:rPr>
        <w:t>resource</w:t>
      </w:r>
      <w:r>
        <w:rPr>
          <w:rFonts w:cs="Times New Roman" w:ascii="Times new roman" w:hAnsi="Times new roman"/>
        </w:rPr>
        <w:t xml:space="preserve">. </w:t>
      </w:r>
      <w:r>
        <w:rPr>
          <w:rFonts w:cs="Times New Roman" w:ascii="Times new roman" w:hAnsi="Times new roman"/>
        </w:rPr>
        <w:t xml:space="preserve">If an account of data is to </w:t>
      </w:r>
      <w:r>
        <w:rPr>
          <w:rFonts w:eastAsia="ＭＳ 明朝" w:cs="Times New Roman" w:ascii="Times new roman" w:hAnsi="Times new roman"/>
          <w:color w:val="auto"/>
          <w:kern w:val="0"/>
          <w:sz w:val="24"/>
          <w:szCs w:val="24"/>
          <w:lang w:val="en-GB" w:eastAsia="en-US" w:bidi="ar-SA"/>
        </w:rPr>
        <w:t>do justice to the</w:t>
      </w:r>
      <w:r>
        <w:rPr>
          <w:rFonts w:cs="Times New Roman" w:ascii="Times new roman" w:hAnsi="Times new roman"/>
        </w:rPr>
        <w:t xml:space="preserve"> great change and continuity in a scientific tradition, then astronomy is the paragon for judging that account and from which an account might be built.</w:t>
      </w:r>
      <w:r>
        <w:rPr>
          <w:rFonts w:cs="Times New Roman" w:ascii="Times new roman" w:hAnsi="Times new roman"/>
        </w:rPr>
        <w:t xml:space="preserve"> </w:t>
      </w:r>
      <w:r>
        <w:rPr>
          <w:rFonts w:cs="Times New Roman" w:ascii="Times new roman" w:hAnsi="Times new roman"/>
        </w:rPr>
        <w:t xml:space="preserve">In this section, I discuss a case study </w:t>
      </w:r>
      <w:r>
        <w:rPr>
          <w:rFonts w:cs="Times New Roman" w:ascii="Times new roman" w:hAnsi="Times new roman"/>
        </w:rPr>
        <w:t xml:space="preserve">from astronomy </w:t>
      </w:r>
      <w:r>
        <w:rPr>
          <w:rFonts w:cs="Times New Roman" w:ascii="Times new roman" w:hAnsi="Times new roman"/>
        </w:rPr>
        <w:t xml:space="preserve">that suggests we think about data in a different, perspectival way. I discuss what this </w:t>
      </w:r>
      <w:r>
        <w:rPr>
          <w:rFonts w:cs="Times New Roman" w:ascii="Times new roman" w:hAnsi="Times new roman"/>
        </w:rPr>
        <w:t>perspectival</w:t>
      </w:r>
      <w:r>
        <w:rPr>
          <w:rFonts w:cs="Times New Roman" w:ascii="Times new roman" w:hAnsi="Times new roman"/>
        </w:rPr>
        <w:t xml:space="preserve"> view looks like in section 4.</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eastAsia="ＭＳ 明朝" w:cs="Times New Roman" w:ascii="Times new roman" w:hAnsi="Times new roman"/>
          <w:color w:val="auto"/>
          <w:kern w:val="0"/>
          <w:sz w:val="24"/>
          <w:szCs w:val="24"/>
          <w:lang w:val="en-GB" w:eastAsia="en-US" w:bidi="ar-SA"/>
        </w:rPr>
        <w:t>At</w:t>
      </w:r>
      <w:r>
        <w:rPr>
          <w:rFonts w:cs="Times New Roman" w:ascii="Times new roman" w:hAnsi="Times new roman"/>
        </w:rPr>
        <w:t xml:space="preserve"> the </w:t>
      </w:r>
      <w:r>
        <w:rPr>
          <w:rFonts w:cs="Times New Roman" w:ascii="Times new roman" w:hAnsi="Times new roman"/>
        </w:rPr>
        <w:t>end of the</w:t>
      </w:r>
      <w:r>
        <w:rPr>
          <w:rFonts w:cs="Times New Roman" w:ascii="Times new roman" w:hAnsi="Times new roman"/>
        </w:rPr>
        <w:t xml:space="preserve"> 2</w:t>
      </w:r>
      <w:r>
        <w:rPr>
          <w:rFonts w:cs="Times New Roman" w:ascii="Times new roman" w:hAnsi="Times new roman"/>
          <w:vertAlign w:val="superscript"/>
        </w:rPr>
        <w:t>nd</w:t>
      </w:r>
      <w:r>
        <w:rPr>
          <w:rFonts w:cs="Times New Roman" w:ascii="Times new roman" w:hAnsi="Times new roman"/>
        </w:rPr>
        <w:t xml:space="preserve"> century A.D., </w:t>
      </w:r>
      <w:r>
        <w:rPr>
          <w:rFonts w:eastAsia="ＭＳ 明朝" w:cs="Times New Roman" w:ascii="Times new roman" w:hAnsi="Times new roman"/>
          <w:color w:val="auto"/>
          <w:kern w:val="0"/>
          <w:sz w:val="24"/>
          <w:szCs w:val="24"/>
          <w:lang w:val="en-GB" w:eastAsia="en-US" w:bidi="ar-SA"/>
        </w:rPr>
        <w:t>astronomers</w:t>
      </w:r>
      <w:r>
        <w:rPr>
          <w:rFonts w:cs="Times New Roman" w:ascii="Times new roman" w:hAnsi="Times new roman"/>
        </w:rPr>
        <w:t xml:space="preserve"> in China recorded a “</w:t>
      </w:r>
      <w:r>
        <w:rPr>
          <w:rFonts w:eastAsia="ＭＳ 明朝" w:cs="Times New Roman" w:ascii="Times new roman" w:hAnsi="Times new roman"/>
          <w:color w:val="auto"/>
          <w:kern w:val="0"/>
          <w:sz w:val="24"/>
          <w:szCs w:val="24"/>
          <w:lang w:val="en-GB" w:eastAsia="en-US" w:bidi="ar-SA"/>
        </w:rPr>
        <w:t>guest</w:t>
      </w:r>
      <w:r>
        <w:rPr>
          <w:rFonts w:cs="Times New Roman" w:ascii="Times new roman" w:hAnsi="Times new roman"/>
        </w:rPr>
        <w:t xml:space="preserve"> star.” </w:t>
      </w:r>
      <w:r>
        <w:rPr>
          <w:rFonts w:cs="Times New Roman" w:ascii="Times new roman" w:hAnsi="Times new roman"/>
        </w:rPr>
        <w:t xml:space="preserve">They recorded when </w:t>
      </w:r>
      <w:r>
        <w:rPr>
          <w:rFonts w:eastAsia="ＭＳ 明朝" w:cs="Times New Roman" w:ascii="Times new roman" w:hAnsi="Times new roman"/>
          <w:color w:val="auto"/>
          <w:kern w:val="0"/>
          <w:sz w:val="24"/>
          <w:szCs w:val="24"/>
          <w:lang w:val="en-GB" w:eastAsia="en-US" w:bidi="ar-SA"/>
        </w:rPr>
        <w:t>the “star”</w:t>
      </w:r>
      <w:r>
        <w:rPr>
          <w:rFonts w:cs="Times New Roman" w:ascii="Times new roman" w:hAnsi="Times new roman"/>
        </w:rPr>
        <w:t xml:space="preserve"> appeared, when it disappeared, and its rough location in the night sky. These observations made their way into into a number of historical texts ⁠</w:t>
      </w:r>
      <w:r>
        <w:rPr>
          <w:rFonts w:cs="Times New Roman" w:ascii="Times new roman" w:hAnsi="Times new roman"/>
        </w:rPr>
        <w:t>(see Wang, Qu, and Chen 1997)</w:t>
      </w:r>
      <w:r>
        <w:rPr>
          <w:rFonts w:cs="Times New Roman" w:ascii="Times new roman" w:hAnsi="Times new roman"/>
        </w:rPr>
        <w:t>.</w:t>
      </w:r>
      <w:r>
        <w:rPr>
          <w:rFonts w:cs="Times New Roman" w:ascii="Times new roman" w:hAnsi="Times new roman"/>
        </w:rPr>
        <w:t xml:space="preserve"> This record has since sparked several contemporary studies that attempt to make sense of what this “new star” might be in contemporary terms. </w:t>
      </w:r>
      <w:r>
        <w:rPr>
          <w:rFonts w:cs="Times New Roman" w:ascii="Times new roman" w:hAnsi="Times new roman"/>
        </w:rPr>
        <w:t xml:space="preserve">First, </w:t>
      </w:r>
      <w:r>
        <w:rPr>
          <w:rFonts w:cs="Times New Roman" w:ascii="Times new roman" w:hAnsi="Times new roman"/>
        </w:rPr>
        <w:t>Clark and Stephenson (</w:t>
      </w:r>
      <w:bookmarkStart w:id="76" w:name="__Fieldmark__1047_423805334"/>
      <w:r>
        <w:rPr>
          <w:rFonts w:cs="Times New Roman" w:ascii="Times new roman" w:hAnsi="Times new roman"/>
        </w:rPr>
        <w:t>1</w:t>
      </w:r>
      <w:bookmarkStart w:id="77" w:name="__Fieldmark__923_1054606512"/>
      <w:r>
        <w:rPr>
          <w:rFonts w:cs="Times New Roman" w:ascii="Times new roman" w:hAnsi="Times new roman"/>
        </w:rPr>
        <w:t>9</w:t>
      </w:r>
      <w:bookmarkStart w:id="78" w:name="__Fieldmark__2998_4042349503"/>
      <w:r>
        <w:rPr>
          <w:rFonts w:cs="Times New Roman" w:ascii="Times new roman" w:hAnsi="Times new roman"/>
        </w:rPr>
        <w:t>7</w:t>
      </w:r>
      <w:bookmarkStart w:id="79" w:name="__Fieldmark__919_3398287000"/>
      <w:r>
        <w:rPr>
          <w:rFonts w:cs="Times New Roman" w:ascii="Times new roman" w:hAnsi="Times new roman"/>
        </w:rPr>
        <w:t>7</w:t>
      </w:r>
      <w:r>
        <w:fldChar w:fldCharType="begin"/>
      </w:r>
      <w:r>
        <w:rPr>
          <w:rFonts w:cs="Times New Roman" w:ascii="Times new roman" w:hAnsi="Times new roman"/>
        </w:rPr>
        <w:instrText>ADDIN CSL_CITATION {"citationItems":[{"id":"ITEM-1","itemData":{"author":[{"dropping-particle":"","family":"Clark","given":"David H.","non-dropping-particle":"","parse-names":false,"suffix":""},{"dropping-particle":"","family":"Stephenson","given":"F. Richard","non-dropping-particle":"","parse-names":false,"suffix":""}],"id":"ITEM-1","issued":{"date-parts":[["1977"]]},"publisher":"Pergamon Press","publisher-place":"Oxford","title":"The Historical Supernovae","type":"book"},"suppress-author":1,"uris":["http://www.mendeley.com/documents/?uuid=74ebd5cb-5ef4-40d1-bd73-35143c578229"]}],"mendeley":{"formattedCitation":"(1977)","plainTextFormattedCitation":"(1977)","previouslyFormattedCitation":"(CLARK and STEPHENSON 1977)"},"properties":{"noteIndex":0},"schema":"https://github.com/citation-style-language/schema/raw/master/csl-citation.json"}</w:instrText>
      </w:r>
      <w:r>
        <w:rPr>
          <w:rFonts w:cs="Times New Roman" w:ascii="Times new roman" w:hAnsi="Times new roman"/>
        </w:rPr>
        <w:fldChar w:fldCharType="separate"/>
      </w:r>
      <w:bookmarkStart w:id="80" w:name="__Fieldmark__1532_3335229593"/>
      <w:r>
        <w:rPr>
          <w:rFonts w:cs="Times New Roman" w:ascii="Times new roman" w:hAnsi="Times new roman"/>
        </w:rPr>
        <w:t>)</w:t>
      </w:r>
      <w:r>
        <w:rPr>
          <w:rFonts w:ascii="Times new roman" w:hAnsi="Times new roman"/>
        </w:rPr>
      </w:r>
      <w:r>
        <w:rPr>
          <w:rFonts w:ascii="Times new roman" w:hAnsi="Times new roman"/>
        </w:rPr>
        <w:fldChar w:fldCharType="end"/>
      </w:r>
      <w:bookmarkEnd w:id="76"/>
      <w:bookmarkEnd w:id="77"/>
      <w:bookmarkEnd w:id="78"/>
      <w:bookmarkEnd w:id="79"/>
      <w:bookmarkEnd w:id="80"/>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rPr>
        <w:t>made an attempt to use this early observation. Thorsett (1992) and Green and Stephenson (</w:t>
      </w:r>
      <w:bookmarkStart w:id="81" w:name="__Fieldmark__1066_423805334"/>
      <w:r>
        <w:rPr>
          <w:rFonts w:cs="Times New Roman" w:ascii="Times new roman" w:hAnsi="Times new roman"/>
        </w:rPr>
        <w:t>2</w:t>
      </w:r>
      <w:bookmarkStart w:id="82" w:name="__Fieldmark__938_1054606512"/>
      <w:r>
        <w:rPr>
          <w:rFonts w:cs="Times New Roman" w:ascii="Times new roman" w:hAnsi="Times new roman"/>
        </w:rPr>
        <w:t>0</w:t>
      </w:r>
      <w:bookmarkStart w:id="83" w:name="__Fieldmark__3009_4042349503"/>
      <w:r>
        <w:rPr>
          <w:rFonts w:cs="Times New Roman" w:ascii="Times new roman" w:hAnsi="Times new roman"/>
        </w:rPr>
        <w:t>0</w:t>
      </w:r>
      <w:bookmarkStart w:id="84" w:name="__Fieldmark__926_3398287000"/>
      <w:r>
        <w:rPr>
          <w:rFonts w:cs="Times New Roman" w:ascii="Times new roman" w:hAnsi="Times new roman"/>
        </w:rPr>
        <w:t>3</w:t>
      </w:r>
      <w:r>
        <w:fldChar w:fldCharType="begin"/>
      </w:r>
      <w:r>
        <w:rPr>
          <w:rFonts w:cs="Times New Roman" w:ascii="Times new roman" w:hAnsi="Times new roman"/>
        </w:rPr>
        <w:instrText>ADDIN CSL_CITATION {"citationItems":[{"id":"ITEM-1","itemData":{"DOI":"10.1016/0160-9327(77)90175-2","ISBN":"978-3-540-44053-6","ISSN":"01609327","abstract":"The available historical records of supernovae occurring in our own Galaxy over the past two thousand years are reviewed. These accounts include the well-recorded supernovae of AD 1604 (Kepler's SN), 1572 (Tycho's SN), 1181, 1054 (which produced the Crab Nebula) and 1006, together with less certain events dating back to AD 185. In the case of the supernovae of AD 1604 and 1572 it is European records that provide the most accurate information available, whereas for earlier supernovae records are principally from East Asian sources. Also discussed briefly are several spurious supernova candidates, and the future prospects for studies of historical supernovae.","author":[{"dropping-particle":"","family":"Green","given":"David A","non-dropping-particle":"","parse-names":false,"suffix":""},{"dropping-particle":"","family":"Stephenson","given":"F. Richard","non-dropping-particle":"","parse-names":false,"suffix":""}],"container-title":"October","id":"ITEM-1","issue":"1","issued":{"date-parts":[["2003"]]},"page":"12","title":"The Historical Supernovae","type":"article-journal","volume":"4"},"suppress-author":1,"uris":["http://www.mendeley.com/documents/?uuid=3ae95d9c-25e4-4c33-8e37-cfc12e3e4905"]}],"mendeley":{"formattedCitation":"(2003)","plainTextFormattedCitation":"(2003)","previouslyFormattedCitation":"(2003)"},"properties":{"noteIndex":0},"schema":"https://github.com/citation-style-language/schema/raw/master/csl-citation.json"}</w:instrText>
      </w:r>
      <w:r>
        <w:rPr>
          <w:rFonts w:cs="Times New Roman" w:ascii="Times new roman" w:hAnsi="Times new roman"/>
        </w:rPr>
        <w:fldChar w:fldCharType="separate"/>
      </w:r>
      <w:bookmarkStart w:id="85" w:name="__Fieldmark__1539_3335229593"/>
      <w:r>
        <w:rPr>
          <w:rFonts w:cs="Times New Roman" w:ascii="Times new roman" w:hAnsi="Times new roman"/>
        </w:rPr>
        <w:t>)</w:t>
      </w:r>
      <w:r>
        <w:rPr>
          <w:rFonts w:ascii="Times new roman" w:hAnsi="Times new roman"/>
        </w:rPr>
      </w:r>
      <w:r>
        <w:rPr>
          <w:rFonts w:ascii="Times new roman" w:hAnsi="Times new roman"/>
        </w:rPr>
        <w:fldChar w:fldCharType="end"/>
      </w:r>
      <w:bookmarkEnd w:id="81"/>
      <w:bookmarkEnd w:id="82"/>
      <w:bookmarkEnd w:id="83"/>
      <w:bookmarkEnd w:id="84"/>
      <w:bookmarkEnd w:id="85"/>
      <w:r>
        <w:rPr>
          <w:rFonts w:cs="Times New Roman" w:ascii="Times new roman" w:hAnsi="Times new roman"/>
        </w:rPr>
        <w:t xml:space="preserve"> published further discussion</w:t>
      </w:r>
      <w:r>
        <w:rPr>
          <w:rFonts w:cs="Times New Roman" w:ascii="Times new roman" w:hAnsi="Times new roman"/>
        </w:rPr>
        <w:t>s</w:t>
      </w:r>
      <w:r>
        <w:rPr>
          <w:rFonts w:cs="Times New Roman" w:ascii="Times new roman" w:hAnsi="Times new roman"/>
        </w:rPr>
        <w:t xml:space="preserve"> of the issue. There are two challenges that </w:t>
      </w:r>
      <w:r>
        <w:rPr>
          <w:rFonts w:cs="Times New Roman" w:ascii="Times new roman" w:hAnsi="Times new roman"/>
        </w:rPr>
        <w:t>all of</w:t>
      </w:r>
      <w:r>
        <w:rPr>
          <w:rFonts w:cs="Times New Roman" w:ascii="Times new roman" w:hAnsi="Times new roman"/>
        </w:rPr>
        <w:t xml:space="preserve"> these studies faced: one easy, one very challenging. The first is that these ancient observers did not write English and the second is that “new star” might mean several things. </w:t>
      </w:r>
      <w:r>
        <w:rPr>
          <w:rFonts w:cs="Times New Roman" w:ascii="Times new roman" w:hAnsi="Times new roman"/>
        </w:rPr>
        <w:t>Making use of that ancient observation requires overcoming those two issues with two corresponding</w:t>
      </w:r>
      <w:r>
        <w:rPr>
          <w:rFonts w:cs="Times New Roman" w:ascii="Times new roman" w:hAnsi="Times new roman"/>
        </w:rPr>
        <w:t xml:space="preserve"> tasks. The first is a straightforward translation of </w:t>
      </w:r>
      <w:r>
        <w:rPr>
          <w:rFonts w:cs="Times New Roman" w:ascii="Times new roman" w:hAnsi="Times new roman"/>
        </w:rPr>
        <w:t>ancient Chinese</w:t>
      </w:r>
      <w:r>
        <w:rPr>
          <w:rFonts w:cs="Times New Roman" w:ascii="Times new roman" w:hAnsi="Times new roman"/>
        </w:rPr>
        <w:t xml:space="preserve"> into English; this was the easy task. If you know the relevant languages, translation is straightforward. But translation alone does not establish what it was </w:t>
      </w:r>
      <w:r>
        <w:rPr>
          <w:rFonts w:cs="Times New Roman" w:ascii="Times new roman" w:hAnsi="Times new roman"/>
        </w:rPr>
        <w:t>the ancient astronomers</w:t>
      </w:r>
      <w:r>
        <w:rPr>
          <w:rFonts w:cs="Times New Roman" w:ascii="Times new roman" w:hAnsi="Times new roman"/>
        </w:rPr>
        <w:t xml:space="preserve"> saw in contemporary terms and this second task was the harder. To do this, Thorsett (</w:t>
      </w:r>
      <w:bookmarkStart w:id="86" w:name="__Fieldmark__1085_423805334"/>
      <w:r>
        <w:rPr>
          <w:rFonts w:cs="Times New Roman" w:ascii="Times new roman" w:hAnsi="Times new roman"/>
        </w:rPr>
        <w:t>1</w:t>
      </w:r>
      <w:bookmarkStart w:id="87" w:name="__Fieldmark__953_1054606512"/>
      <w:r>
        <w:rPr>
          <w:rFonts w:cs="Times New Roman" w:ascii="Times new roman" w:hAnsi="Times new roman"/>
        </w:rPr>
        <w:t>9</w:t>
      </w:r>
      <w:bookmarkStart w:id="88" w:name="__Fieldmark__3020_4042349503"/>
      <w:r>
        <w:rPr>
          <w:rFonts w:cs="Times New Roman" w:ascii="Times new roman" w:hAnsi="Times new roman"/>
        </w:rPr>
        <w:t>9</w:t>
      </w:r>
      <w:bookmarkStart w:id="89" w:name="__Fieldmark__933_3398287000"/>
      <w:r>
        <w:rPr>
          <w:rFonts w:cs="Times New Roman" w:ascii="Times new roman" w:hAnsi="Times new roman"/>
        </w:rPr>
        <w:t>2</w:t>
      </w:r>
      <w:r>
        <w:fldChar w:fldCharType="begin"/>
      </w:r>
      <w:r>
        <w:rPr>
          <w:rFonts w:cs="Times New Roman" w:ascii="Times new roman" w:hAnsi="Times new roman"/>
        </w:rPr>
        <w:instrText>ADDIN CSL_CITATION {"citationItems":[{"id":"ITEM-1","itemData":{"author":[{"dropping-particle":"","family":"Thorsett","given":"Stephen Erik","non-dropping-particle":"","parse-names":false,"suffix":""}],"container-title":"Nature","id":"ITEM-1","issued":{"date-parts":[["1992"]]},"page":"717-719","title":"Identification of the pulsar PSR1509—58 with the 'guest star' of AD 185","type":"article-journal","volume":"355"},"suppress-author":1,"uris":["http://www.mendeley.com/documents/?uuid=75b5fe8b-3097-40f7-8f69-ee9317ef7845"]}],"mendeley":{"formattedCitation":"(1992)","plainTextFormattedCitation":"(1992)","previouslyFormattedCitation":"(1992)"},"properties":{"noteIndex":0},"schema":"https://github.com/citation-style-language/schema/raw/master/csl-citation.json"}</w:instrText>
      </w:r>
      <w:r>
        <w:rPr>
          <w:rFonts w:cs="Times New Roman" w:ascii="Times new roman" w:hAnsi="Times new roman"/>
        </w:rPr>
        <w:fldChar w:fldCharType="separate"/>
      </w:r>
      <w:bookmarkStart w:id="90" w:name="__Fieldmark__1546_3335229593"/>
      <w:r>
        <w:rPr>
          <w:rFonts w:cs="Times New Roman" w:ascii="Times new roman" w:hAnsi="Times new roman"/>
        </w:rPr>
        <w:t>)</w:t>
      </w:r>
      <w:r>
        <w:rPr>
          <w:rFonts w:ascii="Times new roman" w:hAnsi="Times new roman"/>
        </w:rPr>
      </w:r>
      <w:r>
        <w:rPr>
          <w:rFonts w:ascii="Times new roman" w:hAnsi="Times new roman"/>
        </w:rPr>
        <w:fldChar w:fldCharType="end"/>
      </w:r>
      <w:bookmarkEnd w:id="86"/>
      <w:bookmarkEnd w:id="87"/>
      <w:bookmarkEnd w:id="88"/>
      <w:bookmarkEnd w:id="89"/>
      <w:bookmarkEnd w:id="90"/>
      <w:r>
        <w:rPr>
          <w:rFonts w:cs="Times New Roman" w:ascii="Times new roman" w:hAnsi="Times new roman"/>
        </w:rPr>
        <w:t xml:space="preserve"> suggested that the “new star” might be the supernova MSH15-52, which was in contrast to a set of supernovae suggestions from Clark and Stephenson (1</w:t>
      </w:r>
      <w:bookmarkStart w:id="91" w:name="__Fieldmark__1104_423805334"/>
      <w:r>
        <w:rPr>
          <w:rFonts w:cs="Times New Roman" w:ascii="Times new roman" w:hAnsi="Times new roman"/>
        </w:rPr>
        <w:t>9</w:t>
      </w:r>
      <w:bookmarkStart w:id="92" w:name="__Fieldmark__968_1054606512"/>
      <w:r>
        <w:rPr>
          <w:rFonts w:cs="Times New Roman" w:ascii="Times new roman" w:hAnsi="Times new roman"/>
        </w:rPr>
        <w:t>7</w:t>
      </w:r>
      <w:bookmarkStart w:id="93" w:name="__Fieldmark__3031_4042349503"/>
      <w:r>
        <w:rPr>
          <w:rFonts w:cs="Times New Roman" w:ascii="Times new roman" w:hAnsi="Times new roman"/>
        </w:rPr>
        <w:t>7</w:t>
      </w:r>
      <w:bookmarkStart w:id="94" w:name="__Fieldmark__940_3398287000"/>
      <w:r>
        <w:rPr>
          <w:rFonts w:cs="Times New Roman" w:ascii="Times new roman" w:hAnsi="Times new roman"/>
        </w:rPr>
        <w:t>)</w:t>
      </w:r>
      <w:r>
        <w:fldChar w:fldCharType="begin"/>
      </w:r>
      <w:r>
        <w:rPr>
          <w:rFonts w:ascii="Times new roman" w:hAnsi="Times new roman"/>
        </w:rPr>
        <w:instrText>ADDIN CSL_CITATION {"citationItems":[{"id":"ITEM-1","itemData":{"author":[{"dropping-particle":"","family":"Clark","given":"David H.","non-dropping-particle":"","parse-names":false,"suffix":""},{"dropping-particle":"","family":"Stephenson","given":"F. Richard","non-dropping-particle":"","parse-names":false,"suffix":""}],"id":"ITEM-1","issued":{"date-parts":[["1977"]]},"publisher":"Pergamon Press","publisher-place":"Oxford","title":"The Historical Supernovae","type":"book"},"uris":["http://www.mendeley.com/documents/?uuid=74ebd5cb-5ef4-40d1-bd73-35143c578229"]}],"mendeley":{"formattedCitation":"(Clark and Stephenson 1977)","manualFormatting":"1977)","plainTextFormattedCitation":"(Clark and Stephenson 1977)","previouslyFormattedCitation":"(David, Clark, and Stephenson 1977)"},"properties":{"noteIndex":0},"schema":"https://github.com/citation-style-language/schema/raw/master/csl-citation.json"}</w:instrText>
      </w:r>
      <w:r>
        <w:rPr>
          <w:rFonts w:ascii="Times new roman" w:hAnsi="Times new roman"/>
        </w:rPr>
        <w:fldChar w:fldCharType="separate"/>
      </w:r>
      <w:bookmarkStart w:id="95" w:name="__Fieldmark__1556_3335229593"/>
      <w:r>
        <w:rPr>
          <w:rFonts w:ascii="Times new roman" w:hAnsi="Times new roman"/>
        </w:rPr>
      </w:r>
      <w:r>
        <w:rPr>
          <w:rFonts w:ascii="Times new roman" w:hAnsi="Times new roman"/>
        </w:rPr>
      </w:r>
      <w:r>
        <w:rPr>
          <w:rFonts w:ascii="Times new roman" w:hAnsi="Times new roman"/>
        </w:rPr>
        <w:fldChar w:fldCharType="end"/>
      </w:r>
      <w:bookmarkEnd w:id="91"/>
      <w:bookmarkEnd w:id="92"/>
      <w:bookmarkEnd w:id="93"/>
      <w:bookmarkEnd w:id="94"/>
      <w:bookmarkEnd w:id="95"/>
      <w:r>
        <w:rPr>
          <w:rFonts w:cs="Times New Roman" w:ascii="Times new roman" w:hAnsi="Times new roman"/>
        </w:rPr>
        <w:t xml:space="preserve">. Thorsett went about arbitrating between these possibilities using a number of methods. For one thing, a contemporary pulsar may have originated from supernova MSH15-52. Pulsars are small stars that can be detected using their radio emissions. Sometimes they are produced by supernovae. Thorsett estimated how old that pulsar is (which gives an indication of when the supernova occurred). This timing estimate seemed to match the Chinese observation. Thorsett also investigated three further considerations: where supernova MSH15-52 was likely to be in the night sky; how bright it was; and whether these estimates matched historical observation, or at least did not obviously conflict with </w:t>
      </w:r>
      <w:r>
        <w:rPr>
          <w:rFonts w:cs="Times New Roman" w:ascii="Times new roman" w:hAnsi="Times new roman"/>
        </w:rPr>
        <w:t>what remains of the</w:t>
      </w:r>
      <w:r>
        <w:rPr>
          <w:rFonts w:cs="Times New Roman" w:ascii="Times new roman" w:hAnsi="Times new roman"/>
        </w:rPr>
        <w:t xml:space="preserve"> historical record.  The result of these estimates and comparisons was that Clark and Stephenson’s suggested supernovae did not fit well with the record, but MSH15-15 did.</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cs="Times New Roman"/>
        </w:rPr>
      </w:pPr>
      <w:r>
        <w:rPr>
          <w:rFonts w:cs="Times New Roman" w:ascii="Times new roman" w:hAnsi="Times new roman"/>
        </w:rPr>
        <w:t>The whole purpose of these studies was to put more specific constraints on contemporary theories. If modern astronomers could determine precisely when the supernova occurred, contemporary astronomers could use that information to test predictions more precisely.</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 xml:space="preserve">This example illustrates a change in data. The modern astronomers did not simply take the historical record and “interpret” the observation in contemporary terms. If it was a matter of interpretation, then the record itself should provide sufficient information for a translation. An interpreter (translating French into English) need only hear the French phrase to translate it into English: no other research or information is required. This astronomy example is not so simple. The ancient Chinese did not discriminate between comets, supernovae, and some other astronomical phenomena. From their perspective, bright objects in the sky were all “stars,” which was a completely reasonable judgement given the epistemic context, </w:t>
      </w:r>
      <w:r>
        <w:rPr>
          <w:rFonts w:cs="Times New Roman" w:ascii="Times new roman" w:hAnsi="Times new roman"/>
        </w:rPr>
        <w:t>i.e. given their understanding of what we call astronomy</w:t>
      </w:r>
      <w:r>
        <w:rPr>
          <w:rFonts w:cs="Times New Roman" w:ascii="Times new roman" w:hAnsi="Times new roman"/>
        </w:rPr>
        <w:t xml:space="preserve">. However, contemporary scientists make much finer distinctions between bright objects in the sky and “star” is too vague a term to constrain contemporary theories. So rather than just interpret the record in a new way, modern astronomers had to use the historical description of the event in conjunction with contemporary data and knowledge of astronomy to determine what event the Chinese astronomers observed. This process is very much like identification, which requires an understanding of how to determine the identity of an object, which is precisely what Thorsett knew and what he did. </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This</w:t>
      </w:r>
      <w:r>
        <w:rPr>
          <w:rFonts w:cs="Times New Roman" w:ascii="Times new roman" w:hAnsi="Times new roman"/>
        </w:rPr>
        <w:t xml:space="preserve"> data change is not </w:t>
      </w:r>
      <w:r>
        <w:rPr>
          <w:rFonts w:cs="Times New Roman" w:ascii="Times new roman" w:hAnsi="Times new roman"/>
        </w:rPr>
        <w:t xml:space="preserve">merely a change in </w:t>
      </w:r>
      <w:r>
        <w:rPr>
          <w:rFonts w:cs="Times New Roman" w:ascii="Times new roman" w:hAnsi="Times new roman"/>
        </w:rPr>
        <w:t xml:space="preserve">interpretation </w:t>
      </w:r>
      <w:r>
        <w:rPr>
          <w:rFonts w:cs="Times New Roman" w:ascii="Times new roman" w:hAnsi="Times new roman"/>
        </w:rPr>
        <w:t>and for two reasons</w:t>
      </w:r>
      <w:r>
        <w:rPr>
          <w:rFonts w:cs="Times New Roman" w:ascii="Times new roman" w:hAnsi="Times new roman"/>
        </w:rPr>
        <w:t xml:space="preserve">. First, the data in this example presuppose content. Thorsett and other contemporary astronomers were not just using raw numbers both in working with ancient texts and in working with the data they extracted: they worked with records </w:t>
      </w:r>
      <w:r>
        <w:rPr>
          <w:rFonts w:cs="Times New Roman" w:ascii="Times new roman" w:hAnsi="Times new roman"/>
          <w:i/>
        </w:rPr>
        <w:t>of</w:t>
      </w:r>
      <w:r>
        <w:rPr>
          <w:rFonts w:cs="Times New Roman" w:ascii="Times new roman" w:hAnsi="Times new roman"/>
        </w:rPr>
        <w:t xml:space="preserve"> something that was observed. Initially those records were of a “new star” and after contemporary research and re-identification, they were records of a supernova. In order to place constraints on contemporary theory, Thorsett’s interpretation of the data first </w:t>
      </w:r>
      <w:r>
        <w:rPr>
          <w:rFonts w:cs="Times New Roman" w:ascii="Times new roman" w:hAnsi="Times new roman"/>
          <w:i/>
        </w:rPr>
        <w:t>required</w:t>
      </w:r>
      <w:r>
        <w:rPr>
          <w:rFonts w:cs="Times New Roman" w:ascii="Times new roman" w:hAnsi="Times new roman"/>
        </w:rPr>
        <w:t xml:space="preserve"> that the data be records of very specific things, such as a supernova. Otherwise the data would have been useless. </w:t>
      </w:r>
      <w:r>
        <w:rPr>
          <w:rFonts w:cs="Times New Roman" w:ascii="Times new roman" w:hAnsi="Times new roman"/>
        </w:rPr>
        <w:t xml:space="preserve">This suggests an essential feature of data is that they be records </w:t>
      </w:r>
      <w:r>
        <w:rPr>
          <w:rFonts w:cs="Times New Roman" w:ascii="Times new roman" w:hAnsi="Times new roman"/>
          <w:i/>
          <w:iCs/>
        </w:rPr>
        <w:t>of</w:t>
      </w:r>
      <w:r>
        <w:rPr>
          <w:rFonts w:cs="Times New Roman" w:ascii="Times new roman" w:hAnsi="Times new roman"/>
          <w:i w:val="false"/>
          <w:iCs w:val="false"/>
        </w:rPr>
        <w:t xml:space="preserve"> something. I’ll return to this point shortly.</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 xml:space="preserve">Second, this example illustrates how once re-identified, the new data cannot be used in a straightforward </w:t>
      </w:r>
      <w:r>
        <w:rPr>
          <w:rFonts w:cs="Times New Roman" w:ascii="Times new roman" w:hAnsi="Times new roman"/>
        </w:rPr>
        <w:t>way by the ancients</w:t>
      </w:r>
      <w:r>
        <w:rPr>
          <w:rFonts w:cs="Times New Roman" w:ascii="Times new roman" w:hAnsi="Times new roman"/>
        </w:rPr>
        <w:t xml:space="preserve">. Ancient Chinese astronomers did not recognize supernovae and would be unable to use an observation about a supernova without first learning about modern astronomy and the taxonomic distinctions it recognizes, which would be highly anachronistic. </w:t>
      </w:r>
      <w:r>
        <w:rPr>
          <w:rFonts w:cs="Times New Roman" w:ascii="Times new roman" w:hAnsi="Times new roman"/>
        </w:rPr>
        <w:t xml:space="preserve">This is distinct from interpretation, which is a symmetric relation (a phrase in French can be translated into English and then back into French). </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Despite the profound changes going on in this case, i</w:t>
      </w:r>
      <w:r>
        <w:rPr>
          <w:rFonts w:cs="Times New Roman" w:ascii="Times new roman" w:hAnsi="Times new roman"/>
        </w:rPr>
        <w:t>t is important to note that there is a sense in which there is something that persists between the ancient Chinese records and the contemporary data. Otherwise, what would be the connection between the contemporary research and that event thousands of years ago? Surely there is one. The thing that persists is some courser grained description of the event, such as “small bright light that appears at such-and-such time and location.” Although “small bright light” is not equivalent to “new star” nor to “supernova,” even setting</w:t>
      </w:r>
      <w:r>
        <w:rPr>
          <w:rFonts w:cs="Times New Roman" w:ascii="Times new roman" w:hAnsi="Times new roman"/>
        </w:rPr>
        <w:t xml:space="preserve"> </w:t>
      </w:r>
      <w:r>
        <w:rPr>
          <w:rFonts w:cs="Times New Roman" w:ascii="Times new roman" w:hAnsi="Times new roman"/>
        </w:rPr>
        <w:t xml:space="preserve">translating texts aside, such a course description could guide contemporary astronomers to historical records. </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 xml:space="preserve">The course description also illustrates one way we could track the origins of Thorsett’s data in this particular example to those who made the observation and why a historical event is of interest to the contemporary scientist. The course description is not, however, sufficient on its own for the contemporary astronomer. This is because the researcher needs one object to satisfy the course description—a specific supernovae—and there are too many objects or events that could satisfy the course description. The historical criteria and the criteria supplied by the course description are not appropriate for the contemporary context. The course description allows us to say something about what two very different sets of data share, but it does not, on it’s own, capture what the historical scientists were doing, nor does it capture what contemporary scientists must know </w:t>
      </w:r>
      <w:r>
        <w:rPr>
          <w:rFonts w:cs="Times New Roman" w:ascii="Times new roman" w:hAnsi="Times new roman"/>
        </w:rPr>
        <w:t>in order to</w:t>
      </w:r>
      <w:r>
        <w:rPr>
          <w:rFonts w:cs="Times New Roman" w:ascii="Times new roman" w:hAnsi="Times new roman"/>
        </w:rPr>
        <w:t xml:space="preserve"> pursue their research.  </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This description of re-identification may resemble Leonelli’s “re-contextualization” (</w:t>
      </w:r>
      <w:bookmarkStart w:id="96" w:name="__Fieldmark__1136_423805334"/>
      <w:r>
        <w:rPr>
          <w:rFonts w:cs="Times New Roman" w:ascii="Times new roman" w:hAnsi="Times new roman"/>
        </w:rPr>
        <w:t>L</w:t>
      </w:r>
      <w:bookmarkStart w:id="97" w:name="__Fieldmark__996_1054606512"/>
      <w:r>
        <w:rPr>
          <w:rFonts w:cs="Times New Roman" w:ascii="Times new roman" w:hAnsi="Times new roman"/>
        </w:rPr>
        <w:t>e</w:t>
      </w:r>
      <w:bookmarkStart w:id="98" w:name="__Fieldmark__3055_4042349503"/>
      <w:r>
        <w:rPr>
          <w:rFonts w:cs="Times New Roman" w:ascii="Times new roman" w:hAnsi="Times new roman"/>
        </w:rPr>
        <w:t>o</w:t>
      </w:r>
      <w:bookmarkStart w:id="99" w:name="__Fieldmark__975_3398287000"/>
      <w:r>
        <w:rPr>
          <w:rFonts w:cs="Times New Roman" w:ascii="Times new roman" w:hAnsi="Times new roman"/>
        </w:rPr>
        <w:t>n</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study","type":"book"},"locator":"189","uris":["http://www.mendeley.com/documents/?uuid=e73a61c5-e4e3-4e7b-bb07-5c47db2b1359"]}],"mendeley":{"formattedCitation":"(Leonelli 2016, 189)","plainTextFormattedCitation":"(Leonelli 2016, 189)","previouslyFormattedCitation":"(Leonelli 2016, 189)"},"properties":{"noteIndex":0},"schema":"https://github.com/citation-style-language/schema/raw/master/csl-citation.json"}</w:instrText>
      </w:r>
      <w:r>
        <w:rPr>
          <w:rFonts w:cs="Times New Roman" w:ascii="Times new roman" w:hAnsi="Times new roman"/>
        </w:rPr>
        <w:fldChar w:fldCharType="separate"/>
      </w:r>
      <w:bookmarkStart w:id="100" w:name="__Fieldmark__1646_3335229593"/>
      <w:r>
        <w:rPr>
          <w:rFonts w:cs="Times New Roman" w:ascii="Times new roman" w:hAnsi="Times new roman"/>
        </w:rPr>
        <w:t>elli 2016, 189)</w:t>
      </w:r>
      <w:r>
        <w:rPr>
          <w:rFonts w:ascii="Times new roman" w:hAnsi="Times new roman"/>
        </w:rPr>
      </w:r>
      <w:r>
        <w:rPr>
          <w:rFonts w:ascii="Times new roman" w:hAnsi="Times new roman"/>
        </w:rPr>
        <w:fldChar w:fldCharType="end"/>
      </w:r>
      <w:bookmarkEnd w:id="96"/>
      <w:bookmarkEnd w:id="97"/>
      <w:bookmarkEnd w:id="98"/>
      <w:bookmarkEnd w:id="99"/>
      <w:bookmarkEnd w:id="100"/>
      <w:r>
        <w:rPr>
          <w:rFonts w:cs="Times New Roman" w:ascii="Times new roman" w:hAnsi="Times new roman"/>
        </w:rPr>
        <w:t xml:space="preserve">. Despite the similarity, they differ in important ways. Leonelli notes that data are often packed and described in such a way as to allow them to be transported and later used (called de-contextualization). When scientists retrieve de-contextualised data, they then must “re-contextualise” them by situating the data, which involves classifying, describing, and forming them materially so as to provide evidential value for the particular inquiry. </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 xml:space="preserve">This is substantially different from my view in two ways. First I believe </w:t>
      </w:r>
      <w:r>
        <w:rPr>
          <w:rFonts w:cs="Times New Roman" w:ascii="Times new roman" w:hAnsi="Times new roman"/>
        </w:rPr>
        <w:t xml:space="preserve">this case study shows that </w:t>
      </w:r>
      <w:r>
        <w:rPr>
          <w:rFonts w:cs="Times New Roman" w:ascii="Times new roman" w:hAnsi="Times new roman"/>
        </w:rPr>
        <w:t xml:space="preserve">data, to be used as evidence, must </w:t>
      </w:r>
      <w:r>
        <w:rPr>
          <w:rFonts w:cs="Times New Roman" w:ascii="Times new roman" w:hAnsi="Times new roman"/>
        </w:rPr>
        <w:t>first be records of something</w:t>
      </w:r>
      <w:r>
        <w:rPr>
          <w:rFonts w:cs="Times New Roman" w:ascii="Times new roman" w:hAnsi="Times new roman"/>
        </w:rPr>
        <w:t xml:space="preserve">, </w:t>
      </w:r>
      <w:r>
        <w:rPr>
          <w:rFonts w:cs="Times New Roman" w:ascii="Times new roman" w:hAnsi="Times new roman"/>
          <w:i/>
        </w:rPr>
        <w:t xml:space="preserve">regardless </w:t>
      </w:r>
      <w:r>
        <w:rPr>
          <w:rFonts w:cs="Times New Roman" w:ascii="Times new roman" w:hAnsi="Times new roman"/>
        </w:rPr>
        <w:t xml:space="preserve">of how an individual scientist has used them, provided the </w:t>
      </w:r>
      <w:r>
        <w:rPr>
          <w:rFonts w:cs="Times New Roman" w:ascii="Times new roman" w:hAnsi="Times new roman"/>
          <w:i/>
        </w:rPr>
        <w:t>perspective is the same</w:t>
      </w:r>
      <w:r>
        <w:rPr>
          <w:rFonts w:cs="Times New Roman" w:ascii="Times new roman" w:hAnsi="Times new roman"/>
        </w:rPr>
        <w:t xml:space="preserve">. If the perspective is the same, then the observations that the data are records of are also the same, i.e. they are unchanged. </w:t>
      </w:r>
      <w:r>
        <w:rPr>
          <w:rFonts w:cs="Times New Roman" w:ascii="Times new roman" w:hAnsi="Times new roman"/>
        </w:rPr>
        <w:t>Section 4 provides further clarification on what a perspective is.</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rPr>
      </w:pPr>
      <w:r>
        <w:rPr>
          <w:rFonts w:cs="Times New Roman" w:ascii="Times new roman" w:hAnsi="Times new roman"/>
        </w:rPr>
        <w:t xml:space="preserve">It is necessary that data does not change identity every time they change hands from one researcher to another. If this were not the case, it is hard to imagine how big data projects, or any project that requires a collaborative use of data, could be possible. I have in mind here projects where those who collect the data may be very far removed from, and have very different interests from, those many scientists who make use of their data. Leonelli discusses examples of this, with a different analysis, in </w:t>
      </w:r>
      <w:bookmarkStart w:id="101" w:name="__UnoMark__9223_3335229593"/>
      <w:bookmarkStart w:id="102" w:name="__UnoMark__7159_3335229593"/>
      <w:bookmarkStart w:id="103" w:name="__UnoMark__9200_3335229593"/>
      <w:r>
        <w:rPr>
          <w:rFonts w:ascii="Times new roman" w:hAnsi="Times new roman"/>
        </w:rPr>
        <w:t>(2016, chap. 1)</w:t>
      </w:r>
      <w:bookmarkEnd w:id="101"/>
      <w:bookmarkEnd w:id="102"/>
      <w:bookmarkEnd w:id="103"/>
      <w:r>
        <w:rPr>
          <w:rFonts w:cs="Times New Roman" w:ascii="Times new roman" w:hAnsi="Times new roman"/>
          <w:position w:val="0"/>
          <w:sz w:val="24"/>
          <w:sz w:val="24"/>
          <w:vertAlign w:val="baseline"/>
        </w:rPr>
        <w:t>.</w:t>
      </w:r>
      <w:r>
        <w:rPr>
          <w:rFonts w:cs="Times New Roman" w:ascii="Times new roman" w:hAnsi="Times new roman"/>
        </w:rPr>
        <w:t>⁠</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before="280" w:after="280"/>
        <w:rPr>
          <w:rFonts w:ascii="Times new roman" w:hAnsi="Times new roman"/>
        </w:rPr>
      </w:pPr>
      <w:r>
        <w:rPr>
          <w:rFonts w:cs="Times New Roman" w:ascii="Times new roman" w:hAnsi="Times new roman"/>
          <w:color w:val="000000"/>
        </w:rPr>
        <w:t xml:space="preserve">The </w:t>
      </w:r>
      <w:r>
        <w:rPr>
          <w:rFonts w:cs="Times New Roman" w:ascii="Times new roman" w:hAnsi="Times new roman"/>
          <w:color w:val="000000"/>
        </w:rPr>
        <w:t>analysis of data</w:t>
      </w:r>
      <w:r>
        <w:rPr>
          <w:rFonts w:cs="Times New Roman" w:ascii="Times new roman" w:hAnsi="Times new roman"/>
          <w:color w:val="000000"/>
        </w:rPr>
        <w:t xml:space="preserve"> defended here differs in a second way from a relational account: re-identification occurs only when we change how we classify what we have recorded, but not every time data is put to a new use; consequently, data do not change often. Some circumstances that precipitate re-identification may include substantive theoretical change—such as a shift toward a heliocentric universe—or some other change in our understanding of the world or our instruments. A paradigm shift is an example of the kind of change required for re-identification, though milder shifts in understanding may also be sufficient, provided they result in new taxonomic distinctions. Perspectives allow us to talk about these kinds of data changes without invoking the kind of radical upheaval associated with paradigm shifts. </w:t>
      </w:r>
    </w:p>
    <w:p>
      <w:pPr>
        <w:pStyle w:val="Heading2"/>
        <w:rPr>
          <w:rFonts w:ascii="Times new roman" w:hAnsi="Times new roman"/>
        </w:rPr>
      </w:pPr>
      <w:r>
        <w:rPr>
          <w:rFonts w:ascii="Times new roman" w:hAnsi="Times new roman"/>
        </w:rPr>
        <w:t>4. A Third View of Data</w:t>
      </w:r>
    </w:p>
    <w:p>
      <w:pPr>
        <w:pStyle w:val="Heading2"/>
        <w:rPr>
          <w:rFonts w:ascii="Times new roman" w:hAnsi="Times new roman"/>
        </w:rPr>
      </w:pPr>
      <w:r>
        <w:rPr>
          <w:rFonts w:ascii="Times new roman" w:hAnsi="Times new roman"/>
        </w:rPr>
      </w:r>
    </w:p>
    <w:p>
      <w:pPr>
        <w:pStyle w:val="Normal"/>
        <w:spacing w:lineRule="auto" w:line="480"/>
        <w:rPr/>
      </w:pPr>
      <w:r>
        <w:rPr>
          <w:rFonts w:cs="Times New Roman" w:ascii="Times new roman" w:hAnsi="Times new roman"/>
          <w:color w:val="000000"/>
        </w:rPr>
        <w:t>Th</w:t>
      </w:r>
      <w:r>
        <w:rPr>
          <w:rFonts w:cs="Times New Roman" w:ascii="Times new roman" w:hAnsi="Times new roman"/>
          <w:color w:val="000000"/>
        </w:rPr>
        <w:t>is case study suggests</w:t>
      </w:r>
      <w:r>
        <w:rPr>
          <w:rFonts w:cs="Times New Roman" w:ascii="Times new roman" w:hAnsi="Times new roman"/>
          <w:color w:val="000000"/>
        </w:rPr>
        <w:t xml:space="preserve"> </w:t>
      </w:r>
      <w:r>
        <w:rPr>
          <w:rFonts w:cs="Times New Roman" w:ascii="Times new roman" w:hAnsi="Times new roman"/>
          <w:color w:val="000000"/>
        </w:rPr>
        <w:t xml:space="preserve">we need a different way of thinking about </w:t>
      </w:r>
      <w:r>
        <w:rPr>
          <w:rFonts w:cs="Times New Roman" w:ascii="Times new roman" w:hAnsi="Times new roman"/>
          <w:color w:val="000000"/>
        </w:rPr>
        <w:t xml:space="preserve">data, </w:t>
      </w:r>
      <w:r>
        <w:rPr>
          <w:rFonts w:cs="Times New Roman" w:ascii="Times new roman" w:hAnsi="Times new roman"/>
          <w:color w:val="000000"/>
        </w:rPr>
        <w:t>specifically that we should</w:t>
      </w:r>
      <w:r>
        <w:rPr>
          <w:rFonts w:cs="Times New Roman" w:ascii="Times new roman" w:hAnsi="Times new roman"/>
          <w:color w:val="000000"/>
        </w:rPr>
        <w:t xml:space="preserve"> define </w:t>
      </w:r>
      <w:r>
        <w:rPr>
          <w:rFonts w:cs="Times New Roman" w:ascii="Times new roman" w:hAnsi="Times new roman"/>
          <w:color w:val="000000"/>
        </w:rPr>
        <w:t>them</w:t>
      </w:r>
      <w:r>
        <w:rPr>
          <w:rFonts w:cs="Times New Roman" w:ascii="Times new roman" w:hAnsi="Times new roman"/>
          <w:color w:val="000000"/>
        </w:rPr>
        <w:t xml:space="preserve"> in terms of records.</w:t>
      </w:r>
      <w:r>
        <w:rPr>
          <w:rStyle w:val="FootnoteAnchor"/>
          <w:rStyle w:val="FootnoteAnchor"/>
          <w:rFonts w:cs="Times New Roman" w:ascii="Times new roman" w:hAnsi="Times new roman"/>
          <w:color w:val="000000"/>
        </w:rPr>
        <w:footnoteReference w:id="4"/>
      </w:r>
      <w:r>
        <w:rPr>
          <w:rFonts w:cs="Times New Roman" w:ascii="Times new roman" w:hAnsi="Times new roman"/>
          <w:color w:val="000000"/>
        </w:rPr>
        <w:t xml:space="preserve"> </w:t>
      </w:r>
      <w:r>
        <w:rPr>
          <w:rFonts w:cs="Times New Roman" w:ascii="Times new roman" w:hAnsi="Times new roman"/>
          <w:color w:val="000000"/>
        </w:rPr>
        <w:t xml:space="preserve">I hinted at this at several points and also made appeal to something called a perspective. I believe to make sense of historical cases of data, an account needs to clarify both data-as-records and perspectives and the rest of this paper will take some first steps toward providing this clarification.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Heading2"/>
        <w:rPr>
          <w:rFonts w:ascii="Times new roman" w:hAnsi="Times new roman"/>
        </w:rPr>
      </w:pPr>
      <w:r>
        <w:rPr>
          <w:rFonts w:ascii="Times new roman" w:hAnsi="Times new roman"/>
        </w:rPr>
        <w:t>4.</w:t>
      </w:r>
      <w:r>
        <w:rPr>
          <w:rFonts w:ascii="Times new roman" w:hAnsi="Times new roman"/>
        </w:rPr>
        <w:t>1</w:t>
      </w:r>
      <w:r>
        <w:rPr>
          <w:rFonts w:ascii="Times new roman" w:hAnsi="Times new roman"/>
        </w:rPr>
        <w:t>. Data as Records</w:t>
      </w:r>
    </w:p>
    <w:p>
      <w:pPr>
        <w:pStyle w:val="Heading2"/>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cs="Times New Roman" w:ascii="Times new roman" w:hAnsi="Times new roman"/>
          <w:color w:val="000000"/>
        </w:rPr>
        <w:t xml:space="preserve">The records </w:t>
      </w:r>
      <w:r>
        <w:rPr>
          <w:rFonts w:cs="Times New Roman" w:ascii="Times new roman" w:hAnsi="Times new roman"/>
          <w:color w:val="000000"/>
        </w:rPr>
        <w:t>associated with data</w:t>
      </w:r>
      <w:r>
        <w:rPr>
          <w:rFonts w:cs="Times New Roman" w:ascii="Times new roman" w:hAnsi="Times new roman"/>
          <w:color w:val="000000"/>
        </w:rPr>
        <w:t xml:space="preserve"> can be of events, objects, behaviours, processes, </w:t>
      </w:r>
      <w:r>
        <w:rPr>
          <w:rFonts w:cs="Times New Roman" w:ascii="Times new roman" w:hAnsi="Times new roman"/>
          <w:color w:val="000000"/>
        </w:rPr>
        <w:t xml:space="preserve">plant specimens </w:t>
      </w:r>
      <w:r>
        <w:rPr>
          <w:rFonts w:cs="Times New Roman" w:ascii="Times new roman" w:hAnsi="Times new roman"/>
          <w:color w:val="000000"/>
          <w:position w:val="0"/>
          <w:sz w:val="24"/>
          <w:vertAlign w:val="baseline"/>
        </w:rPr>
        <w:t>(Strasser 2012)</w:t>
      </w:r>
      <w:r>
        <w:rPr>
          <w:rFonts w:cs="Times New Roman" w:ascii="Times new roman" w:hAnsi="Times new roman"/>
          <w:color w:val="000000"/>
        </w:rPr>
        <w:t>⁠,</w:t>
      </w:r>
      <w:r>
        <w:rPr>
          <w:rFonts w:cs="Times New Roman" w:ascii="Times new roman" w:hAnsi="Times new roman"/>
          <w:color w:val="000000"/>
        </w:rPr>
        <w:t xml:space="preserve"> any number of things that have been observed.</w:t>
      </w:r>
      <w:r>
        <w:rPr>
          <w:rFonts w:cs="Times New Roman" w:ascii="Times new roman" w:hAnsi="Times new roman"/>
          <w:color w:val="000000"/>
        </w:rPr>
        <w:t xml:space="preserve"> </w:t>
      </w:r>
      <w:r>
        <w:rPr>
          <w:rFonts w:cs="Times New Roman" w:ascii="Times new roman" w:hAnsi="Times new roman"/>
          <w:color w:val="000000"/>
        </w:rPr>
        <w:t>For</w:t>
      </w:r>
      <w:r>
        <w:rPr>
          <w:rFonts w:cs="Times New Roman" w:ascii="Times new roman" w:hAnsi="Times new roman"/>
          <w:color w:val="000000"/>
        </w:rPr>
        <w:t xml:space="preserve"> the </w:t>
      </w:r>
      <w:r>
        <w:rPr>
          <w:rFonts w:cs="Times New Roman" w:ascii="Times new roman" w:hAnsi="Times new roman"/>
          <w:color w:val="000000"/>
        </w:rPr>
        <w:t>case study discussed above</w:t>
      </w:r>
      <w:r>
        <w:rPr>
          <w:rFonts w:cs="Times New Roman" w:ascii="Times new roman" w:hAnsi="Times new roman"/>
          <w:color w:val="000000"/>
        </w:rPr>
        <w:t>, the records are records of astronomical events and objects</w:t>
      </w:r>
      <w:r>
        <w:rPr>
          <w:rFonts w:cs="Times New Roman" w:ascii="Times new roman" w:hAnsi="Times new roman"/>
          <w:color w:val="000000"/>
        </w:rPr>
        <w:t xml:space="preserve">. Scientists, we might say </w:t>
      </w:r>
      <w:r>
        <w:rPr>
          <w:rFonts w:cs="Times New Roman" w:ascii="Times new roman" w:hAnsi="Times new roman"/>
          <w:color w:val="000000"/>
        </w:rPr>
        <w:t>generally</w:t>
      </w:r>
      <w:r>
        <w:rPr>
          <w:rFonts w:cs="Times New Roman" w:ascii="Times new roman" w:hAnsi="Times new roman"/>
          <w:color w:val="000000"/>
        </w:rPr>
        <w:t xml:space="preserve">, use data to record, share, and carry specific details about a part of the world. In being used this way, data provide a means for scientists to work with a great deal of empirical content that would be impossible to aggregate otherwise. </w:t>
      </w:r>
      <w:r>
        <w:rPr>
          <w:rFonts w:cs="Times New Roman" w:ascii="Times new roman" w:hAnsi="Times new roman"/>
          <w:color w:val="000000"/>
        </w:rPr>
        <w:t>T</w:t>
      </w:r>
      <w:r>
        <w:rPr>
          <w:rFonts w:cs="Times New Roman" w:ascii="Times new roman" w:hAnsi="Times new roman"/>
          <w:color w:val="000000"/>
        </w:rPr>
        <w:t>he function of data</w:t>
      </w:r>
      <w:r>
        <w:rPr>
          <w:rFonts w:cs="Times New Roman" w:ascii="Times new roman" w:hAnsi="Times new roman"/>
          <w:color w:val="000000"/>
        </w:rPr>
        <w:t xml:space="preserve"> to </w:t>
      </w:r>
      <w:r>
        <w:rPr>
          <w:rFonts w:cs="Times New Roman" w:ascii="Times new roman" w:hAnsi="Times new roman"/>
          <w:color w:val="000000"/>
        </w:rPr>
        <w:t xml:space="preserve">record empirical events or other objects of observation is of primary importance because, without this, they lack even the potential to function as evidence.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Using data as records,</w:t>
      </w:r>
      <w:r>
        <w:rPr>
          <w:rFonts w:cs="Times New Roman" w:ascii="Times new roman" w:hAnsi="Times new roman"/>
          <w:color w:val="000000"/>
        </w:rPr>
        <w:t xml:space="preserve"> I contend, invariably requires human judgement. And if there is judgement involved, there is reason for thinking that data depend upon the epistemic context in which they feature. This appeal to judgement is necessary because it is otherwise impossible to establish which observations qualify for a data set; in other words, we must specify how to choose what to record, what it is we are recording, and how to group the records. The act of specifying, or classifying, what it is we are recording is particularly crucial here.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cs="Times New Roman"/>
          <w:color w:val="000000"/>
        </w:rPr>
      </w:pPr>
      <w:r>
        <w:rPr>
          <w:rFonts w:cs="Times New Roman" w:ascii="Times new roman" w:hAnsi="Times new roman"/>
          <w:color w:val="000000"/>
        </w:rPr>
        <w:t xml:space="preserve">Specifying what observations to record, or what information to collect, is not trivial. Any given experiment can present to a researcher any number of things to record and only through judgement is it possible to extract data from this multitude. For instance, it is usually not the case that scientists would record whether they wore a watch, the size of the lab bench, what was for lunch, or the colour of their lab coats. It is impossible to record every such detail and scientists must make deliberate, informed choices about what is and is not important information. Those choices are informed by knowledge and understanding of, for example, theory, experimental techniques, or instruments. To return to a previous illustration, when melting lead, one might record the temperature because atomic theory predicts at what temperature lead melts. It is therefore an interesting study to compare what theory predicts with the world, which is done best, in this case, by comparing the actual temperature at which lead melts with what theory predicted. To do this, I need to know how to identify lead, how to melt it, how to measure its temperature as it melts, and how to read and record the reading on a thermometer.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In making a choice about what to record, scientists are classifying what it is they are recording; that is, what type of event, observation, or process their data represent. When I melt lead and record its temperature, I have provided a deceptively complex classification. Just in claiming something is lead, I am specifying that the substance is a type of metal, that it has certain logical relationships with other metals, different relationships with non-metal elements, reacts in certain ways in the presence of water or electricity, takes certain forms in progressive stages (its melting point is lower than its boiling point), and more. Equally complex things can be said of temperature. I do not have to have all this in mind, of course, and a lab technician might need to know very little about lead in order to melt it (perhaps just which drawer it’s stored inside). However, if I do indeed have a set of data about melting lead, then there are a number of things that it is possible to say about what that data set represents, examples of which I have just listed. It is, therefore, very important that we have correctly classified what it is a particular datum represents.</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 xml:space="preserve">A consequence of classifying what is recorded is being able to determine when two events are the same. If this were not the case, it would be unclear which data would belong in which set, and therefore what connections there are between data, how data can be used evidentially, and especially </w:t>
      </w:r>
      <w:r>
        <w:rPr>
          <w:rFonts w:cs="Times New Roman" w:ascii="Times new roman" w:hAnsi="Times new roman"/>
          <w:b w:val="false"/>
          <w:bCs w:val="false"/>
          <w:i/>
          <w:iCs/>
          <w:color w:val="000000"/>
          <w:u w:val="none"/>
        </w:rPr>
        <w:t>what data we have</w:t>
      </w:r>
      <w:r>
        <w:rPr>
          <w:rFonts w:cs="Times New Roman" w:ascii="Times new roman" w:hAnsi="Times new roman"/>
          <w:color w:val="000000"/>
        </w:rPr>
        <w:t xml:space="preserve">. There are criteria for justifying the treatment of two events as the same. Criteria, in this sense, are related to justification. To return to the lead example, I can justify using two measurements when my samples are of similarly pure lead that I heat using the same burner and measure using an accurate thermometer. Justification is important because scientists must establish that their data sets of records of the same thing. This is particularly salient a problem in the case of unusual readings. Unusual readings suggest something has gone wrong. Say I have an outlier, a number that is much farther from the average temperature reading than my other recordings. If someone challenges me on this number, I need to be able to justify its inclusion and I do so by appealing to criteria that establish the outlier is the same type of event as the other recordings. I need to be able to say things like “I used the same thermometer and the same lead sample under the same conditions.” Without this kind of justification, there is reason to doubt that my outlier can be included in my data set. And with this doubt comes uncertainty about what the data are records of because to make a record, one must know what it is one is recording.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cs="Times New Roman"/>
          <w:color w:val="000000"/>
        </w:rPr>
      </w:pPr>
      <w:r>
        <w:rPr>
          <w:rFonts w:cs="Times New Roman" w:ascii="Times new roman" w:hAnsi="Times new roman"/>
          <w:color w:val="000000"/>
        </w:rPr>
        <w:t xml:space="preserve">Considering data collection as records of measurement or information-gathering makes more explicit the role of judgement in collection. What we measure or what information we gather is a selective choice; we do not record and measure all possible parameters or information, just a subset. Furthermore and more importantly for my discussion, in judging what to record, those who collect data distinguish the phenomenon of interest from others that are irrelevant for their purposes. Millikan had to be able to distinguish falling, charged oil drops from all other phenomena surrounding his experiment, including oil drops that were not charged. I am considering this selective recording a judgement because Millikan could have chosen to record other things (though that information would have been useless for his study) and because he required extensive knowledge about electrons, oil drops, and his instruments in order to make the kinds of records he did.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rPr>
      </w:pPr>
      <w:r>
        <w:rPr>
          <w:rFonts w:cs="Times New Roman" w:ascii="Times new roman" w:hAnsi="Times new roman"/>
          <w:color w:val="000000"/>
        </w:rPr>
        <w:t>This view of data is in keeping with some philosophy of experiment. Hacking’s (</w:t>
      </w:r>
      <w:bookmarkStart w:id="104" w:name="__Fieldmark__683_423805334"/>
      <w:r>
        <w:rPr>
          <w:rFonts w:cs="Times New Roman" w:ascii="Times new roman" w:hAnsi="Times new roman"/>
          <w:color w:val="000000"/>
        </w:rPr>
        <w:t>H</w:t>
      </w:r>
      <w:bookmarkStart w:id="105" w:name="__Fieldmark__610_1054606512"/>
      <w:r>
        <w:rPr>
          <w:rFonts w:cs="Times New Roman" w:ascii="Times new roman" w:hAnsi="Times new roman"/>
          <w:color w:val="000000"/>
        </w:rPr>
        <w:t>a</w:t>
      </w:r>
      <w:bookmarkStart w:id="106" w:name="__Fieldmark__2723_4042349503"/>
      <w:r>
        <w:rPr>
          <w:rFonts w:cs="Times New Roman" w:ascii="Times new roman" w:hAnsi="Times new roman"/>
          <w:color w:val="000000"/>
        </w:rPr>
        <w:t>c</w:t>
      </w:r>
      <w:bookmarkStart w:id="107" w:name="__Fieldmark__630_3398287000"/>
      <w:r>
        <w:rPr>
          <w:rFonts w:cs="Times New Roman" w:ascii="Times new roman" w:hAnsi="Times new roman"/>
          <w:color w:val="000000"/>
        </w:rPr>
        <w:t>k</w:t>
      </w:r>
      <w:r>
        <w:fldChar w:fldCharType="begin"/>
      </w:r>
      <w:r>
        <w:rPr>
          <w:rFonts w:cs="Times New Roman" w:ascii="Times new roman" w:hAnsi="Times new roman"/>
        </w:rPr>
        <w:instrText>ADDIN CSL_CITATION {"citationItems":[{"id":"ITEM-1","itemData":{"author":[{"dropping-particle":"","family":"Pickering","given":"Andrew","non-dropping-particle":"","parse-names":false,"suffix":""}],"id":"ITEM-1","issued":{"date-parts":[["1992"]]},"publisher":"University of Chicago Press","title":"Science as practice and culture","type":"book"},"label":"chapter","locator":"2","prefix":"Hacking in Pickering","suppress-author":1,"uris":["http://www.mendeley.com/documents/?uuid=2f45f9e0-d0ea-487d-9305-7cca210ec398"]}],"mendeley":{"formattedCitation":"(Hacking in Pickering 1992, chap. 2)","plainTextFormattedCitation":"(Hacking in Pickering 1992, chap. 2)","previouslyFormattedCitation":"(Hacking in Pickering 1992, chap. 2)"},"properties":{"noteIndex":0},"schema":"https://github.com/citation-style-language/schema/raw/master/csl-citation.json"}</w:instrText>
      </w:r>
      <w:r>
        <w:rPr>
          <w:rFonts w:cs="Times New Roman" w:ascii="Times new roman" w:hAnsi="Times new roman"/>
        </w:rPr>
        <w:fldChar w:fldCharType="separate"/>
      </w:r>
      <w:bookmarkStart w:id="108" w:name="__Fieldmark__1160_3335229593"/>
      <w:r>
        <w:rPr>
          <w:rFonts w:cs="Times New Roman" w:ascii="Times new roman" w:hAnsi="Times new roman"/>
          <w:color w:val="000000"/>
        </w:rPr>
        <w:t>ing in Pickering 1992, chap. 2)</w:t>
      </w:r>
      <w:r>
        <w:rPr>
          <w:rFonts w:ascii="Times new roman" w:hAnsi="Times new roman"/>
        </w:rPr>
      </w:r>
      <w:r>
        <w:rPr>
          <w:rFonts w:ascii="Times new roman" w:hAnsi="Times new roman"/>
        </w:rPr>
        <w:fldChar w:fldCharType="end"/>
      </w:r>
      <w:bookmarkEnd w:id="104"/>
      <w:bookmarkEnd w:id="105"/>
      <w:bookmarkEnd w:id="106"/>
      <w:bookmarkEnd w:id="107"/>
      <w:bookmarkEnd w:id="108"/>
      <w:r>
        <w:rPr>
          <w:rFonts w:cs="Times New Roman" w:ascii="Times new roman" w:hAnsi="Times new roman"/>
          <w:color w:val="000000"/>
        </w:rPr>
        <w:t xml:space="preserve"> taxonomy of the elements of laboratory experimentation shows the tight interconnections between different types of theory, research, experimental equipment, and the products of an experiment. When one element changes, typically another element will require adjustment. We can infer from his account that any changes in the data will require adjustment in other parts of laboratory experiment, be it theory, hypothesis, or explanation of the experimental equipment. And conversely, any changes in the laboratory may invoke changes in data. I am not restricting my discussion of data to the laboratory, as Hacking does, but we can say more generally that the stability of data requires a stability in other parts of the empirical inquiry, i.e. the epistemic context.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rFonts w:ascii="Times new roman" w:hAnsi="Times new roman" w:cs="Times New Roman"/>
          <w:color w:val="000000"/>
        </w:rPr>
      </w:pPr>
      <w:r>
        <w:rPr>
          <w:rFonts w:cs="Times New Roman" w:ascii="Times new roman" w:hAnsi="Times new roman"/>
          <w:color w:val="000000"/>
        </w:rPr>
        <w:t xml:space="preserve">These records, as the case study illustrated, are subject to certain kinds of changes as the epistemic context changes. Because of these changes, it is fruitful to think of data as perspectival.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Heading2"/>
        <w:rPr>
          <w:rFonts w:ascii="Times new roman" w:hAnsi="Times new roman"/>
          <w:i w:val="false"/>
          <w:i w:val="false"/>
          <w:iCs w:val="false"/>
        </w:rPr>
      </w:pPr>
      <w:r>
        <w:rPr>
          <w:rFonts w:cs="Times New Roman" w:ascii="Times new roman" w:hAnsi="Times new roman"/>
          <w:b/>
          <w:i w:val="false"/>
          <w:iCs w:val="false"/>
          <w:color w:val="000000"/>
        </w:rPr>
        <w:t>4</w:t>
      </w:r>
      <w:r>
        <w:rPr>
          <w:rFonts w:cs="Times New Roman" w:ascii="Times new roman" w:hAnsi="Times new roman"/>
          <w:b/>
          <w:i w:val="false"/>
          <w:iCs w:val="false"/>
          <w:color w:val="000000"/>
        </w:rPr>
        <w:t>.</w:t>
      </w:r>
      <w:r>
        <w:rPr>
          <w:rFonts w:cs="Times New Roman" w:ascii="Times new roman" w:hAnsi="Times new roman"/>
          <w:b/>
          <w:i w:val="false"/>
          <w:iCs w:val="false"/>
          <w:color w:val="000000"/>
        </w:rPr>
        <w:t>2</w:t>
      </w:r>
      <w:r>
        <w:rPr>
          <w:rFonts w:cs="Times New Roman" w:ascii="Times new roman" w:hAnsi="Times new roman"/>
          <w:b/>
          <w:i w:val="false"/>
          <w:iCs w:val="false"/>
          <w:color w:val="000000"/>
        </w:rPr>
        <w:t>. Perspectival Data</w:t>
      </w:r>
    </w:p>
    <w:p>
      <w:pPr>
        <w:pStyle w:val="Heading2"/>
        <w:rPr>
          <w:rFonts w:cs="Times New Roman"/>
          <w:b/>
          <w:b/>
          <w:color w:val="000000"/>
        </w:rPr>
      </w:pPr>
      <w:r>
        <w:rPr>
          <w:rFonts w:ascii="Times new roman" w:hAnsi="Times new roman"/>
          <w:i w:val="false"/>
          <w:iCs w:val="false"/>
        </w:rPr>
      </w:r>
    </w:p>
    <w:p>
      <w:pPr>
        <w:pStyle w:val="Normal"/>
        <w:widowControl w:val="false"/>
        <w:spacing w:lineRule="auto" w:line="480"/>
        <w:rPr>
          <w:rFonts w:ascii="Times new roman" w:hAnsi="Times new roman"/>
        </w:rPr>
      </w:pPr>
      <w:r>
        <w:rPr>
          <w:rFonts w:cs="Times New Roman" w:ascii="Times new roman" w:hAnsi="Times new roman"/>
          <w:color w:val="000000"/>
        </w:rPr>
        <w:t>We might say that data, because of their dependence upon the epistemic context, are perspectival. Perspectivism, as Giere (2006) articulates it, is about representations, especially models. But the term perspectivism is just as apt for data because data are representational and because perspectivism also emphasizes the contextual nature of scientific practice, which is a feature that data have. Another reason to invoke perspectivism concerns how scientists make judgements. Recent work by Massimi (</w:t>
      </w:r>
      <w:bookmarkStart w:id="109" w:name="__Fieldmark__920_423805334"/>
      <w:r>
        <w:rPr>
          <w:rFonts w:cs="Times New Roman" w:ascii="Times new roman" w:hAnsi="Times new roman"/>
          <w:color w:val="000000"/>
        </w:rPr>
        <w:t>2</w:t>
      </w:r>
      <w:bookmarkStart w:id="110" w:name="__Fieldmark__816_1054606512"/>
      <w:r>
        <w:rPr>
          <w:rFonts w:cs="Times New Roman" w:ascii="Times new roman" w:hAnsi="Times new roman"/>
          <w:color w:val="000000"/>
        </w:rPr>
        <w:t>0</w:t>
      </w:r>
      <w:bookmarkStart w:id="111" w:name="__Fieldmark__2911_4042349503"/>
      <w:r>
        <w:rPr>
          <w:rFonts w:cs="Times New Roman" w:ascii="Times new roman" w:hAnsi="Times new roman"/>
          <w:color w:val="000000"/>
        </w:rPr>
        <w:t>1</w:t>
      </w:r>
      <w:bookmarkStart w:id="112" w:name="__Fieldmark__829_3398287000"/>
      <w:r>
        <w:rPr>
          <w:rFonts w:cs="Times New Roman" w:ascii="Times new roman" w:hAnsi="Times new roman"/>
          <w:color w:val="000000"/>
        </w:rPr>
        <w:t>2</w:t>
      </w:r>
      <w:r>
        <w:fldChar w:fldCharType="begin"/>
      </w:r>
      <w:r>
        <w:rPr>
          <w:rFonts w:cs="Times New Roman" w:ascii="Times new roman" w:hAnsi="Times new roman"/>
        </w:rPr>
        <w:instrText>ADDIN CSL_CITATION {"citationItems":[{"id":"ITEM-1","itemData":{"author":[{"dropping-particle":"","family":"Massimi","given":"Michela","non-dropping-particle":"","parse-names":false,"suffix":""}],"container-title":"Philosophica","id":"ITEM-1","issued":{"date-parts":[["2012"]]},"page":"25-52","title":"Scientific Perspectivism and its Foes","type":"article-journal","volume":"84"},"suppress-author":1,"uris":["http://www.mendeley.com/documents/?uuid=74e675f3-bfb6-4139-9705-e001d998e33d"]}],"mendeley":{"formattedCitation":"(2012)","plainTextFormattedCitation":"(2012)","previouslyFormattedCitation":"(2012)"},"properties":{"noteIndex":0},"schema":"https://github.com/citation-style-language/schema/raw/master/csl-citation.json"}</w:instrText>
      </w:r>
      <w:r>
        <w:rPr>
          <w:rFonts w:cs="Times New Roman" w:ascii="Times new roman" w:hAnsi="Times new roman"/>
        </w:rPr>
        <w:fldChar w:fldCharType="separate"/>
      </w:r>
      <w:bookmarkStart w:id="113" w:name="__Fieldmark__1407_3335229593"/>
      <w:r>
        <w:rPr>
          <w:rFonts w:cs="Times New Roman" w:ascii="Times new roman" w:hAnsi="Times new roman"/>
          <w:color w:val="000000"/>
        </w:rPr>
        <w:t>)</w:t>
      </w:r>
      <w:r>
        <w:rPr>
          <w:rFonts w:ascii="Times new roman" w:hAnsi="Times new roman"/>
        </w:rPr>
      </w:r>
      <w:r>
        <w:rPr>
          <w:rFonts w:ascii="Times new roman" w:hAnsi="Times new roman"/>
        </w:rPr>
        <w:fldChar w:fldCharType="end"/>
      </w:r>
      <w:bookmarkEnd w:id="109"/>
      <w:bookmarkEnd w:id="110"/>
      <w:bookmarkEnd w:id="111"/>
      <w:bookmarkEnd w:id="112"/>
      <w:bookmarkEnd w:id="113"/>
      <w:r>
        <w:rPr>
          <w:rFonts w:cs="Times New Roman" w:ascii="Times new roman" w:hAnsi="Times new roman"/>
          <w:color w:val="000000"/>
        </w:rPr>
        <w:t xml:space="preserve"> suggests that we conceive of perspectivism as the epistemic context in which scientists work. Scientific work is always situated within a network of beliefs that should be reliably justified and coherent. She writes “</w:t>
      </w:r>
      <w:r>
        <w:rPr>
          <w:rFonts w:cs="Times New Roman" w:ascii="Times new roman" w:hAnsi="Times new roman"/>
          <w:color w:val="000000"/>
          <w:lang w:val="en-US"/>
        </w:rPr>
        <w:t>Justified-belief-attribution is always perspectival and contextual: it has to do with the way each belief fits into the agent’s epistemic perspective” (</w:t>
      </w:r>
      <w:bookmarkStart w:id="114" w:name="__Fieldmark__940_423805334"/>
      <w:r>
        <w:rPr>
          <w:rFonts w:cs="Times New Roman" w:ascii="Times new roman" w:hAnsi="Times new roman"/>
          <w:color w:val="000000"/>
          <w:lang w:val="en-US"/>
        </w:rPr>
        <w:t>2</w:t>
      </w:r>
      <w:bookmarkStart w:id="115" w:name="__Fieldmark__832_1054606512"/>
      <w:r>
        <w:rPr>
          <w:rFonts w:cs="Times New Roman" w:ascii="Times new roman" w:hAnsi="Times new roman"/>
          <w:color w:val="000000"/>
          <w:lang w:val="en-US"/>
        </w:rPr>
        <w:t>0</w:t>
      </w:r>
      <w:bookmarkStart w:id="116" w:name="__Fieldmark__2923_4042349503"/>
      <w:r>
        <w:rPr>
          <w:rFonts w:cs="Times New Roman" w:ascii="Times new roman" w:hAnsi="Times new roman"/>
          <w:color w:val="000000"/>
          <w:lang w:val="en-US"/>
        </w:rPr>
        <w:t>1</w:t>
      </w:r>
      <w:bookmarkStart w:id="117" w:name="__Fieldmark__837_3398287000"/>
      <w:r>
        <w:rPr>
          <w:rFonts w:cs="Times New Roman" w:ascii="Times new roman" w:hAnsi="Times new roman"/>
          <w:color w:val="000000"/>
          <w:lang w:val="en-US"/>
        </w:rPr>
        <w:t>2</w:t>
      </w:r>
      <w:r>
        <w:fldChar w:fldCharType="begin"/>
      </w:r>
      <w:r>
        <w:rPr>
          <w:rFonts w:cs="Times New Roman" w:ascii="Times new roman" w:hAnsi="Times new roman"/>
        </w:rPr>
        <w:instrText>ADDIN CSL_CITATION {"citationItems":[{"id":"ITEM-1","itemData":{"author":[{"dropping-particle":"","family":"Massimi","given":"Michela","non-dropping-particle":"","parse-names":false,"suffix":""}],"container-title":"Philosophica","id":"ITEM-1","issued":{"date-parts":[["2012"]]},"page":"25-52","title":"Scientific Perspectivism and its Foes","type":"article-journal","volume":"84"},"locator":"48","suppress-author":1,"uris":["http://www.mendeley.com/documents/?uuid=74e675f3-bfb6-4139-9705-e001d998e33d"]}],"mendeley":{"formattedCitation":"(2012, 48)","plainTextFormattedCitation":"(2012, 48)","previouslyFormattedCitation":"(2012, 48)"},"properties":{"noteIndex":0},"schema":"https://github.com/citation-style-language/schema/raw/master/csl-citation.json"}</w:instrText>
      </w:r>
      <w:r>
        <w:rPr>
          <w:rFonts w:cs="Times New Roman" w:ascii="Times new roman" w:hAnsi="Times new roman"/>
        </w:rPr>
        <w:fldChar w:fldCharType="separate"/>
      </w:r>
      <w:bookmarkStart w:id="118" w:name="__Fieldmark__1416_3335229593"/>
      <w:r>
        <w:rPr>
          <w:rFonts w:cs="Times New Roman" w:ascii="Times new roman" w:hAnsi="Times new roman"/>
          <w:color w:val="000000"/>
          <w:lang w:val="en-US"/>
        </w:rPr>
        <w:t>, 48)</w:t>
      </w:r>
      <w:r>
        <w:rPr>
          <w:rFonts w:ascii="Times new roman" w:hAnsi="Times new roman"/>
        </w:rPr>
      </w:r>
      <w:r>
        <w:rPr>
          <w:rFonts w:ascii="Times new roman" w:hAnsi="Times new roman"/>
        </w:rPr>
        <w:fldChar w:fldCharType="end"/>
      </w:r>
      <w:bookmarkEnd w:id="114"/>
      <w:bookmarkEnd w:id="115"/>
      <w:bookmarkEnd w:id="116"/>
      <w:bookmarkEnd w:id="117"/>
      <w:bookmarkEnd w:id="118"/>
      <w:r>
        <w:rPr>
          <w:rFonts w:cs="Times New Roman" w:ascii="Times new roman" w:hAnsi="Times new roman"/>
          <w:color w:val="000000"/>
          <w:lang w:val="en-US"/>
        </w:rPr>
        <w:t xml:space="preserve">. </w:t>
      </w:r>
    </w:p>
    <w:p>
      <w:pPr>
        <w:pStyle w:val="Normal"/>
        <w:widowControl w:val="false"/>
        <w:spacing w:lineRule="auto" w:line="480"/>
        <w:rPr>
          <w:rFonts w:ascii="Times new roman" w:hAnsi="Times new roman" w:cs="Times New Roman"/>
          <w:color w:val="000000"/>
          <w:lang w:val="en-US"/>
        </w:rPr>
      </w:pPr>
      <w:r>
        <w:rPr>
          <w:rFonts w:cs="Times New Roman" w:ascii="Times new roman" w:hAnsi="Times new roman"/>
          <w:color w:val="000000"/>
          <w:lang w:val="en-US"/>
        </w:rPr>
      </w:r>
    </w:p>
    <w:p>
      <w:pPr>
        <w:pStyle w:val="Normal"/>
        <w:widowControl w:val="false"/>
        <w:spacing w:lineRule="auto" w:line="480"/>
        <w:rPr>
          <w:rFonts w:ascii="Times new roman" w:hAnsi="Times new roman" w:cs="Times New Roman"/>
          <w:color w:val="000000"/>
          <w:lang w:val="en-US"/>
        </w:rPr>
      </w:pPr>
      <w:r>
        <w:rPr>
          <w:rFonts w:cs="Times New Roman" w:ascii="Times new roman" w:hAnsi="Times new roman"/>
          <w:color w:val="000000"/>
          <w:lang w:val="en-US"/>
        </w:rPr>
        <w:t xml:space="preserve">Data are part of the epistemic context because scientists make judgments based upon their beliefs. And because collecting data is associated with a judgment, data collection should be cast as a perspectival activity that partly forms a perspective. If this is right, then these judgments are not merely informed by the epistemic contexts in which scientists work: they in fact partly constitute this epistemic context. </w:t>
      </w:r>
    </w:p>
    <w:p>
      <w:pPr>
        <w:pStyle w:val="Normal"/>
        <w:widowControl w:val="false"/>
        <w:spacing w:lineRule="auto" w:line="480"/>
        <w:rPr>
          <w:rFonts w:ascii="Times new roman" w:hAnsi="Times new roman" w:cs="Times New Roman"/>
          <w:color w:val="000000"/>
          <w:lang w:val="en-US"/>
        </w:rPr>
      </w:pPr>
      <w:r>
        <w:rPr>
          <w:rFonts w:cs="Times New Roman" w:ascii="Times new roman" w:hAnsi="Times new roman"/>
          <w:color w:val="000000"/>
          <w:lang w:val="en-US"/>
        </w:rPr>
      </w:r>
    </w:p>
    <w:p>
      <w:pPr>
        <w:pStyle w:val="Normal"/>
        <w:widowControl w:val="false"/>
        <w:spacing w:lineRule="auto" w:line="480"/>
        <w:rPr/>
      </w:pPr>
      <w:r>
        <w:rPr>
          <w:rFonts w:cs="Times New Roman" w:ascii="Times new roman" w:hAnsi="Times new roman"/>
          <w:color w:val="000000"/>
          <w:lang w:val="en-US"/>
        </w:rPr>
        <w:t>Another reason to invoke perspectivism here is to distinguish between context-dependence and theory-dependence.</w:t>
      </w:r>
      <w:r>
        <w:rPr>
          <w:rStyle w:val="FootnoteAnchor"/>
          <w:rStyle w:val="FootnoteAnchor"/>
          <w:rFonts w:cs="Times New Roman" w:ascii="Times new roman" w:hAnsi="Times new roman"/>
          <w:color w:val="000000"/>
          <w:lang w:val="en-US"/>
        </w:rPr>
        <w:footnoteReference w:id="5"/>
      </w:r>
      <w:r>
        <w:rPr>
          <w:rFonts w:cs="Times New Roman" w:ascii="Times new roman" w:hAnsi="Times new roman"/>
          <w:color w:val="000000"/>
          <w:lang w:val="en-US"/>
        </w:rPr>
        <w:t xml:space="preserve"> Theory-dependence suggests a high level of dependence on a particular theory, i.e. on a very specific and abstract body of knowledge, such as atomic theory. Hacking (Hacking in Pickering 1992</w:t>
      </w:r>
      <w:bookmarkStart w:id="119" w:name="__UnoMark__9222_3335229593"/>
      <w:bookmarkEnd w:id="119"/>
      <w:r>
        <w:rPr>
          <w:rFonts w:cs="Times New Roman" w:ascii="Times new roman" w:hAnsi="Times new roman"/>
          <w:color w:val="000000"/>
          <w:lang w:val="en-US"/>
        </w:rPr>
        <w:t>, 45)</w:t>
      </w:r>
      <w:r>
        <w:rPr>
          <w:rFonts w:cs="Times New Roman" w:ascii="Times new roman" w:hAnsi="Times new roman"/>
          <w:color w:val="000000"/>
          <w:position w:val="0"/>
          <w:sz w:val="24"/>
          <w:sz w:val="24"/>
          <w:vertAlign w:val="baseline"/>
          <w:lang w:val="en-US"/>
        </w:rPr>
        <w:t xml:space="preserve"> calls this systematic theory, as opposed to topical hypotheses or models of the laboratory apparatus.</w:t>
      </w:r>
      <w:r>
        <w:rPr>
          <w:rFonts w:cs="Times New Roman" w:ascii="Times new roman" w:hAnsi="Times new roman"/>
          <w:color w:val="000000"/>
          <w:lang w:val="en-US"/>
        </w:rPr>
        <w:t xml:space="preserve">⁠ It seems to me that we often speak of objects or particles without committing to an abstract or systematic theory or while remaining agnostic about which theory we endorse. Consider again Millikan and Franklin. The atomic theories each endorsed are not exactly the same, yet there is a sense in which they were interested in the same particles. If electrons were theory-dependent, it seems to me that Millikan and Franklin could not be interested in the same particles. </w:t>
      </w:r>
    </w:p>
    <w:p>
      <w:pPr>
        <w:pStyle w:val="Normal"/>
        <w:widowControl w:val="false"/>
        <w:spacing w:lineRule="auto" w:line="480"/>
        <w:rPr>
          <w:rFonts w:ascii="Times new roman" w:hAnsi="Times new roman" w:cs="Times New Roman"/>
          <w:color w:val="000000"/>
          <w:lang w:val="en-US"/>
        </w:rPr>
      </w:pPr>
      <w:r>
        <w:rPr>
          <w:rFonts w:cs="Times New Roman" w:ascii="Times new roman" w:hAnsi="Times new roman"/>
          <w:color w:val="000000"/>
          <w:lang w:val="en-US"/>
        </w:rPr>
      </w:r>
    </w:p>
    <w:p>
      <w:pPr>
        <w:pStyle w:val="Normal"/>
        <w:widowControl w:val="false"/>
        <w:spacing w:lineRule="auto" w:line="480"/>
        <w:rPr>
          <w:rFonts w:ascii="Times new roman" w:hAnsi="Times new roman"/>
        </w:rPr>
      </w:pPr>
      <w:r>
        <w:rPr>
          <w:rFonts w:cs="Times New Roman" w:ascii="Times new roman" w:hAnsi="Times new roman"/>
          <w:color w:val="000000"/>
          <w:lang w:val="en-US"/>
        </w:rPr>
        <w:t>Data, although they depend upon the epistemic context, do not depend upon theory heavily. If they did, data could neither arbitrate between theoretical claims nor support or refute such claims. The practice of collecting data sets, analyzing them, and using them evidentially would then be very mysterious or even pointless.  So data must have some level of independence from theory, which is part of what Bogen and Woodward (</w:t>
      </w:r>
      <w:bookmarkStart w:id="120" w:name="__Fieldmark__1003_423805334"/>
      <w:r>
        <w:rPr>
          <w:rFonts w:cs="Times New Roman" w:ascii="Times new roman" w:hAnsi="Times new roman"/>
          <w:color w:val="000000"/>
          <w:lang w:val="en-US"/>
        </w:rPr>
        <w:t>1</w:t>
      </w:r>
      <w:bookmarkStart w:id="121" w:name="__Fieldmark__887_1054606512"/>
      <w:r>
        <w:rPr>
          <w:rFonts w:cs="Times New Roman" w:ascii="Times new roman" w:hAnsi="Times new roman"/>
          <w:color w:val="000000"/>
          <w:lang w:val="en-US"/>
        </w:rPr>
        <w:t>9</w:t>
      </w:r>
      <w:bookmarkStart w:id="122" w:name="__Fieldmark__2970_4042349503"/>
      <w:r>
        <w:rPr>
          <w:rFonts w:cs="Times New Roman" w:ascii="Times new roman" w:hAnsi="Times new roman"/>
          <w:color w:val="000000"/>
          <w:lang w:val="en-US"/>
        </w:rPr>
        <w:t>8</w:t>
      </w:r>
      <w:bookmarkStart w:id="123" w:name="__Fieldmark__898_3398287000"/>
      <w:r>
        <w:rPr>
          <w:rFonts w:cs="Times New Roman" w:ascii="Times new roman" w:hAnsi="Times new roman"/>
          <w:color w:val="000000"/>
          <w:lang w:val="en-US"/>
        </w:rPr>
        <w:t>8</w:t>
      </w:r>
      <w:r>
        <w:fldChar w:fldCharType="begin"/>
      </w:r>
      <w:r>
        <w:rPr>
          <w:rFonts w:cs="Times New Roman" w:ascii="Times new roman" w:hAnsi="Times new roman"/>
        </w:rPr>
        <w:instrText>ADDIN CSL_CITATION {"citationItems":[{"id":"ITEM-1","itemData":{"author":[{"dropping-particle":"","family":"Bogen","given":"James","non-dropping-particle":"","parse-names":false,"suffix":""},{"dropping-particle":"","family":"Woodward","given":"James","non-dropping-particle":"","parse-names":false,"suffix":""}],"container-title":"The Philosophical Review","id":"ITEM-1","issue":"3","issued":{"date-parts":[["1988"]]},"page":"303-352","title":"Saving the phenomena","type":"article-journal","volume":"97"},"suppress-author":1,"uris":["http://www.mendeley.com/documents/?uuid=2e3ef0ca-bb53-4eed-95a3-fd68de9833e5"]}],"mendeley":{"formattedCitation":"(1988)","plainTextFormattedCitation":"(1988)","previouslyFormattedCitation":"(1988)"},"properties":{"noteIndex":0},"schema":"https://github.com/citation-style-language/schema/raw/master/csl-citation.json"}</w:instrText>
      </w:r>
      <w:r>
        <w:rPr>
          <w:rFonts w:cs="Times New Roman" w:ascii="Times new roman" w:hAnsi="Times new roman"/>
        </w:rPr>
        <w:fldChar w:fldCharType="separate"/>
      </w:r>
      <w:bookmarkStart w:id="124" w:name="__Fieldmark__1497_3335229593"/>
      <w:r>
        <w:rPr>
          <w:rFonts w:cs="Times New Roman" w:ascii="Times new roman" w:hAnsi="Times new roman"/>
          <w:color w:val="000000"/>
          <w:lang w:val="en-US"/>
        </w:rPr>
        <w:t>)</w:t>
      </w:r>
      <w:r>
        <w:rPr>
          <w:rFonts w:ascii="Times new roman" w:hAnsi="Times new roman"/>
        </w:rPr>
      </w:r>
      <w:r>
        <w:rPr>
          <w:rFonts w:ascii="Times new roman" w:hAnsi="Times new roman"/>
        </w:rPr>
        <w:fldChar w:fldCharType="end"/>
      </w:r>
      <w:bookmarkEnd w:id="120"/>
      <w:bookmarkEnd w:id="121"/>
      <w:bookmarkEnd w:id="122"/>
      <w:bookmarkEnd w:id="123"/>
      <w:bookmarkEnd w:id="124"/>
      <w:r>
        <w:rPr>
          <w:rFonts w:cs="Times New Roman" w:ascii="Times new roman" w:hAnsi="Times new roman"/>
          <w:color w:val="000000"/>
          <w:lang w:val="en-US"/>
        </w:rPr>
        <w:t xml:space="preserve"> too such pains to show. Hacking (Hack</w:t>
      </w:r>
      <w:r>
        <w:fldChar w:fldCharType="begin"/>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color w:val="000000"/>
          <w:lang w:val="en-US"/>
        </w:rPr>
        <w:t>ing</w:t>
      </w:r>
      <w:r>
        <w:rPr>
          <w:rFonts w:cs="Times New Roman" w:ascii="Times new roman" w:hAnsi="Times new roman"/>
          <w:color w:val="000000"/>
          <w:lang w:val="en-GB"/>
        </w:rPr>
        <w:t xml:space="preserve"> 1983, 185)</w:t>
      </w:r>
      <w:r>
        <w:rPr>
          <w:rFonts w:cs="Times New Roman" w:ascii="Times new roman" w:hAnsi="Times new roman"/>
          <w:color w:val="000000"/>
          <w:lang w:val="en-GB"/>
        </w:rPr>
      </w:r>
      <w:r>
        <w:rPr>
          <w:rFonts w:cs="Times New Roman" w:ascii="Times new roman" w:hAnsi="Times new roman"/>
        </w:rPr>
        <w:fldChar w:fldCharType="end"/>
      </w:r>
      <w:r>
        <w:rPr>
          <w:rFonts w:cs="Times New Roman" w:ascii="Times new roman" w:hAnsi="Times new roman"/>
          <w:color w:val="000000"/>
          <w:lang w:val="en-US"/>
        </w:rPr>
        <w:t xml:space="preserve"> also argues, but in the context of observation more generally, that there must be enough independence from theory to provide empirical constraints. </w:t>
      </w:r>
    </w:p>
    <w:p>
      <w:pPr>
        <w:pStyle w:val="Normal"/>
        <w:widowControl w:val="false"/>
        <w:spacing w:lineRule="auto" w:line="480"/>
        <w:rPr>
          <w:rFonts w:ascii="Times new roman" w:hAnsi="Times new roman" w:cs="Times New Roman"/>
          <w:color w:val="000000"/>
          <w:lang w:val="en-US"/>
        </w:rPr>
      </w:pPr>
      <w:r>
        <w:rPr>
          <w:rFonts w:cs="Times New Roman" w:ascii="Times new roman" w:hAnsi="Times new roman"/>
          <w:color w:val="000000"/>
          <w:lang w:val="en-US"/>
        </w:rPr>
      </w:r>
    </w:p>
    <w:p>
      <w:pPr>
        <w:pStyle w:val="Normal"/>
        <w:widowControl w:val="false"/>
        <w:spacing w:lineRule="auto" w:line="480"/>
        <w:rPr>
          <w:rFonts w:ascii="Times new roman" w:hAnsi="Times new roman" w:cs="Times New Roman"/>
          <w:color w:val="000000"/>
          <w:lang w:val="en-US"/>
        </w:rPr>
      </w:pPr>
      <w:r>
        <w:rPr>
          <w:rFonts w:cs="Times New Roman" w:ascii="Times new roman" w:hAnsi="Times new roman"/>
          <w:color w:val="000000"/>
          <w:lang w:val="en-US"/>
        </w:rPr>
        <w:t xml:space="preserve">The kind of epistemic context upon which data do depend—and of which data are a part—is more fundamental than theory. This context includes a range of knowledge, such as knowledge of instruments, experimental technique, and especially knowledge classification. That is, how to classify what is observed. Scientists make judgments about classification in association with data-collection and use. Such a judgment might be “this is a meteorological object,” or “this is a lead sample.” These judgments are perspectival, I suggest, because they are intimately connected to the understanding scientists have and this understanding is distinct from theory. One can, for instance, judge an object in the sky to be a comet and they might make this judgment independently of modern astronomical theory. And yet if the epistemic context changes sufficiently, scientists would make, or might make, different judgments. Instead of judging comets as meteorological, we now judge them to be astronomical. </w:t>
      </w:r>
    </w:p>
    <w:p>
      <w:pPr>
        <w:pStyle w:val="Heading2"/>
        <w:numPr>
          <w:ilvl w:val="1"/>
          <w:numId w:val="2"/>
        </w:numPr>
        <w:rPr>
          <w:rFonts w:ascii="Times new roman" w:hAnsi="Times new roman"/>
        </w:rPr>
      </w:pPr>
      <w:r>
        <w:rPr>
          <w:rFonts w:ascii="Times new roman" w:hAnsi="Times new roman"/>
        </w:rPr>
        <w:t>4.3</w:t>
      </w:r>
      <w:r>
        <w:rPr>
          <w:rFonts w:ascii="Times new roman" w:hAnsi="Times new roman"/>
        </w:rPr>
        <w:t xml:space="preserve">. </w:t>
      </w:r>
      <w:r>
        <w:rPr>
          <w:rFonts w:ascii="Times new roman" w:hAnsi="Times new roman"/>
        </w:rPr>
        <w:t>Some Previous Problems Avoided</w:t>
      </w:r>
    </w:p>
    <w:p>
      <w:pPr>
        <w:pStyle w:val="Heading2"/>
        <w:numPr>
          <w:ilvl w:val="1"/>
          <w:numId w:val="2"/>
        </w:numPr>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cs="Times New Roman" w:ascii="Times new roman" w:hAnsi="Times new roman"/>
          <w:color w:val="000000"/>
        </w:rPr>
        <w:t xml:space="preserve">Recall that </w:t>
      </w:r>
      <w:r>
        <w:rPr>
          <w:rFonts w:cs="Times New Roman" w:ascii="Times new roman" w:hAnsi="Times new roman"/>
          <w:color w:val="000000"/>
        </w:rPr>
        <w:t>accounts of data must confront</w:t>
      </w:r>
      <w:r>
        <w:rPr>
          <w:rFonts w:cs="Times New Roman" w:ascii="Times new roman" w:hAnsi="Times new roman"/>
          <w:color w:val="000000"/>
        </w:rPr>
        <w:t xml:space="preserve"> identity and stability problems. </w:t>
      </w:r>
      <w:r>
        <w:rPr>
          <w:rFonts w:cs="Times New Roman" w:ascii="Times new roman" w:hAnsi="Times new roman"/>
          <w:color w:val="000000"/>
        </w:rPr>
        <w:t>That is, the account must explain what data are such that they can be evidential and they must be able to specify when and why a set of data is the same.</w:t>
      </w:r>
      <w:r>
        <w:rPr>
          <w:rFonts w:cs="Times New Roman" w:ascii="Times new roman" w:hAnsi="Times new roman"/>
          <w:color w:val="000000"/>
        </w:rPr>
        <w:t xml:space="preserve"> Treating data as records avoids both. The first problem is avoided because this definition does justice to the potential that data have to be evidentially useful while not overplaying their use as evidence.  It is clear why a scientist would collect data: because they are records of worldly events against which theories or models can be tested. And if this is what data are, then it is no longer mysterious why scientists would find them worth collecting. </w:t>
      </w:r>
    </w:p>
    <w:p>
      <w:pPr>
        <w:pStyle w:val="Normal"/>
        <w:spacing w:lineRule="auto" w:line="480"/>
        <w:rPr>
          <w:rFonts w:ascii="Times new roman" w:hAnsi="Times new roman" w:cs="Times New Roman"/>
          <w:color w:val="000000"/>
        </w:rPr>
      </w:pPr>
      <w:r>
        <w:rPr>
          <w:rFonts w:cs="Times New Roman" w:ascii="Times new roman" w:hAnsi="Times new roman"/>
          <w:color w:val="000000"/>
        </w:rPr>
      </w:r>
    </w:p>
    <w:p>
      <w:pPr>
        <w:pStyle w:val="Normal"/>
        <w:spacing w:lineRule="auto" w:line="480"/>
        <w:rPr/>
      </w:pPr>
      <w:r>
        <w:rPr>
          <w:rFonts w:cs="Times New Roman" w:ascii="Times new roman" w:hAnsi="Times new roman"/>
          <w:color w:val="000000"/>
        </w:rPr>
        <w:t>The issue of stability is avoided because data remain stable to the extent that records are stable. However, this treatment may bring to mind the representational view that Leonelli criticises (</w:t>
      </w:r>
      <w:bookmarkStart w:id="125" w:name="__Fieldmark__623_423805334"/>
      <w:r>
        <w:rPr>
          <w:rFonts w:cs="Times New Roman" w:ascii="Times new roman" w:hAnsi="Times new roman"/>
          <w:color w:val="000000"/>
        </w:rPr>
        <w:t>2</w:t>
      </w:r>
      <w:bookmarkStart w:id="126" w:name="__Fieldmark__556_1054606512"/>
      <w:r>
        <w:rPr>
          <w:rFonts w:cs="Times New Roman" w:ascii="Times new roman" w:hAnsi="Times new roman"/>
          <w:color w:val="000000"/>
        </w:rPr>
        <w:t>0</w:t>
      </w:r>
      <w:bookmarkStart w:id="127" w:name="__Fieldmark__2658_4042349503"/>
      <w:r>
        <w:rPr>
          <w:rFonts w:cs="Times New Roman" w:ascii="Times new roman" w:hAnsi="Times new roman"/>
          <w:color w:val="000000"/>
        </w:rPr>
        <w:t>1</w:t>
      </w:r>
      <w:bookmarkStart w:id="128" w:name="__Fieldmark__562_3398287000"/>
      <w:r>
        <w:rPr>
          <w:rFonts w:cs="Times New Roman" w:ascii="Times new roman" w:hAnsi="Times new roman"/>
          <w:color w:val="000000"/>
        </w:rPr>
        <w:t>6</w:t>
      </w:r>
      <w:r>
        <w:fldChar w:fldCharType="begin"/>
      </w:r>
      <w:r>
        <w:rPr>
          <w:rFonts w:cs="Times New Roman" w:ascii="Times new roman" w:hAnsi="Times new roman"/>
        </w:rPr>
        <w:instrText>ADDIN CSL_CITATION {"citationItems":[{"id":"ITEM-1","itemData":{"author":[{"dropping-particle":"","family":"Leonelli","given":"Sabina","non-dropping-particle":"","parse-names":false,"suffix":""}],"id":"ITEM-1","issued":{"date-parts":[["2016"]]},"publisher":"University of Chicago Press","title":"Data-centric biology: a philosophical study","type":"book"},"locator":"73-74","suppress-author":1,"uris":["http://www.mendeley.com/documents/?uuid=e73a61c5-e4e3-4e7b-bb07-5c47db2b1359"]}],"mendeley":{"formattedCitation":"(2016, 73–74)","plainTextFormattedCitation":"(2016, 73–74)","previouslyFormattedCitation":"(2016, 73–74)"},"properties":{"noteIndex":0},"schema":"https://github.com/citation-style-language/schema/raw/master/csl-citation.json"}</w:instrText>
      </w:r>
      <w:r>
        <w:rPr>
          <w:rFonts w:cs="Times New Roman" w:ascii="Times new roman" w:hAnsi="Times new roman"/>
        </w:rPr>
        <w:fldChar w:fldCharType="separate"/>
      </w:r>
      <w:bookmarkStart w:id="129" w:name="__Fieldmark__948_3335229593"/>
      <w:r>
        <w:rPr>
          <w:rFonts w:cs="Times New Roman" w:ascii="Times new roman" w:hAnsi="Times new roman"/>
          <w:color w:val="000000"/>
        </w:rPr>
        <w:t>, 73–74)</w:t>
      </w:r>
      <w:r>
        <w:rPr>
          <w:rFonts w:ascii="Times new roman" w:hAnsi="Times new roman"/>
        </w:rPr>
      </w:r>
      <w:r>
        <w:rPr>
          <w:rFonts w:ascii="Times new roman" w:hAnsi="Times new roman"/>
        </w:rPr>
        <w:fldChar w:fldCharType="end"/>
      </w:r>
      <w:bookmarkEnd w:id="125"/>
      <w:bookmarkEnd w:id="126"/>
      <w:bookmarkEnd w:id="127"/>
      <w:bookmarkEnd w:id="128"/>
      <w:bookmarkEnd w:id="129"/>
      <w:r>
        <w:rPr>
          <w:rFonts w:cs="Times New Roman" w:ascii="Times new roman" w:hAnsi="Times new roman"/>
          <w:color w:val="000000"/>
        </w:rPr>
        <w:t>. The representational view is committed to the two things: (1) that data are mind-independent representations when reliably produced by the scientific method and (2) that the exclusive role of data is to support claims about phenomena.</w:t>
      </w:r>
      <w:r>
        <w:rPr>
          <w:rStyle w:val="FootnoteAnchor"/>
          <w:rStyle w:val="FootnoteAnchor"/>
          <w:rFonts w:cs="Times New Roman" w:ascii="Times new roman" w:hAnsi="Times new roman"/>
          <w:color w:val="000000"/>
        </w:rPr>
        <w:footnoteReference w:id="6"/>
      </w:r>
      <w:r>
        <w:rPr>
          <w:rFonts w:cs="Times New Roman" w:ascii="Times new roman" w:hAnsi="Times new roman"/>
          <w:color w:val="000000"/>
        </w:rPr>
        <w:t xml:space="preserve"> Leonelli argues that data cannot be defined in this way. I am not attempting to defend a representational view with these two commitments.</w:t>
      </w:r>
      <w:r>
        <w:rPr>
          <w:rFonts w:cs="Times New Roman" w:ascii="Times new roman" w:hAnsi="Times new roman"/>
          <w:color w:val="000000"/>
        </w:rPr>
        <w:t xml:space="preserve"> I have suggested data are not just evidence, which conflicts with (2). I have also tied data to the epistemic context, which conflicts with one.</w:t>
      </w:r>
    </w:p>
    <w:p>
      <w:pPr>
        <w:pStyle w:val="Heading1"/>
        <w:numPr>
          <w:ilvl w:val="0"/>
          <w:numId w:val="2"/>
        </w:numPr>
        <w:rPr>
          <w:rFonts w:ascii="Times new roman" w:hAnsi="Times new roman"/>
        </w:rPr>
      </w:pPr>
      <w:r>
        <w:rPr>
          <w:rFonts w:ascii="Times new roman" w:hAnsi="Times new roman"/>
        </w:rPr>
        <w:t>5. Conclusion</w:t>
      </w:r>
    </w:p>
    <w:p>
      <w:pPr>
        <w:pStyle w:val="Heading1"/>
        <w:numPr>
          <w:ilvl w:val="0"/>
          <w:numId w:val="2"/>
        </w:numPr>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cs="Times New Roman" w:ascii="Times new roman" w:hAnsi="Times new roman"/>
          <w:color w:val="000000"/>
        </w:rPr>
        <w:t xml:space="preserve">In this paper, I sought to address what data are and what relationship they have to the epistemic context in which scientists work. </w:t>
      </w:r>
      <w:r>
        <w:rPr>
          <w:rFonts w:cs="Times New Roman" w:ascii="Times new roman" w:hAnsi="Times new roman"/>
          <w:color w:val="000000"/>
        </w:rPr>
        <w:t>A case study from the history of astronomy motivated the view I proposed, which</w:t>
      </w:r>
      <w:r>
        <w:rPr>
          <w:rFonts w:cs="Times New Roman" w:ascii="Times new roman" w:hAnsi="Times new roman"/>
          <w:color w:val="000000"/>
        </w:rPr>
        <w:t xml:space="preserve"> has the advantage of accommodating the empirical contribution data make while also giving due consideration to the role of human knowledge and understanding. To do this, I argued that, contra relational accounts, data are generally highly stable across different inquiries and across material forms. Data have this stability because they are </w:t>
      </w:r>
      <w:r>
        <w:rPr>
          <w:rFonts w:cs="Times New Roman" w:ascii="Times new roman" w:hAnsi="Times new roman"/>
          <w:color w:val="000000"/>
        </w:rPr>
        <w:t>records</w:t>
      </w:r>
      <w:r>
        <w:rPr>
          <w:rFonts w:cs="Times New Roman" w:ascii="Times new roman" w:hAnsi="Times new roman"/>
          <w:color w:val="000000"/>
        </w:rPr>
        <w:t xml:space="preserve">. I then argued 1) that data are not stable in the face of certain kinds of scientific change and 2) that we can think of data as perspectival in the sense that they are part of the epistemic context. This contextual dependence comes from the distinctions scientists make about what they record. One upshot of thinking about data in this way is that it shows how even old data can be repurposed and improved to reflect the contemporary epistemic context and help scientists investigate contemporary research questions. This </w:t>
      </w:r>
      <w:r>
        <w:rPr>
          <w:rFonts w:cs="Times New Roman" w:ascii="Times new roman" w:hAnsi="Times new roman"/>
          <w:color w:val="000000"/>
        </w:rPr>
        <w:t>proposal</w:t>
      </w:r>
      <w:r>
        <w:rPr>
          <w:rFonts w:cs="Times New Roman" w:ascii="Times new roman" w:hAnsi="Times new roman"/>
          <w:color w:val="000000"/>
        </w:rPr>
        <w:t xml:space="preserve"> also gives credence to the profound changes in science and the surmountable difficulties associated with navigating the ancient sciences and our changing understanding of the world.  </w:t>
      </w:r>
    </w:p>
    <w:p>
      <w:pPr>
        <w:pStyle w:val="Heading1"/>
        <w:spacing w:lineRule="auto" w:line="480"/>
        <w:rPr>
          <w:rFonts w:ascii="Times new roman" w:hAnsi="Times new roman" w:eastAsia="Noto Sans CJK SC Regular" w:cs="Times New Roman"/>
          <w:b/>
          <w:b/>
          <w:bCs/>
          <w:color w:val="000000"/>
          <w:kern w:val="0"/>
          <w:sz w:val="36"/>
          <w:szCs w:val="36"/>
          <w:lang w:val="en-GB" w:eastAsia="en-US" w:bidi="ar-SA"/>
        </w:rPr>
      </w:pPr>
      <w:r>
        <w:rPr>
          <w:rFonts w:eastAsia="Noto Sans CJK SC Regular" w:cs="Times New Roman" w:ascii="Times new roman" w:hAnsi="Times new roman"/>
          <w:b/>
          <w:bCs/>
          <w:color w:val="000000"/>
          <w:kern w:val="0"/>
          <w:sz w:val="36"/>
          <w:szCs w:val="36"/>
          <w:lang w:val="en-GB" w:eastAsia="en-US" w:bidi="ar-SA"/>
        </w:rPr>
        <w:t>Acknowledgements</w:t>
      </w:r>
    </w:p>
    <w:p>
      <w:pPr>
        <w:pStyle w:val="Heading1"/>
        <w:spacing w:lineRule="auto" w:line="480"/>
        <w:rPr/>
      </w:pPr>
      <w:r>
        <w:rPr>
          <w:rFonts w:eastAsia="Noto Sans CJK SC Regular" w:cs="Times New Roman" w:ascii="Times new roman" w:hAnsi="Times new roman"/>
          <w:b w:val="false"/>
          <w:bCs w:val="false"/>
          <w:color w:val="000000"/>
          <w:kern w:val="0"/>
          <w:sz w:val="24"/>
          <w:szCs w:val="24"/>
          <w:lang w:val="en-GB" w:eastAsia="en-US" w:bidi="ar-SA"/>
        </w:rPr>
        <w:t xml:space="preserve">This article comes out of a project that has received funding from the European Research Council (ERC) under the European Union’s Horizon 2020 research and innovation programme (grant agreement European Consolidator Grant H2020-ERC-2014-CoG 647272 </w:t>
      </w:r>
      <w:r>
        <w:rPr>
          <w:rStyle w:val="Emphasis"/>
          <w:rFonts w:eastAsia="Noto Sans CJK SC Regular" w:cs="Times New Roman" w:ascii="Times new roman" w:hAnsi="Times new roman"/>
          <w:b w:val="false"/>
          <w:bCs w:val="false"/>
          <w:color w:val="000000"/>
          <w:kern w:val="0"/>
          <w:sz w:val="24"/>
          <w:szCs w:val="24"/>
          <w:lang w:val="en-GB" w:eastAsia="en-US" w:bidi="ar-SA"/>
        </w:rPr>
        <w:t>Perspectival Realism. Science, Knowledge, and Truth from a Human Vantage Point</w:t>
      </w:r>
      <w:r>
        <w:rPr>
          <w:rFonts w:eastAsia="Noto Sans CJK SC Regular" w:cs="Times New Roman" w:ascii="Times new roman" w:hAnsi="Times new roman"/>
          <w:b w:val="false"/>
          <w:bCs w:val="false"/>
          <w:color w:val="000000"/>
          <w:kern w:val="0"/>
          <w:sz w:val="24"/>
          <w:szCs w:val="24"/>
          <w:lang w:val="en-GB" w:eastAsia="en-US" w:bidi="ar-SA"/>
        </w:rPr>
        <w:t xml:space="preserve">). I would like to thank Michela Massimi and Alasdair Richmond for reading earlier </w:t>
      </w:r>
      <w:r>
        <w:rPr>
          <w:rFonts w:eastAsia="Noto Sans CJK SC Regular" w:cs="Times New Roman" w:ascii="Times new roman" w:hAnsi="Times new roman"/>
          <w:b w:val="false"/>
          <w:bCs w:val="false"/>
          <w:color w:val="000000"/>
          <w:kern w:val="0"/>
          <w:sz w:val="24"/>
          <w:szCs w:val="24"/>
          <w:lang w:val="en-GB" w:eastAsia="en-US" w:bidi="ar-SA"/>
        </w:rPr>
        <w:t>versions of this article</w:t>
      </w:r>
      <w:r>
        <w:rPr>
          <w:rFonts w:eastAsia="Noto Sans CJK SC Regular" w:cs="Times New Roman" w:ascii="Times new roman" w:hAnsi="Times new roman"/>
          <w:b w:val="false"/>
          <w:bCs w:val="false"/>
          <w:color w:val="000000"/>
          <w:kern w:val="0"/>
          <w:sz w:val="24"/>
          <w:szCs w:val="24"/>
          <w:lang w:val="en-GB" w:eastAsia="en-US" w:bidi="ar-SA"/>
        </w:rPr>
        <w:t xml:space="preserve">. Audiences at the 2017 Annual UK History and Philosophy of Science Workshop provided helpful feedback. </w:t>
      </w:r>
    </w:p>
    <w:p>
      <w:pPr>
        <w:pStyle w:val="Heading1"/>
        <w:spacing w:lineRule="auto" w:line="480"/>
        <w:rPr/>
      </w:pPr>
      <w:r>
        <w:rPr>
          <w:rFonts w:eastAsia="Noto Sans CJK SC Regular" w:cs="Lohit Devanagari" w:ascii="Times new roman" w:hAnsi="Times new roman"/>
          <w:b/>
          <w:bCs/>
          <w:color w:val="auto"/>
          <w:kern w:val="0"/>
          <w:sz w:val="36"/>
          <w:szCs w:val="36"/>
          <w:lang w:val="en-GB" w:eastAsia="en-US" w:bidi="ar-SA"/>
        </w:rPr>
        <w:t>Bibliography</w:t>
      </w:r>
      <w:r>
        <w:rPr>
          <w:rFonts w:ascii="Times new roman" w:hAnsi="Times new roman"/>
        </w:rPr>
        <w:t xml:space="preserve"> </w:t>
      </w:r>
    </w:p>
    <w:p>
      <w:pPr>
        <w:pStyle w:val="Normal"/>
        <w:widowControl w:val="false"/>
        <w:spacing w:lineRule="auto" w:line="480"/>
        <w:ind w:left="480" w:right="0" w:hanging="480"/>
        <w:rPr>
          <w:rFonts w:ascii="Times new roman" w:hAnsi="Times new roman"/>
        </w:rPr>
      </w:pPr>
      <w:r>
        <w:rPr>
          <w:rFonts w:ascii="Times new roman" w:hAnsi="Times new roman"/>
          <w:lang w:val="en-US"/>
        </w:rPr>
        <w:t>B</w:t>
      </w:r>
      <w:bookmarkStart w:id="130" w:name="__Fieldmark__1175_423805334"/>
      <w:r>
        <w:rPr>
          <w:rFonts w:ascii="Times new roman" w:hAnsi="Times new roman"/>
          <w:lang w:val="en-US"/>
        </w:rPr>
        <w:t>o</w:t>
      </w:r>
      <w:bookmarkStart w:id="131" w:name="__Fieldmark__1033_1054606512"/>
      <w:r>
        <w:rPr>
          <w:rFonts w:ascii="Times new roman" w:hAnsi="Times new roman"/>
          <w:lang w:val="en-US"/>
        </w:rPr>
        <w:t>g</w:t>
      </w:r>
      <w:bookmarkStart w:id="132" w:name="__Fieldmark__3086_4042349503"/>
      <w:r>
        <w:rPr>
          <w:rFonts w:ascii="Times new roman" w:hAnsi="Times new roman"/>
          <w:lang w:val="en-US"/>
        </w:rPr>
        <w:t>e</w:t>
      </w:r>
      <w:bookmarkStart w:id="133" w:name="__Fieldmark__1007_3398287000"/>
      <w:r>
        <w:rPr>
          <w:rFonts w:ascii="Times new roman" w:hAnsi="Times new roman"/>
          <w:lang w:val="en-US"/>
        </w:rPr>
        <w:t>n</w:t>
      </w:r>
      <w:r>
        <w:fldChar w:fldCharType="begin"/>
      </w:r>
      <w:r>
        <w:rPr>
          <w:rFonts w:ascii="Times new roman" w:hAnsi="Times new roman"/>
        </w:rPr>
        <w:instrText>ADDIN Mendeley Bibliography CSL_BIBLIOGRAPHY</w:instrText>
      </w:r>
      <w:r>
        <w:rPr>
          <w:rFonts w:ascii="Times new roman" w:hAnsi="Times new roman"/>
        </w:rPr>
        <w:fldChar w:fldCharType="separate"/>
      </w:r>
      <w:bookmarkStart w:id="134" w:name="__Fieldmark__1715_3335229593"/>
      <w:r>
        <w:rPr>
          <w:rFonts w:ascii="Times new roman" w:hAnsi="Times new roman"/>
          <w:lang w:val="en-US"/>
        </w:rPr>
        <w:t xml:space="preserve">, James, and James Woodward. 1988. “Saving the Phenomena.” </w:t>
      </w:r>
      <w:r>
        <w:rPr>
          <w:rFonts w:ascii="Times new roman" w:hAnsi="Times new roman"/>
          <w:i/>
          <w:iCs/>
          <w:lang w:val="en-US"/>
        </w:rPr>
        <w:t>The Philosophical Review</w:t>
      </w:r>
      <w:r>
        <w:rPr>
          <w:rFonts w:ascii="Times new roman" w:hAnsi="Times new roman"/>
          <w:lang w:val="en-US"/>
        </w:rPr>
        <w:t xml:space="preserve"> 97 (3): 303–52.</w:t>
      </w:r>
      <w:r>
        <w:rPr>
          <w:rFonts w:ascii="Times new roman" w:hAnsi="Times new roman"/>
        </w:rPr>
      </w:r>
      <w:r>
        <w:rPr>
          <w:rFonts w:ascii="Times new roman" w:hAnsi="Times new roman"/>
        </w:rPr>
        <w:fldChar w:fldCharType="end"/>
      </w:r>
      <w:bookmarkEnd w:id="130"/>
      <w:bookmarkEnd w:id="131"/>
      <w:bookmarkEnd w:id="132"/>
      <w:bookmarkEnd w:id="133"/>
      <w:bookmarkEnd w:id="134"/>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Bogen, James, and James Woodword. 2003. “Evading the IRS.” </w:t>
      </w:r>
      <w:r>
        <w:rPr>
          <w:rFonts w:ascii="Times new roman" w:hAnsi="Times new roman"/>
          <w:i/>
          <w:iCs/>
          <w:lang w:val="en-US"/>
        </w:rPr>
        <w:t>Pozna</w:t>
      </w:r>
      <w:r>
        <w:rPr>
          <w:rFonts w:cs="Times New Roman" w:ascii="Times new roman" w:hAnsi="Times new roman"/>
          <w:i/>
          <w:iCs/>
          <w:lang w:val="en-US"/>
        </w:rPr>
        <w:t>ń</w:t>
      </w:r>
      <w:r>
        <w:rPr>
          <w:rFonts w:ascii="Times new roman" w:hAnsi="Times new roman"/>
          <w:i/>
          <w:iCs/>
          <w:lang w:val="en-US"/>
        </w:rPr>
        <w:t xml:space="preserve"> Studies in the Philosophy of the Sciences and the Humanities</w:t>
      </w:r>
      <w:r>
        <w:rPr>
          <w:rFonts w:ascii="Times new roman" w:hAnsi="Times new roman"/>
          <w:lang w:val="en-US"/>
        </w:rPr>
        <w:t xml:space="preserve"> 20: 223–56.</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Brewer, William F, and Bruce L Lambert. 2001. “The Theory-Ladenness of Observation and the Theory-Ladenness of the Rest of the Scientific Process.” </w:t>
      </w:r>
      <w:r>
        <w:rPr>
          <w:rFonts w:ascii="Times new roman" w:hAnsi="Times new roman"/>
          <w:i/>
          <w:iCs/>
          <w:lang w:val="en-US"/>
        </w:rPr>
        <w:t>Philosophy of Science</w:t>
      </w:r>
      <w:r>
        <w:rPr>
          <w:rFonts w:ascii="Times new roman" w:hAnsi="Times new roman"/>
          <w:lang w:val="en-US"/>
        </w:rPr>
        <w:t xml:space="preserve"> 68 (S3). University of Chicago Press: S176--S186.</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Cavendish, Henry. 1766. “Three Papers, Containing Experiments on Factitious Airs.” </w:t>
      </w:r>
      <w:r>
        <w:rPr>
          <w:rFonts w:ascii="Times new roman" w:hAnsi="Times new roman"/>
          <w:i/>
          <w:iCs/>
          <w:lang w:val="en-US"/>
        </w:rPr>
        <w:t>Philosophical Transactions of the Royal Society</w:t>
      </w:r>
      <w:r>
        <w:rPr>
          <w:rFonts w:ascii="Times new roman" w:hAnsi="Times new roman"/>
          <w:lang w:val="en-US"/>
        </w:rPr>
        <w:t xml:space="preserve"> 56: 141–84.</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Clark, David H., and F. Richard Stephenson. 1977. </w:t>
      </w:r>
      <w:r>
        <w:rPr>
          <w:rFonts w:ascii="Times new roman" w:hAnsi="Times new roman"/>
          <w:i/>
          <w:iCs/>
          <w:lang w:val="en-US"/>
        </w:rPr>
        <w:t>The Historical Supernovae</w:t>
      </w:r>
      <w:r>
        <w:rPr>
          <w:rFonts w:ascii="Times new roman" w:hAnsi="Times new roman"/>
          <w:lang w:val="en-US"/>
        </w:rPr>
        <w:t>. Oxford: Pergamon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Fraassen, Bas C. van. 2008. </w:t>
      </w:r>
      <w:r>
        <w:rPr>
          <w:rFonts w:ascii="Times new roman" w:hAnsi="Times new roman"/>
          <w:i/>
          <w:iCs/>
          <w:lang w:val="en-US"/>
        </w:rPr>
        <w:t>Scientific Representation</w:t>
      </w:r>
      <w:r>
        <w:rPr>
          <w:rFonts w:ascii="Times new roman" w:hAnsi="Times new roman"/>
          <w:lang w:val="en-US"/>
        </w:rPr>
        <w:t>. Oxford: Oxford University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Franklin, Allan D. 1981. “Millikan’s Published and Unpublished Data on Oil Drops.” </w:t>
      </w:r>
      <w:r>
        <w:rPr>
          <w:rFonts w:ascii="Times new roman" w:hAnsi="Times new roman"/>
          <w:i/>
          <w:iCs/>
          <w:lang w:val="en-US"/>
        </w:rPr>
        <w:t>Historical Studies in the Physical Sciences</w:t>
      </w:r>
      <w:r>
        <w:rPr>
          <w:rFonts w:ascii="Times new roman" w:hAnsi="Times new roman"/>
          <w:lang w:val="en-US"/>
        </w:rPr>
        <w:t xml:space="preserve"> 11 (2). JSTOR: 185–201.</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French, Steven. 2003. “A Model-Theoretic Account of Representation (or, I Don’t Know Much about Art… but I Know It Involves Isomorphism).” </w:t>
      </w:r>
      <w:r>
        <w:rPr>
          <w:rFonts w:ascii="Times new roman" w:hAnsi="Times new roman"/>
          <w:i/>
          <w:iCs/>
          <w:lang w:val="en-US"/>
        </w:rPr>
        <w:t>Philosophy of Science</w:t>
      </w:r>
      <w:r>
        <w:rPr>
          <w:rFonts w:ascii="Times new roman" w:hAnsi="Times new roman"/>
          <w:lang w:val="en-US"/>
        </w:rPr>
        <w:t xml:space="preserve"> 70 (5). The University of Chicago Press: 1472–83.</w:t>
      </w:r>
    </w:p>
    <w:p>
      <w:pPr>
        <w:pStyle w:val="Normal"/>
        <w:widowControl w:val="false"/>
        <w:spacing w:lineRule="auto" w:line="480"/>
        <w:ind w:left="480" w:right="0" w:hanging="480"/>
        <w:rPr>
          <w:rFonts w:ascii="Times new roman" w:hAnsi="Times new roman"/>
        </w:rPr>
      </w:pPr>
      <w:r>
        <w:rPr>
          <w:rFonts w:ascii="Times new roman" w:hAnsi="Times new roman"/>
          <w:lang w:val="en-US"/>
        </w:rPr>
        <w:t>———</w:t>
      </w:r>
      <w:r>
        <w:rPr>
          <w:rFonts w:ascii="Times new roman" w:hAnsi="Times new roman"/>
          <w:lang w:val="en-US"/>
        </w:rPr>
        <w:t xml:space="preserve">. 2014. </w:t>
      </w:r>
      <w:r>
        <w:rPr>
          <w:rFonts w:ascii="Times new roman" w:hAnsi="Times new roman"/>
          <w:i/>
          <w:iCs/>
          <w:lang w:val="en-US"/>
        </w:rPr>
        <w:t>The Structure of the World: Metaphysics and Representation</w:t>
      </w:r>
      <w:r>
        <w:rPr>
          <w:rFonts w:ascii="Times new roman" w:hAnsi="Times new roman"/>
          <w:lang w:val="en-US"/>
        </w:rPr>
        <w:t>. Oxford University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Giere, Ronald N. 2010. “An Agent-Based Conception of Models and Scientific Representation.” </w:t>
      </w:r>
      <w:r>
        <w:rPr>
          <w:rFonts w:ascii="Times new roman" w:hAnsi="Times new roman"/>
          <w:i/>
          <w:iCs/>
          <w:lang w:val="en-US"/>
        </w:rPr>
        <w:t>Synthese</w:t>
      </w:r>
      <w:r>
        <w:rPr>
          <w:rFonts w:ascii="Times new roman" w:hAnsi="Times new roman"/>
          <w:lang w:val="en-US"/>
        </w:rPr>
        <w:t xml:space="preserve"> 172 (2). Springer: 269.</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Goodman, Nelson. 1955. </w:t>
      </w:r>
      <w:r>
        <w:rPr>
          <w:rFonts w:ascii="Times new roman" w:hAnsi="Times new roman"/>
          <w:i/>
          <w:iCs/>
          <w:lang w:val="en-US"/>
        </w:rPr>
        <w:t>Fact, Fiction and Forecast</w:t>
      </w:r>
      <w:r>
        <w:rPr>
          <w:rFonts w:ascii="Times new roman" w:hAnsi="Times new roman"/>
          <w:lang w:val="en-US"/>
        </w:rPr>
        <w:t>. Harvard University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Goodstein, Judith R, Albert F Gunns, and Ann Underleak. 1977. </w:t>
      </w:r>
      <w:r>
        <w:rPr>
          <w:rFonts w:ascii="Times new roman" w:hAnsi="Times new roman"/>
          <w:i/>
          <w:iCs/>
          <w:lang w:val="en-US"/>
        </w:rPr>
        <w:t>The Robert Andrews Millikan Collection at the California Institute of Technology: Guide to a Microfilm Edition</w:t>
      </w:r>
      <w:r>
        <w:rPr>
          <w:rFonts w:ascii="Times new roman" w:hAnsi="Times new roman"/>
          <w:lang w:val="en-US"/>
        </w:rPr>
        <w:t>. California Institute of Technology.</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Green, David A, and F. Richard Stephenson. 2003. “The Historical Supernovae.” </w:t>
      </w:r>
      <w:r>
        <w:rPr>
          <w:rFonts w:ascii="Times new roman" w:hAnsi="Times new roman"/>
          <w:i/>
          <w:iCs/>
          <w:lang w:val="en-US"/>
        </w:rPr>
        <w:t>October</w:t>
      </w:r>
      <w:r>
        <w:rPr>
          <w:rFonts w:ascii="Times new roman" w:hAnsi="Times new roman"/>
          <w:lang w:val="en-US"/>
        </w:rPr>
        <w:t xml:space="preserve"> 4 (1): 12. https://doi.org/10.1016/0160-9327(77)90175-2.</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Hacking, Ian. 1983. </w:t>
      </w:r>
      <w:r>
        <w:rPr>
          <w:rFonts w:ascii="Times new roman" w:hAnsi="Times new roman"/>
          <w:i/>
          <w:iCs/>
          <w:lang w:val="en-US"/>
        </w:rPr>
        <w:t>Representing and Intervening: Introductory Topics in the Philosophy of Natural Science</w:t>
      </w:r>
      <w:r>
        <w:rPr>
          <w:rFonts w:ascii="Times new roman" w:hAnsi="Times new roman"/>
          <w:lang w:val="en-US"/>
        </w:rPr>
        <w:t>. Cambridge University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Kordig, Carl R. 1971. “The Theory—Ladenness of Observation.” In </w:t>
      </w:r>
      <w:r>
        <w:rPr>
          <w:rFonts w:ascii="Times new roman" w:hAnsi="Times new roman"/>
          <w:i/>
          <w:iCs/>
          <w:lang w:val="en-US"/>
        </w:rPr>
        <w:t>The Justification of Scientific Change</w:t>
      </w:r>
      <w:r>
        <w:rPr>
          <w:rFonts w:ascii="Times new roman" w:hAnsi="Times new roman"/>
          <w:lang w:val="en-US"/>
        </w:rPr>
        <w:t>, 1–33. Springer.</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Latour, Bruno. 1999. </w:t>
      </w:r>
      <w:r>
        <w:rPr>
          <w:rFonts w:ascii="Times new roman" w:hAnsi="Times new roman"/>
          <w:i/>
          <w:iCs/>
          <w:lang w:val="en-US"/>
        </w:rPr>
        <w:t>Pandora’s Hope: Essays on the Reality of Science Studies</w:t>
      </w:r>
      <w:r>
        <w:rPr>
          <w:rFonts w:ascii="Times new roman" w:hAnsi="Times new roman"/>
          <w:lang w:val="en-US"/>
        </w:rPr>
        <w:t>. Harvard university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Latour, Bruno, and Steve Woolgar. 2013. </w:t>
      </w:r>
      <w:r>
        <w:rPr>
          <w:rFonts w:ascii="Times new roman" w:hAnsi="Times new roman"/>
          <w:i/>
          <w:iCs/>
          <w:lang w:val="en-US"/>
        </w:rPr>
        <w:t>Laboratory Life: The Construction of Scientific Facts</w:t>
      </w:r>
      <w:r>
        <w:rPr>
          <w:rFonts w:ascii="Times new roman" w:hAnsi="Times new roman"/>
          <w:lang w:val="en-US"/>
        </w:rPr>
        <w:t>. Princeton University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Leonelli, Sabina. 2009. “On the Locality of Data and Claims about Phenomena.” </w:t>
      </w:r>
      <w:r>
        <w:rPr>
          <w:rFonts w:ascii="Times new roman" w:hAnsi="Times new roman"/>
          <w:i/>
          <w:iCs/>
          <w:lang w:val="en-US"/>
        </w:rPr>
        <w:t>Philosophy of Science</w:t>
      </w:r>
      <w:r>
        <w:rPr>
          <w:rFonts w:ascii="Times new roman" w:hAnsi="Times new roman"/>
          <w:lang w:val="en-US"/>
        </w:rPr>
        <w:t xml:space="preserve"> 76 (5): 737–49.</w:t>
      </w:r>
    </w:p>
    <w:p>
      <w:pPr>
        <w:pStyle w:val="Normal"/>
        <w:widowControl w:val="false"/>
        <w:spacing w:lineRule="auto" w:line="480"/>
        <w:ind w:left="480" w:right="0" w:hanging="480"/>
        <w:rPr>
          <w:rFonts w:ascii="Times new roman" w:hAnsi="Times new roman"/>
        </w:rPr>
      </w:pPr>
      <w:r>
        <w:rPr>
          <w:rFonts w:ascii="Times new roman" w:hAnsi="Times new roman"/>
          <w:lang w:val="en-US"/>
        </w:rPr>
        <w:t>———</w:t>
      </w:r>
      <w:r>
        <w:rPr>
          <w:rFonts w:ascii="Times new roman" w:hAnsi="Times new roman"/>
          <w:lang w:val="en-US"/>
        </w:rPr>
        <w:t xml:space="preserve">. 2012. “Introduction: Making Sense of Data-Driven Research in the Biological and Biomedical Sciences.” </w:t>
      </w:r>
      <w:r>
        <w:rPr>
          <w:rFonts w:ascii="Times new roman" w:hAnsi="Times new roman"/>
          <w:i/>
          <w:iCs/>
          <w:lang w:val="en-US"/>
        </w:rPr>
        <w:t>Studies in the History and the Philosophy of the Biological and Biomedical Sciences: Part C</w:t>
      </w:r>
      <w:r>
        <w:rPr>
          <w:rFonts w:ascii="Times new roman" w:hAnsi="Times new roman"/>
          <w:lang w:val="en-US"/>
        </w:rPr>
        <w:t xml:space="preserve"> 43 (1): 1–3. https://doi.org/10.1016/j.shpsc.2011.10.001.</w:t>
      </w:r>
    </w:p>
    <w:p>
      <w:pPr>
        <w:pStyle w:val="Normal"/>
        <w:widowControl w:val="false"/>
        <w:spacing w:lineRule="auto" w:line="480"/>
        <w:ind w:left="480" w:right="0" w:hanging="480"/>
        <w:rPr>
          <w:rFonts w:ascii="Times new roman" w:hAnsi="Times new roman"/>
        </w:rPr>
      </w:pPr>
      <w:r>
        <w:rPr>
          <w:rFonts w:ascii="Times new roman" w:hAnsi="Times new roman"/>
          <w:lang w:val="en-US"/>
        </w:rPr>
        <w:t>———</w:t>
      </w:r>
      <w:r>
        <w:rPr>
          <w:rFonts w:ascii="Times new roman" w:hAnsi="Times new roman"/>
          <w:lang w:val="en-US"/>
        </w:rPr>
        <w:t xml:space="preserve">. 2013. “Integrating Data to Acquire New Knowledge: Three Modes of Integration in Plant Science.” </w:t>
      </w:r>
      <w:r>
        <w:rPr>
          <w:rFonts w:ascii="Times new roman" w:hAnsi="Times new roman"/>
          <w:i/>
          <w:iCs/>
          <w:lang w:val="en-US"/>
        </w:rPr>
        <w:t>Studies in History and Philosophy of Science Part C</w:t>
      </w:r>
      <w:r>
        <w:rPr>
          <w:rFonts w:cs="Times New Roman" w:ascii="Times new roman" w:hAnsi="Times new roman"/>
          <w:i/>
          <w:iCs/>
          <w:lang w:val="en-US"/>
        </w:rPr>
        <w:t> </w:t>
      </w:r>
      <w:r>
        <w:rPr>
          <w:rFonts w:ascii="Times new roman" w:hAnsi="Times new roman"/>
          <w:i/>
          <w:iCs/>
          <w:lang w:val="en-US"/>
        </w:rPr>
        <w:t>:Studies in History and Philosophy of Biological and Biomedical Sciences</w:t>
      </w:r>
      <w:r>
        <w:rPr>
          <w:rFonts w:ascii="Times new roman" w:hAnsi="Times new roman"/>
          <w:lang w:val="en-US"/>
        </w:rPr>
        <w:t xml:space="preserve"> 44 (4). Elsevier Ltd: 503–14. https://doi.org/10.1016/j.shpsc.2013.03.020.</w:t>
      </w:r>
    </w:p>
    <w:p>
      <w:pPr>
        <w:pStyle w:val="Normal"/>
        <w:widowControl w:val="false"/>
        <w:spacing w:lineRule="auto" w:line="480"/>
        <w:ind w:left="480" w:right="0" w:hanging="480"/>
        <w:rPr>
          <w:rFonts w:ascii="Times new roman" w:hAnsi="Times new roman"/>
        </w:rPr>
      </w:pPr>
      <w:r>
        <w:rPr>
          <w:rFonts w:ascii="Times new roman" w:hAnsi="Times new roman"/>
          <w:lang w:val="en-US"/>
        </w:rPr>
        <w:t>———</w:t>
      </w:r>
      <w:r>
        <w:rPr>
          <w:rFonts w:ascii="Times new roman" w:hAnsi="Times new roman"/>
          <w:lang w:val="en-US"/>
        </w:rPr>
        <w:t xml:space="preserve">. 2015. “What Counts as Scientific Data? A Relational Framework.” </w:t>
      </w:r>
      <w:r>
        <w:rPr>
          <w:rFonts w:ascii="Times new roman" w:hAnsi="Times new roman"/>
          <w:i/>
          <w:iCs/>
          <w:lang w:val="en-US"/>
        </w:rPr>
        <w:t>Philosophy of Science</w:t>
      </w:r>
      <w:r>
        <w:rPr>
          <w:rFonts w:ascii="Times new roman" w:hAnsi="Times new roman"/>
          <w:lang w:val="en-US"/>
        </w:rPr>
        <w:t xml:space="preserve"> 82 (5): 1–11.</w:t>
      </w:r>
    </w:p>
    <w:p>
      <w:pPr>
        <w:pStyle w:val="Normal"/>
        <w:widowControl w:val="false"/>
        <w:spacing w:lineRule="auto" w:line="480"/>
        <w:ind w:left="480" w:right="0" w:hanging="480"/>
        <w:rPr>
          <w:rFonts w:ascii="Times new roman" w:hAnsi="Times new roman"/>
        </w:rPr>
      </w:pPr>
      <w:r>
        <w:rPr>
          <w:rFonts w:ascii="Times new roman" w:hAnsi="Times new roman"/>
          <w:lang w:val="en-US"/>
        </w:rPr>
        <w:t>———</w:t>
      </w:r>
      <w:r>
        <w:rPr>
          <w:rFonts w:ascii="Times new roman" w:hAnsi="Times new roman"/>
          <w:lang w:val="en-US"/>
        </w:rPr>
        <w:t xml:space="preserve">. 2016. </w:t>
      </w:r>
      <w:r>
        <w:rPr>
          <w:rFonts w:ascii="Times new roman" w:hAnsi="Times new roman"/>
          <w:i/>
          <w:iCs/>
          <w:lang w:val="en-US"/>
        </w:rPr>
        <w:t>Data-Centric Biology: A Philosophical Study</w:t>
      </w:r>
      <w:r>
        <w:rPr>
          <w:rFonts w:ascii="Times new roman" w:hAnsi="Times new roman"/>
          <w:lang w:val="en-US"/>
        </w:rPr>
        <w:t>. University of Chicago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Massimi, Michela. 2012. “Scientific Perspectivism and Its Foes.” </w:t>
      </w:r>
      <w:r>
        <w:rPr>
          <w:rFonts w:ascii="Times new roman" w:hAnsi="Times new roman"/>
          <w:i/>
          <w:iCs/>
          <w:lang w:val="en-US"/>
        </w:rPr>
        <w:t>Philosophica</w:t>
      </w:r>
      <w:r>
        <w:rPr>
          <w:rFonts w:ascii="Times new roman" w:hAnsi="Times new roman"/>
          <w:lang w:val="en-US"/>
        </w:rPr>
        <w:t xml:space="preserve"> 84: 25–52.</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Parker, Wendy. 2015. “Computer Simulation, Measurement, and Data Assimilation.” </w:t>
      </w:r>
      <w:r>
        <w:rPr>
          <w:rFonts w:ascii="Times new roman" w:hAnsi="Times new roman"/>
          <w:i/>
          <w:iCs/>
          <w:lang w:val="en-US"/>
        </w:rPr>
        <w:t>The British Journal for the Philosophy of Science</w:t>
      </w:r>
      <w:r>
        <w:rPr>
          <w:rFonts w:ascii="Times new roman" w:hAnsi="Times new roman"/>
          <w:lang w:val="en-US"/>
        </w:rPr>
        <w:t xml:space="preserve"> 68 (1): 273–304.</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Pickering, Andrew. 1992. </w:t>
      </w:r>
      <w:r>
        <w:rPr>
          <w:rFonts w:ascii="Times new roman" w:hAnsi="Times new roman"/>
          <w:i/>
          <w:iCs/>
          <w:lang w:val="en-US"/>
        </w:rPr>
        <w:t>Science as Practice and Culture</w:t>
      </w:r>
      <w:r>
        <w:rPr>
          <w:rFonts w:ascii="Times new roman" w:hAnsi="Times new roman"/>
          <w:lang w:val="en-US"/>
        </w:rPr>
        <w:t>. University of Chicago Press.</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Rheinberger, Hans-Jörg. 2011. “Infra-Experimentality: From Traces to Data, from Data to Patterning Facts.” </w:t>
      </w:r>
      <w:r>
        <w:rPr>
          <w:rFonts w:ascii="Times new roman" w:hAnsi="Times new roman"/>
          <w:i/>
          <w:iCs/>
          <w:lang w:val="en-US"/>
        </w:rPr>
        <w:t>History of Science</w:t>
      </w:r>
      <w:r>
        <w:rPr>
          <w:rFonts w:ascii="Times new roman" w:hAnsi="Times new roman"/>
          <w:lang w:val="en-US"/>
        </w:rPr>
        <w:t xml:space="preserve"> 49 (3). SAGE Publications Sage UK: London, England: 337–48.</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Schindler, Samuel. 2011. “Bogen and Woodward’s Data-Phenomena Distinction, Forms of Theory-Ladenness, and the Reliability of Data.” </w:t>
      </w:r>
      <w:r>
        <w:rPr>
          <w:rFonts w:ascii="Times new roman" w:hAnsi="Times new roman"/>
          <w:i/>
          <w:iCs/>
          <w:lang w:val="en-US"/>
        </w:rPr>
        <w:t>Synthese</w:t>
      </w:r>
      <w:r>
        <w:rPr>
          <w:rFonts w:ascii="Times new roman" w:hAnsi="Times new roman"/>
          <w:lang w:val="en-US"/>
        </w:rPr>
        <w:t xml:space="preserve"> 182 (1). Springer: 39–55.</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Shannon, Claude Elwood. 1948. “A Mathematical Theory of Communication.” </w:t>
      </w:r>
      <w:r>
        <w:rPr>
          <w:rFonts w:ascii="Times new roman" w:hAnsi="Times new roman"/>
          <w:i/>
          <w:iCs/>
          <w:lang w:val="en-US"/>
        </w:rPr>
        <w:t>Bell System Technical Journal</w:t>
      </w:r>
      <w:r>
        <w:rPr>
          <w:rFonts w:ascii="Times new roman" w:hAnsi="Times new roman"/>
          <w:lang w:val="en-US"/>
        </w:rPr>
        <w:t xml:space="preserve"> 27 (3). Wiley Online Library: 379–423.</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Strasser, Bruno J. 2012. “Data-Driven Sciences: From Wonder Cabinets to Electronic Databases.” </w:t>
      </w:r>
      <w:r>
        <w:rPr>
          <w:rFonts w:ascii="Times new roman" w:hAnsi="Times new roman"/>
          <w:i/>
          <w:iCs/>
          <w:lang w:val="en-US"/>
        </w:rPr>
        <w:t>Studies in History and Philosophy of Science Part C: Studies in History and Philosophy of Biological and Biomedical Sciences</w:t>
      </w:r>
      <w:r>
        <w:rPr>
          <w:rFonts w:ascii="Times new roman" w:hAnsi="Times new roman"/>
          <w:lang w:val="en-US"/>
        </w:rPr>
        <w:t xml:space="preserve"> 43 (1). Pergamon: 85–87.</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Suarez, Mauricio. 2010. “Scientific Representation.” </w:t>
      </w:r>
      <w:r>
        <w:rPr>
          <w:rFonts w:ascii="Times new roman" w:hAnsi="Times new roman"/>
          <w:i/>
          <w:iCs/>
          <w:lang w:val="en-US"/>
        </w:rPr>
        <w:t>Philosophy Compass</w:t>
      </w:r>
      <w:r>
        <w:rPr>
          <w:rFonts w:ascii="Times new roman" w:hAnsi="Times new roman"/>
          <w:lang w:val="en-US"/>
        </w:rPr>
        <w:t xml:space="preserve"> 1 (5): 91–101.</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Suárez, Mauricio. 2004. “An Inferential Conception of Scientific Representation.” </w:t>
      </w:r>
      <w:r>
        <w:rPr>
          <w:rFonts w:ascii="Times new roman" w:hAnsi="Times new roman"/>
          <w:i/>
          <w:iCs/>
          <w:lang w:val="en-US"/>
        </w:rPr>
        <w:t>Philosophy of Science</w:t>
      </w:r>
      <w:r>
        <w:rPr>
          <w:rFonts w:ascii="Times new roman" w:hAnsi="Times new roman"/>
          <w:lang w:val="en-US"/>
        </w:rPr>
        <w:t xml:space="preserve"> 71 (5). The University of Chicago Press: 767–79.</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Tal, Eran. 2014. “Making Time: A Study in the Epistemology of Measurement.” </w:t>
      </w:r>
      <w:r>
        <w:rPr>
          <w:rFonts w:ascii="Times new roman" w:hAnsi="Times new roman"/>
          <w:i/>
          <w:iCs/>
          <w:lang w:val="en-US"/>
        </w:rPr>
        <w:t>The British Journal for the Philosophy of Science</w:t>
      </w:r>
      <w:r>
        <w:rPr>
          <w:rFonts w:ascii="Times new roman" w:hAnsi="Times new roman"/>
          <w:lang w:val="en-US"/>
        </w:rPr>
        <w:t xml:space="preserve"> 67 (1). Oxford University Press: 297–335.</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Thorsett, Stephen Erik. 1992. “Identification of the Pulsar PSR1509—58 with the ‘guest Star’ of AD 185.” </w:t>
      </w:r>
      <w:r>
        <w:rPr>
          <w:rFonts w:ascii="Times new roman" w:hAnsi="Times new roman"/>
          <w:i/>
          <w:iCs/>
          <w:lang w:val="en-US"/>
        </w:rPr>
        <w:t>Nature</w:t>
      </w:r>
      <w:r>
        <w:rPr>
          <w:rFonts w:ascii="Times new roman" w:hAnsi="Times new roman"/>
          <w:lang w:val="en-US"/>
        </w:rPr>
        <w:t xml:space="preserve"> 355: 717–19.</w:t>
      </w:r>
    </w:p>
    <w:p>
      <w:pPr>
        <w:pStyle w:val="Normal"/>
        <w:widowControl w:val="false"/>
        <w:spacing w:lineRule="auto" w:line="480"/>
        <w:ind w:left="480" w:right="0" w:hanging="480"/>
        <w:rPr>
          <w:rFonts w:ascii="Times new roman" w:hAnsi="Times new roman"/>
        </w:rPr>
      </w:pPr>
      <w:r>
        <w:rPr>
          <w:rFonts w:ascii="Times new roman" w:hAnsi="Times new roman"/>
          <w:lang w:val="en-US"/>
        </w:rPr>
        <w:t xml:space="preserve">Woodward, James. 2010. “Data, Phenomena, Signal, and Noise.” </w:t>
      </w:r>
      <w:r>
        <w:rPr>
          <w:rFonts w:ascii="Times new roman" w:hAnsi="Times new roman"/>
          <w:i/>
          <w:iCs/>
          <w:lang w:val="en-US"/>
        </w:rPr>
        <w:t>Philosophy of Science</w:t>
      </w:r>
      <w:r>
        <w:rPr>
          <w:rFonts w:ascii="Times new roman" w:hAnsi="Times new roman"/>
          <w:lang w:val="en-US"/>
        </w:rPr>
        <w:t xml:space="preserve"> 77: 792–803.</w:t>
      </w:r>
    </w:p>
    <w:p>
      <w:pPr>
        <w:pStyle w:val="Normal"/>
        <w:widowControl w:val="false"/>
        <w:spacing w:lineRule="auto" w:line="480"/>
        <w:ind w:left="480" w:right="0" w:hanging="480"/>
        <w:rPr>
          <w:rFonts w:ascii="Times new roman" w:hAnsi="Times new roman"/>
        </w:rPr>
      </w:pPr>
      <w:r>
        <w:rPr>
          <w:rFonts w:ascii="Times new roman" w:hAnsi="Times new roman"/>
        </w:rPr>
      </w:r>
    </w:p>
    <w:sectPr>
      <w:headerReference w:type="default" r:id="rId2"/>
      <w:footerReference w:type="default" r:id="rId3"/>
      <w:footnotePr>
        <w:numFmt w:val="decimal"/>
      </w:footnotePr>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aramond">
    <w:charset w:val="01"/>
    <w:family w:val="roman"/>
    <w:pitch w:val="variable"/>
  </w:font>
  <w:font w:name="Lucida Grande">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default"/>
  </w:font>
  <w:font w:name="Times new roma">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pPr>
    <w:r>
      <w:rPr/>
      <mc:AlternateContent>
        <mc:Choice Requires="wps">
          <w:drawing>
            <wp:anchor behindDoc="1" distT="0" distB="0" distL="0" distR="0" simplePos="0" locked="0" layoutInCell="1" allowOverlap="1" relativeHeight="32">
              <wp:simplePos x="0" y="0"/>
              <wp:positionH relativeFrom="margin">
                <wp:align>right</wp:align>
              </wp:positionH>
              <wp:positionV relativeFrom="paragraph">
                <wp:posOffset>635</wp:posOffset>
              </wp:positionV>
              <wp:extent cx="197485" cy="180975"/>
              <wp:effectExtent l="0" t="0" r="0" b="0"/>
              <wp:wrapSquare wrapText="largest"/>
              <wp:docPr id="1" name="Frame1"/>
              <a:graphic xmlns:a="http://schemas.openxmlformats.org/drawingml/2006/main">
                <a:graphicData uri="http://schemas.microsoft.com/office/word/2010/wordprocessingShape">
                  <wps:wsp>
                    <wps:cNvSpPr/>
                    <wps:spPr>
                      <a:xfrm>
                        <a:off x="0" y="0"/>
                        <a:ext cx="196920" cy="180360"/>
                      </a:xfrm>
                      <a:prstGeom prst="rect">
                        <a:avLst/>
                      </a:prstGeom>
                      <a:noFill/>
                      <a:ln>
                        <a:noFill/>
                      </a:ln>
                    </wps:spPr>
                    <wps:style>
                      <a:lnRef idx="0"/>
                      <a:fillRef idx="0"/>
                      <a:effectRef idx="0"/>
                      <a:fontRef idx="minor"/>
                    </wps:style>
                    <wps:txbx>
                      <w:txbxContent>
                        <w:p>
                          <w:pPr>
                            <w:pStyle w:val="Footer"/>
                            <w:rPr/>
                          </w:pPr>
                          <w:r>
                            <w:rPr>
                              <w:rStyle w:val="Pagenumber"/>
                              <w:color w:val="000000"/>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lIns="0" rIns="0" tIns="0" bIns="0">
                      <a:noAutofit/>
                    </wps:bodyPr>
                  </wps:wsp>
                </a:graphicData>
              </a:graphic>
            </wp:anchor>
          </w:drawing>
        </mc:Choice>
        <mc:Fallback>
          <w:pict>
            <v:rect id="shape_0" ID="Frame1" stroked="f" style="position:absolute;margin-left:399.75pt;margin-top:0.05pt;width:15.45pt;height:14.15pt;mso-position-horizontal:right;mso-position-horizontal-relative:margin">
              <w10:wrap type="square"/>
              <v:fill o:detectmouseclick="t" on="false"/>
              <v:stroke color="#3465a4" joinstyle="round" endcap="flat"/>
              <v:textbox>
                <w:txbxContent>
                  <w:p>
                    <w:pPr>
                      <w:pStyle w:val="Footer"/>
                      <w:rPr/>
                    </w:pPr>
                    <w:r>
                      <w:rPr>
                        <w:rStyle w:val="Pagenumber"/>
                        <w:color w:val="000000"/>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Fonts w:ascii="Times new roman" w:hAnsi="Times new roman"/>
        </w:rPr>
        <w:tab/>
      </w:r>
      <w:r>
        <w:rPr>
          <w:rFonts w:ascii="Times new roman" w:hAnsi="Times new roman"/>
        </w:rPr>
        <w:t xml:space="preserve">It is worth nothing that the representational view does not take data to be as stable as Phenomena. Woodward </w:t>
      </w:r>
      <w:bookmarkStart w:id="135" w:name="__UnoMark__9207_3335229593"/>
      <w:r>
        <w:rPr>
          <w:rFonts w:ascii="Times new roman" w:hAnsi="Times new roman"/>
          <w:position w:val="0"/>
          <w:sz w:val="24"/>
          <w:sz w:val="24"/>
          <w:vertAlign w:val="baseline"/>
        </w:rPr>
        <w:t>(2010, 793)</w:t>
      </w:r>
      <w:bookmarkEnd w:id="135"/>
      <w:r>
        <w:rPr>
          <w:rFonts w:ascii="Times new roman" w:hAnsi="Times new roman"/>
        </w:rPr>
        <w:t xml:space="preserve">⁠ notes that data are affected by local idiosyncrasies of experiment, for example. However, the causal origin remains the phenomena and any data reliably produced from that phenomena will share a shared relative stability. Also, once collected, data do not change. </w:t>
      </w:r>
    </w:p>
  </w:footnote>
  <w:footnote w:id="3">
    <w:p>
      <w:pPr>
        <w:pStyle w:val="Footnote"/>
        <w:rPr/>
      </w:pPr>
      <w:r>
        <w:rPr>
          <w:rStyle w:val="FootnoteCharacters"/>
        </w:rPr>
        <w:footnoteRef/>
      </w:r>
      <w:r>
        <w:rPr>
          <w:rStyle w:val="FootnoteCharacters"/>
          <w:rFonts w:ascii="Times new roma" w:hAnsi="Times new roma"/>
        </w:rPr>
        <w:t xml:space="preserve"> </w:t>
      </w:r>
      <w:r>
        <w:rPr>
          <w:rFonts w:ascii="Times new roman" w:hAnsi="Times new roman"/>
        </w:rPr>
        <w:t>I am grateful to an anonymous reviewer for clarifying my thinking on Leonelli’s account and help in developing this argument.</w:t>
      </w:r>
      <w:r>
        <w:rPr>
          <w:rFonts w:ascii="Times new roma" w:hAnsi="Times new roma"/>
        </w:rPr>
        <w:t xml:space="preserve"> </w:t>
      </w:r>
    </w:p>
  </w:footnote>
  <w:footnote w:id="4">
    <w:p>
      <w:pPr>
        <w:pStyle w:val="Footnote"/>
        <w:rPr/>
      </w:pPr>
      <w:r>
        <w:rPr>
          <w:rStyle w:val="FootnoteCharacters"/>
        </w:rPr>
        <w:footnoteRef/>
      </w:r>
      <w:r>
        <w:rPr>
          <w:rStyle w:val="FootnoteCharacters"/>
          <w:rFonts w:ascii="Times new roman" w:hAnsi="Times new roman"/>
        </w:rPr>
        <w:tab/>
      </w:r>
      <w:r>
        <w:rPr>
          <w:rFonts w:ascii="Times new roman" w:hAnsi="Times new roman"/>
        </w:rPr>
        <w:t xml:space="preserve">The </w:t>
      </w:r>
      <w:r>
        <w:rPr>
          <w:rFonts w:ascii="Times new roman" w:hAnsi="Times new roman"/>
        </w:rPr>
        <w:t>analysis</w:t>
      </w:r>
      <w:r>
        <w:rPr>
          <w:rFonts w:ascii="Times new roman" w:hAnsi="Times new roman"/>
        </w:rPr>
        <w:t xml:space="preserve"> defended here is entirely concerned with the scientific</w:t>
      </w:r>
      <w:r>
        <w:rPr>
          <w:rFonts w:ascii="Times new roman" w:hAnsi="Times new roman"/>
          <w:i/>
          <w:iCs/>
        </w:rPr>
        <w:t xml:space="preserve"> </w:t>
      </w:r>
      <w:r>
        <w:rPr>
          <w:rFonts w:ascii="Times new roman" w:hAnsi="Times new roman"/>
          <w:i w:val="false"/>
          <w:iCs w:val="false"/>
        </w:rPr>
        <w:t xml:space="preserve">data associated with scientific observation and experiment. There may very well be other forms of evidence, such as legal evidence used in legal systems, and other types of records </w:t>
      </w:r>
      <w:r>
        <w:rPr>
          <w:rFonts w:ascii="Times new roman" w:hAnsi="Times new roman"/>
          <w:i w:val="false"/>
          <w:iCs w:val="false"/>
        </w:rPr>
        <w:t xml:space="preserve">and </w:t>
      </w:r>
      <w:r>
        <w:rPr>
          <w:rFonts w:ascii="Times new roman" w:hAnsi="Times new roman"/>
          <w:i w:val="false"/>
          <w:iCs w:val="false"/>
        </w:rPr>
        <w:t>observation</w:t>
      </w:r>
      <w:r>
        <w:rPr>
          <w:rFonts w:ascii="Times new roman" w:hAnsi="Times new roman"/>
          <w:i w:val="false"/>
          <w:iCs w:val="false"/>
        </w:rPr>
        <w:t>s</w:t>
      </w:r>
      <w:r>
        <w:rPr>
          <w:rFonts w:ascii="Times new roman" w:hAnsi="Times new roman"/>
          <w:i w:val="false"/>
          <w:iCs w:val="false"/>
        </w:rPr>
        <w:t>; The remarks in this article are not intended to address observation, records, and evidence beyond the scientific context. There may of course be important similarities, but there will likely be important differences as well.</w:t>
      </w:r>
    </w:p>
  </w:footnote>
  <w:footnote w:id="5">
    <w:p>
      <w:pPr>
        <w:pStyle w:val="Footnote"/>
        <w:spacing w:lineRule="auto" w:line="240"/>
        <w:rPr/>
      </w:pPr>
      <w:r>
        <w:rPr>
          <w:rStyle w:val="FootnoteCharacters"/>
        </w:rPr>
        <w:footnoteRef/>
      </w:r>
      <w:r>
        <w:rPr>
          <w:rStyle w:val="FootnoteCharacters"/>
          <w:rFonts w:ascii="Times new roman" w:hAnsi="Times new roman"/>
          <w:lang w:val="en-US"/>
        </w:rPr>
        <w:tab/>
      </w:r>
      <w:r>
        <w:rPr>
          <w:rFonts w:ascii="Times new roman" w:hAnsi="Times new roman"/>
          <w:lang w:val="en-US"/>
        </w:rPr>
        <w:t xml:space="preserve">For some discussion of the issue of theory-ladenness, see for example </w:t>
      </w:r>
      <w:r>
        <w:fldChar w:fldCharType="begin"/>
      </w:r>
      <w:r>
        <w:rPr>
          <w:rFonts w:ascii="Times new roman" w:hAnsi="Times new roman"/>
        </w:rPr>
        <w:instrText>ADDIN CSL_CITATION {"citationItems":[{"id":"ITEM-1","itemData":{"author":[{"dropping-particle":"","family":"Kordig","given":"Carl R","non-dropping-particle":"","parse-names":false,"suffix":""}],"container-title":"The justification of scientific change","id":"ITEM-1","issued":{"date-parts":[["1971"]]},"page":"1-33","publisher":"Springer","title":"The Theory—Ladenness of Observation","type":"chapter"},"uris":["http://www.mendeley.com/documents/?uuid=be8267be-1c56-43a1-b6d8-717c8cfe8592"]},{"id":"ITEM-2","itemData":{"author":[{"dropping-particle":"","family":"Brewer","given":"William F","non-dropping-particle":"","parse-names":false,"suffix":""},{"dropping-particle":"","family":"Lambert","given":"Bruce L","non-dropping-particle":"","parse-names":false,"suffix":""}],"container-title":"Philosophy of Science","id":"ITEM-2","issue":"S3","issued":{"date-parts":[["2001"]]},"page":"S176--S186","publisher":"University of Chicago Press","title":"The theory-ladenness of observation and the theory-ladenness of the rest of the scientific process","type":"article-journal","volume":"68"},"uris":["http://www.mendeley.com/documents/?uuid=a60b8634-c9e3-4246-ac7c-7a641ce7dcd0"]},{"id":"ITEM-3","itemData":{"author":[{"dropping-particle":"","family":"Schindler","given":"Samuel","non-dropping-particle":"","parse-names":false,"suffix":""}],"container-title":"Synthese","id":"ITEM-3","issue":"1","issued":{"date-parts":[["2011"]]},"page":"39-55","publisher":"Springer","title":"Bogen and Woodward’s data-phenomena distinction, forms of theory-ladenness, and the reliability of data","type":"article-journal","volume":"182"},"uris":["http://www.mendeley.com/documents/?uuid=01e19ca1-c2c6-4ea7-b6ed-957ab4e2e283"]}],"mendeley":{"formattedCitation":"(Kordig 1971; Brewer and Lambert 2001; Schindler 2011)","plainTextFormattedCitation":"(Kordig 1971; Brewer and Lambert 2001; Schindler 2011)","previouslyFormattedCitation":"(Kordig 1971; Brewer and Lambert 2001; Schindler 2011)"},"properties":{"noteIndex":0},"schema":"https://github.com/citation-style-language/schema/raw/master/csl-citation.json"}</w:instrText>
      </w:r>
      <w:r>
        <w:rPr>
          <w:rFonts w:ascii="Times new roman" w:hAnsi="Times new roman"/>
        </w:rPr>
        <w:fldChar w:fldCharType="separate"/>
      </w:r>
      <w:bookmarkStart w:id="136" w:name="__Fieldmark__1099_125382087"/>
      <w:r>
        <w:rPr>
          <w:rFonts w:ascii="Times new roman" w:hAnsi="Times new roman"/>
        </w:rPr>
      </w:r>
      <w:r>
        <w:rPr>
          <w:rFonts w:ascii="Times new roman" w:hAnsi="Times new roman"/>
        </w:rPr>
      </w:r>
      <w:r>
        <w:rPr>
          <w:rFonts w:ascii="Times new roman" w:hAnsi="Times new roman"/>
        </w:rPr>
        <w:fldChar w:fldCharType="end"/>
      </w:r>
      <w:bookmarkStart w:id="137" w:name="__Fieldmark__977_423805334"/>
      <w:bookmarkStart w:id="138" w:name="__Fieldmark__2948_4042349503"/>
      <w:bookmarkStart w:id="139" w:name="__Fieldmark__863_1054606512"/>
      <w:bookmarkStart w:id="140" w:name="__Fieldmark__1442_3335229593"/>
      <w:bookmarkStart w:id="141" w:name="__Fieldmark__858_3398287000"/>
      <w:bookmarkEnd w:id="136"/>
      <w:bookmarkEnd w:id="137"/>
      <w:bookmarkEnd w:id="138"/>
      <w:bookmarkEnd w:id="139"/>
      <w:bookmarkEnd w:id="140"/>
      <w:bookmarkEnd w:id="141"/>
      <w:r>
        <w:rPr>
          <w:rFonts w:ascii="Times new roman" w:hAnsi="Times new roman"/>
          <w:lang w:val="en-US"/>
        </w:rPr>
        <w:t>(Kordig 1971; Brewer and Lambert 2001; Schindler 2011)</w:t>
      </w:r>
    </w:p>
  </w:footnote>
  <w:footnote w:id="6">
    <w:p>
      <w:pPr>
        <w:pStyle w:val="Footnote"/>
        <w:rPr/>
      </w:pPr>
      <w:r>
        <w:rPr>
          <w:rStyle w:val="FootnoteCharacters"/>
        </w:rPr>
        <w:footnoteRef/>
      </w:r>
      <w:r>
        <w:rPr>
          <w:rStyle w:val="FootnoteCharacters"/>
          <w:rFonts w:ascii="Times new roman" w:hAnsi="Times new roman"/>
        </w:rPr>
        <w:tab/>
      </w:r>
      <w:r>
        <w:rPr>
          <w:rFonts w:ascii="Times new roman" w:hAnsi="Times new roman"/>
        </w:rPr>
        <w:t xml:space="preserve">Woodward </w:t>
      </w:r>
      <w:bookmarkStart w:id="142" w:name="__UnoMark__9203_3335229593"/>
      <w:r>
        <w:rPr>
          <w:rFonts w:ascii="Times new roman" w:hAnsi="Times new roman"/>
          <w:position w:val="0"/>
          <w:sz w:val="24"/>
          <w:sz w:val="24"/>
          <w:vertAlign w:val="baseline"/>
        </w:rPr>
        <w:t>(2011, 166; 1989, 393–94)</w:t>
      </w:r>
      <w:bookmarkEnd w:id="142"/>
      <w:r>
        <w:rPr>
          <w:rFonts w:ascii="Times new roman" w:hAnsi="Times new roman"/>
          <w:position w:val="0"/>
          <w:sz w:val="24"/>
          <w:sz w:val="24"/>
          <w:vertAlign w:val="baseline"/>
        </w:rPr>
        <w:t xml:space="preserve"> and Bogen and Woodward </w:t>
      </w:r>
      <w:bookmarkStart w:id="143" w:name="__UnoMark__9204_3335229593"/>
      <w:r>
        <w:rPr>
          <w:rFonts w:ascii="Times new roman" w:hAnsi="Times new roman"/>
          <w:position w:val="0"/>
          <w:sz w:val="24"/>
          <w:sz w:val="24"/>
          <w:vertAlign w:val="baseline"/>
        </w:rPr>
        <w:t>(1988, 305)</w:t>
      </w:r>
      <w:bookmarkEnd w:id="143"/>
      <w:r>
        <w:rPr>
          <w:rFonts w:ascii="Times new roman" w:hAnsi="Times new roman"/>
          <w:position w:val="0"/>
          <w:sz w:val="24"/>
          <w:sz w:val="24"/>
          <w:vertAlign w:val="baseline"/>
        </w:rPr>
        <w:t xml:space="preserve"> frequently make this claim.⁠</w:t>
      </w:r>
      <w:r>
        <w:rPr>
          <w:rFonts w:ascii="Times new roman" w:hAnsi="Times new roman"/>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aramond" w:hAnsi="Garamond" w:eastAsia="ＭＳ 明朝" w:cs="DejaVu Sans"/>
        <w:sz w:val="20"/>
        <w:szCs w:val="24"/>
        <w:lang w:val="en-GB" w:eastAsia="en-US" w:bidi="ar-SA"/>
      </w:rPr>
    </w:rPrDefault>
    <w:pPrDefault>
      <w:pPr/>
    </w:pPrDefault>
  </w:docDefaults>
  <w:style w:type="paragraph" w:styleId="Normal">
    <w:name w:val="Normal"/>
    <w:qFormat/>
    <w:pPr>
      <w:widowControl/>
      <w:kinsoku w:val="true"/>
      <w:overflowPunct w:val="false"/>
      <w:autoSpaceDE w:val="true"/>
      <w:bidi w:val="0"/>
      <w:jc w:val="left"/>
    </w:pPr>
    <w:rPr>
      <w:rFonts w:ascii="Garamond" w:hAnsi="Garamond" w:eastAsia="ＭＳ 明朝" w:cs="DejaVu Sans"/>
      <w:color w:val="auto"/>
      <w:kern w:val="0"/>
      <w:sz w:val="24"/>
      <w:szCs w:val="24"/>
      <w:lang w:val="en-GB" w:eastAsia="en-US" w:bidi="ar-SA"/>
    </w:rPr>
  </w:style>
  <w:style w:type="paragraph" w:styleId="Heading1">
    <w:name w:val="Heading 1"/>
    <w:basedOn w:val="Heading"/>
    <w:qFormat/>
    <w:pPr>
      <w:numPr>
        <w:ilvl w:val="0"/>
        <w:numId w:val="1"/>
      </w:numPr>
      <w:spacing w:before="240" w:after="120"/>
      <w:outlineLvl w:val="0"/>
    </w:pPr>
    <w:rPr>
      <w:b/>
      <w:bCs/>
      <w:sz w:val="36"/>
      <w:szCs w:val="36"/>
    </w:rPr>
  </w:style>
  <w:style w:type="paragraph" w:styleId="Heading2">
    <w:name w:val="Heading 2"/>
    <w:basedOn w:val="Heading"/>
    <w:qFormat/>
    <w:pPr>
      <w:numPr>
        <w:ilvl w:val="1"/>
        <w:numId w:val="1"/>
      </w:numPr>
      <w:spacing w:before="200" w:after="120"/>
      <w:outlineLvl w:val="1"/>
    </w:pPr>
    <w:rPr>
      <w:b/>
      <w:bCs/>
      <w:sz w:val="32"/>
      <w:szCs w:val="32"/>
    </w:rPr>
  </w:style>
  <w:style w:type="character" w:styleId="DefaultParagraphFont">
    <w:name w:val="Default Paragraph Font"/>
    <w:qFormat/>
    <w:rPr/>
  </w:style>
  <w:style w:type="character" w:styleId="FootnoteTextChar">
    <w:name w:val="Footnote Text Char"/>
    <w:basedOn w:val="DefaultParagraphFont"/>
    <w:qFormat/>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8"/>
      <w:szCs w:val="18"/>
    </w:rPr>
  </w:style>
  <w:style w:type="character" w:styleId="CommentTextChar">
    <w:name w:val="Comment Text Char"/>
    <w:basedOn w:val="DefaultParagraphFont"/>
    <w:qFormat/>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Lucida Grande" w:hAnsi="Lucida Grande" w:cs="Lucida Grande"/>
      <w:sz w:val="18"/>
      <w:szCs w:val="18"/>
    </w:rPr>
  </w:style>
  <w:style w:type="character" w:styleId="Pagenumber">
    <w:name w:val="page number"/>
    <w:basedOn w:val="DefaultParagraphFont"/>
    <w:qFormat/>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EndnoteCharacters">
    <w:name w:val="Endnote Characters"/>
    <w:basedOn w:val="DefaultParagraphFont"/>
    <w:qFormat/>
    <w:rPr>
      <w:vertAlign w:val="superscript"/>
    </w:rPr>
  </w:style>
  <w:style w:type="character" w:styleId="EndnoteAnchor">
    <w:name w:val="Endnote Anchor"/>
    <w:rPr>
      <w:vertAlign w:val="superscrip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pPr/>
    <w:rPr/>
  </w:style>
  <w:style w:type="paragraph" w:styleId="NormalWeb">
    <w:name w:val="Normal (Web)"/>
    <w:basedOn w:val="Normal"/>
    <w:qFormat/>
    <w:pPr>
      <w:spacing w:before="280" w:after="280"/>
    </w:pPr>
    <w:rPr>
      <w:rFonts w:ascii="Times" w:hAnsi="Times" w:cs="Times New Roman"/>
      <w:sz w:val="20"/>
      <w:szCs w:val="2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style>
  <w:style w:type="paragraph" w:styleId="Annotationsubject">
    <w:name w:val="annotation subject"/>
    <w:basedOn w:val="Annotationtext"/>
    <w:qFormat/>
    <w:pPr/>
    <w:rPr>
      <w:b/>
      <w:bCs/>
      <w:sz w:val="20"/>
      <w:szCs w:val="20"/>
    </w:rPr>
  </w:style>
  <w:style w:type="paragraph" w:styleId="BalloonText">
    <w:name w:val="Balloon Text"/>
    <w:basedOn w:val="Normal"/>
    <w:qFormat/>
    <w:pPr/>
    <w:rPr>
      <w:rFonts w:ascii="Lucida Grande" w:hAnsi="Lucida Grande" w:cs="Lucida Grande"/>
      <w:sz w:val="18"/>
      <w:szCs w:val="18"/>
    </w:rPr>
  </w:style>
  <w:style w:type="paragraph" w:styleId="NoSpacing">
    <w:name w:val="No Spacing"/>
    <w:qFormat/>
    <w:pPr>
      <w:widowControl/>
      <w:kinsoku w:val="true"/>
      <w:overflowPunct w:val="false"/>
      <w:autoSpaceDE w:val="true"/>
      <w:bidi w:val="0"/>
      <w:jc w:val="left"/>
    </w:pPr>
    <w:rPr>
      <w:rFonts w:ascii="Garamond" w:hAnsi="Garamond" w:eastAsia="ＭＳ 明朝" w:cs="DejaVu Sans"/>
      <w:color w:val="auto"/>
      <w:kern w:val="0"/>
      <w:sz w:val="24"/>
      <w:szCs w:val="24"/>
      <w:lang w:val="en-GB" w:eastAsia="en-US" w:bidi="ar-SA"/>
    </w:rPr>
  </w:style>
  <w:style w:type="paragraph" w:styleId="Revision">
    <w:name w:val="Revision"/>
    <w:qFormat/>
    <w:pPr>
      <w:widowControl/>
      <w:kinsoku w:val="true"/>
      <w:overflowPunct w:val="false"/>
      <w:autoSpaceDE w:val="true"/>
      <w:bidi w:val="0"/>
      <w:jc w:val="left"/>
    </w:pPr>
    <w:rPr>
      <w:rFonts w:ascii="Garamond" w:hAnsi="Garamond" w:eastAsia="ＭＳ 明朝" w:cs="DejaVu Sans"/>
      <w:color w:val="auto"/>
      <w:kern w:val="0"/>
      <w:sz w:val="24"/>
      <w:szCs w:val="24"/>
      <w:lang w:val="en-GB" w:eastAsia="en-US" w:bidi="ar-SA"/>
    </w:rPr>
  </w:style>
  <w:style w:type="paragraph" w:styleId="FrameContents">
    <w:name w:val="Frame Contents"/>
    <w:basedOn w:val="Normal"/>
    <w:qFormat/>
    <w:pPr/>
    <w:rPr/>
  </w:style>
  <w:style w:type="paragraph" w:styleId="Quotations">
    <w:name w:val="Quotations"/>
    <w:basedOn w:val="Normal"/>
    <w:qFormat/>
    <w:pPr>
      <w:spacing w:before="0" w:after="283"/>
      <w:ind w:left="567" w:right="567" w:hanging="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6215</TotalTime>
  <Application>LibreOffice/6.3.5.2$Linux_X86_64 LibreOffice_project/30$Build-2</Application>
  <Pages>31</Pages>
  <Words>8870</Words>
  <Characters>46373</Characters>
  <CharactersWithSpaces>55031</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2019-03-31T11:37:00Z</dcterms:created>
  <dc:creator>Franklin Jacoby</dc:creator>
  <dc:description/>
  <dc:language>en-US</dc:language>
  <cp:lastModifiedBy/>
  <cp:lastPrinted>2018-11-07T14:42:00Z</cp:lastPrinted>
  <dcterms:modified xsi:type="dcterms:W3CDTF">2020-08-02T06:21:11Z</dcterms:modified>
  <cp:revision>162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Citation Style_1">
    <vt:lpwstr>http://www.zotero.org/styles/chicago-author-date</vt:lpwstr>
  </property>
  <property fmtid="{D5CDD505-2E9C-101B-9397-08002B2CF9AE}" pid="7" name="Mendeley Document_1">
    <vt:lpwstr>True</vt:lpwstr>
  </property>
  <property fmtid="{D5CDD505-2E9C-101B-9397-08002B2CF9AE}" pid="8" name="Mendeley Recent Style Id 0_1">
    <vt:lpwstr>http://www.zotero.org/styles/apa</vt:lpwstr>
  </property>
  <property fmtid="{D5CDD505-2E9C-101B-9397-08002B2CF9AE}" pid="9" name="Mendeley Recent Style Id 1_1">
    <vt:lpwstr>http://csl.mendeley.com/styles/25059341/UniversityofChicago</vt:lpwstr>
  </property>
  <property fmtid="{D5CDD505-2E9C-101B-9397-08002B2CF9AE}" pid="10" name="Mendeley Recent Style Id 2_1">
    <vt:lpwstr>http://csl.mendeley.com/styles/25059341/apa</vt:lpwstr>
  </property>
  <property fmtid="{D5CDD505-2E9C-101B-9397-08002B2CF9AE}" pid="11" name="Mendeley Recent Style Id 3_1">
    <vt:lpwstr>http://csl.mendeley.com/styles/25059341/CHICAGO</vt:lpwstr>
  </property>
  <property fmtid="{D5CDD505-2E9C-101B-9397-08002B2CF9AE}" pid="12" name="Mendeley Recent Style Id 4_1">
    <vt:lpwstr>http://www.zotero.org/styles/chicago-fullnote-bibliography</vt:lpwstr>
  </property>
  <property fmtid="{D5CDD505-2E9C-101B-9397-08002B2CF9AE}" pid="13" name="Mendeley Recent Style Id 5_1">
    <vt:lpwstr>http://www.zotero.org/styles/chicago-note-bibliography</vt:lpwstr>
  </property>
  <property fmtid="{D5CDD505-2E9C-101B-9397-08002B2CF9AE}" pid="14" name="Mendeley Recent Style Id 6_1">
    <vt:lpwstr>http://www.zotero.org/styles/chicago-author-date</vt:lpwstr>
  </property>
  <property fmtid="{D5CDD505-2E9C-101B-9397-08002B2CF9AE}" pid="15" name="Mendeley Recent Style Id 7_1">
    <vt:lpwstr>http://csl.mendeley.com/styles/25059341/chicago-author-date</vt:lpwstr>
  </property>
  <property fmtid="{D5CDD505-2E9C-101B-9397-08002B2CF9AE}" pid="16" name="Mendeley Recent Style Id 8_1">
    <vt:lpwstr>http://www.zotero.org/styles/journal-of-retailing</vt:lpwstr>
  </property>
  <property fmtid="{D5CDD505-2E9C-101B-9397-08002B2CF9AE}" pid="17" name="Mendeley Recent Style Id 9_1">
    <vt:lpwstr>http://www.zotero.org/styles/the-british-journal-for-the-philosophy-of-science</vt:lpwstr>
  </property>
  <property fmtid="{D5CDD505-2E9C-101B-9397-08002B2CF9AE}" pid="18" name="Mendeley Recent Style Name 0_1">
    <vt:lpwstr>American Psychological Association 6th edition</vt:lpwstr>
  </property>
  <property fmtid="{D5CDD505-2E9C-101B-9397-08002B2CF9AE}" pid="19" name="Mendeley Recent Style Name 1_1">
    <vt:lpwstr>American Psychological Association 6th edition - Franklin Jacoby</vt:lpwstr>
  </property>
  <property fmtid="{D5CDD505-2E9C-101B-9397-08002B2CF9AE}" pid="20" name="Mendeley Recent Style Name 2_1">
    <vt:lpwstr>American Psychological Association 6th edition - Franklin Jacoby</vt:lpwstr>
  </property>
  <property fmtid="{D5CDD505-2E9C-101B-9397-08002B2CF9AE}" pid="21" name="Mendeley Recent Style Name 3_1">
    <vt:lpwstr>American Psychological Association 6th edition - Franklin Jacoby</vt:lpwstr>
  </property>
  <property fmtid="{D5CDD505-2E9C-101B-9397-08002B2CF9AE}" pid="22" name="Mendeley Recent Style Name 4_1">
    <vt:lpwstr>Chicago Manual of Style 16th edition (full note)</vt:lpwstr>
  </property>
  <property fmtid="{D5CDD505-2E9C-101B-9397-08002B2CF9AE}" pid="23" name="Mendeley Recent Style Name 5_1">
    <vt:lpwstr>Chicago Manual of Style 16th edition (note)</vt:lpwstr>
  </property>
  <property fmtid="{D5CDD505-2E9C-101B-9397-08002B2CF9AE}" pid="24" name="Mendeley Recent Style Name 6_1">
    <vt:lpwstr>Chicago Manual of Style 17th edition (author-date)</vt:lpwstr>
  </property>
  <property fmtid="{D5CDD505-2E9C-101B-9397-08002B2CF9AE}" pid="25" name="Mendeley Recent Style Name 7_1">
    <vt:lpwstr>Chicago Manual of Style 17th edition (author-date) - Franklin Jacoby</vt:lpwstr>
  </property>
  <property fmtid="{D5CDD505-2E9C-101B-9397-08002B2CF9AE}" pid="26" name="Mendeley Recent Style Name 8_1">
    <vt:lpwstr>Journal of Retailing</vt:lpwstr>
  </property>
  <property fmtid="{D5CDD505-2E9C-101B-9397-08002B2CF9AE}" pid="27" name="Mendeley Recent Style Name 9_1">
    <vt:lpwstr>The British Journal for the Philosophy of Science</vt:lpwstr>
  </property>
  <property fmtid="{D5CDD505-2E9C-101B-9397-08002B2CF9AE}" pid="28" name="Mendeley Unique User Id_1">
    <vt:lpwstr>3e9c72fa-f7a7-3d69-bd9b-cc3c00ea5014</vt:lpwstr>
  </property>
  <property fmtid="{D5CDD505-2E9C-101B-9397-08002B2CF9AE}" pid="29" name="ScaleCrop">
    <vt:bool>0</vt:bool>
  </property>
  <property fmtid="{D5CDD505-2E9C-101B-9397-08002B2CF9AE}" pid="30" name="ShareDoc">
    <vt:bool>0</vt:bool>
  </property>
</Properties>
</file>