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E4F" w:rsidRDefault="009B06D5">
      <w:pPr>
        <w:rPr>
          <w:b/>
          <w:bCs/>
          <w:sz w:val="36"/>
          <w:szCs w:val="36"/>
        </w:rPr>
      </w:pPr>
      <w:r w:rsidRPr="00BD6093">
        <w:rPr>
          <w:b/>
          <w:bCs/>
          <w:sz w:val="36"/>
          <w:szCs w:val="36"/>
        </w:rPr>
        <w:t>THE MATERIAL THEORY OF INDUCTION AT THE FRONTIERS OF SCIENCE</w:t>
      </w:r>
      <w:r w:rsidRPr="00BD6093">
        <w:rPr>
          <w:b/>
          <w:bCs/>
          <w:sz w:val="36"/>
          <w:szCs w:val="36"/>
        </w:rPr>
        <w:br/>
      </w:r>
    </w:p>
    <w:p w:rsidR="0000750F" w:rsidRDefault="0000750F">
      <w:pPr>
        <w:rPr>
          <w:b/>
          <w:bCs/>
          <w:szCs w:val="24"/>
        </w:rPr>
      </w:pPr>
      <w:r>
        <w:rPr>
          <w:b/>
          <w:bCs/>
          <w:szCs w:val="24"/>
        </w:rPr>
        <w:t>William Peden</w:t>
      </w:r>
    </w:p>
    <w:p w:rsidR="0000750F" w:rsidRPr="0000750F" w:rsidRDefault="0000750F">
      <w:r>
        <w:rPr>
          <w:szCs w:val="24"/>
        </w:rPr>
        <w:t xml:space="preserve">This research was funded by the European Research Council Horizon 2020 initiative, within the project </w:t>
      </w:r>
      <w:r w:rsidRPr="0000750F">
        <w:rPr>
          <w:i/>
          <w:iCs/>
          <w:szCs w:val="24"/>
        </w:rPr>
        <w:t>Philosophy of Pharmacology: Safety, Statistical standards and Evidence Amalgamation</w:t>
      </w:r>
      <w:r>
        <w:t xml:space="preserve"> grant number </w:t>
      </w:r>
      <w:r>
        <w:t>639276</w:t>
      </w:r>
    </w:p>
    <w:p w:rsidR="0000750F" w:rsidRPr="00BD6093" w:rsidRDefault="0000750F">
      <w:pPr>
        <w:rPr>
          <w:b/>
          <w:bCs/>
          <w:sz w:val="36"/>
          <w:szCs w:val="36"/>
        </w:rPr>
      </w:pPr>
    </w:p>
    <w:p w:rsidR="00586ECE" w:rsidRPr="00BD6093" w:rsidRDefault="00586ECE" w:rsidP="006413F4">
      <w:pPr>
        <w:rPr>
          <w:b/>
          <w:bCs/>
        </w:rPr>
      </w:pPr>
      <w:r w:rsidRPr="00BD6093">
        <w:rPr>
          <w:b/>
          <w:bCs/>
        </w:rPr>
        <w:t>1. Introduction</w:t>
      </w:r>
    </w:p>
    <w:p w:rsidR="006413F4" w:rsidRDefault="0051148D" w:rsidP="006413F4">
      <w:r>
        <w:br/>
      </w:r>
      <w:r>
        <w:br/>
      </w:r>
      <w:r>
        <w:tab/>
        <w:t xml:space="preserve"> A theory of induction has </w:t>
      </w:r>
      <w:r w:rsidR="0050048D">
        <w:t xml:space="preserve">many </w:t>
      </w:r>
      <w:r>
        <w:t xml:space="preserve">purposes. </w:t>
      </w:r>
      <w:r w:rsidR="008676EA">
        <w:t>It should</w:t>
      </w:r>
      <w:r w:rsidR="0076702A">
        <w:t xml:space="preserve"> </w:t>
      </w:r>
      <w:r w:rsidR="008676EA">
        <w:t>offer</w:t>
      </w:r>
      <w:r w:rsidR="0076702A">
        <w:t xml:space="preserve"> or permit </w:t>
      </w:r>
      <w:r w:rsidR="008676EA">
        <w:t>answers to general sceptical challenges to induction, or at least explain why answering these problems is unnecessary. Metaphorically, it should help us defend the heartland of science. The theory</w:t>
      </w:r>
      <w:r>
        <w:t xml:space="preserve"> should</w:t>
      </w:r>
      <w:r w:rsidR="008676EA">
        <w:t xml:space="preserve"> also</w:t>
      </w:r>
      <w:r>
        <w:t xml:space="preserve"> help us understand and evaluate inductive inferences </w:t>
      </w:r>
      <w:r w:rsidR="0050048D">
        <w:t xml:space="preserve">in everyday science. </w:t>
      </w:r>
      <w:r w:rsidR="0076702A">
        <w:t>In other words, it should help elucidate reasoning in the familiar territory of science</w:t>
      </w:r>
      <w:r>
        <w:t xml:space="preserve">. </w:t>
      </w:r>
      <w:r w:rsidR="008676EA">
        <w:t>Additionally, it should</w:t>
      </w:r>
      <w:r>
        <w:t xml:space="preserve"> </w:t>
      </w:r>
      <w:r w:rsidR="00C53EF3">
        <w:t>justify the intuitively plausible</w:t>
      </w:r>
      <w:r>
        <w:t xml:space="preserve"> inducti</w:t>
      </w:r>
      <w:r w:rsidR="002C386D">
        <w:t xml:space="preserve">ons </w:t>
      </w:r>
      <w:r w:rsidR="00C53EF3">
        <w:t>that occur</w:t>
      </w:r>
      <w:r>
        <w:t xml:space="preserve"> in</w:t>
      </w:r>
      <w:r w:rsidR="0050048D">
        <w:t xml:space="preserve"> largely</w:t>
      </w:r>
      <w:r>
        <w:t xml:space="preserve"> </w:t>
      </w:r>
      <w:r w:rsidR="0050048D">
        <w:t>unfamiliar</w:t>
      </w:r>
      <w:r w:rsidR="008676EA">
        <w:t xml:space="preserve"> (for the inductively inferring scientists)</w:t>
      </w:r>
      <w:r w:rsidR="0050048D">
        <w:t xml:space="preserve"> domains</w:t>
      </w:r>
      <w:r>
        <w:t xml:space="preserve"> where scientists’ background knowledge is exiguous</w:t>
      </w:r>
      <w:r w:rsidR="0050048D">
        <w:t>.</w:t>
      </w:r>
      <w:r>
        <w:t xml:space="preserve"> I shall call the</w:t>
      </w:r>
      <w:r w:rsidR="00CF3F23">
        <w:t xml:space="preserve">se </w:t>
      </w:r>
      <w:r w:rsidR="0050048D">
        <w:t xml:space="preserve">unfamiliar </w:t>
      </w:r>
      <w:r w:rsidR="00CF3F23">
        <w:t xml:space="preserve">domains </w:t>
      </w:r>
      <w:r w:rsidR="008676EA">
        <w:t>‘</w:t>
      </w:r>
      <w:r w:rsidR="005955F1">
        <w:t xml:space="preserve">the </w:t>
      </w:r>
      <w:r>
        <w:t>frontiers of science</w:t>
      </w:r>
      <w:r w:rsidR="008676EA">
        <w:t>’</w:t>
      </w:r>
      <w:r>
        <w:t>.</w:t>
      </w:r>
      <w:r w:rsidR="006413F4" w:rsidRPr="006413F4">
        <w:t xml:space="preserve"> </w:t>
      </w:r>
    </w:p>
    <w:p w:rsidR="006413F4" w:rsidRDefault="006413F4" w:rsidP="006413F4"/>
    <w:p w:rsidR="009B06D5" w:rsidRDefault="0051148D">
      <w:r>
        <w:tab/>
      </w:r>
      <w:r w:rsidR="00BD6093">
        <w:t xml:space="preserve">Recently, a number of philosophers have challenged </w:t>
      </w:r>
      <w:r>
        <w:t xml:space="preserve">John D. Norton’s Material Theory of Induction (MTI) </w:t>
      </w:r>
      <w:r w:rsidR="00BD6093">
        <w:t>regarding this last desideratum</w:t>
      </w:r>
      <w:r>
        <w:t xml:space="preserve">. </w:t>
      </w:r>
      <w:r w:rsidR="00547B3C">
        <w:t xml:space="preserve">Norton has raised similar problems for his own </w:t>
      </w:r>
      <w:r w:rsidR="0022078D">
        <w:t>theory</w:t>
      </w:r>
      <w:r w:rsidR="00A84CCD">
        <w:t>.</w:t>
      </w:r>
      <w:r w:rsidR="008F5AA4">
        <w:t xml:space="preserve"> </w:t>
      </w:r>
      <w:r w:rsidR="00C53EF3">
        <w:t xml:space="preserve">In this article, I shall defend the MTI from these criticisms. While the frontiers of science </w:t>
      </w:r>
      <w:r w:rsidR="0076702A">
        <w:t>have</w:t>
      </w:r>
      <w:r w:rsidR="00C53EF3">
        <w:t xml:space="preserve"> some unanswered questions for the MTI, </w:t>
      </w:r>
      <w:r w:rsidR="0050048D">
        <w:t xml:space="preserve">they pose no </w:t>
      </w:r>
      <w:r w:rsidR="00233DC3">
        <w:t>novel</w:t>
      </w:r>
      <w:r w:rsidR="0050048D">
        <w:t xml:space="preserve"> fundamental </w:t>
      </w:r>
      <w:r w:rsidR="009B2347">
        <w:t>issues</w:t>
      </w:r>
      <w:r w:rsidR="00C53EF3">
        <w:t>.</w:t>
      </w:r>
    </w:p>
    <w:p w:rsidR="00C53EF3" w:rsidRDefault="00C53EF3"/>
    <w:p w:rsidR="00C53EF3" w:rsidRPr="0051148D" w:rsidRDefault="00C53EF3">
      <w:r>
        <w:tab/>
        <w:t xml:space="preserve">In </w:t>
      </w:r>
      <w:r w:rsidR="009B2347">
        <w:t>S</w:t>
      </w:r>
      <w:r>
        <w:t xml:space="preserve">ection </w:t>
      </w:r>
      <w:r w:rsidR="00586ECE">
        <w:t>2</w:t>
      </w:r>
      <w:r>
        <w:t xml:space="preserve">, I introduce the MTI. In </w:t>
      </w:r>
      <w:r w:rsidR="009B2347">
        <w:t>S</w:t>
      </w:r>
      <w:r>
        <w:t xml:space="preserve">ection </w:t>
      </w:r>
      <w:r w:rsidR="00586ECE">
        <w:t>3</w:t>
      </w:r>
      <w:r>
        <w:t xml:space="preserve">, I explain </w:t>
      </w:r>
      <w:r w:rsidR="0076702A">
        <w:t>its alleged problems at the frontiers of science</w:t>
      </w:r>
      <w:r>
        <w:t xml:space="preserve">. In </w:t>
      </w:r>
      <w:r w:rsidR="009B2347">
        <w:t>S</w:t>
      </w:r>
      <w:r>
        <w:t xml:space="preserve">ection </w:t>
      </w:r>
      <w:r w:rsidR="00586ECE">
        <w:t>4</w:t>
      </w:r>
      <w:r w:rsidR="00D65E3D">
        <w:t>,</w:t>
      </w:r>
      <w:r>
        <w:t xml:space="preserve"> I argue that</w:t>
      </w:r>
      <w:r w:rsidR="001373ED">
        <w:t xml:space="preserve"> </w:t>
      </w:r>
      <w:r>
        <w:t xml:space="preserve">these </w:t>
      </w:r>
      <w:r w:rsidR="0076702A">
        <w:t>issues</w:t>
      </w:r>
      <w:r>
        <w:t xml:space="preserve"> can be </w:t>
      </w:r>
      <w:r w:rsidR="001373ED">
        <w:t>addressed</w:t>
      </w:r>
      <w:r>
        <w:t xml:space="preserve">. In </w:t>
      </w:r>
      <w:r w:rsidR="009B2347">
        <w:t>S</w:t>
      </w:r>
      <w:r>
        <w:t xml:space="preserve">ection </w:t>
      </w:r>
      <w:r w:rsidR="00586ECE">
        <w:t>5</w:t>
      </w:r>
      <w:r>
        <w:t xml:space="preserve">, I focus on </w:t>
      </w:r>
      <w:r w:rsidR="00D65E3D">
        <w:t>a similar</w:t>
      </w:r>
      <w:r w:rsidR="00547B3C">
        <w:t xml:space="preserve"> puzzle that Norton raises</w:t>
      </w:r>
      <w:r>
        <w:t xml:space="preserve"> for </w:t>
      </w:r>
      <w:r w:rsidR="0080206F">
        <w:t>the M</w:t>
      </w:r>
      <w:r w:rsidR="005955F1">
        <w:t>T</w:t>
      </w:r>
      <w:r w:rsidR="0080206F">
        <w:t>I</w:t>
      </w:r>
      <w:r w:rsidR="00890676">
        <w:t>, which raises several further methodological issues</w:t>
      </w:r>
      <w:r w:rsidR="00053CBE">
        <w:t xml:space="preserve"> </w:t>
      </w:r>
      <w:r w:rsidR="0080206F">
        <w:t>regarding Occam’s Razor and the Principle of Plenitude</w:t>
      </w:r>
      <w:r>
        <w:t xml:space="preserve">. </w:t>
      </w:r>
      <w:r w:rsidR="00586ECE">
        <w:t>I finish by</w:t>
      </w:r>
      <w:r>
        <w:t xml:space="preserve"> answer</w:t>
      </w:r>
      <w:r w:rsidR="00586ECE">
        <w:t>ing</w:t>
      </w:r>
      <w:r>
        <w:t xml:space="preserve"> some objections in </w:t>
      </w:r>
      <w:r w:rsidR="009B2347">
        <w:t>S</w:t>
      </w:r>
      <w:r>
        <w:t xml:space="preserve">ection </w:t>
      </w:r>
      <w:r w:rsidR="00586ECE">
        <w:t>6</w:t>
      </w:r>
      <w:r>
        <w:t>.</w:t>
      </w:r>
    </w:p>
    <w:p w:rsidR="009B06D5" w:rsidRDefault="009B06D5"/>
    <w:p w:rsidR="0000750F" w:rsidRDefault="0000750F"/>
    <w:p w:rsidR="0000750F" w:rsidRDefault="0000750F"/>
    <w:p w:rsidR="0000750F" w:rsidRDefault="0000750F"/>
    <w:p w:rsidR="0000750F" w:rsidRDefault="0000750F"/>
    <w:p w:rsidR="009B06D5" w:rsidRPr="00BD6093" w:rsidRDefault="00586ECE">
      <w:pPr>
        <w:rPr>
          <w:b/>
          <w:bCs/>
        </w:rPr>
      </w:pPr>
      <w:r w:rsidRPr="00BD6093">
        <w:rPr>
          <w:b/>
          <w:bCs/>
        </w:rPr>
        <w:lastRenderedPageBreak/>
        <w:t xml:space="preserve">2. </w:t>
      </w:r>
      <w:r w:rsidR="009B06D5" w:rsidRPr="00BD6093">
        <w:rPr>
          <w:b/>
          <w:bCs/>
        </w:rPr>
        <w:t>The Material Theory of Induction</w:t>
      </w:r>
    </w:p>
    <w:p w:rsidR="00FB35FE" w:rsidRDefault="00FB35FE"/>
    <w:p w:rsidR="008762C4" w:rsidRDefault="00586ECE" w:rsidP="008762C4">
      <w:r>
        <w:tab/>
        <w:t xml:space="preserve"> </w:t>
      </w:r>
      <w:r w:rsidR="00F85E24">
        <w:t>I shall define ‘induction’</w:t>
      </w:r>
      <w:r w:rsidR="00956C0D">
        <w:rPr>
          <w:rStyle w:val="FootnoteReference"/>
        </w:rPr>
        <w:footnoteReference w:id="1"/>
      </w:r>
      <w:r w:rsidR="00223E0F">
        <w:t xml:space="preserve"> </w:t>
      </w:r>
      <w:r w:rsidR="00F85E24">
        <w:t xml:space="preserve">as </w:t>
      </w:r>
      <w:r w:rsidR="00047089">
        <w:t xml:space="preserve">an extrapolative </w:t>
      </w:r>
      <w:r w:rsidR="00F85E24">
        <w:t>inference from an evidential proposition about some characteristics of a sample to a proposition about a</w:t>
      </w:r>
      <w:r w:rsidR="0076702A">
        <w:t xml:space="preserve"> broader</w:t>
      </w:r>
      <w:r w:rsidR="00F85E24">
        <w:t xml:space="preserve"> target population. We </w:t>
      </w:r>
      <w:r w:rsidR="00364496">
        <w:t>may</w:t>
      </w:r>
      <w:r w:rsidR="00F85E24">
        <w:t xml:space="preserve"> or </w:t>
      </w:r>
      <w:r w:rsidR="00364496">
        <w:t>may</w:t>
      </w:r>
      <w:r w:rsidR="00F85E24">
        <w:t xml:space="preserve"> not know that the sample is </w:t>
      </w:r>
      <w:r w:rsidR="0076702A">
        <w:t>part of</w:t>
      </w:r>
      <w:r w:rsidR="00F85E24">
        <w:t xml:space="preserve"> </w:t>
      </w:r>
      <w:r w:rsidR="0076702A">
        <w:t>our</w:t>
      </w:r>
      <w:r w:rsidR="005955F1">
        <w:t xml:space="preserve"> inference’s</w:t>
      </w:r>
      <w:r w:rsidR="00F85E24">
        <w:t xml:space="preserve"> target population.</w:t>
      </w:r>
      <w:r w:rsidR="004339F4">
        <w:t xml:space="preserve"> </w:t>
      </w:r>
      <w:r w:rsidR="00E0466F">
        <w:t xml:space="preserve">The extrapolations might also, in degenerate cases, not extend beyond the sample: if we infer ‘Most rooms in this building are ornate’ </w:t>
      </w:r>
      <w:r w:rsidR="005955F1">
        <w:t>from</w:t>
      </w:r>
      <w:r w:rsidR="00E0466F">
        <w:t xml:space="preserve"> observing </w:t>
      </w:r>
      <w:r w:rsidR="005955F1">
        <w:t>some</w:t>
      </w:r>
      <w:r w:rsidR="00E0466F">
        <w:t xml:space="preserve"> of the rooms</w:t>
      </w:r>
      <w:r w:rsidR="005955F1">
        <w:t xml:space="preserve"> in the building, without knowing that these rooms constitute all of the rooms,</w:t>
      </w:r>
      <w:r w:rsidR="00E0466F">
        <w:t xml:space="preserve"> we have still made an </w:t>
      </w:r>
      <w:r w:rsidR="0080206F">
        <w:t>‘</w:t>
      </w:r>
      <w:r w:rsidR="00E0466F">
        <w:t>inductive inference</w:t>
      </w:r>
      <w:r w:rsidR="0080206F">
        <w:t>’</w:t>
      </w:r>
      <w:r w:rsidR="00E0466F">
        <w:t xml:space="preserve"> in my sense</w:t>
      </w:r>
      <w:r w:rsidR="005955F1">
        <w:t>, because we did not know that our sample was exhaustive.</w:t>
      </w:r>
      <w:r w:rsidR="00754267">
        <w:br/>
      </w:r>
      <w:r w:rsidR="00754267">
        <w:br/>
      </w:r>
      <w:r w:rsidR="00754267">
        <w:tab/>
      </w:r>
      <w:r w:rsidR="005955F1">
        <w:t>In this sense of ‘induction’, its fallibility</w:t>
      </w:r>
      <w:r w:rsidR="00E0466F">
        <w:t xml:space="preserve"> consists in the logical possibility that</w:t>
      </w:r>
      <w:r w:rsidR="00364496">
        <w:t xml:space="preserve"> </w:t>
      </w:r>
      <w:r w:rsidR="00754267">
        <w:t>our sample</w:t>
      </w:r>
      <w:r w:rsidR="00364496">
        <w:t xml:space="preserve"> </w:t>
      </w:r>
      <w:r w:rsidR="005955F1">
        <w:t>may</w:t>
      </w:r>
      <w:r w:rsidR="00F85E24">
        <w:t xml:space="preserve"> not</w:t>
      </w:r>
      <w:r w:rsidR="005955F1">
        <w:t xml:space="preserve"> be</w:t>
      </w:r>
      <w:r w:rsidR="00F85E24">
        <w:t xml:space="preserve"> representative of </w:t>
      </w:r>
      <w:r w:rsidR="00E0466F">
        <w:t>our induction’s</w:t>
      </w:r>
      <w:r w:rsidR="00F85E24">
        <w:t xml:space="preserve"> target population. For example, suppose that we infer that between 98-100% of star systems have planets, based on </w:t>
      </w:r>
      <w:r w:rsidR="00E0466F">
        <w:t xml:space="preserve">combining </w:t>
      </w:r>
      <w:r w:rsidR="005955F1">
        <w:t xml:space="preserve">(a) </w:t>
      </w:r>
      <w:r w:rsidR="00F85E24">
        <w:t xml:space="preserve">astronomical reports </w:t>
      </w:r>
      <w:r w:rsidR="00754267">
        <w:t>that star systems have planets in 99% of cases where we can detect them</w:t>
      </w:r>
      <w:r w:rsidR="005955F1">
        <w:t xml:space="preserve"> with (b) our background knowledge</w:t>
      </w:r>
      <w:r w:rsidR="00F85E24">
        <w:t xml:space="preserve">. </w:t>
      </w:r>
      <w:r w:rsidR="005955F1">
        <w:t>This particular</w:t>
      </w:r>
      <w:r w:rsidR="00F85E24">
        <w:t xml:space="preserve"> induction </w:t>
      </w:r>
      <w:r w:rsidR="005955F1">
        <w:t>is fallible because</w:t>
      </w:r>
      <w:r w:rsidR="00F85E24">
        <w:t xml:space="preserve"> </w:t>
      </w:r>
      <w:r w:rsidR="0051328D">
        <w:t>the</w:t>
      </w:r>
      <w:r w:rsidR="00754267">
        <w:t xml:space="preserve"> frequency of planets in</w:t>
      </w:r>
      <w:r w:rsidR="0051328D">
        <w:t xml:space="preserve"> observed star systems</w:t>
      </w:r>
      <w:r w:rsidR="00F85E24">
        <w:t xml:space="preserve"> </w:t>
      </w:r>
      <w:r w:rsidR="005955F1">
        <w:t>may deviate</w:t>
      </w:r>
      <w:r w:rsidR="00F85E24">
        <w:t xml:space="preserve"> from </w:t>
      </w:r>
      <w:r w:rsidR="0051328D">
        <w:t xml:space="preserve">all </w:t>
      </w:r>
      <w:r w:rsidR="00F85E24">
        <w:t xml:space="preserve">star </w:t>
      </w:r>
      <w:r w:rsidR="0051328D">
        <w:t xml:space="preserve">systems </w:t>
      </w:r>
      <w:r w:rsidR="00F85E24">
        <w:t xml:space="preserve">by more than a 1% margin of error. </w:t>
      </w:r>
      <w:r w:rsidR="00F65820">
        <w:t xml:space="preserve">Given that </w:t>
      </w:r>
      <w:r w:rsidR="0080206F">
        <w:t>inductive</w:t>
      </w:r>
      <w:r w:rsidR="00F65820">
        <w:t xml:space="preserve"> reasoning is fallible and sometimes unreasonable, why are we sometimes</w:t>
      </w:r>
      <w:r w:rsidR="00BD6093">
        <w:t xml:space="preserve"> </w:t>
      </w:r>
      <w:r w:rsidR="00F65820">
        <w:t>justified in</w:t>
      </w:r>
      <w:r w:rsidR="00754267">
        <w:t xml:space="preserve"> </w:t>
      </w:r>
      <w:r w:rsidR="004D4E88">
        <w:t>mak</w:t>
      </w:r>
      <w:r w:rsidR="00F65820">
        <w:t>ing</w:t>
      </w:r>
      <w:r w:rsidR="0080206F">
        <w:t xml:space="preserve"> (tentative)</w:t>
      </w:r>
      <w:r w:rsidR="004D4E88">
        <w:t xml:space="preserve"> </w:t>
      </w:r>
      <w:r w:rsidR="00F65820">
        <w:t>inducti</w:t>
      </w:r>
      <w:r w:rsidR="0080206F">
        <w:t>ve inferences</w:t>
      </w:r>
      <w:r w:rsidR="00F85E24">
        <w:t>?</w:t>
      </w:r>
      <w:r w:rsidR="008762C4" w:rsidRPr="008762C4">
        <w:t xml:space="preserve"> </w:t>
      </w:r>
    </w:p>
    <w:p w:rsidR="008762C4" w:rsidRDefault="008762C4" w:rsidP="008762C4"/>
    <w:p w:rsidR="008762C4" w:rsidRDefault="00F85E24" w:rsidP="008762C4">
      <w:r>
        <w:tab/>
        <w:t xml:space="preserve">A </w:t>
      </w:r>
      <w:r w:rsidR="00BD6093">
        <w:t>traditional answer is that we can justifiably assume</w:t>
      </w:r>
      <w:r>
        <w:t xml:space="preserve"> </w:t>
      </w:r>
      <w:r w:rsidR="0051328D">
        <w:t>that nature is uniform</w:t>
      </w:r>
      <w:r w:rsidR="00CD77CB">
        <w:t xml:space="preserve">, so that our samples are probably representative of </w:t>
      </w:r>
      <w:r w:rsidR="008762C4">
        <w:t>the</w:t>
      </w:r>
      <w:r w:rsidR="00CD77CB">
        <w:t xml:space="preserve"> target populations</w:t>
      </w:r>
      <w:r w:rsidR="008762C4">
        <w:t xml:space="preserve"> in the induction</w:t>
      </w:r>
      <w:r w:rsidR="00BD6093">
        <w:t xml:space="preserve"> (</w:t>
      </w:r>
      <w:r w:rsidR="00522C01">
        <w:t xml:space="preserve">e.g. </w:t>
      </w:r>
      <w:r w:rsidR="00BD6093">
        <w:t xml:space="preserve">Russell, </w:t>
      </w:r>
      <w:r w:rsidR="00CD77CB">
        <w:t xml:space="preserve">1912, p. 66). However, this approach </w:t>
      </w:r>
      <w:r w:rsidR="00BD6093">
        <w:t>tackles</w:t>
      </w:r>
      <w:r w:rsidR="00CD77CB">
        <w:t xml:space="preserve"> the question from an excessive level of generality</w:t>
      </w:r>
      <w:r w:rsidR="00754267">
        <w:t>. For instance,</w:t>
      </w:r>
      <w:r w:rsidR="00CD77CB">
        <w:t xml:space="preserve"> the induction about star systems does not seem to presuppose anything about nature </w:t>
      </w:r>
      <w:r w:rsidR="00CD77CB" w:rsidRPr="00754267">
        <w:rPr>
          <w:i/>
          <w:iCs/>
        </w:rPr>
        <w:t>in general</w:t>
      </w:r>
      <w:r w:rsidR="00BD6093">
        <w:t xml:space="preserve">. </w:t>
      </w:r>
      <w:r w:rsidR="00522C01">
        <w:t>Additionally, w</w:t>
      </w:r>
      <w:r w:rsidR="00B65034">
        <w:t>e</w:t>
      </w:r>
      <w:r w:rsidR="00CD77CB">
        <w:t xml:space="preserve"> know that nature is </w:t>
      </w:r>
      <w:r w:rsidR="00CD77CB" w:rsidRPr="00B65034">
        <w:rPr>
          <w:i/>
          <w:iCs/>
        </w:rPr>
        <w:t>disuniform</w:t>
      </w:r>
      <w:r w:rsidR="00B65034">
        <w:rPr>
          <w:i/>
          <w:iCs/>
        </w:rPr>
        <w:t xml:space="preserve"> </w:t>
      </w:r>
      <w:r w:rsidR="00B65034">
        <w:t xml:space="preserve">in many respects. That is </w:t>
      </w:r>
      <w:r w:rsidR="00CD77CB">
        <w:t xml:space="preserve">why we would be sceptical of </w:t>
      </w:r>
      <w:r w:rsidR="00754267">
        <w:t>inductively inferring</w:t>
      </w:r>
      <w:r w:rsidR="00522C01">
        <w:t xml:space="preserve"> a universal generalisation </w:t>
      </w:r>
      <w:r w:rsidR="00CD77CB">
        <w:t xml:space="preserve">about the </w:t>
      </w:r>
      <w:r w:rsidR="00E32F9A">
        <w:t>plumage</w:t>
      </w:r>
      <w:r w:rsidR="00CD77CB">
        <w:t xml:space="preserve"> of a newly discovered species of bird</w:t>
      </w:r>
      <w:r w:rsidR="00754267">
        <w:t>,</w:t>
      </w:r>
      <w:r w:rsidR="00CD77CB">
        <w:t xml:space="preserve"> even if </w:t>
      </w:r>
      <w:r w:rsidR="00522C01">
        <w:t>our</w:t>
      </w:r>
      <w:r w:rsidR="00CD77CB">
        <w:t xml:space="preserve"> evidential proposition described a large</w:t>
      </w:r>
      <w:r w:rsidR="00BD6093">
        <w:t xml:space="preserve"> and </w:t>
      </w:r>
      <w:r w:rsidR="00B65034">
        <w:t>meticulously</w:t>
      </w:r>
      <w:r w:rsidR="00BD6093">
        <w:t xml:space="preserve"> selected</w:t>
      </w:r>
      <w:r w:rsidR="00CD77CB">
        <w:t xml:space="preserve"> sample</w:t>
      </w:r>
      <w:r w:rsidR="00754267">
        <w:t xml:space="preserve"> from that species.</w:t>
      </w:r>
    </w:p>
    <w:p w:rsidR="008762C4" w:rsidRDefault="008762C4" w:rsidP="008762C4"/>
    <w:p w:rsidR="008762C4" w:rsidRDefault="00CD77CB" w:rsidP="008762C4">
      <w:r>
        <w:tab/>
        <w:t xml:space="preserve">A more plausible </w:t>
      </w:r>
      <w:r w:rsidR="00BD6093">
        <w:t>answer</w:t>
      </w:r>
      <w:r>
        <w:t xml:space="preserve"> says that in </w:t>
      </w:r>
      <w:r>
        <w:rPr>
          <w:i/>
          <w:iCs/>
        </w:rPr>
        <w:t>some</w:t>
      </w:r>
      <w:r>
        <w:t xml:space="preserve"> cases we have background knowledge of local uniformities</w:t>
      </w:r>
      <w:r w:rsidR="00522C01">
        <w:t xml:space="preserve">. </w:t>
      </w:r>
      <w:r w:rsidR="00EF358D">
        <w:t>I shall call such knowledge ‘local uniformity principle</w:t>
      </w:r>
      <w:r w:rsidR="00754267">
        <w:t>s</w:t>
      </w:r>
      <w:r w:rsidR="00EF358D">
        <w:t xml:space="preserve">’. </w:t>
      </w:r>
      <w:r w:rsidR="00522C01">
        <w:t xml:space="preserve">It is </w:t>
      </w:r>
      <w:r>
        <w:t>this background knowledge</w:t>
      </w:r>
      <w:r w:rsidR="00522C01">
        <w:t xml:space="preserve"> that</w:t>
      </w:r>
      <w:r>
        <w:t xml:space="preserve"> justifies </w:t>
      </w:r>
      <w:r w:rsidR="00522C01">
        <w:t>our implicit belief</w:t>
      </w:r>
      <w:r>
        <w:t xml:space="preserve"> that </w:t>
      </w:r>
      <w:r w:rsidR="00522C01">
        <w:t xml:space="preserve">a </w:t>
      </w:r>
      <w:r w:rsidR="004C1EB7">
        <w:t>particular sample</w:t>
      </w:r>
      <w:r w:rsidR="008762C4">
        <w:t xml:space="preserve"> </w:t>
      </w:r>
      <w:r w:rsidR="00522C01">
        <w:t>is</w:t>
      </w:r>
      <w:r w:rsidR="008762C4">
        <w:t xml:space="preserve"> representative</w:t>
      </w:r>
      <w:r w:rsidR="00522C01">
        <w:t xml:space="preserve"> of our target population</w:t>
      </w:r>
      <w:r w:rsidR="008762C4">
        <w:t xml:space="preserve">. Richard Whately (1855, pp. 256-260) </w:t>
      </w:r>
      <w:r w:rsidR="00AE225E">
        <w:t>develops this idea in his theory of induction.</w:t>
      </w:r>
      <w:r w:rsidR="008762C4">
        <w:t xml:space="preserve"> </w:t>
      </w:r>
      <w:r w:rsidR="00754267">
        <w:t>According to him, i</w:t>
      </w:r>
      <w:r w:rsidR="008762C4">
        <w:t xml:space="preserve">n the star system case, our inference is </w:t>
      </w:r>
      <w:r w:rsidR="00E32F9A">
        <w:t>enthymematic</w:t>
      </w:r>
      <w:r w:rsidR="008762C4">
        <w:t>, and the implicit premise is something like ‘All large samples of star systems are representative of star systems in general.’</w:t>
      </w:r>
      <w:r w:rsidR="00BD6093">
        <w:t xml:space="preserve"> Thus, </w:t>
      </w:r>
      <w:r w:rsidR="00076915">
        <w:t>induction</w:t>
      </w:r>
      <w:r w:rsidR="00BD6093">
        <w:t xml:space="preserve"> is really just reasoning with implicit premises that</w:t>
      </w:r>
      <w:r w:rsidR="00522C01">
        <w:t xml:space="preserve"> convert the inductive argument into a</w:t>
      </w:r>
      <w:r w:rsidR="00076915">
        <w:t xml:space="preserve"> deductively valid argument</w:t>
      </w:r>
      <w:r w:rsidR="00754267">
        <w:t>. If our inductive reasoning is</w:t>
      </w:r>
      <w:r w:rsidR="00076915">
        <w:t xml:space="preserve"> </w:t>
      </w:r>
      <w:r w:rsidR="00076915">
        <w:rPr>
          <w:i/>
          <w:iCs/>
        </w:rPr>
        <w:t>good</w:t>
      </w:r>
      <w:r w:rsidR="00754267">
        <w:t>, then</w:t>
      </w:r>
      <w:r w:rsidR="00076915">
        <w:t xml:space="preserve"> </w:t>
      </w:r>
      <w:r w:rsidR="00754267">
        <w:t>the</w:t>
      </w:r>
      <w:r w:rsidR="00076915">
        <w:t xml:space="preserve"> implicit premises</w:t>
      </w:r>
      <w:r w:rsidR="007C2DB2">
        <w:t xml:space="preserve"> </w:t>
      </w:r>
      <w:r w:rsidR="00754267">
        <w:t>are part of</w:t>
      </w:r>
      <w:r w:rsidR="007C2DB2">
        <w:t xml:space="preserve"> our background knowledge</w:t>
      </w:r>
      <w:r w:rsidR="00BD6093">
        <w:t>.</w:t>
      </w:r>
      <w:r w:rsidR="008762C4">
        <w:t xml:space="preserve"> Yet this deductive formulation of </w:t>
      </w:r>
      <w:r w:rsidR="00076915">
        <w:t>background knowledge’s role</w:t>
      </w:r>
      <w:r w:rsidR="008762C4">
        <w:t xml:space="preserve"> is too strong:</w:t>
      </w:r>
      <w:r w:rsidR="00BD6093">
        <w:t xml:space="preserve"> </w:t>
      </w:r>
      <w:r w:rsidR="00754267">
        <w:t>we are not certain that even a large</w:t>
      </w:r>
      <w:r w:rsidR="008762C4">
        <w:t xml:space="preserve"> sample of star systems </w:t>
      </w:r>
      <w:r w:rsidR="00754267">
        <w:t>will be representative</w:t>
      </w:r>
      <w:r w:rsidR="008762C4">
        <w:t>. Perhaps in special cases (“demonstrative inductions</w:t>
      </w:r>
      <w:r w:rsidR="0080206F">
        <w:t>”</w:t>
      </w:r>
      <w:r w:rsidR="008762C4">
        <w:t xml:space="preserve">) we </w:t>
      </w:r>
      <w:r w:rsidR="00BD6093">
        <w:t xml:space="preserve">have good background reasons to expect that </w:t>
      </w:r>
      <w:r w:rsidR="00BD6093">
        <w:lastRenderedPageBreak/>
        <w:t xml:space="preserve">all </w:t>
      </w:r>
      <w:r w:rsidR="00754267">
        <w:t xml:space="preserve">of the </w:t>
      </w:r>
      <w:r w:rsidR="00DD2B25">
        <w:t xml:space="preserve">possible samples </w:t>
      </w:r>
      <w:r w:rsidR="00076915">
        <w:t>are</w:t>
      </w:r>
      <w:r w:rsidR="00BD6093">
        <w:t xml:space="preserve"> representative</w:t>
      </w:r>
      <w:r w:rsidR="008762C4">
        <w:t>, but often we</w:t>
      </w:r>
      <w:r w:rsidR="00183595">
        <w:t xml:space="preserve"> </w:t>
      </w:r>
      <w:r w:rsidR="008762C4">
        <w:t xml:space="preserve">only know </w:t>
      </w:r>
      <w:r w:rsidR="00754267">
        <w:t>that</w:t>
      </w:r>
      <w:r w:rsidR="008762C4">
        <w:t xml:space="preserve"> </w:t>
      </w:r>
      <w:r w:rsidR="0080206F">
        <w:t>“</w:t>
      </w:r>
      <w:r w:rsidR="008762C4">
        <w:t>almost all</w:t>
      </w:r>
      <w:r w:rsidR="0080206F">
        <w:t>”</w:t>
      </w:r>
      <w:r w:rsidR="008762C4">
        <w:t xml:space="preserve">, </w:t>
      </w:r>
      <w:r w:rsidR="0080206F">
        <w:t>“</w:t>
      </w:r>
      <w:r w:rsidR="008762C4">
        <w:t>95</w:t>
      </w:r>
      <w:r w:rsidR="00076915">
        <w:t xml:space="preserve"> to 1</w:t>
      </w:r>
      <w:r w:rsidR="008762C4">
        <w:t>00%</w:t>
      </w:r>
      <w:r w:rsidR="0080206F">
        <w:t>”</w:t>
      </w:r>
      <w:r w:rsidR="008762C4">
        <w:t xml:space="preserve">, </w:t>
      </w:r>
      <w:r w:rsidR="0080206F">
        <w:t>“</w:t>
      </w:r>
      <w:r w:rsidR="008762C4">
        <w:t>75%</w:t>
      </w:r>
      <w:r w:rsidR="0080206F">
        <w:t>”</w:t>
      </w:r>
      <w:r w:rsidR="008762C4">
        <w:t xml:space="preserve">, or even just </w:t>
      </w:r>
      <w:r w:rsidR="0080206F">
        <w:t>“</w:t>
      </w:r>
      <w:r w:rsidR="008762C4">
        <w:t>most</w:t>
      </w:r>
      <w:r w:rsidR="0080206F">
        <w:t>”</w:t>
      </w:r>
      <w:r w:rsidR="00754267">
        <w:t xml:space="preserve"> of the samples will be representative.</w:t>
      </w:r>
    </w:p>
    <w:p w:rsidR="008762C4" w:rsidRDefault="008762C4" w:rsidP="008762C4"/>
    <w:p w:rsidR="00E176B8" w:rsidRDefault="008762C4" w:rsidP="00E176B8">
      <w:r>
        <w:tab/>
        <w:t xml:space="preserve">Norton’s </w:t>
      </w:r>
      <w:r w:rsidR="009A0E91">
        <w:t>salient</w:t>
      </w:r>
      <w:r w:rsidR="00EC21DB">
        <w:t xml:space="preserve"> idea</w:t>
      </w:r>
      <w:r w:rsidR="00715D32">
        <w:t xml:space="preserve"> </w:t>
      </w:r>
      <w:r w:rsidR="00BD6093">
        <w:t>is that</w:t>
      </w:r>
      <w:r w:rsidR="003B78D0">
        <w:t xml:space="preserve"> </w:t>
      </w:r>
      <w:r w:rsidR="00DD2B25">
        <w:t>these more modestly qualified</w:t>
      </w:r>
      <w:r w:rsidR="00BD6093">
        <w:t xml:space="preserve"> propositions</w:t>
      </w:r>
      <w:r w:rsidR="003B78D0">
        <w:t xml:space="preserve"> about local uniformities </w:t>
      </w:r>
      <w:r w:rsidR="00DD2B25">
        <w:t xml:space="preserve">in populations </w:t>
      </w:r>
      <w:r w:rsidR="003B78D0">
        <w:t xml:space="preserve">can provide </w:t>
      </w:r>
      <w:r w:rsidR="003F1A29">
        <w:t>genuine, though imperfect,</w:t>
      </w:r>
      <w:r w:rsidR="003B78D0">
        <w:t xml:space="preserve"> justifications for our inductions</w:t>
      </w:r>
      <w:r w:rsidR="00EC21DB">
        <w:t xml:space="preserve"> (Norton 2003)</w:t>
      </w:r>
      <w:r w:rsidR="00715D32">
        <w:t>.</w:t>
      </w:r>
      <w:r w:rsidR="001E792F">
        <w:t xml:space="preserve"> (</w:t>
      </w:r>
      <w:r w:rsidR="00DA59BA">
        <w:t>The history of</w:t>
      </w:r>
      <w:r w:rsidR="00754267">
        <w:t xml:space="preserve"> this idea</w:t>
      </w:r>
      <w:r w:rsidR="001E792F">
        <w:t xml:space="preserve"> is </w:t>
      </w:r>
      <w:r w:rsidR="004C1EB7">
        <w:t>beyond</w:t>
      </w:r>
      <w:r w:rsidR="001E792F">
        <w:t xml:space="preserve"> my scope.)</w:t>
      </w:r>
      <w:r w:rsidR="00715D32">
        <w:t xml:space="preserve"> </w:t>
      </w:r>
      <w:r w:rsidR="00DD2B25">
        <w:t>Like Whately, Norton thinks that</w:t>
      </w:r>
      <w:r w:rsidR="003B78D0">
        <w:t xml:space="preserve"> reasonable</w:t>
      </w:r>
      <w:r>
        <w:t xml:space="preserve"> inductions are </w:t>
      </w:r>
      <w:r w:rsidR="009A0E91">
        <w:t>justified</w:t>
      </w:r>
      <w:r>
        <w:t xml:space="preserve"> in virtue of our background knowledge about </w:t>
      </w:r>
      <w:r>
        <w:rPr>
          <w:i/>
          <w:iCs/>
        </w:rPr>
        <w:t>local</w:t>
      </w:r>
      <w:r>
        <w:t xml:space="preserve"> uniformities</w:t>
      </w:r>
      <w:r w:rsidR="006E7FAA">
        <w:t>;</w:t>
      </w:r>
      <w:r w:rsidR="009E22FD">
        <w:t xml:space="preserve"> </w:t>
      </w:r>
      <w:r w:rsidR="009A0E91">
        <w:t>unlike</w:t>
      </w:r>
      <w:r w:rsidR="009E22FD">
        <w:t xml:space="preserve"> Whately,</w:t>
      </w:r>
      <w:r w:rsidR="00DD2B25">
        <w:t xml:space="preserve"> he </w:t>
      </w:r>
      <w:r w:rsidR="00DA59BA">
        <w:t>thinks</w:t>
      </w:r>
      <w:r w:rsidR="00DD2B25">
        <w:t xml:space="preserve"> that this </w:t>
      </w:r>
      <w:r w:rsidR="009A0E91">
        <w:t>justification</w:t>
      </w:r>
      <w:r w:rsidR="00DD2B25">
        <w:t xml:space="preserve"> can be non-deductive</w:t>
      </w:r>
      <w:r>
        <w:t xml:space="preserve">. </w:t>
      </w:r>
      <w:r w:rsidR="00DA59BA">
        <w:t>Inductions are not justified by</w:t>
      </w:r>
      <w:r>
        <w:t xml:space="preserve"> some very general principle about nature, nor </w:t>
      </w:r>
      <w:r w:rsidR="00C029DC">
        <w:t xml:space="preserve">the </w:t>
      </w:r>
      <w:r>
        <w:t xml:space="preserve">form of the inference, nor the error probabilities of our testing procedures, and not our subjective credences either. </w:t>
      </w:r>
      <w:r w:rsidR="003B78D0">
        <w:t xml:space="preserve">In the case of the star-system induction, our background knowledge of star systems assures us that the very large samples of observed star systems that astronomers have </w:t>
      </w:r>
      <w:r w:rsidR="00E32F9A">
        <w:t>investigated</w:t>
      </w:r>
      <w:r w:rsidR="003B78D0">
        <w:t xml:space="preserve"> (with respect to having at least one planet) are typically representative of star systems in general</w:t>
      </w:r>
      <w:r w:rsidR="009A0E91">
        <w:t>. T</w:t>
      </w:r>
      <w:r w:rsidR="003B78D0">
        <w:t xml:space="preserve">his justifies our expectation that our observations are representative of our target population (at least within a </w:t>
      </w:r>
      <w:r w:rsidR="009A0E91">
        <w:t>1%</w:t>
      </w:r>
      <w:r w:rsidR="00DD2B25">
        <w:t xml:space="preserve"> </w:t>
      </w:r>
      <w:r w:rsidR="003B78D0">
        <w:t>margin of error) and therefore</w:t>
      </w:r>
      <w:r w:rsidR="00C227E6">
        <w:t xml:space="preserve"> our extrapolation to the hypothesis</w:t>
      </w:r>
      <w:r w:rsidR="003B78D0">
        <w:t xml:space="preserve"> that </w:t>
      </w:r>
      <w:r w:rsidR="009A0E91">
        <w:t xml:space="preserve">98-100% of </w:t>
      </w:r>
      <w:r w:rsidR="003B78D0">
        <w:t>star systems have at least one planet.</w:t>
      </w:r>
      <w:r w:rsidR="0013243F" w:rsidRPr="0013243F">
        <w:t xml:space="preserve"> </w:t>
      </w:r>
    </w:p>
    <w:p w:rsidR="00E176B8" w:rsidRDefault="00E176B8" w:rsidP="00E176B8"/>
    <w:p w:rsidR="00E176B8" w:rsidRDefault="003B78D0" w:rsidP="00E176B8">
      <w:r>
        <w:tab/>
      </w:r>
      <w:r w:rsidR="00CC7A00">
        <w:t xml:space="preserve">Furthermore, </w:t>
      </w:r>
      <w:r>
        <w:t xml:space="preserve">according to Norton, </w:t>
      </w:r>
      <w:r w:rsidR="003128B3">
        <w:t xml:space="preserve">there </w:t>
      </w:r>
      <w:r w:rsidR="00DA59BA">
        <w:t>is no</w:t>
      </w:r>
      <w:r w:rsidR="00CC7A00">
        <w:t xml:space="preserve"> abstract and general account of the role of local uniformit</w:t>
      </w:r>
      <w:r w:rsidR="00DA59BA">
        <w:t>y principles</w:t>
      </w:r>
      <w:r w:rsidR="00CC7A00">
        <w:t xml:space="preserve"> in inducti</w:t>
      </w:r>
      <w:r w:rsidR="003128B3">
        <w:t>ve inferences</w:t>
      </w:r>
      <w:r w:rsidR="00CC7A00">
        <w:t xml:space="preserve">. </w:t>
      </w:r>
      <w:r w:rsidR="00DA59BA">
        <w:t>These principles</w:t>
      </w:r>
      <w:r w:rsidR="008762C4">
        <w:t xml:space="preserve"> can strengthen or weaken our inductions in different ways</w:t>
      </w:r>
      <w:r>
        <w:t>. F</w:t>
      </w:r>
      <w:r w:rsidR="00CC7A00">
        <w:t>or instance, Norton notes</w:t>
      </w:r>
      <w:r>
        <w:t xml:space="preserve"> (2003, </w:t>
      </w:r>
      <w:r w:rsidR="00F15460">
        <w:t>p</w:t>
      </w:r>
      <w:r>
        <w:t>p. 649-650)</w:t>
      </w:r>
      <w:r w:rsidR="00CC7A00">
        <w:t xml:space="preserve"> that given some background knowledge, even a small sample can provide strong inductive suppor</w:t>
      </w:r>
      <w:r w:rsidR="00473B72">
        <w:t xml:space="preserve">t. </w:t>
      </w:r>
      <w:r w:rsidR="003128B3">
        <w:t>Imagine that we infer</w:t>
      </w:r>
      <w:r w:rsidR="00CC7A00">
        <w:t>:</w:t>
      </w:r>
      <w:r w:rsidR="0013243F" w:rsidRPr="0013243F">
        <w:t xml:space="preserve"> </w:t>
      </w:r>
    </w:p>
    <w:p w:rsidR="00E176B8" w:rsidRDefault="00E176B8" w:rsidP="00E176B8"/>
    <w:p w:rsidR="00E176B8" w:rsidRDefault="00AE0187" w:rsidP="00E176B8">
      <w:r>
        <w:t>(</w:t>
      </w:r>
      <w:r w:rsidR="00CC7A00">
        <w:t>1</w:t>
      </w:r>
      <w:r>
        <w:t>)</w:t>
      </w:r>
      <w:r w:rsidR="00CC7A00">
        <w:t xml:space="preserve"> Bismuth is a chemical element.</w:t>
      </w:r>
      <w:r w:rsidR="00471FA4" w:rsidRPr="00471FA4">
        <w:t xml:space="preserve"> </w:t>
      </w:r>
    </w:p>
    <w:p w:rsidR="00E176B8" w:rsidRDefault="00E176B8" w:rsidP="00E176B8"/>
    <w:p w:rsidR="00E176B8" w:rsidRDefault="00AE0187" w:rsidP="00E176B8">
      <w:r>
        <w:t>(</w:t>
      </w:r>
      <w:r w:rsidR="00C13022">
        <w:t>2</w:t>
      </w:r>
      <w:r>
        <w:t>)</w:t>
      </w:r>
      <w:r w:rsidR="00CC7A00">
        <w:t xml:space="preserve"> Generally, chemical elements have uniform melting points.</w:t>
      </w:r>
      <w:r w:rsidR="00C13022" w:rsidRPr="00C13022">
        <w:t xml:space="preserve"> </w:t>
      </w:r>
    </w:p>
    <w:p w:rsidR="00E176B8" w:rsidRDefault="00E176B8" w:rsidP="00E176B8"/>
    <w:p w:rsidR="00E176B8" w:rsidRDefault="00B16FC4" w:rsidP="00E176B8">
      <w:r>
        <w:t>Therefore,</w:t>
      </w:r>
      <w:r w:rsidR="00B911C4">
        <w:t xml:space="preserve"> defeasibly,</w:t>
      </w:r>
      <w:r>
        <w:t xml:space="preserve"> </w:t>
      </w:r>
      <w:r w:rsidR="00AE0187">
        <w:t>(</w:t>
      </w:r>
      <w:r w:rsidR="00C13022">
        <w:t>3</w:t>
      </w:r>
      <w:r w:rsidR="00AE0187">
        <w:t>)</w:t>
      </w:r>
      <w:r>
        <w:t xml:space="preserve"> Bismuth has a uniform melting point.</w:t>
      </w:r>
      <w:r w:rsidR="00C13022" w:rsidRPr="00C13022">
        <w:t xml:space="preserve"> </w:t>
      </w:r>
    </w:p>
    <w:p w:rsidR="00E176B8" w:rsidRDefault="00E176B8" w:rsidP="00E176B8"/>
    <w:p w:rsidR="00E176B8" w:rsidRDefault="00C13022" w:rsidP="00E176B8">
      <w:r>
        <w:t xml:space="preserve">(4) This </w:t>
      </w:r>
      <w:r w:rsidR="00054E4E">
        <w:t xml:space="preserve">small </w:t>
      </w:r>
      <w:r>
        <w:t xml:space="preserve">sample of bismuth melts at </w:t>
      </w:r>
      <w:r w:rsidRPr="00CC7A00">
        <w:rPr>
          <w:rFonts w:eastAsia="Calibri" w:cs="Times New Roman"/>
          <w:szCs w:val="24"/>
        </w:rPr>
        <w:t>271</w:t>
      </w:r>
      <w:r w:rsidRPr="00CC7A00">
        <w:rPr>
          <w:rFonts w:eastAsia="Calibri" w:cs="Times New Roman"/>
          <w:szCs w:val="24"/>
        </w:rPr>
        <w:sym w:font="Symbol" w:char="F0B0"/>
      </w:r>
      <w:r w:rsidRPr="00CC7A00">
        <w:rPr>
          <w:rFonts w:eastAsia="Calibri" w:cs="Times New Roman"/>
          <w:szCs w:val="24"/>
        </w:rPr>
        <w:t xml:space="preserve"> C ± </w:t>
      </w:r>
      <w:r w:rsidRPr="00CC7A00">
        <w:rPr>
          <w:rFonts w:cs="Times New Roman"/>
          <w:szCs w:val="24"/>
        </w:rPr>
        <w:t>ε</w:t>
      </w:r>
      <w:r>
        <w:t>.</w:t>
      </w:r>
      <w:r w:rsidR="00471FA4" w:rsidRPr="00471FA4">
        <w:t xml:space="preserve"> </w:t>
      </w:r>
    </w:p>
    <w:p w:rsidR="00E176B8" w:rsidRDefault="00E176B8" w:rsidP="00E176B8"/>
    <w:p w:rsidR="00E176B8" w:rsidRDefault="00CC7A00" w:rsidP="00E176B8">
      <w:r>
        <w:t xml:space="preserve">Therefore, </w:t>
      </w:r>
      <w:r w:rsidR="00AE0187">
        <w:t>(</w:t>
      </w:r>
      <w:r w:rsidR="0027418C">
        <w:t>5</w:t>
      </w:r>
      <w:r w:rsidR="00AE0187">
        <w:t>)</w:t>
      </w:r>
      <w:r>
        <w:t xml:space="preserve"> All bismuth melts at </w:t>
      </w:r>
      <w:r w:rsidRPr="00CC7A00">
        <w:rPr>
          <w:rFonts w:eastAsia="Calibri" w:cs="Times New Roman"/>
          <w:szCs w:val="24"/>
        </w:rPr>
        <w:t>271</w:t>
      </w:r>
      <w:r w:rsidRPr="00CC7A00">
        <w:rPr>
          <w:rFonts w:eastAsia="Calibri" w:cs="Times New Roman"/>
          <w:szCs w:val="24"/>
        </w:rPr>
        <w:sym w:font="Symbol" w:char="F0B0"/>
      </w:r>
      <w:r w:rsidRPr="00CC7A00">
        <w:rPr>
          <w:rFonts w:eastAsia="Calibri" w:cs="Times New Roman"/>
          <w:szCs w:val="24"/>
        </w:rPr>
        <w:t xml:space="preserve"> C ± </w:t>
      </w:r>
      <w:r w:rsidRPr="00CC7A00">
        <w:rPr>
          <w:rFonts w:cs="Times New Roman"/>
          <w:szCs w:val="24"/>
        </w:rPr>
        <w:t>ε</w:t>
      </w:r>
      <w:r>
        <w:rPr>
          <w:rFonts w:cs="Times New Roman"/>
          <w:szCs w:val="24"/>
        </w:rPr>
        <w:t>.</w:t>
      </w:r>
      <w:r w:rsidR="00473B72" w:rsidRPr="00473B72">
        <w:t xml:space="preserve"> </w:t>
      </w:r>
    </w:p>
    <w:p w:rsidR="00E176B8" w:rsidRDefault="00E176B8" w:rsidP="00E176B8"/>
    <w:p w:rsidR="00FB35FE" w:rsidRPr="00B16FC4" w:rsidRDefault="00B16FC4" w:rsidP="00E176B8">
      <w:r>
        <w:rPr>
          <w:rFonts w:cs="Times New Roman"/>
          <w:szCs w:val="24"/>
        </w:rPr>
        <w:tab/>
      </w:r>
      <w:r w:rsidR="0027418C">
        <w:rPr>
          <w:rFonts w:cs="Times New Roman"/>
          <w:szCs w:val="24"/>
        </w:rPr>
        <w:t>While the inference of (5) from (3) and (4) is deductive, t</w:t>
      </w:r>
      <w:r>
        <w:rPr>
          <w:rFonts w:cs="Times New Roman"/>
          <w:szCs w:val="24"/>
        </w:rPr>
        <w:t>he inference of (</w:t>
      </w:r>
      <w:r w:rsidR="005955F1">
        <w:rPr>
          <w:rFonts w:cs="Times New Roman"/>
          <w:szCs w:val="24"/>
        </w:rPr>
        <w:t>3</w:t>
      </w:r>
      <w:r>
        <w:rPr>
          <w:rFonts w:cs="Times New Roman"/>
          <w:szCs w:val="24"/>
        </w:rPr>
        <w:t xml:space="preserve">) </w:t>
      </w:r>
      <w:r w:rsidR="009B5203">
        <w:rPr>
          <w:rFonts w:cs="Times New Roman"/>
          <w:szCs w:val="24"/>
        </w:rPr>
        <w:t>from (</w:t>
      </w:r>
      <w:r w:rsidR="00345B20">
        <w:rPr>
          <w:rFonts w:cs="Times New Roman"/>
          <w:szCs w:val="24"/>
        </w:rPr>
        <w:t>1</w:t>
      </w:r>
      <w:r w:rsidR="009B5203">
        <w:rPr>
          <w:rFonts w:cs="Times New Roman"/>
          <w:szCs w:val="24"/>
        </w:rPr>
        <w:t>) and (</w:t>
      </w:r>
      <w:r w:rsidR="00345B20">
        <w:rPr>
          <w:rFonts w:cs="Times New Roman"/>
          <w:szCs w:val="24"/>
        </w:rPr>
        <w:t>2</w:t>
      </w:r>
      <w:r w:rsidR="009B5203">
        <w:rPr>
          <w:rFonts w:cs="Times New Roman"/>
          <w:szCs w:val="24"/>
        </w:rPr>
        <w:t xml:space="preserve">) </w:t>
      </w:r>
      <w:r>
        <w:rPr>
          <w:rFonts w:cs="Times New Roman"/>
          <w:szCs w:val="24"/>
        </w:rPr>
        <w:t>is</w:t>
      </w:r>
      <w:r w:rsidR="0027418C">
        <w:rPr>
          <w:rFonts w:cs="Times New Roman"/>
          <w:szCs w:val="24"/>
        </w:rPr>
        <w:t xml:space="preserve"> </w:t>
      </w:r>
      <w:r>
        <w:rPr>
          <w:rFonts w:cs="Times New Roman"/>
          <w:szCs w:val="24"/>
        </w:rPr>
        <w:t>non-deductive</w:t>
      </w:r>
      <w:r w:rsidR="0002447B">
        <w:rPr>
          <w:rFonts w:cs="Times New Roman"/>
          <w:szCs w:val="24"/>
        </w:rPr>
        <w:t xml:space="preserve">. </w:t>
      </w:r>
      <w:r w:rsidR="0027418C">
        <w:rPr>
          <w:rFonts w:cs="Times New Roman"/>
          <w:szCs w:val="24"/>
        </w:rPr>
        <w:t>This latter sort of</w:t>
      </w:r>
      <w:r w:rsidR="0002447B">
        <w:rPr>
          <w:rFonts w:cs="Times New Roman"/>
          <w:szCs w:val="24"/>
        </w:rPr>
        <w:t xml:space="preserve"> inference </w:t>
      </w:r>
      <w:r w:rsidR="0027418C">
        <w:rPr>
          <w:rFonts w:cs="Times New Roman"/>
          <w:szCs w:val="24"/>
        </w:rPr>
        <w:t>is</w:t>
      </w:r>
      <w:r>
        <w:rPr>
          <w:rFonts w:cs="Times New Roman"/>
          <w:szCs w:val="24"/>
        </w:rPr>
        <w:t xml:space="preserve"> variously called “direct inference”, “the statistical syllogism”, “the proportional syllogism”, and so on. I shall </w:t>
      </w:r>
      <w:r w:rsidR="003E465B">
        <w:rPr>
          <w:rFonts w:cs="Times New Roman"/>
          <w:szCs w:val="24"/>
        </w:rPr>
        <w:t>use</w:t>
      </w:r>
      <w:r>
        <w:rPr>
          <w:rFonts w:cs="Times New Roman"/>
          <w:szCs w:val="24"/>
        </w:rPr>
        <w:t xml:space="preserve"> </w:t>
      </w:r>
      <w:r w:rsidR="003E465B">
        <w:rPr>
          <w:rFonts w:cs="Times New Roman"/>
          <w:szCs w:val="24"/>
        </w:rPr>
        <w:t>‘</w:t>
      </w:r>
      <w:r>
        <w:rPr>
          <w:rFonts w:cs="Times New Roman"/>
          <w:szCs w:val="24"/>
        </w:rPr>
        <w:t>direct inference</w:t>
      </w:r>
      <w:r w:rsidR="003E465B">
        <w:rPr>
          <w:rFonts w:cs="Times New Roman"/>
          <w:szCs w:val="24"/>
        </w:rPr>
        <w:t>’</w:t>
      </w:r>
      <w:r>
        <w:rPr>
          <w:rFonts w:cs="Times New Roman"/>
          <w:szCs w:val="24"/>
        </w:rPr>
        <w:t xml:space="preserve">. It occurs when we infer from a </w:t>
      </w:r>
      <w:r w:rsidR="00C13022">
        <w:rPr>
          <w:rFonts w:cs="Times New Roman"/>
          <w:szCs w:val="24"/>
        </w:rPr>
        <w:t>statistical generalisation</w:t>
      </w:r>
      <w:r>
        <w:rPr>
          <w:rFonts w:cs="Times New Roman"/>
          <w:szCs w:val="24"/>
        </w:rPr>
        <w:t xml:space="preserve"> about </w:t>
      </w:r>
      <w:r w:rsidR="00CA0541">
        <w:rPr>
          <w:rFonts w:cs="Times New Roman"/>
          <w:szCs w:val="24"/>
        </w:rPr>
        <w:t xml:space="preserve">a set to a statement </w:t>
      </w:r>
      <w:r w:rsidR="00CA0541">
        <w:rPr>
          <w:rFonts w:cs="Times New Roman"/>
          <w:szCs w:val="24"/>
        </w:rPr>
        <w:lastRenderedPageBreak/>
        <w:t>about one of its subsets</w:t>
      </w:r>
      <w:r w:rsidR="00C13022">
        <w:rPr>
          <w:rStyle w:val="FootnoteReference"/>
          <w:rFonts w:cs="Times New Roman"/>
          <w:szCs w:val="24"/>
        </w:rPr>
        <w:footnoteReference w:id="2"/>
      </w:r>
      <w:r>
        <w:rPr>
          <w:rFonts w:cs="Times New Roman"/>
          <w:szCs w:val="24"/>
        </w:rPr>
        <w:t xml:space="preserve">. In this case, the </w:t>
      </w:r>
      <w:r w:rsidR="00CA0541">
        <w:rPr>
          <w:rFonts w:cs="Times New Roman"/>
          <w:szCs w:val="24"/>
        </w:rPr>
        <w:t>set</w:t>
      </w:r>
      <w:r>
        <w:rPr>
          <w:rFonts w:cs="Times New Roman"/>
          <w:szCs w:val="24"/>
        </w:rPr>
        <w:t xml:space="preserve"> consists of the chemical elements and the subset consists of bismuth. Since the direct inference is non-deductive, the inference is defeasible: if we know that bismuth is atypical among chemical elements, then the inference can be unreasonable for us</w:t>
      </w:r>
      <w:r w:rsidR="003048EC">
        <w:rPr>
          <w:rStyle w:val="FootnoteReference"/>
          <w:rFonts w:cs="Times New Roman"/>
          <w:szCs w:val="24"/>
        </w:rPr>
        <w:footnoteReference w:id="3"/>
      </w:r>
      <w:r>
        <w:rPr>
          <w:rFonts w:cs="Times New Roman"/>
          <w:szCs w:val="24"/>
        </w:rPr>
        <w:t xml:space="preserve">. </w:t>
      </w:r>
      <w:r w:rsidR="00DC14DE">
        <w:rPr>
          <w:rFonts w:cs="Times New Roman"/>
          <w:szCs w:val="24"/>
        </w:rPr>
        <w:t>Thus</w:t>
      </w:r>
      <w:r>
        <w:rPr>
          <w:rFonts w:cs="Times New Roman"/>
          <w:szCs w:val="24"/>
        </w:rPr>
        <w:t xml:space="preserve">, if we knew that bismuth </w:t>
      </w:r>
      <w:r w:rsidR="00956C0D">
        <w:rPr>
          <w:rFonts w:cs="Times New Roman"/>
          <w:szCs w:val="24"/>
        </w:rPr>
        <w:t xml:space="preserve">is </w:t>
      </w:r>
      <w:r>
        <w:rPr>
          <w:rFonts w:cs="Times New Roman"/>
          <w:szCs w:val="24"/>
        </w:rPr>
        <w:t xml:space="preserve">one of the elements with allotropic forms (which can </w:t>
      </w:r>
      <w:r w:rsidR="00B13EEA">
        <w:rPr>
          <w:rFonts w:cs="Times New Roman"/>
          <w:szCs w:val="24"/>
        </w:rPr>
        <w:t>possess differing</w:t>
      </w:r>
      <w:r>
        <w:rPr>
          <w:rFonts w:cs="Times New Roman"/>
          <w:szCs w:val="24"/>
        </w:rPr>
        <w:t xml:space="preserve"> melting points) </w:t>
      </w:r>
      <w:r w:rsidR="00956C0D">
        <w:rPr>
          <w:rFonts w:cs="Times New Roman"/>
          <w:szCs w:val="24"/>
        </w:rPr>
        <w:t>like</w:t>
      </w:r>
      <w:r>
        <w:rPr>
          <w:rFonts w:cs="Times New Roman"/>
          <w:szCs w:val="24"/>
        </w:rPr>
        <w:t xml:space="preserve"> carbon, then we would know a defeater for the inference.</w:t>
      </w:r>
      <w:r w:rsidR="000657A4">
        <w:rPr>
          <w:rFonts w:cs="Times New Roman"/>
          <w:szCs w:val="24"/>
        </w:rPr>
        <w:t xml:space="preserve"> </w:t>
      </w:r>
      <w:r>
        <w:rPr>
          <w:rFonts w:cs="Times New Roman"/>
          <w:szCs w:val="24"/>
        </w:rPr>
        <w:t>The</w:t>
      </w:r>
      <w:r w:rsidR="00C46259">
        <w:rPr>
          <w:rFonts w:cs="Times New Roman"/>
          <w:szCs w:val="24"/>
        </w:rPr>
        <w:t xml:space="preserve"> step that we would normally make explicit </w:t>
      </w:r>
      <w:r>
        <w:rPr>
          <w:rFonts w:cs="Times New Roman"/>
          <w:szCs w:val="24"/>
        </w:rPr>
        <w:t>is</w:t>
      </w:r>
      <w:r w:rsidR="00C46259">
        <w:rPr>
          <w:rFonts w:cs="Times New Roman"/>
          <w:szCs w:val="24"/>
        </w:rPr>
        <w:t xml:space="preserve"> </w:t>
      </w:r>
      <w:r>
        <w:rPr>
          <w:rFonts w:cs="Times New Roman"/>
          <w:szCs w:val="24"/>
        </w:rPr>
        <w:t>from (1) to (5)</w:t>
      </w:r>
      <w:r w:rsidR="0027418C">
        <w:rPr>
          <w:rFonts w:cs="Times New Roman"/>
          <w:szCs w:val="24"/>
        </w:rPr>
        <w:t>. T</w:t>
      </w:r>
      <w:r>
        <w:rPr>
          <w:rFonts w:cs="Times New Roman"/>
          <w:szCs w:val="24"/>
        </w:rPr>
        <w:t xml:space="preserve">his </w:t>
      </w:r>
      <w:r w:rsidR="00C46259">
        <w:rPr>
          <w:rFonts w:cs="Times New Roman"/>
          <w:szCs w:val="24"/>
        </w:rPr>
        <w:t>induction</w:t>
      </w:r>
      <w:r>
        <w:rPr>
          <w:rFonts w:cs="Times New Roman"/>
          <w:szCs w:val="24"/>
        </w:rPr>
        <w:t xml:space="preserve"> seems</w:t>
      </w:r>
      <w:r w:rsidR="00EB472D">
        <w:rPr>
          <w:rFonts w:cs="Times New Roman"/>
          <w:szCs w:val="24"/>
        </w:rPr>
        <w:t xml:space="preserve"> </w:t>
      </w:r>
      <w:r w:rsidR="00CA0541">
        <w:rPr>
          <w:rFonts w:cs="Times New Roman"/>
          <w:szCs w:val="24"/>
        </w:rPr>
        <w:t>justified</w:t>
      </w:r>
      <w:r>
        <w:rPr>
          <w:rFonts w:cs="Times New Roman"/>
          <w:szCs w:val="24"/>
        </w:rPr>
        <w:t xml:space="preserve"> in spite of the tiny sample, but only because of </w:t>
      </w:r>
      <w:r w:rsidR="009D1DDA">
        <w:rPr>
          <w:rFonts w:cs="Times New Roman"/>
          <w:szCs w:val="24"/>
        </w:rPr>
        <w:t>implicit steps</w:t>
      </w:r>
      <w:r w:rsidR="00C46259">
        <w:rPr>
          <w:rFonts w:cs="Times New Roman"/>
          <w:szCs w:val="24"/>
        </w:rPr>
        <w:t xml:space="preserve"> using direct inference</w:t>
      </w:r>
      <w:r w:rsidR="0080206F">
        <w:rPr>
          <w:rFonts w:cs="Times New Roman"/>
          <w:szCs w:val="24"/>
        </w:rPr>
        <w:t xml:space="preserve"> from our local background knowledge.</w:t>
      </w:r>
    </w:p>
    <w:p w:rsidR="00FB35FE" w:rsidRDefault="00FB35FE"/>
    <w:p w:rsidR="00FB35FE" w:rsidRDefault="00715D32">
      <w:r>
        <w:tab/>
        <w:t>Let us return to the distinction between (</w:t>
      </w:r>
      <w:r w:rsidR="000657A4">
        <w:t>a</w:t>
      </w:r>
      <w:r>
        <w:t>) the territory of science, (</w:t>
      </w:r>
      <w:r w:rsidR="000657A4">
        <w:t>b</w:t>
      </w:r>
      <w:r>
        <w:t>) the heartland of science, and (</w:t>
      </w:r>
      <w:r w:rsidR="000657A4">
        <w:t>c</w:t>
      </w:r>
      <w:r>
        <w:t xml:space="preserve">) the frontiers of science. </w:t>
      </w:r>
      <w:r w:rsidR="00C46259">
        <w:t>Even some of t</w:t>
      </w:r>
      <w:r>
        <w:t>he MTI</w:t>
      </w:r>
      <w:r w:rsidR="00C46259">
        <w:t xml:space="preserve">’s critics grant that it gives a good account </w:t>
      </w:r>
      <w:r>
        <w:t>of (</w:t>
      </w:r>
      <w:r w:rsidR="000657A4">
        <w:t>a</w:t>
      </w:r>
      <w:r>
        <w:t>)</w:t>
      </w:r>
      <w:r w:rsidR="00C46259">
        <w:t xml:space="preserve"> </w:t>
      </w:r>
      <w:r>
        <w:t>(</w:t>
      </w:r>
      <w:r w:rsidR="0009068B">
        <w:t>Kelly, 2010, p. 757</w:t>
      </w:r>
      <w:r>
        <w:t>). There is an ongoing controversy about its capacity to defend (</w:t>
      </w:r>
      <w:r w:rsidR="000657A4">
        <w:t>b</w:t>
      </w:r>
      <w:r>
        <w:t>) (</w:t>
      </w:r>
      <w:r w:rsidR="00C46253" w:rsidRPr="00C46253">
        <w:rPr>
          <w:rFonts w:cs="Times New Roman"/>
          <w:szCs w:val="24"/>
        </w:rPr>
        <w:t>Okasha</w:t>
      </w:r>
      <w:r w:rsidR="00C46253">
        <w:rPr>
          <w:rFonts w:cs="Times New Roman"/>
          <w:szCs w:val="24"/>
        </w:rPr>
        <w:t xml:space="preserve">, </w:t>
      </w:r>
      <w:r w:rsidR="00C46253" w:rsidRPr="00C46253">
        <w:rPr>
          <w:rFonts w:cs="Times New Roman"/>
          <w:szCs w:val="24"/>
        </w:rPr>
        <w:t xml:space="preserve">2005, </w:t>
      </w:r>
      <w:r w:rsidR="00C46253">
        <w:rPr>
          <w:rFonts w:cs="Times New Roman"/>
          <w:szCs w:val="24"/>
        </w:rPr>
        <w:t xml:space="preserve">p. </w:t>
      </w:r>
      <w:r w:rsidR="00C46253" w:rsidRPr="00C46253">
        <w:rPr>
          <w:rFonts w:cs="Times New Roman"/>
          <w:szCs w:val="24"/>
        </w:rPr>
        <w:t>250</w:t>
      </w:r>
      <w:r w:rsidR="00C46253">
        <w:rPr>
          <w:rFonts w:cs="Times New Roman"/>
          <w:szCs w:val="24"/>
        </w:rPr>
        <w:t xml:space="preserve">; </w:t>
      </w:r>
      <w:r w:rsidR="00C46253" w:rsidRPr="00C46253">
        <w:rPr>
          <w:rFonts w:cs="Times New Roman"/>
          <w:szCs w:val="24"/>
        </w:rPr>
        <w:t>Kelly</w:t>
      </w:r>
      <w:r w:rsidR="00C46253">
        <w:rPr>
          <w:rFonts w:cs="Times New Roman"/>
          <w:szCs w:val="24"/>
        </w:rPr>
        <w:t xml:space="preserve">, </w:t>
      </w:r>
      <w:r w:rsidR="00C46253" w:rsidRPr="00C46253">
        <w:rPr>
          <w:rFonts w:cs="Times New Roman"/>
          <w:szCs w:val="24"/>
        </w:rPr>
        <w:t>2010</w:t>
      </w:r>
      <w:r w:rsidR="00C46253">
        <w:rPr>
          <w:rFonts w:cs="Times New Roman"/>
          <w:szCs w:val="24"/>
        </w:rPr>
        <w:t>;</w:t>
      </w:r>
      <w:r w:rsidR="00C46253" w:rsidRPr="00C46253">
        <w:rPr>
          <w:rFonts w:cs="Times New Roman"/>
          <w:szCs w:val="24"/>
        </w:rPr>
        <w:t xml:space="preserve"> </w:t>
      </w:r>
      <w:r w:rsidR="0019117A">
        <w:rPr>
          <w:rFonts w:cs="Times New Roman"/>
          <w:szCs w:val="24"/>
        </w:rPr>
        <w:t xml:space="preserve">Saatsi, 2010; </w:t>
      </w:r>
      <w:r w:rsidR="00C46253" w:rsidRPr="00C46253">
        <w:rPr>
          <w:rFonts w:cs="Times New Roman"/>
          <w:szCs w:val="24"/>
        </w:rPr>
        <w:t>Worrall</w:t>
      </w:r>
      <w:r w:rsidR="00C46253">
        <w:rPr>
          <w:rFonts w:cs="Times New Roman"/>
          <w:szCs w:val="24"/>
        </w:rPr>
        <w:t xml:space="preserve">, </w:t>
      </w:r>
      <w:r w:rsidR="00C46253" w:rsidRPr="00C46253">
        <w:rPr>
          <w:rFonts w:cs="Times New Roman"/>
          <w:szCs w:val="24"/>
        </w:rPr>
        <w:t>2010</w:t>
      </w:r>
      <w:r w:rsidR="00C46253">
        <w:rPr>
          <w:rFonts w:cs="Times New Roman"/>
          <w:szCs w:val="24"/>
        </w:rPr>
        <w:t xml:space="preserve">; </w:t>
      </w:r>
      <w:r w:rsidR="00B46ADC">
        <w:rPr>
          <w:rFonts w:cs="Times New Roman"/>
          <w:szCs w:val="24"/>
        </w:rPr>
        <w:t>Norton, 2014</w:t>
      </w:r>
      <w:r w:rsidR="006E36FB">
        <w:rPr>
          <w:rFonts w:cs="Times New Roman"/>
          <w:szCs w:val="24"/>
        </w:rPr>
        <w:t>.) My own views are ambivalent on this latter issue</w:t>
      </w:r>
      <w:r w:rsidR="00B46ADC">
        <w:rPr>
          <w:rFonts w:cs="Times New Roman"/>
          <w:szCs w:val="24"/>
        </w:rPr>
        <w:t xml:space="preserve"> </w:t>
      </w:r>
      <w:r w:rsidR="006E36FB">
        <w:rPr>
          <w:rFonts w:cs="Times New Roman"/>
          <w:szCs w:val="24"/>
        </w:rPr>
        <w:t>(</w:t>
      </w:r>
      <w:r w:rsidR="00C46253">
        <w:rPr>
          <w:rFonts w:cs="Times New Roman"/>
          <w:szCs w:val="24"/>
        </w:rPr>
        <w:t>Peden</w:t>
      </w:r>
      <w:r w:rsidR="006E36FB">
        <w:rPr>
          <w:rFonts w:cs="Times New Roman"/>
          <w:szCs w:val="24"/>
        </w:rPr>
        <w:t xml:space="preserve">, </w:t>
      </w:r>
      <w:r w:rsidR="00C46253">
        <w:rPr>
          <w:rFonts w:cs="Times New Roman"/>
          <w:szCs w:val="24"/>
        </w:rPr>
        <w:t>2019</w:t>
      </w:r>
      <w:r>
        <w:t>)</w:t>
      </w:r>
      <w:r w:rsidR="00C46253">
        <w:t>.</w:t>
      </w:r>
      <w:r>
        <w:t xml:space="preserve"> My </w:t>
      </w:r>
      <w:r w:rsidR="00C46259">
        <w:t xml:space="preserve">focus </w:t>
      </w:r>
      <w:r w:rsidR="006E36FB">
        <w:t>in this article</w:t>
      </w:r>
      <w:r w:rsidR="00C46259">
        <w:t xml:space="preserve"> is </w:t>
      </w:r>
      <w:r>
        <w:t>whether (</w:t>
      </w:r>
      <w:r w:rsidR="000657A4">
        <w:t>c</w:t>
      </w:r>
      <w:r>
        <w:t xml:space="preserve">) </w:t>
      </w:r>
      <w:r w:rsidR="00B56473">
        <w:t>troubles</w:t>
      </w:r>
      <w:r>
        <w:t xml:space="preserve"> the MTI.</w:t>
      </w:r>
    </w:p>
    <w:p w:rsidR="009B06D5" w:rsidRDefault="009B06D5"/>
    <w:p w:rsidR="005D5465" w:rsidRPr="00BD6093" w:rsidRDefault="00CC6763" w:rsidP="005D5465">
      <w:pPr>
        <w:rPr>
          <w:b/>
          <w:bCs/>
        </w:rPr>
      </w:pPr>
      <w:r w:rsidRPr="00B56473">
        <w:rPr>
          <w:b/>
          <w:bCs/>
        </w:rPr>
        <w:t xml:space="preserve">3. </w:t>
      </w:r>
      <w:r w:rsidR="009B06D5" w:rsidRPr="00B56473">
        <w:rPr>
          <w:b/>
          <w:bCs/>
        </w:rPr>
        <w:t>The Frontiers of Science</w:t>
      </w:r>
    </w:p>
    <w:p w:rsidR="005D5465" w:rsidRDefault="005D5465" w:rsidP="005D5465"/>
    <w:p w:rsidR="00E176B8" w:rsidRDefault="0055463C" w:rsidP="005D5465">
      <w:r>
        <w:tab/>
      </w:r>
      <w:r w:rsidR="00C46259">
        <w:t>In various degrees of detail, critics have presented this critique of the MTI</w:t>
      </w:r>
      <w:r w:rsidR="002F4E65">
        <w:t>:</w:t>
      </w:r>
      <w:r w:rsidR="0013243F" w:rsidRPr="0013243F">
        <w:t xml:space="preserve"> </w:t>
      </w:r>
    </w:p>
    <w:p w:rsidR="00E176B8" w:rsidRDefault="00E176B8" w:rsidP="00E176B8"/>
    <w:p w:rsidR="00E176B8" w:rsidRDefault="00AE0187" w:rsidP="00A57325">
      <w:pPr>
        <w:spacing w:line="276" w:lineRule="auto"/>
      </w:pPr>
      <w:r>
        <w:t>(</w:t>
      </w:r>
      <w:r w:rsidR="000657A4">
        <w:t>1</w:t>
      </w:r>
      <w:r>
        <w:t>)</w:t>
      </w:r>
      <w:r w:rsidR="002F4E65">
        <w:t xml:space="preserve"> According to the MTI, all justified inductive inferences are warranted due to our background knowledge of </w:t>
      </w:r>
      <w:r w:rsidR="00C6143C">
        <w:t xml:space="preserve">suitable </w:t>
      </w:r>
      <w:r w:rsidR="002F4E65">
        <w:t>local uniformity principles</w:t>
      </w:r>
      <w:r w:rsidR="00C6143C">
        <w:t xml:space="preserve">, which </w:t>
      </w:r>
      <w:r w:rsidR="00E065B7">
        <w:t>justify</w:t>
      </w:r>
      <w:r w:rsidR="002F4E65">
        <w:t xml:space="preserve"> our expectation that the sample involved is representative of the target population</w:t>
      </w:r>
      <w:r w:rsidR="008503AB">
        <w:t xml:space="preserve"> with respect to the hypothesis.</w:t>
      </w:r>
      <w:r w:rsidR="00000DE3" w:rsidRPr="00000DE3">
        <w:t xml:space="preserve"> </w:t>
      </w:r>
    </w:p>
    <w:p w:rsidR="00E176B8" w:rsidRDefault="00E176B8" w:rsidP="00A57325">
      <w:pPr>
        <w:spacing w:line="276" w:lineRule="auto"/>
      </w:pPr>
    </w:p>
    <w:p w:rsidR="00E176B8" w:rsidRDefault="00AE0187" w:rsidP="00A57325">
      <w:pPr>
        <w:spacing w:line="276" w:lineRule="auto"/>
      </w:pPr>
      <w:r>
        <w:t>(</w:t>
      </w:r>
      <w:r w:rsidR="002F4E65">
        <w:t>2</w:t>
      </w:r>
      <w:r>
        <w:t>)</w:t>
      </w:r>
      <w:r w:rsidR="002F4E65">
        <w:t xml:space="preserve"> There are many inductions in which suitable local uniformity principles are not available, but these inductions nonetheless </w:t>
      </w:r>
      <w:r w:rsidR="00E065B7">
        <w:t>seem</w:t>
      </w:r>
      <w:r w:rsidR="002F4E65">
        <w:t xml:space="preserve"> justified.</w:t>
      </w:r>
      <w:r w:rsidR="00000DE3" w:rsidRPr="00000DE3">
        <w:t xml:space="preserve"> </w:t>
      </w:r>
    </w:p>
    <w:p w:rsidR="00E176B8" w:rsidRDefault="00E176B8" w:rsidP="00A57325">
      <w:pPr>
        <w:spacing w:line="276" w:lineRule="auto"/>
      </w:pPr>
    </w:p>
    <w:p w:rsidR="00E176B8" w:rsidRDefault="002F4E65" w:rsidP="00A57325">
      <w:pPr>
        <w:spacing w:line="276" w:lineRule="auto"/>
      </w:pPr>
      <w:r>
        <w:t xml:space="preserve">Therefore, </w:t>
      </w:r>
      <w:r w:rsidR="00AE0187">
        <w:t>(</w:t>
      </w:r>
      <w:r>
        <w:t>3</w:t>
      </w:r>
      <w:r w:rsidR="00AE0187">
        <w:t>)</w:t>
      </w:r>
      <w:r>
        <w:t xml:space="preserve"> </w:t>
      </w:r>
      <w:r w:rsidR="00C6143C">
        <w:t>The</w:t>
      </w:r>
      <w:r>
        <w:t xml:space="preserve"> MTI </w:t>
      </w:r>
      <w:r w:rsidR="00E065B7">
        <w:t>frequently</w:t>
      </w:r>
      <w:r w:rsidR="00B30DB0">
        <w:t xml:space="preserve"> </w:t>
      </w:r>
      <w:r>
        <w:t xml:space="preserve">conflicts with our intuitions about </w:t>
      </w:r>
      <w:r w:rsidR="00B30DB0">
        <w:t>inductions</w:t>
      </w:r>
      <w:r w:rsidR="00000DE3">
        <w:t>.</w:t>
      </w:r>
      <w:r w:rsidR="00000DE3" w:rsidRPr="00000DE3">
        <w:t xml:space="preserve"> </w:t>
      </w:r>
    </w:p>
    <w:p w:rsidR="00E176B8" w:rsidRDefault="00E176B8" w:rsidP="00E176B8"/>
    <w:p w:rsidR="00E176B8" w:rsidRDefault="00AE0187" w:rsidP="00E176B8">
      <w:r>
        <w:lastRenderedPageBreak/>
        <w:t>(</w:t>
      </w:r>
      <w:r w:rsidR="002F4E65">
        <w:t>4</w:t>
      </w:r>
      <w:r>
        <w:t>)</w:t>
      </w:r>
      <w:r w:rsidR="002F4E65">
        <w:t xml:space="preserve"> A good theory of induction should not </w:t>
      </w:r>
      <w:r w:rsidR="00E065B7">
        <w:t>frequently</w:t>
      </w:r>
      <w:r w:rsidR="00B30DB0">
        <w:t xml:space="preserve"> </w:t>
      </w:r>
      <w:r w:rsidR="002F4E65">
        <w:t xml:space="preserve">conflict with our </w:t>
      </w:r>
      <w:r w:rsidR="00E32F9A">
        <w:t>intuitions</w:t>
      </w:r>
      <w:r w:rsidR="002F4E65">
        <w:t>.</w:t>
      </w:r>
      <w:r w:rsidR="00000DE3" w:rsidRPr="00000DE3">
        <w:t xml:space="preserve"> </w:t>
      </w:r>
    </w:p>
    <w:p w:rsidR="00E176B8" w:rsidRDefault="00E176B8" w:rsidP="00E176B8"/>
    <w:p w:rsidR="008503AB" w:rsidRDefault="002F4E65" w:rsidP="00E176B8">
      <w:r>
        <w:t xml:space="preserve">Therefore, </w:t>
      </w:r>
      <w:r w:rsidR="00AE0187">
        <w:t>(</w:t>
      </w:r>
      <w:r>
        <w:t>5</w:t>
      </w:r>
      <w:r w:rsidR="00AE0187">
        <w:t>)</w:t>
      </w:r>
      <w:r>
        <w:t xml:space="preserve"> The MTI is not a good theory of induction.</w:t>
      </w:r>
      <w:r w:rsidR="008503AB" w:rsidRPr="008503AB">
        <w:t xml:space="preserve"> </w:t>
      </w:r>
    </w:p>
    <w:p w:rsidR="008503AB" w:rsidRDefault="008503AB" w:rsidP="008503AB"/>
    <w:p w:rsidR="009F0505" w:rsidRDefault="008503AB" w:rsidP="008503AB">
      <w:r>
        <w:tab/>
      </w:r>
      <w:r w:rsidR="008B76C9">
        <w:t>Several philosophers of science have raised this problem for Norton’s theory (</w:t>
      </w:r>
      <w:r w:rsidR="0009068B">
        <w:t xml:space="preserve">Ducheyne, 2008; </w:t>
      </w:r>
      <w:r w:rsidR="00EE3D8B">
        <w:t xml:space="preserve">Steel 2010, p. 172; </w:t>
      </w:r>
      <w:r w:rsidR="008B76C9">
        <w:t>Kelly, 2010, p. 75</w:t>
      </w:r>
      <w:r w:rsidR="0009068B">
        <w:t>7; Achinstein, 2010, p. 737; Jackson, 2019</w:t>
      </w:r>
      <w:r w:rsidR="006D1A4C">
        <w:t>, p. 8</w:t>
      </w:r>
      <w:r w:rsidR="008B76C9">
        <w:t>)</w:t>
      </w:r>
      <w:r w:rsidR="0009068B">
        <w:rPr>
          <w:rStyle w:val="FootnoteReference"/>
        </w:rPr>
        <w:footnoteReference w:id="4"/>
      </w:r>
      <w:r w:rsidR="0009068B">
        <w:t xml:space="preserve">. </w:t>
      </w:r>
      <w:r w:rsidR="00A57325">
        <w:t xml:space="preserve">Marc </w:t>
      </w:r>
      <w:r w:rsidR="00CC6763">
        <w:t>Lange, though his discussion antedates Norton’s presentation of the MTI, makes this criticism of</w:t>
      </w:r>
      <w:r w:rsidR="004E5F7D">
        <w:t xml:space="preserve"> </w:t>
      </w:r>
      <w:r w:rsidR="00CC6763">
        <w:t>Samir Okasha</w:t>
      </w:r>
      <w:r w:rsidR="004E5F7D">
        <w:t>’s similar theory of induction</w:t>
      </w:r>
      <w:r w:rsidR="00351BDB">
        <w:t xml:space="preserve"> </w:t>
      </w:r>
      <w:r w:rsidR="00CC6763">
        <w:t>(Lange, 2002).</w:t>
      </w:r>
      <w:r w:rsidR="004E6FAD">
        <w:t xml:space="preserve"> Norton </w:t>
      </w:r>
      <w:r w:rsidR="006E40E5">
        <w:t xml:space="preserve">himself </w:t>
      </w:r>
      <w:r w:rsidR="005575E4">
        <w:t>argues that</w:t>
      </w:r>
      <w:r w:rsidR="004E6FAD">
        <w:t xml:space="preserve"> similar examples</w:t>
      </w:r>
      <w:r w:rsidR="00547B3C">
        <w:t xml:space="preserve"> </w:t>
      </w:r>
      <w:r w:rsidR="005575E4">
        <w:t xml:space="preserve">pose </w:t>
      </w:r>
      <w:r w:rsidR="00547B3C">
        <w:t xml:space="preserve">an “intractable” problem for </w:t>
      </w:r>
      <w:r w:rsidR="00D21859">
        <w:t xml:space="preserve">the MTI, </w:t>
      </w:r>
      <w:r w:rsidR="00C25804">
        <w:t>al</w:t>
      </w:r>
      <w:r w:rsidR="00D21859">
        <w:t xml:space="preserve">though he does not </w:t>
      </w:r>
      <w:r w:rsidR="006E40E5">
        <w:t>believe</w:t>
      </w:r>
      <w:r w:rsidR="00D21859">
        <w:t xml:space="preserve"> that they</w:t>
      </w:r>
      <w:r w:rsidR="00E065B7">
        <w:t xml:space="preserve"> are so frequent or counterintuitive</w:t>
      </w:r>
      <w:r w:rsidR="00D21859">
        <w:t xml:space="preserve"> </w:t>
      </w:r>
      <w:r w:rsidR="00E065B7">
        <w:t xml:space="preserve">to </w:t>
      </w:r>
      <w:r w:rsidR="00D21859">
        <w:t xml:space="preserve">warrant </w:t>
      </w:r>
      <w:r w:rsidR="00E065B7">
        <w:t>rejecting</w:t>
      </w:r>
      <w:r w:rsidR="00D21859">
        <w:t xml:space="preserve"> his theory</w:t>
      </w:r>
      <w:r w:rsidR="00547B3C">
        <w:t xml:space="preserve"> </w:t>
      </w:r>
      <w:r w:rsidR="004E6FAD">
        <w:t>(201</w:t>
      </w:r>
      <w:r w:rsidR="00876ABA">
        <w:t>0</w:t>
      </w:r>
      <w:r w:rsidR="00547B3C">
        <w:t>, pp. 169-174</w:t>
      </w:r>
      <w:r w:rsidR="004E6FAD">
        <w:t>)</w:t>
      </w:r>
      <w:r w:rsidR="00E05F7A">
        <w:t>.</w:t>
      </w:r>
      <w:r w:rsidR="009F0505" w:rsidRPr="009F0505">
        <w:t xml:space="preserve"> </w:t>
      </w:r>
    </w:p>
    <w:p w:rsidR="009F0505" w:rsidRPr="00A263A1" w:rsidRDefault="009F0505" w:rsidP="009F0505">
      <w:pPr>
        <w:ind w:firstLine="720"/>
      </w:pPr>
    </w:p>
    <w:p w:rsidR="009F0505" w:rsidRDefault="00B16FC4" w:rsidP="009F0505">
      <w:pPr>
        <w:ind w:firstLine="720"/>
      </w:pPr>
      <w:r>
        <w:t xml:space="preserve">Lange’s discussion is especially helpful, because he offers some real scientific inferences that are intuitively reasonable, </w:t>
      </w:r>
      <w:r w:rsidR="00E065B7">
        <w:t>yet our background knowledge lacks any apparent local uniformity principles</w:t>
      </w:r>
      <w:r w:rsidR="000657A4">
        <w:t>.</w:t>
      </w:r>
      <w:r w:rsidR="00A263A1">
        <w:t xml:space="preserve"> </w:t>
      </w:r>
      <w:r w:rsidR="007E06E6">
        <w:t>His first example</w:t>
      </w:r>
      <w:r w:rsidR="00A263A1">
        <w:t xml:space="preserve"> is Henrietta</w:t>
      </w:r>
      <w:r w:rsidR="00646C1D">
        <w:t xml:space="preserve"> S.</w:t>
      </w:r>
      <w:r w:rsidR="00A263A1">
        <w:t xml:space="preserve"> Leavitt</w:t>
      </w:r>
      <w:r w:rsidR="00E065B7">
        <w:t>’s</w:t>
      </w:r>
      <w:r w:rsidR="00A263A1">
        <w:t xml:space="preserve"> observ</w:t>
      </w:r>
      <w:r w:rsidR="00E065B7">
        <w:t>ations</w:t>
      </w:r>
      <w:r w:rsidR="00D728C6">
        <w:t xml:space="preserve"> (using sophisticated instruments)</w:t>
      </w:r>
      <w:r w:rsidR="00E065B7">
        <w:t xml:space="preserve"> of a correlation</w:t>
      </w:r>
      <w:r w:rsidR="00A263A1">
        <w:t xml:space="preserve"> between the brightness of </w:t>
      </w:r>
      <w:r w:rsidR="006028CF">
        <w:t>Cepheid</w:t>
      </w:r>
      <w:r w:rsidR="00A263A1">
        <w:t xml:space="preserve"> stars</w:t>
      </w:r>
      <w:r w:rsidR="006028CF">
        <w:rPr>
          <w:rStyle w:val="FootnoteReference"/>
        </w:rPr>
        <w:footnoteReference w:id="5"/>
      </w:r>
      <w:r w:rsidR="00A263A1">
        <w:t xml:space="preserve"> and the period between </w:t>
      </w:r>
      <w:r w:rsidR="00352A27">
        <w:t>the</w:t>
      </w:r>
      <w:r w:rsidR="00A263A1">
        <w:t xml:space="preserve"> maxima in their light-curves. </w:t>
      </w:r>
      <w:r w:rsidR="00E065B7">
        <w:t>Her observed regularity</w:t>
      </w:r>
      <w:r w:rsidR="00A263A1">
        <w:t xml:space="preserve"> w</w:t>
      </w:r>
      <w:r w:rsidR="00E065B7">
        <w:t>as</w:t>
      </w:r>
      <w:r w:rsidR="00A263A1">
        <w:t xml:space="preserve"> later generalised by Harlow Shapley to all </w:t>
      </w:r>
      <w:r w:rsidR="006028CF">
        <w:t>Cepheid</w:t>
      </w:r>
      <w:r w:rsidR="00A263A1">
        <w:t>s in the Milky Way and by Edwin Hubble to the Andromeda galaxy.</w:t>
      </w:r>
      <w:r w:rsidR="00B71308">
        <w:t xml:space="preserve"> </w:t>
      </w:r>
      <w:r w:rsidR="007E06E6">
        <w:t xml:space="preserve">Lange’s second example is </w:t>
      </w:r>
      <w:r w:rsidR="00E1723D">
        <w:t>Joh</w:t>
      </w:r>
      <w:r w:rsidR="00B8487A">
        <w:t>an</w:t>
      </w:r>
      <w:r w:rsidR="00E1723D">
        <w:t>n Daniel Tit</w:t>
      </w:r>
      <w:r w:rsidR="00B8487A">
        <w:t>i</w:t>
      </w:r>
      <w:r w:rsidR="00E1723D">
        <w:t>us</w:t>
      </w:r>
      <w:r w:rsidR="005575E4">
        <w:t>’s</w:t>
      </w:r>
      <w:r w:rsidR="00E1723D">
        <w:t xml:space="preserve"> </w:t>
      </w:r>
      <w:r w:rsidR="005575E4">
        <w:t>induction</w:t>
      </w:r>
      <w:r w:rsidR="00E1723D">
        <w:t xml:space="preserve"> that the mean orbital radius </w:t>
      </w:r>
      <w:r w:rsidR="00E1723D">
        <w:rPr>
          <w:i/>
          <w:iCs/>
        </w:rPr>
        <w:t>r</w:t>
      </w:r>
      <w:r w:rsidR="00E1723D">
        <w:t xml:space="preserve"> of every planet in the Solar System is </w:t>
      </w:r>
      <w:r w:rsidR="009D7E61">
        <w:t xml:space="preserve">approximately </w:t>
      </w:r>
      <w:r w:rsidR="00E1723D">
        <w:t xml:space="preserve">equal to </w:t>
      </w:r>
      <w:r w:rsidR="00E1723D">
        <w:rPr>
          <w:i/>
          <w:iCs/>
        </w:rPr>
        <w:t>r</w:t>
      </w:r>
      <w:r w:rsidR="00E1723D">
        <w:t xml:space="preserve"> = 4 + </w:t>
      </w:r>
      <w:r w:rsidR="005D5465">
        <w:t>(2</w:t>
      </w:r>
      <w:r w:rsidR="005D5465">
        <w:rPr>
          <w:vertAlign w:val="superscript"/>
        </w:rPr>
        <w:t>n</w:t>
      </w:r>
      <w:r w:rsidR="005D5465">
        <w:t>)(</w:t>
      </w:r>
      <w:r w:rsidR="00E1723D">
        <w:t>3</w:t>
      </w:r>
      <w:r w:rsidR="005D5465">
        <w:t>)</w:t>
      </w:r>
      <w:r w:rsidR="00E1723D">
        <w:t xml:space="preserve">, where </w:t>
      </w:r>
      <w:r w:rsidR="00E1723D">
        <w:rPr>
          <w:i/>
          <w:iCs/>
        </w:rPr>
        <w:t>n</w:t>
      </w:r>
      <w:r w:rsidR="00E1723D">
        <w:t xml:space="preserve"> is normalized to 10 units for the Earth</w:t>
      </w:r>
      <w:r w:rsidR="003B5EE8">
        <w:t xml:space="preserve">, with </w:t>
      </w:r>
      <w:r w:rsidR="003B5EE8">
        <w:rPr>
          <w:i/>
          <w:iCs/>
        </w:rPr>
        <w:t>n</w:t>
      </w:r>
      <w:r w:rsidR="003B5EE8">
        <w:t xml:space="preserve"> taking</w:t>
      </w:r>
      <w:r w:rsidR="00E1723D">
        <w:t xml:space="preserve"> the value -</w:t>
      </w:r>
      <w:r w:rsidR="00E1723D">
        <w:rPr>
          <w:rFonts w:cs="Times New Roman"/>
        </w:rPr>
        <w:t xml:space="preserve">∞ for Mercury and 0, 1, 2… for the planets going outward from Mercury. </w:t>
      </w:r>
      <w:r w:rsidR="00B8487A">
        <w:rPr>
          <w:rFonts w:cs="Times New Roman"/>
        </w:rPr>
        <w:t>This</w:t>
      </w:r>
      <w:r w:rsidR="00E1723D">
        <w:rPr>
          <w:rFonts w:cs="Times New Roman"/>
        </w:rPr>
        <w:t xml:space="preserve"> regularity became known as Bode’s Law.</w:t>
      </w:r>
      <w:r w:rsidR="005D5465">
        <w:rPr>
          <w:rFonts w:cs="Times New Roman"/>
        </w:rPr>
        <w:t xml:space="preserve"> It predicts that the outer planets will be roughly twice as far from the Sun as </w:t>
      </w:r>
      <w:r w:rsidR="005C2518">
        <w:rPr>
          <w:rFonts w:cs="Times New Roman"/>
        </w:rPr>
        <w:t>the preceding planet</w:t>
      </w:r>
      <w:r w:rsidR="005D5465">
        <w:rPr>
          <w:rFonts w:cs="Times New Roman"/>
        </w:rPr>
        <w:t>.</w:t>
      </w:r>
      <w:r w:rsidR="00E1723D">
        <w:rPr>
          <w:rFonts w:cs="Times New Roman"/>
        </w:rPr>
        <w:t xml:space="preserve"> Although the law </w:t>
      </w:r>
      <w:r w:rsidR="003B5EE8">
        <w:rPr>
          <w:rFonts w:cs="Times New Roman"/>
        </w:rPr>
        <w:t>was later disproved</w:t>
      </w:r>
      <w:r w:rsidR="00E1723D">
        <w:rPr>
          <w:rFonts w:cs="Times New Roman"/>
        </w:rPr>
        <w:t xml:space="preserve">, it had some </w:t>
      </w:r>
      <w:r w:rsidR="009A055E">
        <w:rPr>
          <w:rFonts w:cs="Times New Roman"/>
        </w:rPr>
        <w:t>stunning</w:t>
      </w:r>
      <w:r w:rsidR="00E1723D">
        <w:rPr>
          <w:rFonts w:cs="Times New Roman"/>
        </w:rPr>
        <w:t xml:space="preserve"> early predictive successes</w:t>
      </w:r>
      <w:r w:rsidR="009D7E61">
        <w:rPr>
          <w:rFonts w:cs="Times New Roman"/>
        </w:rPr>
        <w:t xml:space="preserve"> (</w:t>
      </w:r>
      <w:r w:rsidR="005C2518">
        <w:rPr>
          <w:rFonts w:cs="Times New Roman"/>
        </w:rPr>
        <w:t>including from</w:t>
      </w:r>
      <w:r w:rsidR="009D7E61">
        <w:rPr>
          <w:rFonts w:cs="Times New Roman"/>
        </w:rPr>
        <w:t xml:space="preserve"> the observations of </w:t>
      </w:r>
      <w:r w:rsidR="005575E4">
        <w:rPr>
          <w:rFonts w:cs="Times New Roman"/>
        </w:rPr>
        <w:t xml:space="preserve">Uranus by </w:t>
      </w:r>
      <w:r w:rsidR="009D7E61">
        <w:rPr>
          <w:rFonts w:cs="Times New Roman"/>
        </w:rPr>
        <w:t>William Herschel in 1781)</w:t>
      </w:r>
      <w:r w:rsidR="00E1723D">
        <w:rPr>
          <w:rFonts w:cs="Times New Roman"/>
        </w:rPr>
        <w:t xml:space="preserve"> and </w:t>
      </w:r>
      <w:r w:rsidR="00E065B7">
        <w:rPr>
          <w:rFonts w:cs="Times New Roman"/>
        </w:rPr>
        <w:t>astronomers</w:t>
      </w:r>
      <w:r w:rsidR="0059734E">
        <w:rPr>
          <w:rFonts w:cs="Times New Roman"/>
        </w:rPr>
        <w:t xml:space="preserve"> once</w:t>
      </w:r>
      <w:r w:rsidR="00E1723D">
        <w:rPr>
          <w:rFonts w:cs="Times New Roman"/>
        </w:rPr>
        <w:t xml:space="preserve"> widely believed </w:t>
      </w:r>
      <w:r w:rsidR="00E065B7">
        <w:rPr>
          <w:rFonts w:cs="Times New Roman"/>
        </w:rPr>
        <w:t>it</w:t>
      </w:r>
      <w:r w:rsidR="00E1723D">
        <w:rPr>
          <w:rFonts w:cs="Times New Roman"/>
        </w:rPr>
        <w:t>.</w:t>
      </w:r>
      <w:r w:rsidR="007E06E6">
        <w:rPr>
          <w:rFonts w:cs="Times New Roman"/>
        </w:rPr>
        <w:t xml:space="preserve"> Lange’s final example is that</w:t>
      </w:r>
      <w:r w:rsidR="00E1723D">
        <w:rPr>
          <w:rFonts w:cs="Times New Roman"/>
        </w:rPr>
        <w:t xml:space="preserve">, since at least the </w:t>
      </w:r>
      <w:r w:rsidR="004E6FAD">
        <w:rPr>
          <w:rFonts w:cs="Times New Roman"/>
        </w:rPr>
        <w:t>mid-19</w:t>
      </w:r>
      <w:r w:rsidR="004E6FAD" w:rsidRPr="004E6FAD">
        <w:rPr>
          <w:rFonts w:cs="Times New Roman"/>
          <w:vertAlign w:val="superscript"/>
        </w:rPr>
        <w:t>th</w:t>
      </w:r>
      <w:r w:rsidR="004E6FAD">
        <w:rPr>
          <w:rFonts w:cs="Times New Roman"/>
        </w:rPr>
        <w:t xml:space="preserve"> century, </w:t>
      </w:r>
      <w:r w:rsidR="00E1723D">
        <w:rPr>
          <w:rFonts w:cs="Times New Roman"/>
        </w:rPr>
        <w:t>macroecologists have observed a correlation between proximity to the tropics and biodiversity</w:t>
      </w:r>
      <w:r w:rsidR="003D42E3">
        <w:rPr>
          <w:rFonts w:cs="Times New Roman"/>
        </w:rPr>
        <w:t>. T</w:t>
      </w:r>
      <w:r w:rsidR="004E6FAD">
        <w:rPr>
          <w:rFonts w:cs="Times New Roman"/>
        </w:rPr>
        <w:t>hey have generalised this correlation</w:t>
      </w:r>
      <w:r w:rsidR="005E12A9">
        <w:rPr>
          <w:rFonts w:cs="Times New Roman"/>
        </w:rPr>
        <w:t>,</w:t>
      </w:r>
      <w:r w:rsidR="004E6FAD">
        <w:rPr>
          <w:rFonts w:cs="Times New Roman"/>
        </w:rPr>
        <w:t xml:space="preserve"> despite the absence of a</w:t>
      </w:r>
      <w:r w:rsidR="00EA0186">
        <w:rPr>
          <w:rFonts w:cs="Times New Roman"/>
        </w:rPr>
        <w:t>n</w:t>
      </w:r>
      <w:r w:rsidR="009E3C8D">
        <w:rPr>
          <w:rFonts w:cs="Times New Roman"/>
        </w:rPr>
        <w:t>y</w:t>
      </w:r>
      <w:r w:rsidR="00EA0186">
        <w:rPr>
          <w:rFonts w:cs="Times New Roman"/>
        </w:rPr>
        <w:t xml:space="preserve"> </w:t>
      </w:r>
      <w:r w:rsidR="009E3C8D">
        <w:rPr>
          <w:rFonts w:cs="Times New Roman"/>
        </w:rPr>
        <w:t>apparent</w:t>
      </w:r>
      <w:r w:rsidR="004E6FAD">
        <w:rPr>
          <w:rFonts w:cs="Times New Roman"/>
        </w:rPr>
        <w:t xml:space="preserve"> background theoretical reason to expect the observed ecosystems to be representative of all terrestrial ecosystems</w:t>
      </w:r>
      <w:r w:rsidR="005E12A9">
        <w:rPr>
          <w:rFonts w:cs="Times New Roman"/>
        </w:rPr>
        <w:t xml:space="preserve"> </w:t>
      </w:r>
      <w:r w:rsidR="004E6FAD">
        <w:rPr>
          <w:rFonts w:cs="Times New Roman"/>
        </w:rPr>
        <w:t>(Lange, 2002, pp. 229-231).</w:t>
      </w:r>
      <w:r w:rsidR="009F0505" w:rsidRPr="009F0505">
        <w:t xml:space="preserve"> </w:t>
      </w:r>
    </w:p>
    <w:p w:rsidR="009F0505" w:rsidRPr="00A263A1" w:rsidRDefault="009F0505" w:rsidP="009F0505">
      <w:pPr>
        <w:ind w:firstLine="720"/>
      </w:pPr>
    </w:p>
    <w:p w:rsidR="00357608" w:rsidRDefault="00A263A1" w:rsidP="00357608">
      <w:pPr>
        <w:ind w:firstLine="720"/>
      </w:pPr>
      <w:r>
        <w:t xml:space="preserve">Lange </w:t>
      </w:r>
      <w:r w:rsidR="004E6FAD">
        <w:t xml:space="preserve">grants that </w:t>
      </w:r>
      <w:r w:rsidR="004E6FAD">
        <w:rPr>
          <w:i/>
          <w:iCs/>
        </w:rPr>
        <w:t>some</w:t>
      </w:r>
      <w:r>
        <w:t xml:space="preserve"> background knowledge played a part in these inductions. Shapley and Hubble knew that the boundaries between Andromeda and other constellations were arbitrary</w:t>
      </w:r>
      <w:r w:rsidR="00AA3118">
        <w:t>: these boundaries did not constitute</w:t>
      </w:r>
      <w:r>
        <w:t xml:space="preserve"> some natural kind. </w:t>
      </w:r>
      <w:r w:rsidR="009F0505">
        <w:t>(</w:t>
      </w:r>
      <w:r w:rsidR="00E065B7">
        <w:t>They also</w:t>
      </w:r>
      <w:r w:rsidR="009F0505">
        <w:t xml:space="preserve"> had no reasons to expect </w:t>
      </w:r>
      <w:r w:rsidR="00F554E3">
        <w:t xml:space="preserve">Cepheids in </w:t>
      </w:r>
      <w:r w:rsidR="009F0505">
        <w:t xml:space="preserve">Andromeda to </w:t>
      </w:r>
      <w:r w:rsidR="00E065B7">
        <w:t>differ</w:t>
      </w:r>
      <w:r w:rsidR="00B240B6">
        <w:t xml:space="preserve"> from observed </w:t>
      </w:r>
      <w:r w:rsidR="00F554E3">
        <w:t>Cepheids</w:t>
      </w:r>
      <w:r w:rsidR="009F0505">
        <w:t xml:space="preserve">.) </w:t>
      </w:r>
      <w:r w:rsidR="00E065B7">
        <w:t xml:space="preserve">The key to </w:t>
      </w:r>
      <w:r w:rsidR="00E065B7">
        <w:lastRenderedPageBreak/>
        <w:t>Lange’s</w:t>
      </w:r>
      <w:r>
        <w:t xml:space="preserve"> objection</w:t>
      </w:r>
      <w:r w:rsidR="00F554E3">
        <w:t xml:space="preserve"> </w:t>
      </w:r>
      <w:r>
        <w:t>is th</w:t>
      </w:r>
      <w:r w:rsidR="00E065B7">
        <w:t>e apparent absence of</w:t>
      </w:r>
      <w:r>
        <w:t xml:space="preserve"> local </w:t>
      </w:r>
      <w:r w:rsidR="008303A2">
        <w:t>uniformity</w:t>
      </w:r>
      <w:r w:rsidR="00E065B7">
        <w:t xml:space="preserve"> principles</w:t>
      </w:r>
      <w:r>
        <w:t xml:space="preserve"> that would warrant </w:t>
      </w:r>
      <w:r w:rsidR="00E065B7">
        <w:t>the expectation that the samples are</w:t>
      </w:r>
      <w:r>
        <w:t xml:space="preserve"> representative of the</w:t>
      </w:r>
      <w:r w:rsidR="00E065B7">
        <w:t xml:space="preserve"> inductions’</w:t>
      </w:r>
      <w:r>
        <w:t xml:space="preserve"> target populations</w:t>
      </w:r>
      <w:r w:rsidR="00E065B7">
        <w:t>.</w:t>
      </w:r>
    </w:p>
    <w:p w:rsidR="00357608" w:rsidRPr="00A263A1" w:rsidRDefault="00357608" w:rsidP="00357608">
      <w:pPr>
        <w:ind w:firstLine="720"/>
      </w:pPr>
    </w:p>
    <w:p w:rsidR="00BA17D9" w:rsidRPr="00652DF2" w:rsidRDefault="00E065B7" w:rsidP="00357608">
      <w:pPr>
        <w:ind w:firstLine="720"/>
      </w:pPr>
      <w:r>
        <w:t>The fundamental point in this criticism of the MTI (and similar theories)</w:t>
      </w:r>
      <w:r w:rsidR="00652DF2">
        <w:t xml:space="preserve"> is that premise (1) of the argument above, which I shall call the </w:t>
      </w:r>
      <w:r w:rsidR="00652DF2">
        <w:rPr>
          <w:i/>
          <w:iCs/>
        </w:rPr>
        <w:t>Factivity</w:t>
      </w:r>
      <w:r w:rsidR="00652DF2">
        <w:t xml:space="preserve"> claim in the MTI, cannot be reconciled with our intuitions about reasonable inductions at the frontiers of science. There are many other theses within the MTI that are not being disputed in this challenge</w:t>
      </w:r>
      <w:r w:rsidR="00472CFF">
        <w:t>, like</w:t>
      </w:r>
      <w:r w:rsidR="00652DF2">
        <w:t xml:space="preserve"> </w:t>
      </w:r>
      <w:r w:rsidR="005D5465">
        <w:t>Norton’s</w:t>
      </w:r>
      <w:r w:rsidR="00652DF2">
        <w:t xml:space="preserve"> emphasis on </w:t>
      </w:r>
      <w:r w:rsidR="00652DF2">
        <w:rPr>
          <w:i/>
          <w:iCs/>
        </w:rPr>
        <w:t>local</w:t>
      </w:r>
      <w:r w:rsidR="00652DF2">
        <w:t xml:space="preserve"> background </w:t>
      </w:r>
      <w:r w:rsidR="005B2594">
        <w:t>knowledge</w:t>
      </w:r>
      <w:r w:rsidR="00652DF2">
        <w:t xml:space="preserve">, </w:t>
      </w:r>
      <w:r w:rsidR="005D5465">
        <w:t>his</w:t>
      </w:r>
      <w:r w:rsidR="00652DF2">
        <w:t xml:space="preserve"> claim that there are rational non-deductive inferences,</w:t>
      </w:r>
      <w:r w:rsidR="00BA17D9">
        <w:t xml:space="preserve"> </w:t>
      </w:r>
      <w:r w:rsidR="00652DF2">
        <w:t xml:space="preserve">and </w:t>
      </w:r>
      <w:r w:rsidR="005D5465">
        <w:t>his</w:t>
      </w:r>
      <w:r w:rsidR="00652DF2">
        <w:t xml:space="preserve"> rejection of Bayesian </w:t>
      </w:r>
      <w:r w:rsidR="00BA17D9">
        <w:t>priors</w:t>
      </w:r>
      <w:r w:rsidR="00652DF2">
        <w:t xml:space="preserve"> as an ever-present feature of inducti</w:t>
      </w:r>
      <w:r w:rsidR="00C14684">
        <w:t>on</w:t>
      </w:r>
      <w:r w:rsidR="00652DF2">
        <w:t xml:space="preserve">. The problem must also be distinguished from the Humean Problem of Induction or Nelson Goodman’s New Riddle of Induction. The </w:t>
      </w:r>
      <w:r w:rsidR="000148CC">
        <w:t>objection</w:t>
      </w:r>
      <w:r w:rsidR="00652DF2">
        <w:t xml:space="preserve"> is </w:t>
      </w:r>
      <w:r w:rsidR="00935765">
        <w:t>an alleged a conflict</w:t>
      </w:r>
      <w:r w:rsidR="00652DF2">
        <w:t xml:space="preserve"> between </w:t>
      </w:r>
      <w:r w:rsidR="000148CC">
        <w:t>the MTI</w:t>
      </w:r>
      <w:r w:rsidR="00652DF2">
        <w:t xml:space="preserve"> and our intuitions</w:t>
      </w:r>
      <w:r w:rsidR="00935765">
        <w:t xml:space="preserve"> in many</w:t>
      </w:r>
      <w:r w:rsidR="00472CFF">
        <w:t xml:space="preserve"> </w:t>
      </w:r>
      <w:r w:rsidR="00935765">
        <w:t>inductions</w:t>
      </w:r>
      <w:r w:rsidR="00652DF2">
        <w:t xml:space="preserve">. </w:t>
      </w:r>
      <w:r w:rsidR="000148CC">
        <w:t xml:space="preserve">To answer </w:t>
      </w:r>
      <w:r w:rsidR="00DB30BB">
        <w:t>this</w:t>
      </w:r>
      <w:r w:rsidR="000148CC">
        <w:t xml:space="preserve"> objection, it is sufficient to </w:t>
      </w:r>
      <w:r w:rsidR="00DB30BB">
        <w:t>disprove</w:t>
      </w:r>
      <w:r w:rsidR="000148CC">
        <w:t xml:space="preserve"> </w:t>
      </w:r>
      <w:r w:rsidR="00DB30BB">
        <w:t>this alleged</w:t>
      </w:r>
      <w:r w:rsidR="000148CC">
        <w:t xml:space="preserve"> conflict, without attempting a </w:t>
      </w:r>
      <w:r w:rsidR="000148CC">
        <w:rPr>
          <w:i/>
          <w:iCs/>
        </w:rPr>
        <w:t>general</w:t>
      </w:r>
      <w:r w:rsidR="000148CC">
        <w:t xml:space="preserve"> defence of the </w:t>
      </w:r>
      <w:r w:rsidR="00472CFF">
        <w:t>MTI</w:t>
      </w:r>
      <w:r w:rsidR="00652DF2">
        <w:t>.</w:t>
      </w:r>
    </w:p>
    <w:p w:rsidR="00652DF2" w:rsidRDefault="00652DF2" w:rsidP="001D2502">
      <w:pPr>
        <w:ind w:firstLine="720"/>
      </w:pPr>
    </w:p>
    <w:p w:rsidR="00652DF2" w:rsidRPr="00AE0187" w:rsidRDefault="00652DF2" w:rsidP="00652DF2">
      <w:pPr>
        <w:ind w:firstLine="720"/>
      </w:pPr>
      <w:r>
        <w:t xml:space="preserve">Of course, the argument at the beginning of this section could be disputed in many ways. </w:t>
      </w:r>
      <w:r w:rsidR="00794DB7">
        <w:t>Supporters of the MTI could</w:t>
      </w:r>
      <w:r w:rsidR="000148CC">
        <w:t xml:space="preserve"> </w:t>
      </w:r>
      <w:r>
        <w:t>argue that our intuitions are at fault</w:t>
      </w:r>
      <w:r w:rsidR="008D2440">
        <w:t>, i.e.</w:t>
      </w:r>
      <w:r>
        <w:t xml:space="preserve"> reject </w:t>
      </w:r>
      <w:r w:rsidR="00794DB7">
        <w:t>p</w:t>
      </w:r>
      <w:r>
        <w:t>remise (4).</w:t>
      </w:r>
      <w:r w:rsidR="00EC0BC9" w:rsidRPr="00EC0BC9">
        <w:t xml:space="preserve"> </w:t>
      </w:r>
      <w:r w:rsidR="000148CC">
        <w:t xml:space="preserve">This </w:t>
      </w:r>
      <w:r w:rsidR="00463E93">
        <w:t>might</w:t>
      </w:r>
      <w:r w:rsidR="000148CC">
        <w:t xml:space="preserve"> not be disastrous for the MTI:</w:t>
      </w:r>
      <w:r>
        <w:t xml:space="preserve"> </w:t>
      </w:r>
      <w:r w:rsidR="005D5465">
        <w:t xml:space="preserve">Peter </w:t>
      </w:r>
      <w:r>
        <w:t>Achinstein (2011, p. 284) notes that rejecting some inductions at the frontiers of science would not entail inductive scepticism.</w:t>
      </w:r>
      <w:r w:rsidR="003F3F4C">
        <w:t xml:space="preserve"> </w:t>
      </w:r>
      <w:r w:rsidR="00AE0187">
        <w:t xml:space="preserve">One could </w:t>
      </w:r>
      <w:r w:rsidR="000148CC">
        <w:t xml:space="preserve">also </w:t>
      </w:r>
      <w:r w:rsidR="00AE0187">
        <w:t>dispute whether our intuitions in the particular examples really favour the inductions, thus rejecting</w:t>
      </w:r>
      <w:r w:rsidR="00C14684">
        <w:t xml:space="preserve"> </w:t>
      </w:r>
      <w:r w:rsidR="00794DB7">
        <w:t>p</w:t>
      </w:r>
      <w:r w:rsidR="00AE0187">
        <w:t xml:space="preserve">remise (2). </w:t>
      </w:r>
      <w:r w:rsidR="003F3F4C">
        <w:t xml:space="preserve">However, since science </w:t>
      </w:r>
      <w:r w:rsidR="00794DB7">
        <w:t>apparently progresses, in part, via inductions at its frontiers</w:t>
      </w:r>
      <w:r w:rsidR="003F3F4C">
        <w:t xml:space="preserve">, it is hard to see how Norton could reject </w:t>
      </w:r>
      <w:r w:rsidR="003F3F4C">
        <w:rPr>
          <w:i/>
          <w:iCs/>
        </w:rPr>
        <w:t>all</w:t>
      </w:r>
      <w:r w:rsidR="003F3F4C">
        <w:t xml:space="preserve"> such inferences. </w:t>
      </w:r>
      <w:r w:rsidR="00AE0187">
        <w:t xml:space="preserve">My strategy </w:t>
      </w:r>
      <w:r w:rsidR="0056262B">
        <w:t>is</w:t>
      </w:r>
      <w:r w:rsidR="00AE0187">
        <w:t xml:space="preserve"> to reject</w:t>
      </w:r>
      <w:r w:rsidR="000148CC">
        <w:t xml:space="preserve"> </w:t>
      </w:r>
      <w:r w:rsidR="00794DB7">
        <w:t>p</w:t>
      </w:r>
      <w:r w:rsidR="000148CC">
        <w:t>remise (2)</w:t>
      </w:r>
      <w:r w:rsidR="0056262B">
        <w:t xml:space="preserve"> on different grounds</w:t>
      </w:r>
      <w:r w:rsidR="000148CC">
        <w:t xml:space="preserve">: </w:t>
      </w:r>
      <w:r w:rsidR="00AE0187">
        <w:t xml:space="preserve">there </w:t>
      </w:r>
      <w:r w:rsidR="00AE0187">
        <w:rPr>
          <w:i/>
          <w:iCs/>
        </w:rPr>
        <w:t>are</w:t>
      </w:r>
      <w:r w:rsidR="000148CC">
        <w:rPr>
          <w:i/>
          <w:iCs/>
        </w:rPr>
        <w:t xml:space="preserve"> </w:t>
      </w:r>
      <w:r w:rsidR="000148CC">
        <w:t xml:space="preserve">suitable </w:t>
      </w:r>
      <w:r w:rsidR="00AE0187">
        <w:t xml:space="preserve">local uniformities in </w:t>
      </w:r>
      <w:r w:rsidR="0056262B">
        <w:t>the examples where the inductions seem reasonable</w:t>
      </w:r>
      <w:r w:rsidR="000148CC">
        <w:t>.</w:t>
      </w:r>
    </w:p>
    <w:p w:rsidR="009B06D5" w:rsidRDefault="009B06D5"/>
    <w:p w:rsidR="009B06D5" w:rsidRPr="00EC0BC9" w:rsidRDefault="00AE0187">
      <w:pPr>
        <w:rPr>
          <w:b/>
          <w:bCs/>
        </w:rPr>
      </w:pPr>
      <w:r w:rsidRPr="00EC0BC9">
        <w:rPr>
          <w:b/>
          <w:bCs/>
        </w:rPr>
        <w:t>4. Combinatoric Local Uniformities</w:t>
      </w:r>
    </w:p>
    <w:p w:rsidR="00D8143E" w:rsidRDefault="00D8143E" w:rsidP="00D8143E"/>
    <w:p w:rsidR="00D8143E" w:rsidRPr="00652DF2" w:rsidRDefault="006361D3" w:rsidP="00D8143E">
      <w:pPr>
        <w:ind w:firstLine="720"/>
      </w:pPr>
      <w:r>
        <w:t xml:space="preserve">My strategy will draw on </w:t>
      </w:r>
      <w:r w:rsidR="00474B10">
        <w:t>part of</w:t>
      </w:r>
      <w:r w:rsidR="005E2F1E">
        <w:t xml:space="preserve"> the voluminous literature on the Humean Problem of Induction</w:t>
      </w:r>
      <w:r w:rsidR="00767F2F">
        <w:t xml:space="preserve">. </w:t>
      </w:r>
      <w:r w:rsidR="005E2F1E">
        <w:t xml:space="preserve">Lange </w:t>
      </w:r>
      <w:r w:rsidR="00474B10">
        <w:t>calls</w:t>
      </w:r>
      <w:r w:rsidR="00767F2F">
        <w:t xml:space="preserve"> this part</w:t>
      </w:r>
      <w:r w:rsidR="005E2F1E">
        <w:t xml:space="preserve"> the “Combinatoric Justification of Induction”</w:t>
      </w:r>
      <w:r w:rsidR="00B648D7">
        <w:t xml:space="preserve"> (CJI)</w:t>
      </w:r>
      <w:r w:rsidR="005E2F1E">
        <w:t xml:space="preserve"> (Lange, 2011, p. 83). The essential idea </w:t>
      </w:r>
      <w:r w:rsidR="00B12281">
        <w:t xml:space="preserve">is that, for many inductions, we know that </w:t>
      </w:r>
      <w:r w:rsidR="00B648D7">
        <w:t>our sample is a large subset of a finite population</w:t>
      </w:r>
      <w:r w:rsidR="00B12281">
        <w:t xml:space="preserve">, and </w:t>
      </w:r>
      <w:r w:rsidR="00B648D7">
        <w:t xml:space="preserve">combinatorics can prove that the majority of such subsets must be </w:t>
      </w:r>
      <w:r w:rsidR="00B12281">
        <w:t xml:space="preserve">representative of </w:t>
      </w:r>
      <w:r w:rsidR="00B648D7">
        <w:t>such</w:t>
      </w:r>
      <w:r w:rsidR="00B12281">
        <w:t xml:space="preserve"> population</w:t>
      </w:r>
      <w:r w:rsidR="00B648D7">
        <w:t>s</w:t>
      </w:r>
      <w:r w:rsidR="00B12281">
        <w:t>.</w:t>
      </w:r>
      <w:r w:rsidR="00697D0A">
        <w:t xml:space="preserve"> This provides a </w:t>
      </w:r>
      <w:r w:rsidR="00697D0A" w:rsidRPr="00697D0A">
        <w:rPr>
          <w:i/>
          <w:iCs/>
        </w:rPr>
        <w:t>defeasible</w:t>
      </w:r>
      <w:r w:rsidR="00697D0A">
        <w:t xml:space="preserve"> to believe that our large samples are representative, and thus suitable for inductive inferences.</w:t>
      </w:r>
      <w:r>
        <w:t xml:space="preserve"> I shall adapt this idea to the local inductions at the frontiers of science. Unlike any satisfactory answer to the Humean Problem of Induction, I shall liberally utilise inductively-</w:t>
      </w:r>
      <w:r w:rsidR="00AE222C">
        <w:t>acquired</w:t>
      </w:r>
      <w:r>
        <w:t xml:space="preserve"> background knowledge when necessary, because my goal is not to answer Hume</w:t>
      </w:r>
      <w:r w:rsidR="003F1A29">
        <w:t xml:space="preserve">. </w:t>
      </w:r>
      <w:r w:rsidR="00C86BEF">
        <w:t>I aim</w:t>
      </w:r>
      <w:r w:rsidR="003F1A29">
        <w:t xml:space="preserve"> only </w:t>
      </w:r>
      <w:r>
        <w:t xml:space="preserve">to argue that certain inductions are </w:t>
      </w:r>
      <w:r w:rsidR="00A83753">
        <w:t>allowed by the MTI</w:t>
      </w:r>
      <w:r>
        <w:t>.</w:t>
      </w:r>
    </w:p>
    <w:p w:rsidR="00D8143E" w:rsidRDefault="00D8143E" w:rsidP="00D8143E">
      <w:pPr>
        <w:ind w:firstLine="720"/>
      </w:pPr>
    </w:p>
    <w:p w:rsidR="00D8143E" w:rsidRPr="00652DF2" w:rsidRDefault="00474B10" w:rsidP="00D8143E">
      <w:pPr>
        <w:ind w:firstLine="720"/>
      </w:pPr>
      <w:r>
        <w:t>Co</w:t>
      </w:r>
      <w:r w:rsidR="006361D3">
        <w:t>nsider</w:t>
      </w:r>
      <w:r w:rsidR="00B12281">
        <w:t xml:space="preserve"> </w:t>
      </w:r>
      <w:r w:rsidR="006028CF">
        <w:t xml:space="preserve">Shapley’s extrapolation of Leavitt’s </w:t>
      </w:r>
      <w:r w:rsidR="004E04C3">
        <w:t>observ</w:t>
      </w:r>
      <w:r w:rsidR="00FC3BA2">
        <w:t>ations of a periodicity-luminosity</w:t>
      </w:r>
      <w:r w:rsidR="004E04C3">
        <w:t xml:space="preserve"> regularity</w:t>
      </w:r>
      <w:r w:rsidR="006028CF">
        <w:t xml:space="preserve"> to all the Cepheids in the Milky Way galaxy.</w:t>
      </w:r>
      <w:r w:rsidR="00B12281">
        <w:t xml:space="preserve"> </w:t>
      </w:r>
      <w:r w:rsidR="00FC3BA2">
        <w:t>He</w:t>
      </w:r>
      <w:r w:rsidR="006028CF">
        <w:t xml:space="preserve"> knew that the observed Cepheids were a subset of those in the Milky Way galaxy</w:t>
      </w:r>
      <w:r w:rsidR="00B648D7">
        <w:t xml:space="preserve">, </w:t>
      </w:r>
      <w:r w:rsidR="006028CF">
        <w:t>that there were a finite number of stars in our galaxy</w:t>
      </w:r>
      <w:r w:rsidR="00B648D7">
        <w:t>,</w:t>
      </w:r>
      <w:r w:rsidR="006028CF">
        <w:t xml:space="preserve"> and </w:t>
      </w:r>
      <w:r>
        <w:t>the</w:t>
      </w:r>
      <w:r w:rsidR="00646C1D">
        <w:t xml:space="preserve"> </w:t>
      </w:r>
      <w:r>
        <w:t>regularity</w:t>
      </w:r>
      <w:r w:rsidR="00646C1D">
        <w:t xml:space="preserve"> </w:t>
      </w:r>
      <w:r>
        <w:t xml:space="preserve">held </w:t>
      </w:r>
      <w:r w:rsidR="00646C1D">
        <w:t>in</w:t>
      </w:r>
      <w:r w:rsidR="006028CF">
        <w:t xml:space="preserve"> 25 Cepheids</w:t>
      </w:r>
      <w:r w:rsidR="003952B9">
        <w:t xml:space="preserve"> (</w:t>
      </w:r>
      <w:r w:rsidR="003E3C68">
        <w:t xml:space="preserve">Leavitt, </w:t>
      </w:r>
      <w:r w:rsidR="00646C1D">
        <w:t>1912</w:t>
      </w:r>
      <w:r w:rsidR="003E3C68">
        <w:t>)</w:t>
      </w:r>
      <w:r w:rsidR="006028CF">
        <w:t>.</w:t>
      </w:r>
      <w:r w:rsidR="008A5B38">
        <w:t xml:space="preserve"> There will be </w:t>
      </w:r>
      <w:r w:rsidR="00B648D7">
        <w:t xml:space="preserve">a (very </w:t>
      </w:r>
      <w:r w:rsidR="00B648D7">
        <w:lastRenderedPageBreak/>
        <w:t>large)</w:t>
      </w:r>
      <w:r w:rsidR="008A5B38">
        <w:t xml:space="preserve"> set of </w:t>
      </w:r>
      <w:r w:rsidR="00B648D7">
        <w:t xml:space="preserve">distinct </w:t>
      </w:r>
      <w:r w:rsidR="006028CF">
        <w:t>25</w:t>
      </w:r>
      <w:r w:rsidR="008A5B38">
        <w:t xml:space="preserve">-fold </w:t>
      </w:r>
      <w:r w:rsidR="00B648D7">
        <w:t>subsets that can be formulated</w:t>
      </w:r>
      <w:r w:rsidR="008A5B38">
        <w:t xml:space="preserve"> </w:t>
      </w:r>
      <w:r w:rsidR="00B648D7">
        <w:t xml:space="preserve">from </w:t>
      </w:r>
      <w:r>
        <w:t>the set of Cepheids in the Milky Way at the time of Shapley’s induction</w:t>
      </w:r>
      <w:r w:rsidR="008A5B38">
        <w:t xml:space="preserve">. </w:t>
      </w:r>
      <w:r>
        <w:t>Before proceeding, I shall make the notion of ‘representative’ more precise</w:t>
      </w:r>
      <w:r w:rsidR="008A5B38">
        <w:t>:</w:t>
      </w:r>
      <w:r w:rsidR="00D8143E" w:rsidRPr="00D8143E">
        <w:t xml:space="preserve"> </w:t>
      </w:r>
    </w:p>
    <w:p w:rsidR="00D8143E" w:rsidRDefault="00D8143E" w:rsidP="00D8143E">
      <w:pPr>
        <w:ind w:firstLine="720"/>
      </w:pPr>
    </w:p>
    <w:p w:rsidR="00D8143E" w:rsidRPr="00652DF2" w:rsidRDefault="008A5B38" w:rsidP="00D8143E">
      <w:r w:rsidRPr="008A5B38">
        <w:rPr>
          <w:rFonts w:cs="Times New Roman"/>
          <w:b/>
          <w:bCs/>
        </w:rPr>
        <w:t>ε</w:t>
      </w:r>
      <w:r w:rsidR="0063297B">
        <w:rPr>
          <w:rFonts w:cs="Times New Roman"/>
          <w:b/>
          <w:bCs/>
          <w:vertAlign w:val="subscript"/>
        </w:rPr>
        <w:t>1</w:t>
      </w:r>
      <w:r w:rsidRPr="008A5B38">
        <w:rPr>
          <w:b/>
          <w:bCs/>
        </w:rPr>
        <w:t>-represen</w:t>
      </w:r>
      <w:r>
        <w:rPr>
          <w:b/>
          <w:bCs/>
        </w:rPr>
        <w:t>t</w:t>
      </w:r>
      <w:r w:rsidRPr="008A5B38">
        <w:rPr>
          <w:b/>
          <w:bCs/>
        </w:rPr>
        <w:t>ative</w:t>
      </w:r>
      <w:r w:rsidRPr="002A4952">
        <w:rPr>
          <w:b/>
          <w:bCs/>
        </w:rPr>
        <w:t>:</w:t>
      </w:r>
      <w:r>
        <w:t xml:space="preserve"> Any subset A is </w:t>
      </w:r>
      <w:r w:rsidRPr="008A5B38">
        <w:t>ε</w:t>
      </w:r>
      <w:r w:rsidR="00BB63EA">
        <w:rPr>
          <w:vertAlign w:val="subscript"/>
        </w:rPr>
        <w:t>1</w:t>
      </w:r>
      <w:r w:rsidRPr="008A5B38">
        <w:t>-representative</w:t>
      </w:r>
      <w:r>
        <w:t xml:space="preserve"> of its superset B with respect to a </w:t>
      </w:r>
      <w:r w:rsidR="00A2697E">
        <w:t xml:space="preserve">typical </w:t>
      </w:r>
      <w:r>
        <w:t>random variable</w:t>
      </w:r>
      <w:r w:rsidR="00474B10">
        <w:rPr>
          <w:rStyle w:val="FootnoteReference"/>
        </w:rPr>
        <w:footnoteReference w:id="6"/>
      </w:r>
      <w:r>
        <w:t xml:space="preserve"> </w:t>
      </w:r>
      <w:r w:rsidRPr="00487CE9">
        <w:rPr>
          <w:i/>
          <w:iCs/>
        </w:rPr>
        <w:t>X</w:t>
      </w:r>
      <w:r>
        <w:t xml:space="preserve"> if and only if the mean value of </w:t>
      </w:r>
      <w:r w:rsidRPr="00487CE9">
        <w:rPr>
          <w:i/>
          <w:iCs/>
        </w:rPr>
        <w:t>X</w:t>
      </w:r>
      <w:r>
        <w:t xml:space="preserve"> in A </w:t>
      </w:r>
      <w:r w:rsidR="00006DC9">
        <w:t>deviates by no more than</w:t>
      </w:r>
      <w:r>
        <w:t xml:space="preserve"> a margin of error of 1</w:t>
      </w:r>
      <w:r w:rsidR="0063297B">
        <w:t>0</w:t>
      </w:r>
      <w:r>
        <w:t xml:space="preserve">% of the mean value of </w:t>
      </w:r>
      <w:r w:rsidRPr="00487CE9">
        <w:rPr>
          <w:i/>
          <w:iCs/>
        </w:rPr>
        <w:t>X</w:t>
      </w:r>
      <w:r>
        <w:t xml:space="preserve"> in B.</w:t>
      </w:r>
      <w:r w:rsidR="00D8143E" w:rsidRPr="00D8143E">
        <w:t xml:space="preserve"> </w:t>
      </w:r>
    </w:p>
    <w:p w:rsidR="00D8143E" w:rsidRDefault="00D8143E" w:rsidP="00D8143E">
      <w:pPr>
        <w:ind w:firstLine="720"/>
      </w:pPr>
    </w:p>
    <w:p w:rsidR="00D8143E" w:rsidRPr="00652DF2" w:rsidRDefault="008A5B38" w:rsidP="00D8143E">
      <w:pPr>
        <w:ind w:firstLine="720"/>
      </w:pPr>
      <w:r>
        <w:t xml:space="preserve">If </w:t>
      </w:r>
      <w:r w:rsidR="00000D2A">
        <w:t>100% of</w:t>
      </w:r>
      <w:r>
        <w:t xml:space="preserve"> </w:t>
      </w:r>
      <w:r w:rsidR="006028CF">
        <w:t xml:space="preserve">the Cepheids </w:t>
      </w:r>
      <w:r w:rsidR="006028CF" w:rsidRPr="009353C7">
        <w:t xml:space="preserve">in the Milky Way conform to Leavitt’s periodicity-luminosity </w:t>
      </w:r>
      <w:r w:rsidR="00474B10">
        <w:t>regularity</w:t>
      </w:r>
      <w:r w:rsidRPr="009353C7">
        <w:t xml:space="preserve">, then obviously </w:t>
      </w:r>
      <w:r w:rsidR="006028CF" w:rsidRPr="009353C7">
        <w:t>all</w:t>
      </w:r>
      <w:r w:rsidRPr="009353C7">
        <w:t xml:space="preserve"> of the </w:t>
      </w:r>
      <w:r w:rsidR="006028CF" w:rsidRPr="009353C7">
        <w:t>25</w:t>
      </w:r>
      <w:r w:rsidRPr="009353C7">
        <w:t xml:space="preserve">-fold </w:t>
      </w:r>
      <w:r w:rsidR="006028CF" w:rsidRPr="009353C7">
        <w:t>subsets</w:t>
      </w:r>
      <w:r w:rsidRPr="009353C7">
        <w:t xml:space="preserve"> will be </w:t>
      </w:r>
      <w:r w:rsidR="0063297B" w:rsidRPr="009353C7">
        <w:rPr>
          <w:rFonts w:cs="Times New Roman"/>
        </w:rPr>
        <w:t>ε</w:t>
      </w:r>
      <w:r w:rsidR="0063297B" w:rsidRPr="009353C7">
        <w:rPr>
          <w:rFonts w:cs="Times New Roman"/>
          <w:vertAlign w:val="subscript"/>
        </w:rPr>
        <w:t>1</w:t>
      </w:r>
      <w:r w:rsidRPr="009353C7">
        <w:t>-representative</w:t>
      </w:r>
      <w:r w:rsidR="00D54D6B" w:rsidRPr="009353C7">
        <w:t xml:space="preserve"> with respect to a binary </w:t>
      </w:r>
      <w:r w:rsidR="00E64845">
        <w:t xml:space="preserve">typical </w:t>
      </w:r>
      <w:r w:rsidR="00D54D6B" w:rsidRPr="009353C7">
        <w:t xml:space="preserve">random variable for conforming to that </w:t>
      </w:r>
      <w:r w:rsidR="00474B10">
        <w:t>regularity</w:t>
      </w:r>
      <w:r w:rsidR="0022580C" w:rsidRPr="009353C7">
        <w:t xml:space="preserve">. </w:t>
      </w:r>
      <w:r w:rsidR="00474B10">
        <w:t>Analogously</w:t>
      </w:r>
      <w:r w:rsidR="0022580C" w:rsidRPr="009353C7">
        <w:t>,</w:t>
      </w:r>
      <w:r w:rsidR="00474B10">
        <w:t xml:space="preserve"> the same would be true if</w:t>
      </w:r>
      <w:r w:rsidR="0022580C" w:rsidRPr="009353C7">
        <w:t xml:space="preserve"> </w:t>
      </w:r>
      <w:r w:rsidR="00000D2A" w:rsidRPr="009353C7">
        <w:t>0%</w:t>
      </w:r>
      <w:r w:rsidR="006028CF" w:rsidRPr="009353C7">
        <w:t xml:space="preserve"> of them </w:t>
      </w:r>
      <w:r w:rsidR="00474B10">
        <w:t>conformed</w:t>
      </w:r>
      <w:r w:rsidR="006028CF" w:rsidRPr="009353C7">
        <w:t>. However, if</w:t>
      </w:r>
      <w:r w:rsidR="00000D2A" w:rsidRPr="009353C7">
        <w:t xml:space="preserve"> exactly</w:t>
      </w:r>
      <w:r w:rsidR="006028CF" w:rsidRPr="009353C7">
        <w:t xml:space="preserve"> 1% of </w:t>
      </w:r>
      <w:r w:rsidR="00000D2A" w:rsidRPr="009353C7">
        <w:t xml:space="preserve">them conformed, then the proportion of </w:t>
      </w:r>
      <w:r w:rsidR="0063297B" w:rsidRPr="009353C7">
        <w:rPr>
          <w:rFonts w:cs="Times New Roman"/>
        </w:rPr>
        <w:t>ε</w:t>
      </w:r>
      <w:r w:rsidR="0063297B" w:rsidRPr="009353C7">
        <w:rPr>
          <w:rFonts w:cs="Times New Roman"/>
          <w:vertAlign w:val="subscript"/>
        </w:rPr>
        <w:t>1</w:t>
      </w:r>
      <w:r w:rsidR="00000D2A" w:rsidRPr="009353C7">
        <w:t xml:space="preserve">-representative subsets would be lower. It would be possible that Leavitt had </w:t>
      </w:r>
      <w:r w:rsidR="00474B10">
        <w:t>sampled</w:t>
      </w:r>
      <w:r w:rsidR="00000D2A" w:rsidRPr="009353C7">
        <w:t xml:space="preserve"> one of the </w:t>
      </w:r>
      <w:r w:rsidR="00000D2A" w:rsidRPr="009353C7">
        <w:rPr>
          <w:rFonts w:cs="Times New Roman"/>
        </w:rPr>
        <w:t>un</w:t>
      </w:r>
      <w:r w:rsidR="00000D2A" w:rsidRPr="009353C7">
        <w:t xml:space="preserve">representative 25-fold subsets. </w:t>
      </w:r>
      <w:r w:rsidR="00D54D6B" w:rsidRPr="009353C7">
        <w:t>Still</w:t>
      </w:r>
      <w:r w:rsidR="00000D2A" w:rsidRPr="009353C7">
        <w:t xml:space="preserve">, the proportion would still be very high. </w:t>
      </w:r>
      <w:r w:rsidR="00C41B20" w:rsidRPr="009353C7">
        <w:t>Similarly, if</w:t>
      </w:r>
      <w:r w:rsidR="00000D2A" w:rsidRPr="009353C7">
        <w:t xml:space="preserve"> exactly </w:t>
      </w:r>
      <w:r w:rsidR="00C41B20" w:rsidRPr="009353C7">
        <w:t>99</w:t>
      </w:r>
      <w:r w:rsidR="00000D2A" w:rsidRPr="009353C7">
        <w:t xml:space="preserve">% of them conformed, then the proportion of </w:t>
      </w:r>
      <w:r w:rsidR="0063297B" w:rsidRPr="009353C7">
        <w:rPr>
          <w:rFonts w:cs="Times New Roman"/>
        </w:rPr>
        <w:t>ε</w:t>
      </w:r>
      <w:r w:rsidR="0063297B" w:rsidRPr="009353C7">
        <w:rPr>
          <w:rFonts w:cs="Times New Roman"/>
          <w:vertAlign w:val="subscript"/>
        </w:rPr>
        <w:t>1</w:t>
      </w:r>
      <w:r w:rsidR="00000D2A" w:rsidRPr="009353C7">
        <w:t>-representative subsets would be lower, but still very high.</w:t>
      </w:r>
      <w:r w:rsidR="00C41B20" w:rsidRPr="009353C7">
        <w:t xml:space="preserve"> The proportion would </w:t>
      </w:r>
      <w:r w:rsidR="00474B10">
        <w:t>be even smaller</w:t>
      </w:r>
      <w:r w:rsidR="00C41B20" w:rsidRPr="009353C7">
        <w:t xml:space="preserve"> if 25% or 75% conformed.</w:t>
      </w:r>
      <w:r w:rsidR="00000D2A" w:rsidRPr="009353C7">
        <w:t xml:space="preserve"> </w:t>
      </w:r>
      <w:r w:rsidR="00C41B20" w:rsidRPr="009353C7">
        <w:t xml:space="preserve">Thus, as the proportion </w:t>
      </w:r>
      <w:r w:rsidR="00474B10">
        <w:t>of conforming stars is</w:t>
      </w:r>
      <w:r w:rsidR="00C41B20" w:rsidRPr="009353C7">
        <w:t xml:space="preserve"> further from 100% or 0%, the proportion of </w:t>
      </w:r>
      <w:r w:rsidR="00C41B20" w:rsidRPr="009353C7">
        <w:rPr>
          <w:rFonts w:cs="Times New Roman"/>
        </w:rPr>
        <w:t>ε</w:t>
      </w:r>
      <w:r w:rsidR="00C41B20" w:rsidRPr="009353C7">
        <w:rPr>
          <w:rFonts w:cs="Times New Roman"/>
          <w:vertAlign w:val="subscript"/>
        </w:rPr>
        <w:t>1</w:t>
      </w:r>
      <w:r w:rsidR="00C41B20" w:rsidRPr="009353C7">
        <w:t xml:space="preserve">-representative subsets </w:t>
      </w:r>
      <w:r w:rsidR="00474B10">
        <w:t>falls</w:t>
      </w:r>
      <w:r w:rsidR="00C41B20" w:rsidRPr="009353C7">
        <w:t>. Consequently,</w:t>
      </w:r>
      <w:r w:rsidR="00000D2A" w:rsidRPr="009353C7">
        <w:t xml:space="preserve"> the proportion </w:t>
      </w:r>
      <w:r w:rsidR="00474B10">
        <w:t xml:space="preserve">would be minimal </w:t>
      </w:r>
      <w:r w:rsidR="00000D2A">
        <w:t>if just 50%</w:t>
      </w:r>
      <w:r w:rsidR="00474B10">
        <w:t>, i.e. 0.5,</w:t>
      </w:r>
      <w:r w:rsidR="00000D2A">
        <w:t xml:space="preserve"> of Cepheids conformed to Leavitt’s periodicity-luminosity law. Note here that I am talking about </w:t>
      </w:r>
      <w:r w:rsidR="00000D2A" w:rsidRPr="00000D2A">
        <w:rPr>
          <w:i/>
          <w:iCs/>
        </w:rPr>
        <w:t>proportions</w:t>
      </w:r>
      <w:r w:rsidR="00000D2A">
        <w:rPr>
          <w:i/>
          <w:iCs/>
        </w:rPr>
        <w:t xml:space="preserve"> </w:t>
      </w:r>
      <w:r w:rsidR="00000D2A">
        <w:t xml:space="preserve">of </w:t>
      </w:r>
      <w:r w:rsidR="00000D2A" w:rsidRPr="008A5B38">
        <w:rPr>
          <w:rFonts w:cs="Times New Roman"/>
        </w:rPr>
        <w:t>ε</w:t>
      </w:r>
      <w:r w:rsidR="00474B10">
        <w:rPr>
          <w:rFonts w:cs="Times New Roman"/>
          <w:vertAlign w:val="subscript"/>
        </w:rPr>
        <w:t>1</w:t>
      </w:r>
      <w:r w:rsidR="00000D2A" w:rsidRPr="008A5B38">
        <w:t>-representative</w:t>
      </w:r>
      <w:r w:rsidR="00000D2A">
        <w:t xml:space="preserve"> subsets, not their </w:t>
      </w:r>
      <w:r w:rsidR="00000D2A">
        <w:rPr>
          <w:i/>
          <w:iCs/>
        </w:rPr>
        <w:t>cardinality</w:t>
      </w:r>
      <w:r w:rsidR="00000D2A">
        <w:t xml:space="preserve">. The latter </w:t>
      </w:r>
      <w:r w:rsidR="00474B10">
        <w:t>would</w:t>
      </w:r>
      <w:r w:rsidR="00000D2A">
        <w:t xml:space="preserve"> vary with the number of Cepheids in the Milky Way, but </w:t>
      </w:r>
      <w:r w:rsidR="00474B10">
        <w:t>not the</w:t>
      </w:r>
      <w:r w:rsidR="00000D2A">
        <w:t xml:space="preserve"> former.</w:t>
      </w:r>
      <w:r w:rsidR="00B648D7">
        <w:t xml:space="preserve"> </w:t>
      </w:r>
      <w:r w:rsidR="00C41B20">
        <w:t>Also</w:t>
      </w:r>
      <w:r w:rsidR="00B648D7">
        <w:t xml:space="preserve"> note that I am discussing proportions of representative </w:t>
      </w:r>
      <w:r w:rsidR="00B648D7">
        <w:rPr>
          <w:i/>
          <w:iCs/>
        </w:rPr>
        <w:t>subsets</w:t>
      </w:r>
      <w:r w:rsidR="00B648D7">
        <w:t xml:space="preserve">, rather than </w:t>
      </w:r>
      <w:r w:rsidR="00C32697">
        <w:t xml:space="preserve">the </w:t>
      </w:r>
      <w:r w:rsidR="00B648D7">
        <w:t xml:space="preserve">proportions </w:t>
      </w:r>
      <w:r w:rsidR="00C32697">
        <w:t xml:space="preserve">of </w:t>
      </w:r>
      <w:r w:rsidR="00B648D7">
        <w:t xml:space="preserve">representative samples among </w:t>
      </w:r>
      <w:r w:rsidR="00F24B9F">
        <w:t>samples</w:t>
      </w:r>
      <w:r w:rsidR="00B648D7">
        <w:t xml:space="preserve"> we </w:t>
      </w:r>
      <w:r w:rsidR="00486A19">
        <w:t>would</w:t>
      </w:r>
      <w:r w:rsidR="00B648D7">
        <w:t xml:space="preserve"> observe</w:t>
      </w:r>
      <w:r w:rsidR="00486A19">
        <w:t xml:space="preserve"> in </w:t>
      </w:r>
      <w:r w:rsidR="00474B10">
        <w:t>an infinite</w:t>
      </w:r>
      <w:r w:rsidR="00486A19">
        <w:t xml:space="preserve"> long-run</w:t>
      </w:r>
      <w:r w:rsidR="00474B10">
        <w:t xml:space="preserve"> of sampling</w:t>
      </w:r>
      <w:r w:rsidR="00B648D7">
        <w:rPr>
          <w:rStyle w:val="FootnoteReference"/>
        </w:rPr>
        <w:footnoteReference w:id="7"/>
      </w:r>
      <w:r w:rsidR="00B648D7">
        <w:t>.</w:t>
      </w:r>
    </w:p>
    <w:p w:rsidR="00D8143E" w:rsidRDefault="00D8143E" w:rsidP="00D8143E">
      <w:pPr>
        <w:ind w:firstLine="720"/>
      </w:pPr>
    </w:p>
    <w:p w:rsidR="00684507" w:rsidRDefault="00000D2A" w:rsidP="00604498">
      <w:pPr>
        <w:ind w:firstLine="720"/>
      </w:pPr>
      <w:r>
        <w:t>As supporters of the CJI point out, all of these intuitions</w:t>
      </w:r>
      <w:r w:rsidR="00FD457C">
        <w:t xml:space="preserve"> about proportions</w:t>
      </w:r>
      <w:r>
        <w:t xml:space="preserve"> can be formalised and proven mathematically within combinatorics (</w:t>
      </w:r>
      <w:r w:rsidR="00DB5A35">
        <w:t>Williams, 1947</w:t>
      </w:r>
      <w:r w:rsidR="00E171B3">
        <w:t>,</w:t>
      </w:r>
      <w:r w:rsidR="00DB5A35">
        <w:t xml:space="preserve"> Chapter 4; Stove, 1986</w:t>
      </w:r>
      <w:r w:rsidR="00E171B3">
        <w:t>,</w:t>
      </w:r>
      <w:r w:rsidR="00DB5A35">
        <w:t xml:space="preserve"> Chapter VI; for</w:t>
      </w:r>
      <w:r w:rsidR="00276F3B">
        <w:t xml:space="preserve"> some important connected proofs</w:t>
      </w:r>
      <w:r w:rsidR="00DB5A35">
        <w:t>, see Craig and Hogg</w:t>
      </w:r>
      <w:r w:rsidR="00B025C7">
        <w:t>,</w:t>
      </w:r>
      <w:r w:rsidR="00DB5A35">
        <w:t xml:space="preserve"> 1965, p. 81</w:t>
      </w:r>
      <w:r w:rsidR="00276F3B">
        <w:t>ff</w:t>
      </w:r>
      <w:r>
        <w:t>).</w:t>
      </w:r>
      <w:r w:rsidR="00B648D7">
        <w:t xml:space="preserve"> In particular, the Law of Large Numbers</w:t>
      </w:r>
      <w:r w:rsidR="00B648D7">
        <w:rPr>
          <w:rStyle w:val="FootnoteReference"/>
        </w:rPr>
        <w:footnoteReference w:id="8"/>
      </w:r>
      <w:r w:rsidR="00B648D7">
        <w:t xml:space="preserve"> can be combined with techniques for approximating the huge numbers involved in order to determine minimum proportions of representative subsets </w:t>
      </w:r>
      <w:r w:rsidR="00C41B20">
        <w:t>in</w:t>
      </w:r>
      <w:r w:rsidR="00B648D7">
        <w:t xml:space="preserve"> any finite population</w:t>
      </w:r>
      <w:r w:rsidR="00C41B20">
        <w:t xml:space="preserve"> and </w:t>
      </w:r>
      <w:r w:rsidR="003A455A">
        <w:t xml:space="preserve">for </w:t>
      </w:r>
      <w:r w:rsidR="00C41B20">
        <w:t>any typical random variable</w:t>
      </w:r>
      <w:r w:rsidR="00B648D7">
        <w:t>.</w:t>
      </w:r>
      <w:r w:rsidR="00A83753">
        <w:t xml:space="preserve"> While there are numerous objections to the CJI (some of them very good) </w:t>
      </w:r>
      <w:r w:rsidR="00F24B9F">
        <w:t>the relevant combinatoric facts are uncontroversial</w:t>
      </w:r>
      <w:r w:rsidR="00A83753">
        <w:t>.</w:t>
      </w:r>
      <w:r w:rsidR="00A83753" w:rsidRPr="00D8143E">
        <w:t xml:space="preserve"> </w:t>
      </w:r>
    </w:p>
    <w:p w:rsidR="00684507" w:rsidRDefault="00684507" w:rsidP="00604498">
      <w:pPr>
        <w:ind w:firstLine="720"/>
      </w:pPr>
    </w:p>
    <w:p w:rsidR="005003D3" w:rsidRDefault="00796A5A" w:rsidP="00B57900">
      <w:pPr>
        <w:ind w:firstLine="720"/>
      </w:pPr>
      <w:r>
        <w:t xml:space="preserve">Either a Cepheid satisfies Leavitt’s law or it does not. Thus, each </w:t>
      </w:r>
      <w:r>
        <w:rPr>
          <w:i/>
          <w:iCs/>
        </w:rPr>
        <w:t>n</w:t>
      </w:r>
      <w:r>
        <w:t xml:space="preserve">-fold subset of the set of </w:t>
      </w:r>
      <w:r>
        <w:rPr>
          <w:i/>
          <w:iCs/>
        </w:rPr>
        <w:t>n</w:t>
      </w:r>
      <w:r>
        <w:t xml:space="preserve">-fold subsets of </w:t>
      </w:r>
      <w:r w:rsidRPr="00796A5A">
        <w:t>stars</w:t>
      </w:r>
      <w:r>
        <w:t xml:space="preserve"> in the Milky Way can be described by a random variable for whether it is </w:t>
      </w:r>
      <w:r w:rsidRPr="008A5B38">
        <w:rPr>
          <w:rFonts w:cs="Times New Roman"/>
          <w:b/>
          <w:bCs/>
        </w:rPr>
        <w:t>ε</w:t>
      </w:r>
      <w:r>
        <w:rPr>
          <w:rFonts w:cs="Times New Roman"/>
          <w:b/>
          <w:bCs/>
          <w:vertAlign w:val="subscript"/>
        </w:rPr>
        <w:t>1</w:t>
      </w:r>
      <w:r w:rsidRPr="008A5B38">
        <w:rPr>
          <w:b/>
          <w:bCs/>
        </w:rPr>
        <w:t>-represen</w:t>
      </w:r>
      <w:r>
        <w:rPr>
          <w:b/>
          <w:bCs/>
        </w:rPr>
        <w:t>t</w:t>
      </w:r>
      <w:r w:rsidRPr="008A5B38">
        <w:rPr>
          <w:b/>
          <w:bCs/>
        </w:rPr>
        <w:t>ative</w:t>
      </w:r>
      <w:r>
        <w:t xml:space="preserve">. We can use a binomial distribution, </w:t>
      </w:r>
      <w:r>
        <w:rPr>
          <w:i/>
          <w:iCs/>
        </w:rPr>
        <w:t xml:space="preserve">not </w:t>
      </w:r>
      <w:r>
        <w:t xml:space="preserve">to determine a probability </w:t>
      </w:r>
      <w:r w:rsidR="00B57900">
        <w:t xml:space="preserve">of a subset being </w:t>
      </w:r>
      <w:r w:rsidR="00B57900" w:rsidRPr="008A5B38">
        <w:rPr>
          <w:rFonts w:cs="Times New Roman"/>
          <w:b/>
          <w:bCs/>
        </w:rPr>
        <w:t>ε</w:t>
      </w:r>
      <w:r w:rsidR="00B57900">
        <w:rPr>
          <w:rFonts w:cs="Times New Roman"/>
          <w:b/>
          <w:bCs/>
          <w:vertAlign w:val="subscript"/>
        </w:rPr>
        <w:t>1</w:t>
      </w:r>
      <w:r w:rsidR="00B57900" w:rsidRPr="008A5B38">
        <w:rPr>
          <w:b/>
          <w:bCs/>
        </w:rPr>
        <w:t>-represen</w:t>
      </w:r>
      <w:r w:rsidR="00B57900">
        <w:rPr>
          <w:b/>
          <w:bCs/>
        </w:rPr>
        <w:t>t</w:t>
      </w:r>
      <w:r w:rsidR="00B57900" w:rsidRPr="008A5B38">
        <w:rPr>
          <w:b/>
          <w:bCs/>
        </w:rPr>
        <w:t>ative</w:t>
      </w:r>
      <w:r w:rsidR="00B57900">
        <w:t xml:space="preserve"> (in the MTI, we do not assume that all reasoning can be modelled via probabilities; see Norton, 2011) but rather to calculate the </w:t>
      </w:r>
      <w:r w:rsidR="00F6715A">
        <w:t xml:space="preserve">worst-case scenario for an induction from an </w:t>
      </w:r>
      <w:r w:rsidR="00F6715A">
        <w:rPr>
          <w:i/>
          <w:iCs/>
        </w:rPr>
        <w:t>n</w:t>
      </w:r>
      <w:r w:rsidR="00F6715A">
        <w:t>-fold sample that all possess a particular value of a typical random variable</w:t>
      </w:r>
      <w:r w:rsidR="006F74DF">
        <w:rPr>
          <w:rStyle w:val="FootnoteReference"/>
        </w:rPr>
        <w:footnoteReference w:id="9"/>
      </w:r>
      <w:r w:rsidR="00F6715A">
        <w:t>.</w:t>
      </w:r>
      <w:r w:rsidR="005A4BCC">
        <w:t xml:space="preserve"> As noted above, the proportion of </w:t>
      </w:r>
      <w:r w:rsidR="005A4BCC" w:rsidRPr="008A5B38">
        <w:rPr>
          <w:rFonts w:cs="Times New Roman"/>
          <w:b/>
          <w:bCs/>
        </w:rPr>
        <w:t>ε</w:t>
      </w:r>
      <w:r w:rsidR="005A4BCC">
        <w:rPr>
          <w:rFonts w:cs="Times New Roman"/>
          <w:b/>
          <w:bCs/>
          <w:vertAlign w:val="subscript"/>
        </w:rPr>
        <w:t>1</w:t>
      </w:r>
      <w:r w:rsidR="005A4BCC" w:rsidRPr="008A5B38">
        <w:rPr>
          <w:b/>
          <w:bCs/>
        </w:rPr>
        <w:t>-represen</w:t>
      </w:r>
      <w:r w:rsidR="005A4BCC">
        <w:rPr>
          <w:b/>
          <w:bCs/>
        </w:rPr>
        <w:t>t</w:t>
      </w:r>
      <w:r w:rsidR="005A4BCC" w:rsidRPr="008A5B38">
        <w:rPr>
          <w:b/>
          <w:bCs/>
        </w:rPr>
        <w:t>ative</w:t>
      </w:r>
      <w:r w:rsidR="005A4BCC">
        <w:rPr>
          <w:b/>
          <w:bCs/>
        </w:rPr>
        <w:t xml:space="preserve"> </w:t>
      </w:r>
      <w:r w:rsidR="005A4BCC">
        <w:t xml:space="preserve">subsets will reach a minimum if the population frequency is 50%. Using a statistical method called binomial </w:t>
      </w:r>
      <w:r w:rsidR="00894993">
        <w:t>proportion “</w:t>
      </w:r>
      <w:r w:rsidR="005A4BCC">
        <w:t>confidence</w:t>
      </w:r>
      <w:r w:rsidR="00894993">
        <w:t>”</w:t>
      </w:r>
      <w:r w:rsidR="005A4BCC">
        <w:t xml:space="preserve"> interva</w:t>
      </w:r>
      <w:r w:rsidR="00894993">
        <w:t>ls</w:t>
      </w:r>
      <w:r w:rsidR="005A4BCC">
        <w:t xml:space="preserve">, we can use </w:t>
      </w:r>
      <w:r>
        <w:t>a binomial table (or calculate directly) to obtain a direct result</w:t>
      </w:r>
      <w:r w:rsidR="00894993">
        <w:rPr>
          <w:rStyle w:val="FootnoteReference"/>
        </w:rPr>
        <w:footnoteReference w:id="10"/>
      </w:r>
      <w:r w:rsidR="00894993">
        <w:t>. W</w:t>
      </w:r>
      <w:r w:rsidR="00B57900">
        <w:t xml:space="preserve">e </w:t>
      </w:r>
      <w:r>
        <w:t xml:space="preserve">find that </w:t>
      </w:r>
      <w:r w:rsidR="00B57900">
        <w:t xml:space="preserve">a very high proportion of </w:t>
      </w:r>
      <w:r w:rsidR="00B57900">
        <w:rPr>
          <w:i/>
          <w:iCs/>
        </w:rPr>
        <w:t>n-</w:t>
      </w:r>
      <w:r w:rsidR="00B57900">
        <w:t xml:space="preserve">fold subsets </w:t>
      </w:r>
      <w:r w:rsidR="00B57900" w:rsidRPr="00B57900">
        <w:rPr>
          <w:i/>
          <w:iCs/>
        </w:rPr>
        <w:t>must</w:t>
      </w:r>
      <w:r w:rsidR="00B57900">
        <w:t xml:space="preserve"> be </w:t>
      </w:r>
      <w:r w:rsidR="00B57900" w:rsidRPr="008A5B38">
        <w:rPr>
          <w:rFonts w:cs="Times New Roman"/>
          <w:b/>
          <w:bCs/>
        </w:rPr>
        <w:t>ε</w:t>
      </w:r>
      <w:r w:rsidR="00B57900">
        <w:rPr>
          <w:rFonts w:cs="Times New Roman"/>
          <w:b/>
          <w:bCs/>
          <w:vertAlign w:val="subscript"/>
        </w:rPr>
        <w:t>1</w:t>
      </w:r>
      <w:r w:rsidR="00B57900" w:rsidRPr="008A5B38">
        <w:rPr>
          <w:b/>
          <w:bCs/>
        </w:rPr>
        <w:t>-represen</w:t>
      </w:r>
      <w:r w:rsidR="00B57900">
        <w:rPr>
          <w:b/>
          <w:bCs/>
        </w:rPr>
        <w:t>t</w:t>
      </w:r>
      <w:r w:rsidR="00B57900" w:rsidRPr="008A5B38">
        <w:rPr>
          <w:b/>
          <w:bCs/>
        </w:rPr>
        <w:t>ative</w:t>
      </w:r>
      <w:r w:rsidR="005A4BCC">
        <w:t>. In detail,</w:t>
      </w:r>
      <w:r>
        <w:t xml:space="preserve"> at least </w:t>
      </w:r>
      <w:r w:rsidR="00CF7996">
        <w:t>77</w:t>
      </w:r>
      <w:r>
        <w:t xml:space="preserve">% of such samples </w:t>
      </w:r>
      <w:r w:rsidR="005A4BCC">
        <w:t>must be</w:t>
      </w:r>
      <w:r>
        <w:t xml:space="preserve"> </w:t>
      </w:r>
      <w:r w:rsidRPr="008A5B38">
        <w:rPr>
          <w:rFonts w:cs="Times New Roman"/>
          <w:b/>
          <w:bCs/>
        </w:rPr>
        <w:t>ε</w:t>
      </w:r>
      <w:r>
        <w:rPr>
          <w:rFonts w:cs="Times New Roman"/>
          <w:b/>
          <w:bCs/>
          <w:vertAlign w:val="subscript"/>
        </w:rPr>
        <w:t>1</w:t>
      </w:r>
      <w:r w:rsidRPr="008A5B38">
        <w:rPr>
          <w:b/>
          <w:bCs/>
        </w:rPr>
        <w:t>-represen</w:t>
      </w:r>
      <w:r>
        <w:rPr>
          <w:b/>
          <w:bCs/>
        </w:rPr>
        <w:t>t</w:t>
      </w:r>
      <w:r w:rsidRPr="008A5B38">
        <w:rPr>
          <w:b/>
          <w:bCs/>
        </w:rPr>
        <w:t>ative</w:t>
      </w:r>
      <w:r>
        <w:t xml:space="preserve">, i.e. match </w:t>
      </w:r>
      <w:r w:rsidR="005A4BCC">
        <w:t xml:space="preserve">the population frequency </w:t>
      </w:r>
      <w:r>
        <w:t>within a margin of error of 10%</w:t>
      </w:r>
      <w:r w:rsidR="005A4BCC">
        <w:rPr>
          <w:rStyle w:val="FootnoteReference"/>
        </w:rPr>
        <w:footnoteReference w:id="11"/>
      </w:r>
      <w:r>
        <w:t xml:space="preserve">. </w:t>
      </w:r>
      <w:r w:rsidR="00B57900">
        <w:t>N</w:t>
      </w:r>
      <w:r w:rsidR="00A241F1">
        <w:t xml:space="preserve">ote that I am not interpreting </w:t>
      </w:r>
      <w:r w:rsidR="00F6715A">
        <w:t xml:space="preserve">the </w:t>
      </w:r>
      <w:r w:rsidR="00CF7996">
        <w:t>77</w:t>
      </w:r>
      <w:r w:rsidR="00F6715A">
        <w:t>%</w:t>
      </w:r>
      <w:r w:rsidR="00A241F1">
        <w:t xml:space="preserve"> proportion as a probability, but rather as a material fact about proportions of subsets</w:t>
      </w:r>
      <w:r w:rsidR="00F6715A">
        <w:t xml:space="preserve"> that match a population frequency within a margin of error.</w:t>
      </w:r>
    </w:p>
    <w:p w:rsidR="00D8143E" w:rsidRDefault="00D8143E"/>
    <w:p w:rsidR="004F4D50" w:rsidRDefault="00D8143E" w:rsidP="004F4D50">
      <w:r>
        <w:tab/>
        <w:t>Returning</w:t>
      </w:r>
      <w:r w:rsidR="00D728C6">
        <w:t xml:space="preserve"> to Shapley’s extrapolation of Leavitt’s periodicity-luminosity law to the entire population of Cepheids in the Milky Way galaxy,</w:t>
      </w:r>
      <w:r w:rsidR="00A14AE2">
        <w:t xml:space="preserve"> I shall use ‘M’ for the set of 25-fold subsets of Cepheids in the Milky Way galaxy.</w:t>
      </w:r>
      <w:r w:rsidR="00D728C6">
        <w:t xml:space="preserve"> </w:t>
      </w:r>
      <w:r w:rsidR="00A14AE2">
        <w:t>W</w:t>
      </w:r>
      <w:r w:rsidR="00D728C6">
        <w:t xml:space="preserve">e can </w:t>
      </w:r>
      <w:r w:rsidR="00A14AE2">
        <w:t>rationally reconstruct Shapley’s</w:t>
      </w:r>
      <w:r w:rsidR="00D728C6">
        <w:t xml:space="preserve"> reasoning within the MTI:</w:t>
      </w:r>
      <w:r w:rsidR="0013243F" w:rsidRPr="0013243F">
        <w:t xml:space="preserve"> </w:t>
      </w:r>
    </w:p>
    <w:p w:rsidR="004F4D50" w:rsidRDefault="004F4D50" w:rsidP="004F4D50"/>
    <w:p w:rsidR="004F4D50" w:rsidRDefault="00D728C6" w:rsidP="004F4D50">
      <w:r>
        <w:t xml:space="preserve">(1) </w:t>
      </w:r>
      <w:r w:rsidR="00C7526C">
        <w:t xml:space="preserve">At least </w:t>
      </w:r>
      <w:r w:rsidR="00CF7996">
        <w:t>77</w:t>
      </w:r>
      <w:r w:rsidR="005A4BCC">
        <w:t xml:space="preserve">% </w:t>
      </w:r>
      <w:r w:rsidR="00C7526C">
        <w:t xml:space="preserve">of the </w:t>
      </w:r>
      <w:r>
        <w:t xml:space="preserve">subsets </w:t>
      </w:r>
      <w:r w:rsidR="00291E39">
        <w:t>in</w:t>
      </w:r>
      <w:r w:rsidR="00C24BB8">
        <w:t xml:space="preserve"> </w:t>
      </w:r>
      <w:r w:rsidR="00D5116A">
        <w:t>M</w:t>
      </w:r>
      <w:r w:rsidR="00A14AE2">
        <w:t xml:space="preserve"> </w:t>
      </w:r>
      <w:r>
        <w:t xml:space="preserve">are </w:t>
      </w:r>
      <w:r w:rsidRPr="00291E39">
        <w:rPr>
          <w:rFonts w:cs="Times New Roman"/>
        </w:rPr>
        <w:t>ε</w:t>
      </w:r>
      <w:r w:rsidRPr="00291E39">
        <w:rPr>
          <w:rFonts w:cs="Times New Roman"/>
          <w:vertAlign w:val="subscript"/>
        </w:rPr>
        <w:t>1</w:t>
      </w:r>
      <w:r w:rsidRPr="008A5B38">
        <w:t>-representative</w:t>
      </w:r>
      <w:r>
        <w:t>.</w:t>
      </w:r>
      <w:r w:rsidR="004F4D50" w:rsidRPr="004F4D50">
        <w:t xml:space="preserve"> </w:t>
      </w:r>
    </w:p>
    <w:p w:rsidR="004F4D50" w:rsidRDefault="004F4D50" w:rsidP="004F4D50"/>
    <w:p w:rsidR="004F4D50" w:rsidRDefault="00D728C6" w:rsidP="004F4D50">
      <w:r>
        <w:t>(</w:t>
      </w:r>
      <w:r w:rsidR="00D5116A">
        <w:t>2</w:t>
      </w:r>
      <w:r>
        <w:t xml:space="preserve">) The 25-fold subset of Cepheids </w:t>
      </w:r>
      <w:r w:rsidR="00D5116A">
        <w:t xml:space="preserve">observed by Leavitt </w:t>
      </w:r>
      <w:r>
        <w:t>is a subset o</w:t>
      </w:r>
      <w:r w:rsidR="00D5116A">
        <w:t>f M.</w:t>
      </w:r>
      <w:r w:rsidR="004F4D50" w:rsidRPr="004F4D50">
        <w:t xml:space="preserve"> </w:t>
      </w:r>
    </w:p>
    <w:p w:rsidR="004F4D50" w:rsidRDefault="004F4D50" w:rsidP="004F4D50"/>
    <w:p w:rsidR="004F4D50" w:rsidRDefault="00D728C6" w:rsidP="004F4D50">
      <w:r>
        <w:t>Therefore,</w:t>
      </w:r>
      <w:r w:rsidR="00B911C4">
        <w:t xml:space="preserve"> defeasibly,</w:t>
      </w:r>
      <w:r>
        <w:t xml:space="preserve"> (</w:t>
      </w:r>
      <w:r w:rsidR="00D5116A">
        <w:t>3</w:t>
      </w:r>
      <w:r>
        <w:t xml:space="preserve">) The 25-fold subset of Cepheids </w:t>
      </w:r>
      <w:r w:rsidR="00D5116A">
        <w:t>observed by Leavitt</w:t>
      </w:r>
      <w:r>
        <w:t xml:space="preserve"> is </w:t>
      </w:r>
      <w:r w:rsidRPr="009353C7">
        <w:rPr>
          <w:rFonts w:cs="Times New Roman"/>
        </w:rPr>
        <w:t>ε</w:t>
      </w:r>
      <w:r w:rsidRPr="009353C7">
        <w:rPr>
          <w:rFonts w:cs="Times New Roman"/>
          <w:vertAlign w:val="subscript"/>
        </w:rPr>
        <w:t>1</w:t>
      </w:r>
      <w:r w:rsidRPr="008A5B38">
        <w:t>-representative</w:t>
      </w:r>
      <w:r w:rsidR="00C7526C">
        <w:t xml:space="preserve"> of M.</w:t>
      </w:r>
      <w:r w:rsidR="004F4D50" w:rsidRPr="004F4D50">
        <w:t xml:space="preserve"> </w:t>
      </w:r>
    </w:p>
    <w:p w:rsidR="004F4D50" w:rsidRDefault="004F4D50" w:rsidP="004F4D50"/>
    <w:p w:rsidR="004F4D50" w:rsidRDefault="00D5116A" w:rsidP="004F4D50">
      <w:r>
        <w:t>(4) 100% of the 25-fold set of Cepheids observed by Leavitt conform to her periodicity-luminosity law.</w:t>
      </w:r>
      <w:r w:rsidR="004F4D50" w:rsidRPr="004F4D50">
        <w:t xml:space="preserve"> </w:t>
      </w:r>
    </w:p>
    <w:p w:rsidR="004F4D50" w:rsidRDefault="004F4D50" w:rsidP="004F4D50"/>
    <w:p w:rsidR="00D5116A" w:rsidRDefault="00C7526C" w:rsidP="004F4D50">
      <w:r>
        <w:lastRenderedPageBreak/>
        <w:t>Therefore, (5) 90-100% of the subsets in M conform to Leavitt’s periodicity-luminosity law.</w:t>
      </w:r>
      <w:r w:rsidR="00D5116A" w:rsidRPr="00D5116A">
        <w:t xml:space="preserve"> </w:t>
      </w:r>
    </w:p>
    <w:p w:rsidR="00D5116A" w:rsidRDefault="00D5116A" w:rsidP="00D5116A"/>
    <w:p w:rsidR="004047E9" w:rsidRDefault="00C7526C" w:rsidP="004047E9">
      <w:r>
        <w:tab/>
        <w:t xml:space="preserve">Finally, </w:t>
      </w:r>
      <w:r w:rsidR="00A14AE2">
        <w:t>without</w:t>
      </w:r>
      <w:r>
        <w:t xml:space="preserve"> counterexamples </w:t>
      </w:r>
      <w:r w:rsidR="003C25E7">
        <w:t xml:space="preserve">to Leavitt’s periodicity-luminosity law </w:t>
      </w:r>
      <w:r w:rsidRPr="00A241F1">
        <w:t>or</w:t>
      </w:r>
      <w:r>
        <w:t xml:space="preserve"> </w:t>
      </w:r>
      <w:r w:rsidRPr="00A14AE2">
        <w:t xml:space="preserve">other defeaters in </w:t>
      </w:r>
      <w:r w:rsidR="00A14AE2">
        <w:t>Shapley’s</w:t>
      </w:r>
      <w:r w:rsidRPr="00A14AE2">
        <w:t xml:space="preserve"> background knowledge</w:t>
      </w:r>
      <w:r>
        <w:t xml:space="preserve">, it follows that ‘All Cepheids in the Milky Way galaxy conform to Leavitt’s periodicity-luminosity law’ is confirmed by the evidence, since this universal generalisation is </w:t>
      </w:r>
      <w:r w:rsidR="00D52F83">
        <w:t>true or</w:t>
      </w:r>
      <w:r>
        <w:t xml:space="preserve"> approximately true</w:t>
      </w:r>
      <w:r w:rsidR="00D52F83">
        <w:t xml:space="preserve"> </w:t>
      </w:r>
      <w:r>
        <w:t>if (5) is true</w:t>
      </w:r>
      <w:r w:rsidR="00A241F1">
        <w:rPr>
          <w:rStyle w:val="FootnoteReference"/>
        </w:rPr>
        <w:footnoteReference w:id="12"/>
      </w:r>
      <w:r>
        <w:t>.</w:t>
      </w:r>
      <w:r w:rsidR="000C73B9">
        <w:t xml:space="preserve"> The structure of this reasoning is very similar to Norton’s reasoning in the bismuth case</w:t>
      </w:r>
      <w:r w:rsidR="00A14AE2">
        <w:t>.</w:t>
      </w:r>
      <w:r w:rsidR="00BB63EA" w:rsidRPr="00BB63EA">
        <w:t xml:space="preserve"> </w:t>
      </w:r>
    </w:p>
    <w:p w:rsidR="004047E9" w:rsidRDefault="004047E9" w:rsidP="004047E9"/>
    <w:p w:rsidR="004047E9" w:rsidRDefault="00BB63EA" w:rsidP="004047E9">
      <w:r>
        <w:tab/>
      </w:r>
      <w:r w:rsidR="004047E9">
        <w:t>A pleasing feature of</w:t>
      </w:r>
      <w:r>
        <w:t xml:space="preserve"> this CJI-inspired reasoning is that we have supposed a worst-case scenario for the composition of the Milky Way galaxy: that </w:t>
      </w:r>
      <w:r w:rsidR="00A14AE2">
        <w:t>just</w:t>
      </w:r>
      <w:r>
        <w:t xml:space="preserve"> 50% of its Cepheids conform to Leavitt’s law. </w:t>
      </w:r>
      <w:r w:rsidR="002026A1">
        <w:t xml:space="preserve">Nonetheless, </w:t>
      </w:r>
      <w:r>
        <w:t xml:space="preserve">it is consistent with (5) that the Milky Way contains a very large number of exceptions to Leavitt’s law. </w:t>
      </w:r>
      <w:r w:rsidR="00CA4DAC">
        <w:t>Stronger</w:t>
      </w:r>
      <w:r>
        <w:t xml:space="preserve"> results </w:t>
      </w:r>
      <w:r w:rsidR="002026A1">
        <w:t>require</w:t>
      </w:r>
      <w:r>
        <w:t xml:space="preserve"> larger samples: for instance, if Leavitt had observed 2,500 Cepheids rather than just 25, </w:t>
      </w:r>
      <w:r w:rsidR="00894993">
        <w:t>similar</w:t>
      </w:r>
      <w:r>
        <w:t xml:space="preserve"> reasoning </w:t>
      </w:r>
      <w:r w:rsidR="00A241F1">
        <w:t>w</w:t>
      </w:r>
      <w:r>
        <w:t xml:space="preserve">ould </w:t>
      </w:r>
      <w:r w:rsidR="00A241F1">
        <w:t>work</w:t>
      </w:r>
      <w:r>
        <w:t xml:space="preserve"> for the following explication of ‘representative’:</w:t>
      </w:r>
      <w:r w:rsidR="004047E9" w:rsidRPr="004047E9">
        <w:t xml:space="preserve"> </w:t>
      </w:r>
    </w:p>
    <w:p w:rsidR="004047E9" w:rsidRDefault="004047E9" w:rsidP="004047E9"/>
    <w:p w:rsidR="004047E9" w:rsidRDefault="00BB63EA" w:rsidP="004047E9">
      <w:r w:rsidRPr="008A5B38">
        <w:rPr>
          <w:rFonts w:cs="Times New Roman"/>
          <w:b/>
          <w:bCs/>
        </w:rPr>
        <w:t>ε</w:t>
      </w:r>
      <w:r>
        <w:rPr>
          <w:rFonts w:cs="Times New Roman"/>
          <w:b/>
          <w:bCs/>
          <w:vertAlign w:val="subscript"/>
        </w:rPr>
        <w:t>2</w:t>
      </w:r>
      <w:r w:rsidRPr="008A5B38">
        <w:rPr>
          <w:b/>
          <w:bCs/>
        </w:rPr>
        <w:t>-represen</w:t>
      </w:r>
      <w:r>
        <w:rPr>
          <w:b/>
          <w:bCs/>
        </w:rPr>
        <w:t>t</w:t>
      </w:r>
      <w:r w:rsidRPr="008A5B38">
        <w:rPr>
          <w:b/>
          <w:bCs/>
        </w:rPr>
        <w:t>ative</w:t>
      </w:r>
      <w:r w:rsidRPr="002A4952">
        <w:rPr>
          <w:b/>
          <w:bCs/>
        </w:rPr>
        <w:t>:</w:t>
      </w:r>
      <w:r>
        <w:t xml:space="preserve"> Any subset A is </w:t>
      </w:r>
      <w:r w:rsidRPr="008A5B38">
        <w:t>ε</w:t>
      </w:r>
      <w:r>
        <w:rPr>
          <w:vertAlign w:val="subscript"/>
        </w:rPr>
        <w:t>2</w:t>
      </w:r>
      <w:r w:rsidRPr="008A5B38">
        <w:t>-representative</w:t>
      </w:r>
      <w:r>
        <w:t xml:space="preserve"> of its superset B with respect to a </w:t>
      </w:r>
      <w:r w:rsidR="00A2697E">
        <w:t xml:space="preserve">typical </w:t>
      </w:r>
      <w:r>
        <w:t xml:space="preserve">random variable </w:t>
      </w:r>
      <w:r w:rsidRPr="00487CE9">
        <w:rPr>
          <w:i/>
          <w:iCs/>
        </w:rPr>
        <w:t>X</w:t>
      </w:r>
      <w:r>
        <w:t xml:space="preserve"> if and only if the mean value of </w:t>
      </w:r>
      <w:r w:rsidRPr="00487CE9">
        <w:rPr>
          <w:i/>
          <w:iCs/>
        </w:rPr>
        <w:t>X</w:t>
      </w:r>
      <w:r>
        <w:t xml:space="preserve"> in A </w:t>
      </w:r>
      <w:r w:rsidR="00006DC9">
        <w:t xml:space="preserve">deviates by no more than </w:t>
      </w:r>
      <w:r>
        <w:t xml:space="preserve">a margin of error of 1% of the mean value of </w:t>
      </w:r>
      <w:r w:rsidRPr="00487CE9">
        <w:rPr>
          <w:i/>
          <w:iCs/>
        </w:rPr>
        <w:t>X</w:t>
      </w:r>
      <w:r>
        <w:t xml:space="preserve"> in B.</w:t>
      </w:r>
      <w:r w:rsidR="004047E9" w:rsidRPr="004047E9">
        <w:t xml:space="preserve"> </w:t>
      </w:r>
    </w:p>
    <w:p w:rsidR="004047E9" w:rsidRDefault="004047E9" w:rsidP="004047E9"/>
    <w:p w:rsidR="004047E9" w:rsidRDefault="000C73B9" w:rsidP="004047E9">
      <w:r>
        <w:tab/>
      </w:r>
      <w:r w:rsidR="00B71308">
        <w:t>Given the actual 25-fold sample, my reconstruction of Shapley’s inference could be strengthened or weakened in various ways depending on his actual</w:t>
      </w:r>
      <w:r>
        <w:t xml:space="preserve"> background knowledge.</w:t>
      </w:r>
      <w:r w:rsidR="00B71308">
        <w:t xml:space="preserve"> </w:t>
      </w:r>
      <w:r w:rsidR="002026A1">
        <w:t>(</w:t>
      </w:r>
      <w:r w:rsidR="00A14AE2">
        <w:t>Like Lange’s example, m</w:t>
      </w:r>
      <w:r w:rsidR="002A4952">
        <w:t>y reconstruction</w:t>
      </w:r>
      <w:r w:rsidR="002026A1">
        <w:t xml:space="preserve"> is very historically thin.) </w:t>
      </w:r>
      <w:r w:rsidR="00B71308">
        <w:rPr>
          <w:rFonts w:cs="Times New Roman"/>
        </w:rPr>
        <w:t xml:space="preserve">The rationality of the inference could be undermined if Shapley possessed background knowledge that made it likely that Leavitt’s observations were unrepresentative of his target population. </w:t>
      </w:r>
      <w:r w:rsidR="00DC14DE">
        <w:rPr>
          <w:rFonts w:cs="Times New Roman"/>
        </w:rPr>
        <w:t>If</w:t>
      </w:r>
      <w:r w:rsidR="00B71308">
        <w:rPr>
          <w:rFonts w:cs="Times New Roman"/>
        </w:rPr>
        <w:t xml:space="preserve"> he knew that </w:t>
      </w:r>
      <w:r w:rsidR="002A4952">
        <w:rPr>
          <w:rFonts w:cs="Times New Roman"/>
        </w:rPr>
        <w:t>her observation</w:t>
      </w:r>
      <w:r w:rsidR="00A14AE2">
        <w:rPr>
          <w:rFonts w:cs="Times New Roman"/>
        </w:rPr>
        <w:t xml:space="preserve"> methods were </w:t>
      </w:r>
      <w:r w:rsidR="00B71308">
        <w:rPr>
          <w:rFonts w:cs="Times New Roman"/>
        </w:rPr>
        <w:t xml:space="preserve">biased towards </w:t>
      </w:r>
      <w:r w:rsidR="00A14AE2">
        <w:rPr>
          <w:rFonts w:cs="Times New Roman"/>
        </w:rPr>
        <w:t xml:space="preserve">observing </w:t>
      </w:r>
      <w:r w:rsidR="00B71308">
        <w:rPr>
          <w:rFonts w:cs="Times New Roman"/>
        </w:rPr>
        <w:t>Cepheids that conform to her regularity</w:t>
      </w:r>
      <w:r w:rsidR="00B60351">
        <w:rPr>
          <w:rStyle w:val="FootnoteReference"/>
          <w:rFonts w:cs="Times New Roman"/>
        </w:rPr>
        <w:footnoteReference w:id="13"/>
      </w:r>
      <w:r w:rsidR="00A241F1">
        <w:rPr>
          <w:rFonts w:cs="Times New Roman"/>
        </w:rPr>
        <w:t>,</w:t>
      </w:r>
      <w:r w:rsidR="00B71308">
        <w:rPr>
          <w:rFonts w:cs="Times New Roman"/>
        </w:rPr>
        <w:t xml:space="preserve"> then he could not </w:t>
      </w:r>
      <w:r w:rsidR="00A14AE2">
        <w:rPr>
          <w:rFonts w:cs="Times New Roman"/>
        </w:rPr>
        <w:t>reason as I described</w:t>
      </w:r>
      <w:r w:rsidR="00B71308">
        <w:rPr>
          <w:rFonts w:cs="Times New Roman"/>
        </w:rPr>
        <w:t>. There is nothing unusual here: Shapley’s induction was ampliative reasoning; ampliative reasoning is non-monotonic; and non-monotonic reasoning can always be strengthened or weakened by adding more information to the premises</w:t>
      </w:r>
      <w:r w:rsidR="002026A1">
        <w:rPr>
          <w:rStyle w:val="FootnoteReference"/>
          <w:rFonts w:cs="Times New Roman"/>
        </w:rPr>
        <w:footnoteReference w:id="14"/>
      </w:r>
      <w:r w:rsidR="00B71308">
        <w:rPr>
          <w:rFonts w:cs="Times New Roman"/>
        </w:rPr>
        <w:t>.</w:t>
      </w:r>
      <w:r w:rsidR="001373ED">
        <w:rPr>
          <w:rFonts w:cs="Times New Roman"/>
        </w:rPr>
        <w:t xml:space="preserve"> </w:t>
      </w:r>
      <w:r w:rsidR="0010366B">
        <w:rPr>
          <w:rFonts w:cs="Times New Roman"/>
        </w:rPr>
        <w:t>The</w:t>
      </w:r>
      <w:r w:rsidR="001373ED">
        <w:t xml:space="preserve"> inference could </w:t>
      </w:r>
      <w:r w:rsidR="0010366B">
        <w:t xml:space="preserve">also </w:t>
      </w:r>
      <w:r w:rsidR="001373ED">
        <w:t>be</w:t>
      </w:r>
      <w:r w:rsidR="00E73819">
        <w:t xml:space="preserve"> replaced by a stronger one if Shapley possessed w</w:t>
      </w:r>
      <w:r w:rsidR="001373ED">
        <w:t>hat I shall call a ‘strengthener’. If we have good reasons to think that Cepheids are more relevantly uniform than one can expect from my rational reconstruction alone</w:t>
      </w:r>
      <w:r w:rsidR="00E73819">
        <w:t xml:space="preserve">, then the </w:t>
      </w:r>
      <w:r w:rsidR="00FC0FB2">
        <w:t>induction</w:t>
      </w:r>
      <w:r w:rsidR="00E73819">
        <w:t xml:space="preserve"> has greater justification</w:t>
      </w:r>
      <w:r w:rsidR="001373ED">
        <w:t xml:space="preserve">. (Plausibly, this was the case in Shapley’s actual </w:t>
      </w:r>
      <w:r w:rsidR="001373ED">
        <w:lastRenderedPageBreak/>
        <w:t xml:space="preserve">induction.) This would also enable a tighter definition for </w:t>
      </w:r>
      <w:r w:rsidR="001373ED">
        <w:rPr>
          <w:rFonts w:cs="Times New Roman"/>
        </w:rPr>
        <w:t>‘representative</w:t>
      </w:r>
      <w:r w:rsidR="00C45B12">
        <w:rPr>
          <w:rFonts w:cs="Times New Roman"/>
        </w:rPr>
        <w:t xml:space="preserve">’ </w:t>
      </w:r>
      <w:r w:rsidR="001373ED">
        <w:rPr>
          <w:rFonts w:cs="Times New Roman"/>
        </w:rPr>
        <w:t xml:space="preserve">than </w:t>
      </w:r>
      <w:r w:rsidR="001373ED" w:rsidRPr="008A5B38">
        <w:rPr>
          <w:rFonts w:cs="Times New Roman"/>
          <w:b/>
          <w:bCs/>
        </w:rPr>
        <w:t>ε</w:t>
      </w:r>
      <w:r w:rsidR="001373ED">
        <w:rPr>
          <w:rFonts w:cs="Times New Roman"/>
          <w:b/>
          <w:bCs/>
          <w:vertAlign w:val="subscript"/>
        </w:rPr>
        <w:t>1</w:t>
      </w:r>
      <w:r w:rsidR="001373ED">
        <w:rPr>
          <w:rFonts w:cs="Times New Roman"/>
          <w:b/>
          <w:bCs/>
        </w:rPr>
        <w:t>-representative</w:t>
      </w:r>
      <w:r w:rsidR="001373ED" w:rsidRPr="002026A1">
        <w:rPr>
          <w:rStyle w:val="FootnoteReference"/>
          <w:rFonts w:cs="Times New Roman"/>
        </w:rPr>
        <w:footnoteReference w:id="15"/>
      </w:r>
      <w:r w:rsidR="001373ED">
        <w:rPr>
          <w:rFonts w:cs="Times New Roman"/>
        </w:rPr>
        <w:t>.</w:t>
      </w:r>
    </w:p>
    <w:p w:rsidR="004047E9" w:rsidRDefault="004047E9" w:rsidP="005A3F05">
      <w:pPr>
        <w:jc w:val="center"/>
      </w:pPr>
    </w:p>
    <w:p w:rsidR="00146932" w:rsidRDefault="009E67F0" w:rsidP="00146932">
      <w:r>
        <w:rPr>
          <w:rFonts w:cs="Times New Roman"/>
        </w:rPr>
        <w:tab/>
      </w:r>
      <w:r w:rsidR="00A14AE2">
        <w:rPr>
          <w:rFonts w:cs="Times New Roman"/>
        </w:rPr>
        <w:t>A</w:t>
      </w:r>
      <w:r w:rsidR="001373ED">
        <w:rPr>
          <w:rFonts w:cs="Times New Roman"/>
        </w:rPr>
        <w:t xml:space="preserve"> strengthener</w:t>
      </w:r>
      <w:r>
        <w:rPr>
          <w:rFonts w:cs="Times New Roman"/>
        </w:rPr>
        <w:t xml:space="preserve"> would </w:t>
      </w:r>
      <w:r w:rsidR="006C7DF5">
        <w:rPr>
          <w:rFonts w:cs="Times New Roman"/>
        </w:rPr>
        <w:t xml:space="preserve">certainly </w:t>
      </w:r>
      <w:r>
        <w:rPr>
          <w:rFonts w:cs="Times New Roman"/>
        </w:rPr>
        <w:t xml:space="preserve">be required </w:t>
      </w:r>
      <w:r w:rsidR="001373ED">
        <w:rPr>
          <w:rFonts w:cs="Times New Roman"/>
        </w:rPr>
        <w:t>to justify</w:t>
      </w:r>
      <w:r>
        <w:rPr>
          <w:rFonts w:cs="Times New Roman"/>
        </w:rPr>
        <w:t xml:space="preserve"> Tit</w:t>
      </w:r>
      <w:r w:rsidR="00B8487A">
        <w:rPr>
          <w:rFonts w:cs="Times New Roman"/>
        </w:rPr>
        <w:t>i</w:t>
      </w:r>
      <w:r>
        <w:rPr>
          <w:rFonts w:cs="Times New Roman"/>
        </w:rPr>
        <w:t xml:space="preserve">us’s extrapolation of Bode’s Law to all of the planets in the Solar System. Only </w:t>
      </w:r>
      <w:r w:rsidR="00B8487A">
        <w:rPr>
          <w:rFonts w:cs="Times New Roman"/>
        </w:rPr>
        <w:t xml:space="preserve">six planets (Mercury, Venus, Earth, Mars, Jupiter, and Saturn) were </w:t>
      </w:r>
      <w:r w:rsidR="00A14AE2">
        <w:rPr>
          <w:rFonts w:cs="Times New Roman"/>
        </w:rPr>
        <w:t>identified as</w:t>
      </w:r>
      <w:r w:rsidR="00B8487A">
        <w:rPr>
          <w:rFonts w:cs="Times New Roman"/>
        </w:rPr>
        <w:t xml:space="preserve"> planets in 1766, when Titius publicised the law (Nieto, </w:t>
      </w:r>
      <w:r w:rsidR="002026A1">
        <w:rPr>
          <w:rFonts w:cs="Times New Roman"/>
        </w:rPr>
        <w:t>1972</w:t>
      </w:r>
      <w:r w:rsidR="009F5594">
        <w:rPr>
          <w:rFonts w:cs="Times New Roman"/>
        </w:rPr>
        <w:t>,</w:t>
      </w:r>
      <w:r w:rsidR="00971EDA">
        <w:rPr>
          <w:rFonts w:cs="Times New Roman"/>
        </w:rPr>
        <w:t xml:space="preserve"> p. </w:t>
      </w:r>
      <w:r w:rsidR="002026A1">
        <w:rPr>
          <w:rFonts w:cs="Times New Roman"/>
        </w:rPr>
        <w:t>1-2)</w:t>
      </w:r>
      <w:r w:rsidR="00B8487A">
        <w:rPr>
          <w:rFonts w:cs="Times New Roman"/>
        </w:rPr>
        <w:t>.</w:t>
      </w:r>
      <w:r w:rsidR="004D29F4">
        <w:rPr>
          <w:rFonts w:cs="Times New Roman"/>
        </w:rPr>
        <w:t xml:space="preserve"> </w:t>
      </w:r>
      <w:r w:rsidR="006F74DF">
        <w:rPr>
          <w:rFonts w:cs="Times New Roman"/>
        </w:rPr>
        <w:t xml:space="preserve">Although the minimum proportion of </w:t>
      </w:r>
      <w:r w:rsidR="006F74DF" w:rsidRPr="008A5B38">
        <w:rPr>
          <w:rFonts w:cs="Times New Roman"/>
          <w:b/>
          <w:bCs/>
        </w:rPr>
        <w:t>ε</w:t>
      </w:r>
      <w:r w:rsidR="006F74DF">
        <w:rPr>
          <w:rFonts w:cs="Times New Roman"/>
          <w:b/>
          <w:bCs/>
          <w:vertAlign w:val="subscript"/>
        </w:rPr>
        <w:t>1</w:t>
      </w:r>
      <w:r w:rsidR="006F74DF" w:rsidRPr="008A5B38">
        <w:rPr>
          <w:b/>
          <w:bCs/>
        </w:rPr>
        <w:t>-represen</w:t>
      </w:r>
      <w:r w:rsidR="006F74DF">
        <w:rPr>
          <w:b/>
          <w:bCs/>
        </w:rPr>
        <w:t>t</w:t>
      </w:r>
      <w:r w:rsidR="006F74DF" w:rsidRPr="008A5B38">
        <w:rPr>
          <w:b/>
          <w:bCs/>
        </w:rPr>
        <w:t>ative</w:t>
      </w:r>
      <w:r w:rsidR="006F74DF">
        <w:rPr>
          <w:rFonts w:cs="Times New Roman"/>
        </w:rPr>
        <w:t xml:space="preserve"> subsets with 6 members is greater than zero, it is extremely small, and far from enough to warrant making an inductive inference about a potentially very large (though finite) domain like the Solar System. </w:t>
      </w:r>
      <w:r w:rsidR="00971EDA">
        <w:rPr>
          <w:rFonts w:cs="Times New Roman"/>
        </w:rPr>
        <w:t xml:space="preserve">However, astronomers </w:t>
      </w:r>
      <w:r w:rsidR="009D1025">
        <w:rPr>
          <w:rFonts w:cs="Times New Roman"/>
        </w:rPr>
        <w:t>at</w:t>
      </w:r>
      <w:r w:rsidR="00971EDA">
        <w:rPr>
          <w:rFonts w:cs="Times New Roman"/>
        </w:rPr>
        <w:t xml:space="preserve"> the time believed that the Solar System </w:t>
      </w:r>
      <w:r w:rsidR="007F5B80">
        <w:rPr>
          <w:rFonts w:cs="Times New Roman"/>
        </w:rPr>
        <w:t>possessed</w:t>
      </w:r>
      <w:r w:rsidR="00971EDA">
        <w:rPr>
          <w:rFonts w:cs="Times New Roman"/>
        </w:rPr>
        <w:t xml:space="preserve"> a </w:t>
      </w:r>
      <w:r w:rsidR="00234206">
        <w:rPr>
          <w:rFonts w:cs="Times New Roman"/>
        </w:rPr>
        <w:t>high</w:t>
      </w:r>
      <w:r w:rsidR="00971EDA">
        <w:rPr>
          <w:rFonts w:cs="Times New Roman"/>
        </w:rPr>
        <w:t xml:space="preserve"> degree of harmony </w:t>
      </w:r>
      <w:r w:rsidR="002026A1">
        <w:rPr>
          <w:rFonts w:cs="Times New Roman"/>
        </w:rPr>
        <w:t>(</w:t>
      </w:r>
      <w:r w:rsidR="007F5B80">
        <w:rPr>
          <w:rFonts w:cs="Times New Roman"/>
        </w:rPr>
        <w:t xml:space="preserve">Cunningham, 2017, Chapter 1) </w:t>
      </w:r>
      <w:r w:rsidR="00971EDA">
        <w:rPr>
          <w:rFonts w:cs="Times New Roman"/>
        </w:rPr>
        <w:t xml:space="preserve">and thus their background knowledge </w:t>
      </w:r>
      <w:r w:rsidR="00234206">
        <w:rPr>
          <w:rFonts w:cs="Times New Roman"/>
        </w:rPr>
        <w:t>arguably justified</w:t>
      </w:r>
      <w:r w:rsidR="00971EDA">
        <w:rPr>
          <w:rFonts w:cs="Times New Roman"/>
        </w:rPr>
        <w:t xml:space="preserve"> stronger inductions than combinatoric</w:t>
      </w:r>
      <w:r w:rsidR="00C45B12">
        <w:rPr>
          <w:rFonts w:cs="Times New Roman"/>
        </w:rPr>
        <w:t xml:space="preserve"> facts alone can</w:t>
      </w:r>
      <w:r w:rsidR="00234206">
        <w:rPr>
          <w:rFonts w:cs="Times New Roman"/>
        </w:rPr>
        <w:t xml:space="preserve"> rationalise</w:t>
      </w:r>
      <w:r w:rsidR="00971EDA">
        <w:rPr>
          <w:rFonts w:cs="Times New Roman"/>
        </w:rPr>
        <w:t xml:space="preserve">. Additionally, </w:t>
      </w:r>
      <w:r w:rsidR="004D29F4">
        <w:rPr>
          <w:rFonts w:cs="Times New Roman"/>
        </w:rPr>
        <w:t xml:space="preserve">for weaker definitions of ‘representative sample’ than </w:t>
      </w:r>
      <w:r w:rsidR="004D29F4" w:rsidRPr="008A5B38">
        <w:rPr>
          <w:rFonts w:cs="Times New Roman"/>
          <w:b/>
          <w:bCs/>
        </w:rPr>
        <w:t>ε</w:t>
      </w:r>
      <w:r w:rsidR="004D29F4">
        <w:rPr>
          <w:rFonts w:cs="Times New Roman"/>
          <w:b/>
          <w:bCs/>
          <w:vertAlign w:val="subscript"/>
        </w:rPr>
        <w:t>2</w:t>
      </w:r>
      <w:r w:rsidR="004D29F4" w:rsidRPr="008A5B38">
        <w:rPr>
          <w:b/>
          <w:bCs/>
        </w:rPr>
        <w:t>-represen</w:t>
      </w:r>
      <w:r w:rsidR="004D29F4">
        <w:rPr>
          <w:b/>
          <w:bCs/>
        </w:rPr>
        <w:t>t</w:t>
      </w:r>
      <w:r w:rsidR="004D29F4" w:rsidRPr="008A5B38">
        <w:rPr>
          <w:b/>
          <w:bCs/>
        </w:rPr>
        <w:t>ative</w:t>
      </w:r>
      <w:r w:rsidR="004D29F4">
        <w:t>, Titius</w:t>
      </w:r>
      <w:r w:rsidR="00A14AE2">
        <w:t xml:space="preserve">’s induction could be rationalised for </w:t>
      </w:r>
      <w:r w:rsidR="004D29F4">
        <w:t>a very wide margin of error</w:t>
      </w:r>
      <w:r w:rsidR="00894993">
        <w:t>.</w:t>
      </w:r>
    </w:p>
    <w:p w:rsidR="00146932" w:rsidRDefault="00146932" w:rsidP="00146932"/>
    <w:p w:rsidR="004047E9" w:rsidRDefault="00146932" w:rsidP="004047E9">
      <w:r>
        <w:rPr>
          <w:rFonts w:cs="Times New Roman"/>
        </w:rPr>
        <w:tab/>
      </w:r>
      <w:r w:rsidR="00AC2AF4">
        <w:t>Famously</w:t>
      </w:r>
      <w:r w:rsidR="00971EDA">
        <w:t>, in domains like psychology,</w:t>
      </w:r>
      <w:r w:rsidR="00E61DF3">
        <w:t xml:space="preserve"> neurology,</w:t>
      </w:r>
      <w:r w:rsidR="00971EDA">
        <w:t xml:space="preserve"> the social sciences, and avian </w:t>
      </w:r>
      <w:r w:rsidR="005B2594">
        <w:t>plumage</w:t>
      </w:r>
      <w:r w:rsidR="00971EDA">
        <w:t xml:space="preserve">, we have background knowledge of local disuniformities that </w:t>
      </w:r>
      <w:r w:rsidR="00135645">
        <w:t xml:space="preserve">generally </w:t>
      </w:r>
      <w:r w:rsidR="00971EDA">
        <w:t>make inductions from six-fold</w:t>
      </w:r>
      <w:r w:rsidR="004D29F4">
        <w:t xml:space="preserve"> or 25-fold</w:t>
      </w:r>
      <w:r w:rsidR="00971EDA">
        <w:t xml:space="preserve"> samples (or </w:t>
      </w:r>
      <w:r w:rsidR="004D29F4">
        <w:t>sometimes even 2,500-fold samples</w:t>
      </w:r>
      <w:r w:rsidR="00971EDA">
        <w:t xml:space="preserve">) </w:t>
      </w:r>
      <w:r w:rsidR="005A656F">
        <w:t>weak or outright irrational</w:t>
      </w:r>
      <w:r w:rsidR="00971EDA">
        <w:t>.</w:t>
      </w:r>
      <w:r w:rsidR="007F5B80">
        <w:t xml:space="preserve"> </w:t>
      </w:r>
      <w:r w:rsidR="00971EDA">
        <w:t xml:space="preserve">However, even in these domains, large sample sizes can </w:t>
      </w:r>
      <w:r w:rsidR="005A656F">
        <w:t xml:space="preserve">sometimes </w:t>
      </w:r>
      <w:r w:rsidR="00971EDA">
        <w:t>overwhelm our knowledge of local disuniformit</w:t>
      </w:r>
      <w:r w:rsidR="004D29F4">
        <w:t>y</w:t>
      </w:r>
      <w:r w:rsidR="00C62C87">
        <w:t>. The</w:t>
      </w:r>
      <w:r w:rsidR="00971EDA">
        <w:t xml:space="preserve"> macroecological example Lange </w:t>
      </w:r>
      <w:r w:rsidR="00C62C87">
        <w:t xml:space="preserve">that </w:t>
      </w:r>
      <w:r w:rsidR="00971EDA">
        <w:t>describes</w:t>
      </w:r>
      <w:r w:rsidR="00C62C87">
        <w:t xml:space="preserve"> is an instance of </w:t>
      </w:r>
      <w:r w:rsidR="007E5DBC">
        <w:t>t</w:t>
      </w:r>
      <w:r w:rsidR="00C62C87">
        <w:t>his point</w:t>
      </w:r>
      <w:r w:rsidR="005A656F">
        <w:t xml:space="preserve">: ecosystems are very diverse, but </w:t>
      </w:r>
      <w:r w:rsidR="00971EDA">
        <w:t xml:space="preserve">ecologists’ evidence consists of </w:t>
      </w:r>
      <w:r w:rsidR="00C62C87">
        <w:t xml:space="preserve">many, many thousands of </w:t>
      </w:r>
      <w:r w:rsidR="00971EDA">
        <w:t>ecosystems</w:t>
      </w:r>
      <w:r w:rsidR="00C62C87">
        <w:t xml:space="preserve"> </w:t>
      </w:r>
      <w:r w:rsidR="00ED11FA">
        <w:t>that mostly conform</w:t>
      </w:r>
      <w:r w:rsidR="00C62C87">
        <w:t xml:space="preserve"> to a correlation between biodiversity and proximity to the tropics</w:t>
      </w:r>
      <w:r w:rsidR="00971EDA">
        <w:rPr>
          <w:rStyle w:val="FootnoteReference"/>
        </w:rPr>
        <w:footnoteReference w:id="16"/>
      </w:r>
      <w:r w:rsidR="00971EDA">
        <w:t>.</w:t>
      </w:r>
    </w:p>
    <w:p w:rsidR="005A4BCC" w:rsidRDefault="005A4BCC" w:rsidP="004047E9"/>
    <w:p w:rsidR="0009209B" w:rsidRDefault="00E82F11" w:rsidP="004047E9">
      <w:r>
        <w:tab/>
        <w:t>I shall discuss the limitations of</w:t>
      </w:r>
      <w:r w:rsidR="007E0C68">
        <w:t xml:space="preserve"> justifying inductions via</w:t>
      </w:r>
      <w:r w:rsidR="00EA5054">
        <w:t xml:space="preserve"> </w:t>
      </w:r>
      <w:r w:rsidR="00EB6549">
        <w:t>direct inferences using combinatoric facts</w:t>
      </w:r>
      <w:r>
        <w:t xml:space="preserve"> in more detail in Section 6</w:t>
      </w:r>
      <w:r w:rsidR="00C62C87">
        <w:t xml:space="preserve">. However, </w:t>
      </w:r>
      <w:r w:rsidR="00EE4CF4">
        <w:t xml:space="preserve">I shall </w:t>
      </w:r>
      <w:r w:rsidR="007C4429">
        <w:t xml:space="preserve">briefly </w:t>
      </w:r>
      <w:r w:rsidR="00C62C87">
        <w:t>note</w:t>
      </w:r>
      <w:r w:rsidR="00EE4CF4">
        <w:t xml:space="preserve"> </w:t>
      </w:r>
      <w:r>
        <w:t xml:space="preserve">some important </w:t>
      </w:r>
      <w:r w:rsidR="00C62C87">
        <w:t>restrictions</w:t>
      </w:r>
      <w:r>
        <w:t>. Firstly, these combinatoric facts only apply for finite populations</w:t>
      </w:r>
      <w:r w:rsidR="00163733">
        <w:t>. R</w:t>
      </w:r>
      <w:r>
        <w:t xml:space="preserve">andom variables of infinite populations </w:t>
      </w:r>
      <w:r w:rsidR="006E2BB8">
        <w:t xml:space="preserve">can </w:t>
      </w:r>
      <w:r w:rsidR="00FE09B0">
        <w:t>be distributed in the form of a</w:t>
      </w:r>
      <w:r>
        <w:t xml:space="preserve"> Cauchy distribution or</w:t>
      </w:r>
      <w:r w:rsidR="00FE09B0">
        <w:t xml:space="preserve"> a</w:t>
      </w:r>
      <w:r>
        <w:t xml:space="preserve"> Landau distribution, for which these facts do not apply</w:t>
      </w:r>
      <w:r>
        <w:rPr>
          <w:rStyle w:val="FootnoteReference"/>
        </w:rPr>
        <w:footnoteReference w:id="17"/>
      </w:r>
      <w:r>
        <w:t>.</w:t>
      </w:r>
      <w:r w:rsidR="009210A2">
        <w:t xml:space="preserve"> Secondly, all of the reasoning I have described involves samples and p</w:t>
      </w:r>
      <w:r w:rsidR="00163733">
        <w:t>opulations that are identified using</w:t>
      </w:r>
      <w:r w:rsidR="009210A2">
        <w:t xml:space="preserve"> </w:t>
      </w:r>
      <w:r w:rsidR="009353C7" w:rsidRPr="009353C7">
        <w:t>genuine</w:t>
      </w:r>
      <w:r w:rsidR="009210A2">
        <w:t xml:space="preserve"> scientific chara</w:t>
      </w:r>
      <w:r w:rsidR="00163733">
        <w:t xml:space="preserve">cteristics: Cepheids, ecosystems, planets etc. </w:t>
      </w:r>
      <w:r w:rsidR="003930A6">
        <w:t xml:space="preserve">This contrasts with parallel reasoning in terms of grue objects, bleen objects, and other classifications that are not (currently) part of scientists’ conceptual schemes. </w:t>
      </w:r>
      <w:r w:rsidR="00E240D5">
        <w:t xml:space="preserve">Thus, </w:t>
      </w:r>
      <w:r w:rsidR="003930A6">
        <w:t>I assume that we have</w:t>
      </w:r>
      <w:r w:rsidR="00163733">
        <w:t xml:space="preserve"> background knowledge, obtained in part by induction, in support of the scientists’ use of </w:t>
      </w:r>
      <w:r w:rsidR="003930A6">
        <w:t>their</w:t>
      </w:r>
      <w:r w:rsidR="00163733">
        <w:t xml:space="preserve"> categories to describe the phenomena</w:t>
      </w:r>
      <w:r w:rsidR="003930A6">
        <w:t>, rather than “gruesome” classifications</w:t>
      </w:r>
      <w:r w:rsidR="00AE35DC">
        <w:rPr>
          <w:rStyle w:val="FootnoteReference"/>
        </w:rPr>
        <w:footnoteReference w:id="18"/>
      </w:r>
      <w:r w:rsidR="00163733">
        <w:t xml:space="preserve">. </w:t>
      </w:r>
      <w:r w:rsidR="007F5B80">
        <w:t>Thirdly, information about the</w:t>
      </w:r>
      <w:r w:rsidR="009C0AB9">
        <w:t xml:space="preserve"> sampling</w:t>
      </w:r>
      <w:r w:rsidR="007F5B80">
        <w:t xml:space="preserve"> </w:t>
      </w:r>
      <w:r w:rsidR="007F5B80">
        <w:lastRenderedPageBreak/>
        <w:t xml:space="preserve">method </w:t>
      </w:r>
      <w:r w:rsidR="004D29F4">
        <w:t>can</w:t>
      </w:r>
      <w:r w:rsidR="007F5B80">
        <w:t xml:space="preserve"> serve as a defeater</w:t>
      </w:r>
      <w:r w:rsidR="001373ED">
        <w:t xml:space="preserve"> for the reasoning I have suggested</w:t>
      </w:r>
      <w:r w:rsidR="001373ED">
        <w:rPr>
          <w:rStyle w:val="FootnoteReference"/>
        </w:rPr>
        <w:footnoteReference w:id="19"/>
      </w:r>
      <w:r w:rsidR="001373ED">
        <w:t>.</w:t>
      </w:r>
      <w:r w:rsidR="007F5B80">
        <w:t xml:space="preserve"> Fourthly</w:t>
      </w:r>
      <w:r w:rsidR="00163733">
        <w:t xml:space="preserve">, while I have appealed to ‘confirmation’, ‘strengtheners’, and ‘defeaters’, </w:t>
      </w:r>
      <w:r w:rsidR="00E240D5">
        <w:t xml:space="preserve">neither </w:t>
      </w:r>
      <w:r w:rsidR="00163733">
        <w:t>I</w:t>
      </w:r>
      <w:r w:rsidR="00E240D5">
        <w:t xml:space="preserve"> nor Norton</w:t>
      </w:r>
      <w:r w:rsidR="00163733">
        <w:t xml:space="preserve"> have not</w:t>
      </w:r>
      <w:r w:rsidR="00AE35DC">
        <w:t xml:space="preserve"> rigorously</w:t>
      </w:r>
      <w:r w:rsidR="00163733">
        <w:t xml:space="preserve"> defined these concepts</w:t>
      </w:r>
      <w:r w:rsidR="004047E9">
        <w:t>.</w:t>
      </w:r>
      <w:r w:rsidR="00163733">
        <w:t xml:space="preserve"> I shall return to this issue </w:t>
      </w:r>
      <w:r w:rsidR="00E240D5">
        <w:t>in Section 6.6</w:t>
      </w:r>
      <w:r w:rsidR="00163733">
        <w:t>.</w:t>
      </w:r>
    </w:p>
    <w:p w:rsidR="0009209B" w:rsidRDefault="0009209B" w:rsidP="004047E9"/>
    <w:p w:rsidR="004047E9" w:rsidRDefault="0009209B" w:rsidP="004047E9">
      <w:r>
        <w:tab/>
      </w:r>
      <w:r w:rsidR="00620EAA">
        <w:t>When will my strategy fail at the frontiers of science?</w:t>
      </w:r>
      <w:r>
        <w:t xml:space="preserve"> </w:t>
      </w:r>
      <w:r>
        <w:rPr>
          <w:rFonts w:cs="Times New Roman"/>
        </w:rPr>
        <w:t>If our sample size is small and we lack strengtheners</w:t>
      </w:r>
      <w:r w:rsidR="00977E6F">
        <w:rPr>
          <w:rFonts w:cs="Times New Roman"/>
        </w:rPr>
        <w:t>,</w:t>
      </w:r>
      <w:r>
        <w:rPr>
          <w:rFonts w:cs="Times New Roman"/>
        </w:rPr>
        <w:t xml:space="preserve"> then </w:t>
      </w:r>
      <w:r w:rsidR="00E240D5">
        <w:rPr>
          <w:rFonts w:cs="Times New Roman"/>
        </w:rPr>
        <w:t>our</w:t>
      </w:r>
      <w:r>
        <w:rPr>
          <w:rFonts w:cs="Times New Roman"/>
        </w:rPr>
        <w:t xml:space="preserve"> inductions cannot be rationalised in terms of combinatoric facts about large samples. That makes sense. </w:t>
      </w:r>
      <w:r w:rsidR="00C45B12">
        <w:rPr>
          <w:rFonts w:cs="Times New Roman"/>
        </w:rPr>
        <w:t>If the</w:t>
      </w:r>
      <w:r>
        <w:rPr>
          <w:rFonts w:cs="Times New Roman"/>
        </w:rPr>
        <w:t xml:space="preserve"> </w:t>
      </w:r>
      <w:r w:rsidR="00C45B12">
        <w:rPr>
          <w:rFonts w:cs="Times New Roman"/>
        </w:rPr>
        <w:t>induction’s extrapolated characteristics</w:t>
      </w:r>
      <w:r>
        <w:rPr>
          <w:rFonts w:cs="Times New Roman"/>
        </w:rPr>
        <w:t xml:space="preserve"> are not part of the conceptual scheme of our scientific paradigm, then my arguments will also be unavailable. That also makes sense. And if we have defeaters for the direct inferences involved, </w:t>
      </w:r>
      <w:r w:rsidR="00E240D5">
        <w:rPr>
          <w:rFonts w:cs="Times New Roman"/>
        </w:rPr>
        <w:t>then rational induction is blocked</w:t>
      </w:r>
      <w:r>
        <w:rPr>
          <w:rFonts w:cs="Times New Roman"/>
        </w:rPr>
        <w:t xml:space="preserve">. As far as I can tell, it is precisely where inductions seem intuitive that </w:t>
      </w:r>
      <w:r w:rsidR="00E240D5">
        <w:rPr>
          <w:rFonts w:cs="Times New Roman"/>
        </w:rPr>
        <w:t>the MTI allows induction at the frontiers of science</w:t>
      </w:r>
      <w:r>
        <w:rPr>
          <w:rFonts w:cs="Times New Roman"/>
        </w:rPr>
        <w:t>, no more and no less.</w:t>
      </w:r>
    </w:p>
    <w:p w:rsidR="004047E9" w:rsidRDefault="004047E9" w:rsidP="004047E9"/>
    <w:p w:rsidR="004047E9" w:rsidRDefault="00AE0187" w:rsidP="004047E9">
      <w:r w:rsidRPr="004107FB">
        <w:rPr>
          <w:b/>
          <w:bCs/>
        </w:rPr>
        <w:t xml:space="preserve">5. </w:t>
      </w:r>
      <w:r w:rsidR="00C53EF3" w:rsidRPr="004107FB">
        <w:rPr>
          <w:b/>
          <w:bCs/>
        </w:rPr>
        <w:t>Observationally Indistinguishable Spacetimes</w:t>
      </w:r>
    </w:p>
    <w:p w:rsidR="004047E9" w:rsidRDefault="004047E9" w:rsidP="004047E9"/>
    <w:p w:rsidR="0013243F" w:rsidRDefault="00B56DF2" w:rsidP="0013243F">
      <w:r>
        <w:tab/>
        <w:t>Norton discusses</w:t>
      </w:r>
      <w:r w:rsidR="00C45B12">
        <w:t xml:space="preserve"> apparently reasonable</w:t>
      </w:r>
      <w:r>
        <w:t xml:space="preserve"> inducti</w:t>
      </w:r>
      <w:r w:rsidR="00AB3072">
        <w:t xml:space="preserve">ons </w:t>
      </w:r>
      <w:r>
        <w:t>at the frontiers of science which</w:t>
      </w:r>
      <w:r w:rsidR="00C45B12">
        <w:t xml:space="preserve"> </w:t>
      </w:r>
      <w:r w:rsidR="00EE4CF4">
        <w:t>seem to</w:t>
      </w:r>
      <w:r w:rsidR="004107FB">
        <w:t xml:space="preserve"> lack a justification from</w:t>
      </w:r>
      <w:r>
        <w:t xml:space="preserve"> some local uniformity </w:t>
      </w:r>
      <w:r w:rsidR="00EF358D">
        <w:t>principle</w:t>
      </w:r>
      <w:r>
        <w:t xml:space="preserve"> (201</w:t>
      </w:r>
      <w:r w:rsidR="00876ABA">
        <w:t>0</w:t>
      </w:r>
      <w:r w:rsidR="002C77E6">
        <w:t>, p. 169-176</w:t>
      </w:r>
      <w:r>
        <w:t xml:space="preserve">). </w:t>
      </w:r>
      <w:r w:rsidR="0022078D">
        <w:t>First, consider</w:t>
      </w:r>
      <w:r>
        <w:t xml:space="preserve"> the hypothesis H</w:t>
      </w:r>
      <w:r>
        <w:rPr>
          <w:vertAlign w:val="subscript"/>
        </w:rPr>
        <w:t>1</w:t>
      </w:r>
      <w:r>
        <w:t xml:space="preserve"> </w:t>
      </w:r>
      <w:r w:rsidR="00BF62BE">
        <w:t>‘</w:t>
      </w:r>
      <w:r w:rsidRPr="00B56DF2">
        <w:t xml:space="preserve">All future </w:t>
      </w:r>
      <w:r>
        <w:t>wor</w:t>
      </w:r>
      <w:r w:rsidR="005B2594">
        <w:t>l</w:t>
      </w:r>
      <w:r>
        <w:t>dlines will be extendable by one millisecond of proper time</w:t>
      </w:r>
      <w:r w:rsidR="00BF62BE">
        <w:t>’.</w:t>
      </w:r>
      <w:r>
        <w:t xml:space="preserve"> </w:t>
      </w:r>
      <w:r w:rsidR="00F828AA">
        <w:t xml:space="preserve">There are </w:t>
      </w:r>
      <w:r w:rsidR="006B233F">
        <w:t>rival</w:t>
      </w:r>
      <w:r w:rsidR="00F828AA">
        <w:t xml:space="preserve"> hypotheses in which our spacetime stops at some point</w:t>
      </w:r>
      <w:r>
        <w:t>, because there can be half-Minkowski spacetimes</w:t>
      </w:r>
      <w:r>
        <w:rPr>
          <w:rStyle w:val="FootnoteReference"/>
        </w:rPr>
        <w:footnoteReference w:id="20"/>
      </w:r>
      <w:r>
        <w:t xml:space="preserve"> without this </w:t>
      </w:r>
      <w:r w:rsidR="005B2594">
        <w:t>extendibility</w:t>
      </w:r>
      <w:r>
        <w:t xml:space="preserve"> property.</w:t>
      </w:r>
      <w:r w:rsidR="00F828AA">
        <w:t xml:space="preserve"> It is provable that these </w:t>
      </w:r>
      <w:r w:rsidR="00EE1E6F">
        <w:t>rivals</w:t>
      </w:r>
      <w:r w:rsidR="00F828AA">
        <w:t xml:space="preserve"> are consistent with any observations that we might make prior to that point </w:t>
      </w:r>
      <w:r w:rsidR="00F828AA">
        <w:rPr>
          <w:i/>
          <w:iCs/>
        </w:rPr>
        <w:t>and</w:t>
      </w:r>
      <w:r w:rsidR="00F828AA">
        <w:t xml:space="preserve"> </w:t>
      </w:r>
      <w:r w:rsidR="00985B97">
        <w:t>consistent</w:t>
      </w:r>
      <w:r w:rsidR="00F828AA">
        <w:t xml:space="preserve"> with </w:t>
      </w:r>
      <w:r w:rsidR="000330EA">
        <w:t>our contemporary understanding of the laws of physics</w:t>
      </w:r>
      <w:r w:rsidR="00F828AA">
        <w:t xml:space="preserve">. </w:t>
      </w:r>
      <w:r w:rsidR="00EE1E6F">
        <w:t xml:space="preserve">Norton and others have described </w:t>
      </w:r>
      <w:r w:rsidR="006E5AF7">
        <w:t>such possibilities as</w:t>
      </w:r>
      <w:r w:rsidR="00EE1E6F">
        <w:t xml:space="preserve"> </w:t>
      </w:r>
      <w:r w:rsidR="00F828AA">
        <w:t>“observationally indistinguishable”.</w:t>
      </w:r>
      <w:r>
        <w:t xml:space="preserve"> </w:t>
      </w:r>
      <w:r w:rsidR="00F828AA">
        <w:t>Nonetheless, o</w:t>
      </w:r>
      <w:r>
        <w:t>ur evidence seems to favour H</w:t>
      </w:r>
      <w:r>
        <w:rPr>
          <w:vertAlign w:val="subscript"/>
        </w:rPr>
        <w:t>1</w:t>
      </w:r>
      <w:r w:rsidR="00F828AA">
        <w:t xml:space="preserve"> </w:t>
      </w:r>
      <w:r w:rsidR="00B911C4">
        <w:t>over</w:t>
      </w:r>
      <w:r w:rsidR="00F828AA">
        <w:t xml:space="preserve"> its </w:t>
      </w:r>
      <w:r w:rsidR="00EE1E6F">
        <w:t>rivals</w:t>
      </w:r>
      <w:r w:rsidR="00F828AA">
        <w:t xml:space="preserve">. </w:t>
      </w:r>
      <w:r w:rsidR="00EE1E6F">
        <w:t>W</w:t>
      </w:r>
      <w:r>
        <w:t>e seem to be warranted in reasoning as follows:</w:t>
      </w:r>
    </w:p>
    <w:p w:rsidR="00C53EF3" w:rsidRDefault="0013243F" w:rsidP="0013243F">
      <w:r>
        <w:br/>
      </w:r>
      <w:r w:rsidR="00B56DF2">
        <w:t xml:space="preserve">(1) </w:t>
      </w:r>
      <w:r w:rsidR="00B56DF2" w:rsidRPr="00B56DF2">
        <w:t xml:space="preserve">All </w:t>
      </w:r>
      <w:r w:rsidR="0016563E">
        <w:t xml:space="preserve">known </w:t>
      </w:r>
      <w:r w:rsidR="00B56DF2" w:rsidRPr="00B56DF2">
        <w:t>worldlines</w:t>
      </w:r>
      <w:r w:rsidR="00DA4A4E">
        <w:t xml:space="preserve"> in the past</w:t>
      </w:r>
      <w:r w:rsidR="00B56DF2" w:rsidRPr="00B56DF2">
        <w:t xml:space="preserve"> were extendable by one millisecond of proper time</w:t>
      </w:r>
      <w:r w:rsidR="00B56DF2">
        <w:t>.</w:t>
      </w:r>
    </w:p>
    <w:p w:rsidR="00E176B8" w:rsidRDefault="00B56DF2" w:rsidP="00E176B8">
      <w:r>
        <w:br/>
        <w:t xml:space="preserve">Therefore, </w:t>
      </w:r>
      <w:r w:rsidR="005B2594">
        <w:t>defeasibly</w:t>
      </w:r>
      <w:r>
        <w:t>, (2) A</w:t>
      </w:r>
      <w:r w:rsidRPr="00B56DF2">
        <w:t xml:space="preserve">ll </w:t>
      </w:r>
      <w:r>
        <w:t xml:space="preserve">wordlines </w:t>
      </w:r>
      <w:r w:rsidR="00C96FD9">
        <w:t>are</w:t>
      </w:r>
      <w:r>
        <w:t xml:space="preserve"> extendable by one millisecond of proper time.</w:t>
      </w:r>
      <w:r w:rsidR="000103C7" w:rsidRPr="000103C7">
        <w:rPr>
          <w:rFonts w:cs="Times New Roman"/>
        </w:rPr>
        <w:t xml:space="preserve"> </w:t>
      </w:r>
    </w:p>
    <w:p w:rsidR="00E176B8" w:rsidRDefault="00E176B8" w:rsidP="00E176B8"/>
    <w:p w:rsidR="00E176B8" w:rsidRDefault="00F828AA" w:rsidP="00E176B8">
      <w:r>
        <w:lastRenderedPageBreak/>
        <w:tab/>
        <w:t xml:space="preserve">Norton </w:t>
      </w:r>
      <w:r w:rsidR="00C45B12">
        <w:t>suggests</w:t>
      </w:r>
      <w:r>
        <w:t xml:space="preserve"> that </w:t>
      </w:r>
      <w:r w:rsidR="00B911C4">
        <w:t>people seeking</w:t>
      </w:r>
      <w:r>
        <w:t xml:space="preserve"> </w:t>
      </w:r>
      <w:r w:rsidR="000330EA">
        <w:t>an</w:t>
      </w:r>
      <w:r>
        <w:t xml:space="preserve"> underlying principle behind this induction </w:t>
      </w:r>
      <w:r w:rsidR="000330EA">
        <w:t>appeal</w:t>
      </w:r>
      <w:r>
        <w:t xml:space="preserve"> to a Leibnizian Principle of Plenitude (Norton</w:t>
      </w:r>
      <w:r w:rsidR="002C77E6">
        <w:t>, 201</w:t>
      </w:r>
      <w:r w:rsidR="00876ABA">
        <w:t>0</w:t>
      </w:r>
      <w:r w:rsidR="002C77E6">
        <w:t xml:space="preserve"> p. 173</w:t>
      </w:r>
      <w:r>
        <w:t>). Yet the opposite</w:t>
      </w:r>
      <w:r w:rsidR="000330EA">
        <w:t xml:space="preserve"> sort of</w:t>
      </w:r>
      <w:r>
        <w:t xml:space="preserve"> reasoning seems to be made in </w:t>
      </w:r>
      <w:r w:rsidR="00491B4B">
        <w:t>his</w:t>
      </w:r>
      <w:r>
        <w:t xml:space="preserve"> second example</w:t>
      </w:r>
      <w:r w:rsidR="00F94291">
        <w:t xml:space="preserve"> of such an induction at the frontiers of science</w:t>
      </w:r>
      <w:r w:rsidR="000330EA">
        <w:t xml:space="preserve">. This example starts from the fact that </w:t>
      </w:r>
      <w:r>
        <w:t xml:space="preserve">there are a huge variety of observationally indistinguishable spacetimes which add structure </w:t>
      </w:r>
      <w:r w:rsidR="00F94291">
        <w:t xml:space="preserve">(like unobservable wormholes) </w:t>
      </w:r>
      <w:r>
        <w:t>to a full Minkowski spacetime.</w:t>
      </w:r>
      <w:r w:rsidR="0091701E">
        <w:t xml:space="preserve"> Our evidence seems to favour the hypothesis H</w:t>
      </w:r>
      <w:r w:rsidR="0091701E">
        <w:rPr>
          <w:vertAlign w:val="subscript"/>
        </w:rPr>
        <w:t>2</w:t>
      </w:r>
      <w:r w:rsidR="009D465D">
        <w:t xml:space="preserve"> </w:t>
      </w:r>
      <w:r w:rsidR="0091701E">
        <w:t>‘These exotic additional structures do not exist’</w:t>
      </w:r>
      <w:r w:rsidR="00886F46">
        <w:t>.</w:t>
      </w:r>
      <w:r>
        <w:t xml:space="preserve"> </w:t>
      </w:r>
      <w:r w:rsidR="000330EA">
        <w:t>We can apparently</w:t>
      </w:r>
      <w:r w:rsidR="000103C7">
        <w:t xml:space="preserve"> reason</w:t>
      </w:r>
      <w:r>
        <w:t>:</w:t>
      </w:r>
      <w:r w:rsidR="0013243F" w:rsidRPr="0013243F">
        <w:t xml:space="preserve"> </w:t>
      </w:r>
    </w:p>
    <w:p w:rsidR="00E176B8" w:rsidRDefault="00E176B8" w:rsidP="00E176B8"/>
    <w:p w:rsidR="00E176B8" w:rsidRDefault="00F828AA" w:rsidP="00E176B8">
      <w:r>
        <w:t>(1) None of these additional structures have been observed, nor does our evidence provide any reason to think that they are likely to exist.</w:t>
      </w:r>
      <w:r w:rsidR="00385D87" w:rsidRPr="00385D87">
        <w:t xml:space="preserve"> </w:t>
      </w:r>
    </w:p>
    <w:p w:rsidR="00E176B8" w:rsidRDefault="00E176B8" w:rsidP="00E176B8"/>
    <w:p w:rsidR="004047E9" w:rsidRDefault="00F828AA" w:rsidP="00E176B8">
      <w:r>
        <w:t xml:space="preserve">Therefore, defeasibly, (2) These </w:t>
      </w:r>
      <w:r w:rsidR="0091701E">
        <w:t xml:space="preserve">exotic </w:t>
      </w:r>
      <w:r>
        <w:t>additional structures do not exist.</w:t>
      </w:r>
      <w:r w:rsidR="000103C7" w:rsidRPr="000103C7">
        <w:rPr>
          <w:rFonts w:cs="Times New Roman"/>
        </w:rPr>
        <w:t xml:space="preserve"> </w:t>
      </w:r>
    </w:p>
    <w:p w:rsidR="004047E9" w:rsidRDefault="004047E9" w:rsidP="004047E9"/>
    <w:p w:rsidR="004047E9" w:rsidRDefault="00F828AA" w:rsidP="004047E9">
      <w:r>
        <w:tab/>
        <w:t>Here, Norton suggests that the</w:t>
      </w:r>
      <w:r w:rsidR="00886F46">
        <w:t xml:space="preserve"> putative</w:t>
      </w:r>
      <w:r>
        <w:t xml:space="preserve"> underlying principle </w:t>
      </w:r>
      <w:r w:rsidR="000103C7">
        <w:t xml:space="preserve">is </w:t>
      </w:r>
      <w:r w:rsidR="00426863">
        <w:t>a form of Occam’s Razor, and concomitantly</w:t>
      </w:r>
      <w:r w:rsidR="000103C7">
        <w:t xml:space="preserve"> involves</w:t>
      </w:r>
      <w:r w:rsidR="00426863">
        <w:t xml:space="preserve"> an assumption that simplicity is correlated with truth. Quite aside from the methodological challenges </w:t>
      </w:r>
      <w:r w:rsidR="00F93B58">
        <w:t>raised by</w:t>
      </w:r>
      <w:r w:rsidR="00426863">
        <w:t xml:space="preserve"> </w:t>
      </w:r>
      <w:r w:rsidR="0091701E">
        <w:t>the Principle of Parsimony and Occam’s Razor</w:t>
      </w:r>
      <w:r w:rsidR="00426863">
        <w:t xml:space="preserve"> </w:t>
      </w:r>
      <w:r w:rsidR="0091701E">
        <w:t>(how should we adjudicate between them?)</w:t>
      </w:r>
      <w:r w:rsidR="00426863">
        <w:t xml:space="preserve"> the necessity of warranting inductions via sweeping generalisations like ‘simplicity is correlated with truth’ would be inconsistent with </w:t>
      </w:r>
      <w:r w:rsidR="005B2594">
        <w:rPr>
          <w:i/>
          <w:iCs/>
        </w:rPr>
        <w:t>Factivity</w:t>
      </w:r>
      <w:r w:rsidR="009D465D">
        <w:rPr>
          <w:i/>
          <w:iCs/>
        </w:rPr>
        <w:t xml:space="preserve"> </w:t>
      </w:r>
      <w:r w:rsidR="009D465D" w:rsidRPr="009D465D">
        <w:t>- the</w:t>
      </w:r>
      <w:r w:rsidR="009D465D">
        <w:t xml:space="preserve"> MTI thesis </w:t>
      </w:r>
      <w:r w:rsidR="00426863">
        <w:t xml:space="preserve">that rational inductive inferences are always warranted by </w:t>
      </w:r>
      <w:r w:rsidR="00426863">
        <w:rPr>
          <w:i/>
          <w:iCs/>
        </w:rPr>
        <w:t>local</w:t>
      </w:r>
      <w:r w:rsidR="00426863">
        <w:t xml:space="preserve"> </w:t>
      </w:r>
      <w:r w:rsidR="009E2068">
        <w:t>uniformity principles</w:t>
      </w:r>
      <w:r w:rsidR="00426863">
        <w:t>.</w:t>
      </w:r>
      <w:r w:rsidR="00205A4B" w:rsidRPr="00205A4B">
        <w:rPr>
          <w:rFonts w:cs="Times New Roman"/>
        </w:rPr>
        <w:t xml:space="preserve"> </w:t>
      </w:r>
    </w:p>
    <w:p w:rsidR="004047E9" w:rsidRDefault="004047E9" w:rsidP="004047E9"/>
    <w:p w:rsidR="004047E9" w:rsidRDefault="0091701E" w:rsidP="004047E9">
      <w:r>
        <w:tab/>
        <w:t xml:space="preserve">However, the strategy that I used in Section 4 </w:t>
      </w:r>
      <w:r w:rsidR="006D517E">
        <w:t xml:space="preserve">also </w:t>
      </w:r>
      <w:r>
        <w:t>applies</w:t>
      </w:r>
      <w:r w:rsidR="006D517E">
        <w:t xml:space="preserve"> (defeaters aside)</w:t>
      </w:r>
      <w:r>
        <w:t xml:space="preserve"> to these inductions in favour of H</w:t>
      </w:r>
      <w:r>
        <w:rPr>
          <w:vertAlign w:val="subscript"/>
        </w:rPr>
        <w:t>1</w:t>
      </w:r>
      <w:r>
        <w:t xml:space="preserve"> and H</w:t>
      </w:r>
      <w:r>
        <w:rPr>
          <w:vertAlign w:val="subscript"/>
        </w:rPr>
        <w:t>2</w:t>
      </w:r>
      <w:r w:rsidR="00EE1D4C">
        <w:rPr>
          <w:vertAlign w:val="subscript"/>
        </w:rPr>
        <w:t xml:space="preserve">. </w:t>
      </w:r>
      <w:r w:rsidR="00EE1D4C">
        <w:t xml:space="preserve">It does not require </w:t>
      </w:r>
      <w:r>
        <w:t xml:space="preserve">a Principle of Parsimony or </w:t>
      </w:r>
      <w:r w:rsidR="00EE1D4C">
        <w:t xml:space="preserve">a </w:t>
      </w:r>
      <w:r>
        <w:t xml:space="preserve">version of Occam’s Razor. In both cases, we have </w:t>
      </w:r>
      <w:r w:rsidR="00EE1D4C">
        <w:t>extraordinarily</w:t>
      </w:r>
      <w:r>
        <w:t xml:space="preserve"> large samples</w:t>
      </w:r>
      <w:r w:rsidR="00886F46">
        <w:t xml:space="preserve"> and standard scientific categories.</w:t>
      </w:r>
      <w:r w:rsidR="00602EC6">
        <w:t xml:space="preserve"> </w:t>
      </w:r>
      <w:r>
        <w:t xml:space="preserve">The local uniformity principles </w:t>
      </w:r>
      <w:r w:rsidR="00C07F10">
        <w:t>can</w:t>
      </w:r>
      <w:r w:rsidR="00C24BB8">
        <w:t xml:space="preserve"> </w:t>
      </w:r>
      <w:r w:rsidR="00602EC6">
        <w:t xml:space="preserve">again </w:t>
      </w:r>
      <w:r w:rsidR="00C07F10">
        <w:t>take</w:t>
      </w:r>
      <w:r w:rsidR="00C24BB8">
        <w:t xml:space="preserve"> the form ‘At least </w:t>
      </w:r>
      <w:r w:rsidR="00C24BB8">
        <w:rPr>
          <w:i/>
          <w:iCs/>
        </w:rPr>
        <w:t>r</w:t>
      </w:r>
      <w:r w:rsidR="00AE222C">
        <w:t>% of</w:t>
      </w:r>
      <w:r w:rsidR="00C24BB8">
        <w:t xml:space="preserve"> the </w:t>
      </w:r>
      <w:r w:rsidR="00602EC6">
        <w:rPr>
          <w:i/>
          <w:iCs/>
        </w:rPr>
        <w:t>n</w:t>
      </w:r>
      <w:r w:rsidR="00602EC6">
        <w:rPr>
          <w:i/>
          <w:iCs/>
        </w:rPr>
        <w:softHyphen/>
      </w:r>
      <w:r w:rsidR="00602EC6">
        <w:t>-fold</w:t>
      </w:r>
      <w:r w:rsidR="00602EC6">
        <w:rPr>
          <w:i/>
          <w:iCs/>
        </w:rPr>
        <w:t xml:space="preserve"> </w:t>
      </w:r>
      <w:r w:rsidR="00C24BB8">
        <w:t xml:space="preserve">subsets of the population P are representative within a margin of error </w:t>
      </w:r>
      <w:r w:rsidR="00C24BB8">
        <w:rPr>
          <w:rFonts w:cs="Times New Roman"/>
        </w:rPr>
        <w:t>ε</w:t>
      </w:r>
      <w:r w:rsidR="00C24BB8">
        <w:t>.’</w:t>
      </w:r>
      <w:r w:rsidR="00AC5DB6">
        <w:t xml:space="preserve"> In the cases Norton describes, </w:t>
      </w:r>
      <w:r w:rsidR="00AC5DB6">
        <w:rPr>
          <w:i/>
          <w:iCs/>
        </w:rPr>
        <w:t>n</w:t>
      </w:r>
      <w:r w:rsidR="00AC5DB6">
        <w:t xml:space="preserve"> will be truly </w:t>
      </w:r>
      <w:r w:rsidR="005B2594">
        <w:t>colossal</w:t>
      </w:r>
      <w:r w:rsidR="00602EC6">
        <w:rPr>
          <w:rStyle w:val="FootnoteReference"/>
        </w:rPr>
        <w:footnoteReference w:id="21"/>
      </w:r>
      <w:r w:rsidR="00602EC6">
        <w:t>.</w:t>
      </w:r>
      <w:r w:rsidR="00AC5DB6">
        <w:t xml:space="preserve"> </w:t>
      </w:r>
      <w:r w:rsidR="00235C1E">
        <w:t xml:space="preserve">Despite </w:t>
      </w:r>
      <w:r w:rsidR="00550FFC">
        <w:t>lacking</w:t>
      </w:r>
      <w:r w:rsidR="00235C1E">
        <w:t xml:space="preserve"> reasons from theoretical physics to favour H</w:t>
      </w:r>
      <w:r w:rsidR="00235C1E">
        <w:rPr>
          <w:vertAlign w:val="subscript"/>
        </w:rPr>
        <w:t>1</w:t>
      </w:r>
      <w:r w:rsidR="00235C1E">
        <w:t xml:space="preserve"> or H</w:t>
      </w:r>
      <w:r w:rsidR="00235C1E">
        <w:rPr>
          <w:vertAlign w:val="subscript"/>
        </w:rPr>
        <w:t>2</w:t>
      </w:r>
      <w:r w:rsidR="00886F46">
        <w:t xml:space="preserve">, </w:t>
      </w:r>
      <w:r w:rsidR="00235C1E">
        <w:t>we have an unimaginably vast quantity of inductive evidence for them.</w:t>
      </w:r>
      <w:r w:rsidR="00205A4B" w:rsidRPr="00205A4B">
        <w:rPr>
          <w:rFonts w:cs="Times New Roman"/>
        </w:rPr>
        <w:t xml:space="preserve"> </w:t>
      </w:r>
    </w:p>
    <w:p w:rsidR="004047E9" w:rsidRDefault="004047E9" w:rsidP="004047E9"/>
    <w:p w:rsidR="004047E9" w:rsidRDefault="00235C1E" w:rsidP="004047E9">
      <w:r>
        <w:tab/>
      </w:r>
      <w:r w:rsidR="00CE7DCC">
        <w:t>In Norton’s example</w:t>
      </w:r>
      <w:r w:rsidR="009B3A7A">
        <w:t>s</w:t>
      </w:r>
      <w:r w:rsidR="00CE7DCC">
        <w:t>, a new issue is raised by the</w:t>
      </w:r>
      <w:r>
        <w:t xml:space="preserve"> </w:t>
      </w:r>
      <w:r w:rsidR="00CE7DCC">
        <w:t>potentially infinite cardinality of the</w:t>
      </w:r>
      <w:r>
        <w:t xml:space="preserve"> populations. </w:t>
      </w:r>
      <w:r w:rsidR="00886F46">
        <w:rPr>
          <w:rFonts w:cs="Times New Roman"/>
        </w:rPr>
        <w:t>One might interpret H</w:t>
      </w:r>
      <w:r w:rsidR="00886F46">
        <w:rPr>
          <w:rFonts w:cs="Times New Roman"/>
          <w:vertAlign w:val="subscript"/>
        </w:rPr>
        <w:t>1</w:t>
      </w:r>
      <w:r w:rsidR="00886F46">
        <w:rPr>
          <w:rFonts w:cs="Times New Roman"/>
        </w:rPr>
        <w:t xml:space="preserve"> and H</w:t>
      </w:r>
      <w:r w:rsidR="00886F46">
        <w:rPr>
          <w:rFonts w:cs="Times New Roman"/>
          <w:vertAlign w:val="subscript"/>
        </w:rPr>
        <w:t>2</w:t>
      </w:r>
      <w:r w:rsidR="00886F46">
        <w:t xml:space="preserve"> as quantifying over an infinite domain. </w:t>
      </w:r>
      <w:r>
        <w:t xml:space="preserve">Since </w:t>
      </w:r>
      <w:r w:rsidR="00CE7DCC">
        <w:t>infinite populations</w:t>
      </w:r>
      <w:r>
        <w:t xml:space="preserve"> can lack means, it is possible that there are no </w:t>
      </w:r>
      <w:r>
        <w:rPr>
          <w:rFonts w:cs="Times New Roman"/>
        </w:rPr>
        <w:t>ε</w:t>
      </w:r>
      <w:r w:rsidR="00CE7DCC">
        <w:rPr>
          <w:rFonts w:cs="Times New Roman"/>
          <w:vertAlign w:val="subscript"/>
        </w:rPr>
        <w:t>1</w:t>
      </w:r>
      <w:r>
        <w:rPr>
          <w:rFonts w:cs="Times New Roman"/>
        </w:rPr>
        <w:t>-representative samples</w:t>
      </w:r>
      <w:r w:rsidR="009B3A7A">
        <w:rPr>
          <w:rFonts w:cs="Times New Roman"/>
        </w:rPr>
        <w:t xml:space="preserve"> of worldlines or spatiotemporal structures</w:t>
      </w:r>
      <w:r>
        <w:rPr>
          <w:rFonts w:cs="Times New Roman"/>
        </w:rPr>
        <w:t xml:space="preserve">. </w:t>
      </w:r>
      <w:r>
        <w:t xml:space="preserve">Even so, we can still make the conditional claims that </w:t>
      </w:r>
      <w:r>
        <w:rPr>
          <w:i/>
          <w:iCs/>
        </w:rPr>
        <w:t>if</w:t>
      </w:r>
      <w:r>
        <w:t xml:space="preserve"> </w:t>
      </w:r>
      <w:r w:rsidR="00205A4B">
        <w:t xml:space="preserve">the </w:t>
      </w:r>
      <w:r>
        <w:t xml:space="preserve">means exist, then </w:t>
      </w:r>
      <w:r w:rsidR="00886F46">
        <w:t>my suggested reasoning will work</w:t>
      </w:r>
      <w:r>
        <w:t>.</w:t>
      </w:r>
      <w:r w:rsidR="006A6B63">
        <w:t xml:space="preserve"> </w:t>
      </w:r>
      <w:r w:rsidR="00886F46">
        <w:t xml:space="preserve">The combinatoric facts I have suggested will be speculative. </w:t>
      </w:r>
      <w:r w:rsidR="00CE7DCC">
        <w:t xml:space="preserve">I do not know </w:t>
      </w:r>
      <w:r w:rsidR="00325D48">
        <w:t>whether</w:t>
      </w:r>
      <w:r w:rsidR="00CE7DCC">
        <w:t xml:space="preserve"> we should ask </w:t>
      </w:r>
      <w:r w:rsidR="00325D48">
        <w:t xml:space="preserve">for </w:t>
      </w:r>
      <w:r w:rsidR="00CE7DCC">
        <w:t xml:space="preserve">more </w:t>
      </w:r>
      <w:r w:rsidR="00EA6C88">
        <w:t>from</w:t>
      </w:r>
      <w:r w:rsidR="00CE7DCC">
        <w:t xml:space="preserve"> induction at </w:t>
      </w:r>
      <w:r w:rsidR="00886F46">
        <w:t>science’s frontiers</w:t>
      </w:r>
      <w:r w:rsidR="006A6B63">
        <w:t>.</w:t>
      </w:r>
    </w:p>
    <w:p w:rsidR="004047E9" w:rsidRDefault="004047E9" w:rsidP="004047E9"/>
    <w:p w:rsidR="004047E9" w:rsidRDefault="00B56DF2" w:rsidP="004047E9">
      <w:r>
        <w:tab/>
      </w:r>
      <w:r w:rsidR="006A301C">
        <w:t xml:space="preserve">How do I explain </w:t>
      </w:r>
      <w:r w:rsidR="00CE7DCC">
        <w:t>apparent importance of</w:t>
      </w:r>
      <w:r w:rsidR="006A301C">
        <w:t xml:space="preserve"> </w:t>
      </w:r>
      <w:r w:rsidR="002425BD">
        <w:t>plenitude and simplicity</w:t>
      </w:r>
      <w:r w:rsidR="006A301C">
        <w:t xml:space="preserve"> in these inductions?</w:t>
      </w:r>
      <w:r w:rsidR="00985082">
        <w:t xml:space="preserve"> Firstly, both of the inductions in this section have conclusions that</w:t>
      </w:r>
      <w:r w:rsidR="00325D48">
        <w:t>, in part,</w:t>
      </w:r>
      <w:r w:rsidR="00985082">
        <w:t xml:space="preserve"> </w:t>
      </w:r>
      <w:r w:rsidR="00985082" w:rsidRPr="00CE7DCC">
        <w:rPr>
          <w:i/>
          <w:iCs/>
        </w:rPr>
        <w:t>assert</w:t>
      </w:r>
      <w:r w:rsidR="00985082">
        <w:t xml:space="preserve"> </w:t>
      </w:r>
      <w:r w:rsidR="002425BD">
        <w:t>plenitude</w:t>
      </w:r>
      <w:r w:rsidR="00985082">
        <w:t xml:space="preserve"> (H</w:t>
      </w:r>
      <w:r w:rsidR="00985082">
        <w:rPr>
          <w:vertAlign w:val="subscript"/>
        </w:rPr>
        <w:t>1</w:t>
      </w:r>
      <w:r w:rsidR="00985082">
        <w:rPr>
          <w:vertAlign w:val="subscript"/>
        </w:rPr>
        <w:softHyphen/>
      </w:r>
      <w:r w:rsidR="00985082">
        <w:t xml:space="preserve">) and </w:t>
      </w:r>
      <w:r w:rsidR="002425BD">
        <w:t>simplicity</w:t>
      </w:r>
      <w:r w:rsidR="00985082">
        <w:t xml:space="preserve"> (H</w:t>
      </w:r>
      <w:r w:rsidR="00985082">
        <w:rPr>
          <w:vertAlign w:val="subscript"/>
        </w:rPr>
        <w:t>2</w:t>
      </w:r>
      <w:r w:rsidR="00985082">
        <w:t>). There is a te</w:t>
      </w:r>
      <w:r w:rsidR="007F7265">
        <w:t xml:space="preserve">ndency </w:t>
      </w:r>
      <w:r w:rsidR="00985082">
        <w:t xml:space="preserve">to </w:t>
      </w:r>
      <w:r w:rsidR="007F7265">
        <w:t>believe</w:t>
      </w:r>
      <w:r w:rsidR="00985082">
        <w:t xml:space="preserve"> that if an inductive inference</w:t>
      </w:r>
      <w:r w:rsidR="004B5B08">
        <w:t xml:space="preserve"> partly</w:t>
      </w:r>
      <w:r w:rsidR="00985082">
        <w:t xml:space="preserve"> concludes</w:t>
      </w:r>
      <w:r w:rsidR="00185D5B">
        <w:t xml:space="preserve"> </w:t>
      </w:r>
      <w:r w:rsidR="004B5B08">
        <w:t xml:space="preserve">in </w:t>
      </w:r>
      <w:r w:rsidR="00185D5B">
        <w:t>a</w:t>
      </w:r>
      <w:r w:rsidR="00985082">
        <w:t xml:space="preserve"> </w:t>
      </w:r>
      <w:r w:rsidR="000514DF">
        <w:t>proposition</w:t>
      </w:r>
      <w:r w:rsidR="00985082">
        <w:t xml:space="preserve"> P, then the inference </w:t>
      </w:r>
      <w:r w:rsidR="005B2594">
        <w:t>presupposes</w:t>
      </w:r>
      <w:r w:rsidR="00985082">
        <w:t xml:space="preserve"> P</w:t>
      </w:r>
      <w:r w:rsidR="00CE7DCC">
        <w:t>. F</w:t>
      </w:r>
      <w:r w:rsidR="00985082">
        <w:t xml:space="preserve">or </w:t>
      </w:r>
      <w:r w:rsidR="00325D48">
        <w:t>instance</w:t>
      </w:r>
      <w:r w:rsidR="00985082">
        <w:t xml:space="preserve">, </w:t>
      </w:r>
      <w:r w:rsidR="00CE7DCC">
        <w:t>it might seem that</w:t>
      </w:r>
      <w:r w:rsidR="00985082">
        <w:t xml:space="preserve"> the induction from ‘All the many observed ravens have been black’ to ‘All ravens are black’ presupposes that the unobserved ravens resemble the observed ravens in their colours, when actually that </w:t>
      </w:r>
      <w:r w:rsidR="00325D48">
        <w:t xml:space="preserve">resemblance </w:t>
      </w:r>
      <w:r w:rsidR="00985082">
        <w:t xml:space="preserve">is part of the ampliative content </w:t>
      </w:r>
      <w:r w:rsidR="00CE7DCC">
        <w:t xml:space="preserve">that the inference adds to our </w:t>
      </w:r>
      <w:r w:rsidR="00886F46">
        <w:t>evidence</w:t>
      </w:r>
      <w:r w:rsidR="00986CB1">
        <w:t xml:space="preserve"> (Stove, 1986, p. 11). </w:t>
      </w:r>
      <w:r w:rsidR="00886F46">
        <w:t>A theory of induction</w:t>
      </w:r>
      <w:r w:rsidR="00A23CBD">
        <w:t xml:space="preserve"> that allows for ampliative inference</w:t>
      </w:r>
      <w:r w:rsidR="00886F46">
        <w:t>, like the MTI,</w:t>
      </w:r>
      <w:r w:rsidR="00986CB1">
        <w:t xml:space="preserve"> </w:t>
      </w:r>
      <w:r w:rsidR="00A23CBD">
        <w:t>must allow</w:t>
      </w:r>
      <w:r w:rsidR="00886F46">
        <w:t xml:space="preserve"> that </w:t>
      </w:r>
      <w:r w:rsidR="00986CB1">
        <w:t>inductions do not presuppose their extrapolated propositional content – they infer it.</w:t>
      </w:r>
      <w:r w:rsidR="00886F46">
        <w:t xml:space="preserve"> </w:t>
      </w:r>
      <w:r w:rsidR="002C41C9">
        <w:t xml:space="preserve">The </w:t>
      </w:r>
      <w:r w:rsidR="008303A2">
        <w:t>appearance</w:t>
      </w:r>
      <w:r w:rsidR="002C41C9">
        <w:t xml:space="preserve"> of a presupposition of</w:t>
      </w:r>
      <w:r w:rsidR="00886F46">
        <w:t xml:space="preserve"> plenitude </w:t>
      </w:r>
      <w:r w:rsidR="002C41C9">
        <w:t>in the inference to H</w:t>
      </w:r>
      <w:r w:rsidR="002C41C9">
        <w:rPr>
          <w:vertAlign w:val="subscript"/>
        </w:rPr>
        <w:t>1</w:t>
      </w:r>
      <w:r w:rsidR="002C41C9">
        <w:t xml:space="preserve"> can be explained in the same way: H</w:t>
      </w:r>
      <w:r w:rsidR="002C41C9">
        <w:rPr>
          <w:vertAlign w:val="subscript"/>
        </w:rPr>
        <w:t>1</w:t>
      </w:r>
      <w:r w:rsidR="002C41C9">
        <w:t xml:space="preserve"> asserts that worldlines are extendable, which creates an appearance of presupposing that they are extendable</w:t>
      </w:r>
      <w:r w:rsidR="002C41C9">
        <w:rPr>
          <w:rStyle w:val="FootnoteReference"/>
        </w:rPr>
        <w:footnoteReference w:id="22"/>
      </w:r>
      <w:r w:rsidR="002425BD">
        <w:t xml:space="preserve">. </w:t>
      </w:r>
      <w:r w:rsidR="002C41C9">
        <w:t>This is fits</w:t>
      </w:r>
      <w:r w:rsidR="002425BD">
        <w:t xml:space="preserve"> with </w:t>
      </w:r>
      <w:r w:rsidR="002C41C9">
        <w:t>Norton’s</w:t>
      </w:r>
      <w:r w:rsidR="002425BD">
        <w:t xml:space="preserve"> rejection of </w:t>
      </w:r>
      <w:r w:rsidR="002C41C9">
        <w:t xml:space="preserve">using </w:t>
      </w:r>
      <w:r w:rsidR="00CE7DCC">
        <w:t xml:space="preserve">sweeping generalisations </w:t>
      </w:r>
      <w:r w:rsidR="002C41C9">
        <w:t>to justify inductions</w:t>
      </w:r>
      <w:r w:rsidR="002425BD">
        <w:t>. The same is true</w:t>
      </w:r>
      <w:r w:rsidR="001850AC">
        <w:t xml:space="preserve"> </w:t>
      </w:r>
      <w:r w:rsidR="002425BD">
        <w:t>for simplicity: the induction of H</w:t>
      </w:r>
      <w:r w:rsidR="002425BD">
        <w:rPr>
          <w:vertAlign w:val="subscript"/>
        </w:rPr>
        <w:t>2</w:t>
      </w:r>
      <w:r w:rsidR="002425BD">
        <w:t xml:space="preserve"> </w:t>
      </w:r>
      <w:r w:rsidR="00CE7DCC">
        <w:t xml:space="preserve">does not </w:t>
      </w:r>
      <w:r w:rsidR="002425BD">
        <w:t>presuppose the simplicity of nature, but rather H</w:t>
      </w:r>
      <w:r w:rsidR="002425BD">
        <w:rPr>
          <w:vertAlign w:val="subscript"/>
        </w:rPr>
        <w:t>2</w:t>
      </w:r>
      <w:r w:rsidR="002425BD">
        <w:t xml:space="preserve"> asserts that part of nature (the structure of spacetime) is simple</w:t>
      </w:r>
      <w:r w:rsidR="002E2A59">
        <w:t xml:space="preserve"> in particular way</w:t>
      </w:r>
      <w:r w:rsidR="00B85890">
        <w:t>s</w:t>
      </w:r>
      <w:r w:rsidR="002E2A59">
        <w:t>.</w:t>
      </w:r>
      <w:r w:rsidR="004047E9" w:rsidRPr="004047E9">
        <w:t xml:space="preserve"> </w:t>
      </w:r>
    </w:p>
    <w:p w:rsidR="004047E9" w:rsidRDefault="004047E9" w:rsidP="004047E9"/>
    <w:p w:rsidR="004047E9" w:rsidRDefault="007B6F74" w:rsidP="004047E9">
      <w:r>
        <w:tab/>
        <w:t xml:space="preserve">But surely, Occam’s Razor is an important part of the scientific method? </w:t>
      </w:r>
      <w:r w:rsidR="002A3B31">
        <w:t xml:space="preserve">Material inductivists deny </w:t>
      </w:r>
      <w:r w:rsidR="00CE7DCC">
        <w:t xml:space="preserve">Occam’s Razor </w:t>
      </w:r>
      <w:r w:rsidR="002A3B31">
        <w:t>as a requirement to accept a</w:t>
      </w:r>
      <w:r w:rsidR="00A23CBD">
        <w:t xml:space="preserve"> general</w:t>
      </w:r>
      <w:r w:rsidR="00CE7DCC">
        <w:t xml:space="preserve"> </w:t>
      </w:r>
      <w:r>
        <w:rPr>
          <w:i/>
          <w:iCs/>
        </w:rPr>
        <w:t xml:space="preserve">material </w:t>
      </w:r>
      <w:r>
        <w:t xml:space="preserve">principle (‘You should presuppose that nature is simple!’) but that is consistent with other </w:t>
      </w:r>
      <w:r w:rsidR="005B2594">
        <w:t>interpretations</w:t>
      </w:r>
      <w:r>
        <w:t xml:space="preserve">. In particular, we can reinterpret both the Principle of Plenitude and Occam’s Razor as </w:t>
      </w:r>
      <w:r w:rsidR="005B2594">
        <w:t>corollaries</w:t>
      </w:r>
      <w:r>
        <w:t xml:space="preserve"> of evidentialism</w:t>
      </w:r>
      <w:r w:rsidR="00B85890">
        <w:t xml:space="preserve">: </w:t>
      </w:r>
      <w:r w:rsidR="003E6F71">
        <w:t>one’s beliefs and confidence in them should depend only on the relevant evidence</w:t>
      </w:r>
      <w:r w:rsidR="00B85890">
        <w:rPr>
          <w:rStyle w:val="FootnoteReference"/>
        </w:rPr>
        <w:footnoteReference w:id="23"/>
      </w:r>
      <w:r w:rsidR="003E6F71">
        <w:t>.</w:t>
      </w:r>
      <w:r w:rsidR="00B85890">
        <w:t xml:space="preserve"> Evidentialism can be stricter or more moderate insofar as exceptions to this principle are admitted</w:t>
      </w:r>
      <w:r w:rsidR="00EE30DC">
        <w:rPr>
          <w:rStyle w:val="FootnoteReference"/>
        </w:rPr>
        <w:footnoteReference w:id="24"/>
      </w:r>
      <w:r w:rsidR="00B85890">
        <w:t>. It follows from this epistem</w:t>
      </w:r>
      <w:r w:rsidR="000A004E">
        <w:t>ological</w:t>
      </w:r>
      <w:r w:rsidR="00B85890">
        <w:t xml:space="preserve"> theory that</w:t>
      </w:r>
      <w:r w:rsidR="00F023C2">
        <w:t xml:space="preserve"> </w:t>
      </w:r>
      <w:r w:rsidR="002C41C9">
        <w:t>we</w:t>
      </w:r>
      <w:r w:rsidR="00F023C2">
        <w:t xml:space="preserve"> should not </w:t>
      </w:r>
      <w:r w:rsidR="001850AC">
        <w:t>believe</w:t>
      </w:r>
      <w:r w:rsidR="00F023C2">
        <w:t xml:space="preserve"> that </w:t>
      </w:r>
      <w:r w:rsidR="001062FD">
        <w:t>some part of nature is complex (in some particular sense of ‘complex’) except insofar as that complexity</w:t>
      </w:r>
      <w:r w:rsidR="002C41C9">
        <w:t xml:space="preserve"> is supported by our evidence</w:t>
      </w:r>
      <w:r w:rsidR="00F023C2">
        <w:t xml:space="preserve">. </w:t>
      </w:r>
      <w:r w:rsidR="001850AC">
        <w:t xml:space="preserve">Thus, given evidence in favour of the simplicity of </w:t>
      </w:r>
      <w:r w:rsidR="001062FD">
        <w:t>a</w:t>
      </w:r>
      <w:r w:rsidR="001850AC">
        <w:t xml:space="preserve"> phenomen</w:t>
      </w:r>
      <w:r w:rsidR="00CE7DCC">
        <w:t>on</w:t>
      </w:r>
      <w:r w:rsidR="001850AC">
        <w:t xml:space="preserve"> and the absence of evidence to the contrary, </w:t>
      </w:r>
      <w:r w:rsidR="002C41C9">
        <w:t>we</w:t>
      </w:r>
      <w:r w:rsidR="001850AC">
        <w:t xml:space="preserve"> should believe that the phenomen</w:t>
      </w:r>
      <w:r w:rsidR="00CE7DCC">
        <w:t>on is</w:t>
      </w:r>
      <w:r w:rsidR="001850AC">
        <w:t xml:space="preserve"> simple.</w:t>
      </w:r>
      <w:r w:rsidR="001850AC" w:rsidRPr="001850AC">
        <w:t xml:space="preserve"> </w:t>
      </w:r>
      <w:r w:rsidR="001850AC">
        <w:t xml:space="preserve">However, the same applies, </w:t>
      </w:r>
      <w:r w:rsidR="001850AC">
        <w:rPr>
          <w:i/>
          <w:iCs/>
        </w:rPr>
        <w:t>mutatis mutandis</w:t>
      </w:r>
      <w:r w:rsidR="001850AC">
        <w:t xml:space="preserve">, to </w:t>
      </w:r>
      <w:r w:rsidR="00CE7DCC">
        <w:t xml:space="preserve">complexity. </w:t>
      </w:r>
      <w:r w:rsidR="00D346A1">
        <w:t>For example, w</w:t>
      </w:r>
      <w:r w:rsidR="001850AC">
        <w:t>e are not entitled to believe that 22</w:t>
      </w:r>
      <w:r w:rsidR="001850AC" w:rsidRPr="001850AC">
        <w:rPr>
          <w:vertAlign w:val="superscript"/>
        </w:rPr>
        <w:t>nd</w:t>
      </w:r>
      <w:r w:rsidR="001850AC">
        <w:t xml:space="preserve"> century human societies will be simple in comparison to </w:t>
      </w:r>
      <w:r w:rsidR="001062FD">
        <w:t>a game of chess</w:t>
      </w:r>
      <w:r w:rsidR="001850AC">
        <w:t>, given the overwhelming evidence of histor</w:t>
      </w:r>
      <w:r w:rsidR="00DA07E5">
        <w:t>y,</w:t>
      </w:r>
      <w:r w:rsidR="001062FD">
        <w:t xml:space="preserve"> anthropology</w:t>
      </w:r>
      <w:r w:rsidR="00DA07E5">
        <w:t>, and our other social knowledge</w:t>
      </w:r>
      <w:r w:rsidR="001850AC">
        <w:rPr>
          <w:rStyle w:val="FootnoteReference"/>
        </w:rPr>
        <w:footnoteReference w:id="25"/>
      </w:r>
      <w:r w:rsidR="001850AC">
        <w:t>.</w:t>
      </w:r>
    </w:p>
    <w:p w:rsidR="004047E9" w:rsidRDefault="004047E9" w:rsidP="004047E9"/>
    <w:p w:rsidR="004047E9" w:rsidRDefault="00CE7DCC" w:rsidP="004047E9">
      <w:r>
        <w:lastRenderedPageBreak/>
        <w:tab/>
      </w:r>
      <w:r w:rsidR="001062FD">
        <w:t xml:space="preserve">I </w:t>
      </w:r>
      <w:r w:rsidR="003F1A29">
        <w:t>also partly attribute</w:t>
      </w:r>
      <w:r w:rsidR="001062FD">
        <w:t xml:space="preserve"> the apparent relevance of</w:t>
      </w:r>
      <w:r w:rsidR="001850AC">
        <w:t xml:space="preserve"> plenitude</w:t>
      </w:r>
      <w:r w:rsidR="001062FD">
        <w:t xml:space="preserve"> </w:t>
      </w:r>
      <w:r w:rsidR="003F1A29">
        <w:t>to</w:t>
      </w:r>
      <w:r w:rsidR="001062FD">
        <w:t xml:space="preserve"> evidentialis</w:t>
      </w:r>
      <w:r w:rsidR="003F1A29">
        <w:t>t intuitions</w:t>
      </w:r>
      <w:r w:rsidR="001850AC">
        <w:t xml:space="preserve">: given </w:t>
      </w:r>
      <w:r w:rsidR="00822AC5">
        <w:t xml:space="preserve">a known </w:t>
      </w:r>
      <w:r w:rsidR="001850AC">
        <w:t xml:space="preserve">regular pattern </w:t>
      </w:r>
      <w:r w:rsidR="00822AC5">
        <w:t xml:space="preserve">of occurrence </w:t>
      </w:r>
      <w:r w:rsidR="001850AC">
        <w:t>and no evidence to expect it to stop, we should expect it to continue.</w:t>
      </w:r>
      <w:r w:rsidR="00822AC5">
        <w:t xml:space="preserve"> Of course, we</w:t>
      </w:r>
      <w:r w:rsidR="001062FD">
        <w:t xml:space="preserve"> very</w:t>
      </w:r>
      <w:r w:rsidR="00822AC5">
        <w:t xml:space="preserve"> often have reasons to expect such patterns to </w:t>
      </w:r>
      <w:r w:rsidR="00CA6585">
        <w:t>end</w:t>
      </w:r>
      <w:r w:rsidR="001062FD">
        <w:t>,</w:t>
      </w:r>
      <w:r>
        <w:t xml:space="preserve"> but that is just another instance of the non-monotonicity of inductive support</w:t>
      </w:r>
      <w:r w:rsidR="00822AC5">
        <w:t xml:space="preserve">. </w:t>
      </w:r>
      <w:r w:rsidR="002C41C9">
        <w:t xml:space="preserve">Evidentialism also entails a </w:t>
      </w:r>
      <w:r w:rsidR="001062FD">
        <w:t>negative version of the same principle</w:t>
      </w:r>
      <w:r w:rsidR="00822AC5">
        <w:t xml:space="preserve">: </w:t>
      </w:r>
      <w:r w:rsidR="001062FD">
        <w:t>without</w:t>
      </w:r>
      <w:r w:rsidR="00822AC5">
        <w:t xml:space="preserve"> </w:t>
      </w:r>
      <w:r w:rsidR="002C41C9">
        <w:t>evidence in favour of a</w:t>
      </w:r>
      <w:r w:rsidR="001062FD">
        <w:t xml:space="preserve"> particular</w:t>
      </w:r>
      <w:r w:rsidR="00822AC5">
        <w:t xml:space="preserve"> pattern of occurrence, we are not justified in expecting </w:t>
      </w:r>
      <w:r w:rsidR="001062FD">
        <w:t>it</w:t>
      </w:r>
      <w:r w:rsidR="00822AC5">
        <w:t>.</w:t>
      </w:r>
      <w:r w:rsidR="00DA3F55">
        <w:t xml:space="preserve"> Thus, the</w:t>
      </w:r>
      <w:r w:rsidR="00822AC5">
        <w:t xml:space="preserve"> intuitive </w:t>
      </w:r>
      <w:r w:rsidR="00C11189">
        <w:t>relevance</w:t>
      </w:r>
      <w:r w:rsidR="00822AC5">
        <w:t xml:space="preserve"> of the Principle of Plenitude and Occam’s Razor </w:t>
      </w:r>
      <w:r w:rsidR="00DA3F55">
        <w:t xml:space="preserve">can be explained via </w:t>
      </w:r>
      <w:r w:rsidR="00822AC5">
        <w:t>the</w:t>
      </w:r>
      <w:r w:rsidR="00C11189">
        <w:t xml:space="preserve">ir </w:t>
      </w:r>
      <w:r w:rsidR="002C41C9">
        <w:t>normative role</w:t>
      </w:r>
      <w:r w:rsidR="00AC7F7F">
        <w:t>s</w:t>
      </w:r>
      <w:r w:rsidR="002C41C9">
        <w:t>,</w:t>
      </w:r>
      <w:r w:rsidR="00822AC5">
        <w:t xml:space="preserve"> rather than </w:t>
      </w:r>
      <w:r w:rsidR="00AC7F7F">
        <w:t>due to non-local</w:t>
      </w:r>
      <w:r w:rsidR="00822AC5">
        <w:t xml:space="preserve"> presuppositions of induction.</w:t>
      </w:r>
      <w:r w:rsidR="00C11189">
        <w:t xml:space="preserve"> There might be better explanations</w:t>
      </w:r>
      <w:r w:rsidR="00205C29">
        <w:t xml:space="preserve"> than mine</w:t>
      </w:r>
      <w:r w:rsidR="00AC7F7F">
        <w:t xml:space="preserve">, but </w:t>
      </w:r>
      <w:r w:rsidR="00C11189">
        <w:t>the apparent relevance of these principles</w:t>
      </w:r>
      <w:r w:rsidR="001872C5">
        <w:t xml:space="preserve"> </w:t>
      </w:r>
      <w:r w:rsidR="001062FD">
        <w:t xml:space="preserve">of plenitude and simplicity </w:t>
      </w:r>
      <w:r w:rsidR="001872C5">
        <w:t>in Norton’s examples</w:t>
      </w:r>
      <w:r w:rsidR="00C11189">
        <w:t xml:space="preserve"> can be explained </w:t>
      </w:r>
      <w:r w:rsidR="002C41C9">
        <w:t>via their role as evidentialist norms</w:t>
      </w:r>
      <w:r w:rsidR="001062FD">
        <w:t xml:space="preserve">, </w:t>
      </w:r>
      <w:r w:rsidR="002C41C9">
        <w:t>plus</w:t>
      </w:r>
      <w:r w:rsidR="001062FD">
        <w:t xml:space="preserve"> our tendency to confuse the ampliative content of an inductive inference with its presuppositions</w:t>
      </w:r>
      <w:r w:rsidR="005766A9">
        <w:rPr>
          <w:rStyle w:val="FootnoteReference"/>
        </w:rPr>
        <w:footnoteReference w:id="26"/>
      </w:r>
      <w:r w:rsidR="001062FD">
        <w:t>.</w:t>
      </w:r>
    </w:p>
    <w:p w:rsidR="004047E9" w:rsidRDefault="004047E9" w:rsidP="004047E9"/>
    <w:p w:rsidR="004047E9" w:rsidRDefault="00AE0187" w:rsidP="004047E9">
      <w:r w:rsidRPr="009968C2">
        <w:rPr>
          <w:b/>
          <w:bCs/>
        </w:rPr>
        <w:t xml:space="preserve">6. </w:t>
      </w:r>
      <w:r w:rsidR="009B06D5" w:rsidRPr="009968C2">
        <w:rPr>
          <w:b/>
          <w:bCs/>
        </w:rPr>
        <w:t>Objections</w:t>
      </w:r>
    </w:p>
    <w:p w:rsidR="004047E9" w:rsidRDefault="004047E9" w:rsidP="004047E9"/>
    <w:p w:rsidR="004047E9" w:rsidRDefault="005D7D07" w:rsidP="004047E9">
      <w:r>
        <w:tab/>
        <w:t>In this section, I shall only consider objections that are internal to the MTI. This focus means that I shall leave aside one of the biggest controversies regarding the CJI, which is the question of whether we must know that we have a “random” selection in a rational direct inference</w:t>
      </w:r>
      <w:r w:rsidR="007A153F">
        <w:t xml:space="preserve"> </w:t>
      </w:r>
      <w:r w:rsidR="007A153F" w:rsidRPr="007A153F">
        <w:t>(Franklin and Campbell, 2004</w:t>
      </w:r>
      <w:r w:rsidR="007A153F">
        <w:t xml:space="preserve">; </w:t>
      </w:r>
      <w:r w:rsidR="007A153F" w:rsidRPr="007A153F">
        <w:t>Smart, 2013</w:t>
      </w:r>
      <w:r w:rsidR="007D0EA9">
        <w:t>,</w:t>
      </w:r>
      <w:r w:rsidR="007A153F" w:rsidRPr="007A153F">
        <w:t xml:space="preserve"> </w:t>
      </w:r>
      <w:r w:rsidR="007D0EA9">
        <w:t>p</w:t>
      </w:r>
      <w:r w:rsidR="007A153F" w:rsidRPr="007A153F">
        <w:t>p. 327-329).</w:t>
      </w:r>
      <w:r>
        <w:t xml:space="preserve"> Norton’s MTI has no such requirement</w:t>
      </w:r>
      <w:r w:rsidR="003E465B">
        <w:t xml:space="preserve"> for direct inferences</w:t>
      </w:r>
      <w:r>
        <w:t xml:space="preserve">. For example, in the bismuth case, Norton does not try to argue that bismuth is a “random” selection from the set of chemical elements, nor define what </w:t>
      </w:r>
      <w:r w:rsidR="00DA5591">
        <w:t>“</w:t>
      </w:r>
      <w:r>
        <w:t>randomness</w:t>
      </w:r>
      <w:r w:rsidR="00DA5591">
        <w:t>”</w:t>
      </w:r>
      <w:r>
        <w:t xml:space="preserve"> would mean here</w:t>
      </w:r>
      <w:r w:rsidR="00B07D30">
        <w:rPr>
          <w:rStyle w:val="FootnoteReference"/>
        </w:rPr>
        <w:footnoteReference w:id="27"/>
      </w:r>
      <w:r>
        <w:t>. Of course, if we</w:t>
      </w:r>
      <w:r w:rsidR="003E465B">
        <w:t xml:space="preserve"> possess </w:t>
      </w:r>
      <w:r>
        <w:t xml:space="preserve">some defeaters about </w:t>
      </w:r>
      <w:r w:rsidR="00DC589D">
        <w:t>our</w:t>
      </w:r>
      <w:r>
        <w:t xml:space="preserve"> </w:t>
      </w:r>
      <w:r w:rsidR="00DC589D">
        <w:t xml:space="preserve">sample’s </w:t>
      </w:r>
      <w:r>
        <w:t>selection, then we should not follow the reasoning I have suggested</w:t>
      </w:r>
      <w:r w:rsidR="0062178E">
        <w:rPr>
          <w:rStyle w:val="FootnoteReference"/>
        </w:rPr>
        <w:footnoteReference w:id="28"/>
      </w:r>
      <w:r>
        <w:t>.</w:t>
      </w:r>
      <w:r w:rsidR="00696917">
        <w:t xml:space="preserve"> </w:t>
      </w:r>
      <w:r>
        <w:t xml:space="preserve">I shall </w:t>
      </w:r>
      <w:r w:rsidR="00DC589D">
        <w:t>instead discuss</w:t>
      </w:r>
      <w:r>
        <w:t xml:space="preserve"> objections</w:t>
      </w:r>
      <w:r w:rsidR="00DC589D">
        <w:t xml:space="preserve"> that are consistent with the MTI</w:t>
      </w:r>
      <w:r>
        <w:t>.</w:t>
      </w:r>
      <w:r w:rsidR="004047E9" w:rsidRPr="004047E9">
        <w:t xml:space="preserve"> </w:t>
      </w:r>
    </w:p>
    <w:p w:rsidR="004047E9" w:rsidRDefault="004047E9" w:rsidP="004047E9"/>
    <w:p w:rsidR="004047E9" w:rsidRDefault="005D7D07" w:rsidP="004047E9">
      <w:r w:rsidRPr="005D7D07">
        <w:rPr>
          <w:b/>
          <w:bCs/>
        </w:rPr>
        <w:t xml:space="preserve">6.1 Are These </w:t>
      </w:r>
      <w:r w:rsidR="001E1AA4">
        <w:rPr>
          <w:b/>
          <w:bCs/>
        </w:rPr>
        <w:t>Combinatoric Principles Sufficiently</w:t>
      </w:r>
      <w:r w:rsidRPr="005D7D07">
        <w:rPr>
          <w:b/>
          <w:bCs/>
        </w:rPr>
        <w:t xml:space="preserve"> Local?</w:t>
      </w:r>
      <w:r w:rsidRPr="005D7D07">
        <w:t xml:space="preserve"> </w:t>
      </w:r>
    </w:p>
    <w:p w:rsidR="004047E9" w:rsidRDefault="004047E9" w:rsidP="004047E9"/>
    <w:p w:rsidR="004047E9" w:rsidRDefault="005D7D07" w:rsidP="004047E9">
      <w:r>
        <w:tab/>
      </w:r>
      <w:r w:rsidR="009353C7">
        <w:t>Propositions</w:t>
      </w:r>
      <w:r w:rsidR="001E1AA4">
        <w:t xml:space="preserve"> such as</w:t>
      </w:r>
      <w:r w:rsidR="009353C7">
        <w:t xml:space="preserve"> (a)</w:t>
      </w:r>
      <w:r w:rsidR="001E1AA4">
        <w:t xml:space="preserve"> ‘At least </w:t>
      </w:r>
      <w:r w:rsidR="00006DC9">
        <w:t>77</w:t>
      </w:r>
      <w:r w:rsidR="006F74DF">
        <w:t>%</w:t>
      </w:r>
      <w:r w:rsidR="001E1AA4">
        <w:t xml:space="preserve"> </w:t>
      </w:r>
      <w:r w:rsidR="008467EC">
        <w:t xml:space="preserve">of </w:t>
      </w:r>
      <w:r w:rsidR="001E1AA4">
        <w:t xml:space="preserve">the </w:t>
      </w:r>
      <w:r w:rsidR="008467EC">
        <w:t>25-fold</w:t>
      </w:r>
      <w:r w:rsidR="001E1AA4">
        <w:t xml:space="preserve"> subsets of Cepheids in the Milky Way galaxy are </w:t>
      </w:r>
      <w:r w:rsidR="001E1AA4" w:rsidRPr="009353C7">
        <w:rPr>
          <w:rFonts w:cs="Times New Roman"/>
        </w:rPr>
        <w:t>ε</w:t>
      </w:r>
      <w:r w:rsidR="001E1AA4" w:rsidRPr="009353C7">
        <w:rPr>
          <w:rFonts w:cs="Times New Roman"/>
          <w:vertAlign w:val="subscript"/>
        </w:rPr>
        <w:t>1</w:t>
      </w:r>
      <w:r w:rsidR="001E1AA4" w:rsidRPr="008A5B38">
        <w:t>-representative</w:t>
      </w:r>
      <w:r w:rsidR="009353C7">
        <w:t xml:space="preserve">’ </w:t>
      </w:r>
      <w:r w:rsidR="001E1AA4">
        <w:t xml:space="preserve">and </w:t>
      </w:r>
      <w:r w:rsidR="009353C7">
        <w:t>Norton’s examples such as (b)</w:t>
      </w:r>
      <w:r w:rsidR="00B154E7">
        <w:t xml:space="preserve"> </w:t>
      </w:r>
      <w:r w:rsidR="001E1AA4">
        <w:t>‘Generally, chemical elements are homogenous in their melting points’</w:t>
      </w:r>
      <w:r w:rsidR="009353C7">
        <w:t xml:space="preserve"> perform similar logical roles (acting as </w:t>
      </w:r>
      <w:r w:rsidR="009353C7">
        <w:lastRenderedPageBreak/>
        <w:t xml:space="preserve">general premises in direct inferences of samples’ </w:t>
      </w:r>
      <w:r w:rsidR="00AE222C">
        <w:t>representativeness</w:t>
      </w:r>
      <w:r w:rsidR="009353C7">
        <w:t>) in my arguments and Norton’s.</w:t>
      </w:r>
      <w:r w:rsidR="001E1AA4">
        <w:t xml:space="preserve"> However, one might think that </w:t>
      </w:r>
      <w:r w:rsidR="009353C7">
        <w:t>my justifications in Section 4 and Section 5 are too general for the MTI</w:t>
      </w:r>
      <w:r w:rsidR="001E1AA4">
        <w:t>.</w:t>
      </w:r>
      <w:r w:rsidR="00B154E7">
        <w:t xml:space="preserve"> Here, I understand ‘local’ to mean something like </w:t>
      </w:r>
      <w:r w:rsidR="00DC589D">
        <w:t>‘</w:t>
      </w:r>
      <w:r w:rsidR="00B154E7">
        <w:t xml:space="preserve">About a subset of concrete (i.e. non-abstract) phenomena, rather than </w:t>
      </w:r>
      <w:r w:rsidR="00B154E7">
        <w:rPr>
          <w:i/>
          <w:iCs/>
        </w:rPr>
        <w:t>all</w:t>
      </w:r>
      <w:r w:rsidR="00B154E7">
        <w:t xml:space="preserve"> concrete phenomena</w:t>
      </w:r>
      <w:r w:rsidR="00DC589D">
        <w:t>’</w:t>
      </w:r>
      <w:r w:rsidR="00B154E7">
        <w:t>.</w:t>
      </w:r>
      <w:r w:rsidR="009353C7" w:rsidRPr="009353C7">
        <w:t xml:space="preserve"> </w:t>
      </w:r>
      <w:r w:rsidR="00683830">
        <w:t xml:space="preserve">Hence, my answer might seem to </w:t>
      </w:r>
      <w:r w:rsidR="00DC589D">
        <w:t>reject</w:t>
      </w:r>
      <w:r w:rsidR="00683830">
        <w:t xml:space="preserve"> exactly that </w:t>
      </w:r>
      <w:r w:rsidR="00683830">
        <w:rPr>
          <w:i/>
          <w:iCs/>
        </w:rPr>
        <w:t>Factivity</w:t>
      </w:r>
      <w:r w:rsidR="00683830">
        <w:t xml:space="preserve"> thesis that allegedly caused the MTI problems at the frontiers of science.</w:t>
      </w:r>
      <w:r w:rsidR="004047E9" w:rsidRPr="004047E9">
        <w:t xml:space="preserve"> </w:t>
      </w:r>
    </w:p>
    <w:p w:rsidR="004047E9" w:rsidRDefault="004047E9" w:rsidP="004047E9"/>
    <w:p w:rsidR="009353C7" w:rsidRDefault="001E1AA4" w:rsidP="009353C7">
      <w:r>
        <w:tab/>
      </w:r>
      <w:r w:rsidR="00DC589D">
        <w:t>The comparatively greater generality of</w:t>
      </w:r>
      <w:r w:rsidR="009353C7">
        <w:t xml:space="preserve"> my examples</w:t>
      </w:r>
      <w:r>
        <w:t xml:space="preserve"> is </w:t>
      </w:r>
      <w:r w:rsidR="00DC589D">
        <w:t>partly due the greater role of background scientific theory in</w:t>
      </w:r>
      <w:r>
        <w:t xml:space="preserve"> Norton’s examples</w:t>
      </w:r>
      <w:r>
        <w:rPr>
          <w:rStyle w:val="FootnoteReference"/>
        </w:rPr>
        <w:footnoteReference w:id="29"/>
      </w:r>
      <w:r>
        <w:t>.</w:t>
      </w:r>
      <w:r w:rsidR="00B154E7">
        <w:t xml:space="preserve"> Beyond this difference, the appearance is misleading</w:t>
      </w:r>
      <w:r w:rsidR="008467EC">
        <w:t xml:space="preserve">. The </w:t>
      </w:r>
      <w:r w:rsidR="005B2594">
        <w:t>proposition</w:t>
      </w:r>
      <w:r w:rsidR="00B154E7">
        <w:t xml:space="preserve"> (a) </w:t>
      </w:r>
      <w:r w:rsidR="008467EC">
        <w:t>is</w:t>
      </w:r>
      <w:r w:rsidR="00B154E7">
        <w:t xml:space="preserve"> just as local as (b), because </w:t>
      </w:r>
      <w:r w:rsidR="008467EC">
        <w:t>(a)</w:t>
      </w:r>
      <w:r w:rsidR="00B154E7">
        <w:t xml:space="preserve"> is about the subsets of Milky Way Cephids in particular. Just as we cannot reasonably substitute ‘types of wax’ for ‘chemical elements’ in (b), we cannot substitute </w:t>
      </w:r>
      <w:r w:rsidR="006B4BAE">
        <w:t xml:space="preserve">the name of </w:t>
      </w:r>
      <w:r w:rsidR="00B154E7">
        <w:t xml:space="preserve">any </w:t>
      </w:r>
      <w:r w:rsidR="00870334">
        <w:t>reference class</w:t>
      </w:r>
      <w:r w:rsidR="00B154E7">
        <w:t xml:space="preserve"> for ‘Cepheids in the Milky Way galaxy’ in (a). </w:t>
      </w:r>
      <w:r w:rsidR="009353C7">
        <w:t>For instance</w:t>
      </w:r>
      <w:r w:rsidR="00B154E7">
        <w:t>, we</w:t>
      </w:r>
      <w:r w:rsidR="009353C7">
        <w:t xml:space="preserve"> know</w:t>
      </w:r>
      <w:r w:rsidR="00B154E7">
        <w:t xml:space="preserve"> that (c) ‘At least </w:t>
      </w:r>
      <w:r w:rsidR="00CF7996">
        <w:t>77</w:t>
      </w:r>
      <w:r w:rsidR="00B154E7">
        <w:t xml:space="preserve">% of the </w:t>
      </w:r>
      <w:r w:rsidR="008467EC">
        <w:t xml:space="preserve">25-fold </w:t>
      </w:r>
      <w:r w:rsidR="00B154E7">
        <w:t xml:space="preserve">subsets of planets in the Inner Solar System are </w:t>
      </w:r>
      <w:r w:rsidR="00B154E7" w:rsidRPr="009353C7">
        <w:rPr>
          <w:rFonts w:cs="Times New Roman"/>
        </w:rPr>
        <w:t>ε</w:t>
      </w:r>
      <w:r w:rsidR="00B154E7" w:rsidRPr="009353C7">
        <w:rPr>
          <w:rFonts w:cs="Times New Roman"/>
          <w:vertAlign w:val="subscript"/>
        </w:rPr>
        <w:t>1</w:t>
      </w:r>
      <w:r w:rsidR="00B154E7" w:rsidRPr="008A5B38">
        <w:t>-representative</w:t>
      </w:r>
      <w:r w:rsidR="009353C7">
        <w:t xml:space="preserve">’ </w:t>
      </w:r>
      <w:r w:rsidR="00B154E7">
        <w:t>is false, because we know that there are fewer than 25 planets in the Inner Solar System</w:t>
      </w:r>
      <w:r w:rsidR="009353C7">
        <w:t>.</w:t>
      </w:r>
      <w:r w:rsidR="00B154E7">
        <w:t xml:space="preserve"> </w:t>
      </w:r>
      <w:r w:rsidR="00770545">
        <w:t>Both</w:t>
      </w:r>
      <w:r w:rsidR="009353C7">
        <w:t xml:space="preserve"> (a) and (b)</w:t>
      </w:r>
      <w:r w:rsidR="00770545">
        <w:t xml:space="preserve"> are </w:t>
      </w:r>
      <w:r w:rsidR="00DC589D">
        <w:t xml:space="preserve">local, because </w:t>
      </w:r>
      <w:r w:rsidR="008467EC">
        <w:t>substitutions</w:t>
      </w:r>
      <w:r w:rsidR="00770545">
        <w:t xml:space="preserve"> of reference classes into the</w:t>
      </w:r>
      <w:r w:rsidR="00DC589D">
        <w:t>se</w:t>
      </w:r>
      <w:r w:rsidR="00770545">
        <w:t xml:space="preserve"> propositions</w:t>
      </w:r>
      <w:r w:rsidR="008467EC">
        <w:t xml:space="preserve"> will not always </w:t>
      </w:r>
      <w:r w:rsidR="00770545">
        <w:t>be rational</w:t>
      </w:r>
      <w:r w:rsidR="00B154E7">
        <w:t>.</w:t>
      </w:r>
      <w:r w:rsidR="009353C7" w:rsidRPr="009353C7">
        <w:t xml:space="preserve"> </w:t>
      </w:r>
    </w:p>
    <w:p w:rsidR="009353C7" w:rsidRDefault="009353C7" w:rsidP="009353C7"/>
    <w:p w:rsidR="00610C7D" w:rsidRDefault="008467EC" w:rsidP="00610C7D">
      <w:r>
        <w:tab/>
        <w:t>In addition, there is also an epistemic similarity</w:t>
      </w:r>
      <w:r w:rsidR="009353C7">
        <w:t xml:space="preserve"> between (a) and (b). We know (b) because of the careful and ingenious empirical research of generations of chemists. Similarly, we</w:t>
      </w:r>
      <w:r w:rsidR="00B154E7">
        <w:t xml:space="preserve"> know that (a) is true in virtue of Leavitt’s observations</w:t>
      </w:r>
      <w:r>
        <w:t xml:space="preserve"> and our background knowledge that the number of stars in the Milky Way galaxy is finite</w:t>
      </w:r>
      <w:r w:rsidR="00B154E7">
        <w:t>.</w:t>
      </w:r>
      <w:r w:rsidR="009353C7">
        <w:t xml:space="preserve"> This knowledge also comes from empirical research.</w:t>
      </w:r>
      <w:r>
        <w:t xml:space="preserve"> If we have a 25-fold sample, then a set of 25-fold subsets must exist, and combinatorics enables us to determine a lower limit for the proportion of </w:t>
      </w:r>
      <w:r w:rsidRPr="009353C7">
        <w:rPr>
          <w:rFonts w:cs="Times New Roman"/>
        </w:rPr>
        <w:t>ε</w:t>
      </w:r>
      <w:r w:rsidRPr="009353C7">
        <w:rPr>
          <w:rFonts w:cs="Times New Roman"/>
          <w:vertAlign w:val="subscript"/>
        </w:rPr>
        <w:t>1</w:t>
      </w:r>
      <w:r w:rsidRPr="008A5B38">
        <w:t>-representative</w:t>
      </w:r>
      <w:r>
        <w:t xml:space="preserve"> subsets in any finite set of </w:t>
      </w:r>
      <w:r>
        <w:rPr>
          <w:i/>
          <w:iCs/>
        </w:rPr>
        <w:t>n</w:t>
      </w:r>
      <w:r>
        <w:t xml:space="preserve">-fold subsets. </w:t>
      </w:r>
      <w:r w:rsidR="00CE3314">
        <w:t xml:space="preserve">The limited size of the Milky Way was also an empirical discovery by astronomers. </w:t>
      </w:r>
      <w:r>
        <w:t>As with (b), it is our local and logically contingent knowledge (background and evidential) that is providing the real epistemic grounds</w:t>
      </w:r>
      <w:r w:rsidR="00CE3314">
        <w:t xml:space="preserve"> for the statistical generalisation</w:t>
      </w:r>
      <w:r>
        <w:t>, rather than abstract and general mathematical facts.</w:t>
      </w:r>
      <w:r w:rsidR="00334442" w:rsidRPr="00334442">
        <w:t xml:space="preserve"> </w:t>
      </w:r>
    </w:p>
    <w:p w:rsidR="00610C7D" w:rsidRDefault="00610C7D" w:rsidP="00610C7D"/>
    <w:p w:rsidR="009353C7" w:rsidRPr="00882253" w:rsidRDefault="00610C7D" w:rsidP="009353C7">
      <w:r>
        <w:tab/>
      </w:r>
      <w:r w:rsidR="00882253">
        <w:t>One</w:t>
      </w:r>
      <w:r>
        <w:t xml:space="preserve"> might still wonder whether </w:t>
      </w:r>
      <w:r w:rsidR="00882253">
        <w:t>there are</w:t>
      </w:r>
      <w:r>
        <w:t xml:space="preserve"> non-contingent principles of direct inference</w:t>
      </w:r>
      <w:r w:rsidR="00882253">
        <w:t>, which demarcate</w:t>
      </w:r>
      <w:r>
        <w:t xml:space="preserve"> </w:t>
      </w:r>
      <w:r w:rsidR="00882253">
        <w:t xml:space="preserve">the good and bad </w:t>
      </w:r>
      <w:r>
        <w:t xml:space="preserve">direct inferences from </w:t>
      </w:r>
      <w:r w:rsidR="00882253">
        <w:t>each other. Arguably, these would undermine t</w:t>
      </w:r>
      <w:r>
        <w:t>he novelty of the MTI</w:t>
      </w:r>
      <w:r w:rsidR="00882253">
        <w:t>, as they would be general and non-local</w:t>
      </w:r>
      <w:r>
        <w:rPr>
          <w:rStyle w:val="FootnoteReference"/>
        </w:rPr>
        <w:footnoteReference w:id="30"/>
      </w:r>
      <w:r>
        <w:t>.</w:t>
      </w:r>
      <w:r w:rsidR="00882253">
        <w:t xml:space="preserve"> Yet even if there are reasonable and unreasonable direct inferences, it does not follow that there are any general principles </w:t>
      </w:r>
      <w:r w:rsidR="00AD0B6F">
        <w:t>for demarcating them</w:t>
      </w:r>
      <w:r w:rsidR="00882253">
        <w:t xml:space="preserve">. Consider how, in moral philosophy, one can deny that there are any such general principles of moral action, but still believe </w:t>
      </w:r>
      <w:r w:rsidR="00AD0B6F">
        <w:t xml:space="preserve">that some particular actions are </w:t>
      </w:r>
      <w:r w:rsidR="00882253">
        <w:t xml:space="preserve">good </w:t>
      </w:r>
      <w:r w:rsidR="00AD0B6F">
        <w:t>or</w:t>
      </w:r>
      <w:r w:rsidR="00882253">
        <w:t xml:space="preserve"> bad. Similarly, one can doubt that there are general laws of nature (except in some </w:t>
      </w:r>
      <w:r w:rsidR="00AD0B6F">
        <w:t>strange</w:t>
      </w:r>
      <w:r w:rsidR="00882253">
        <w:t xml:space="preserve"> sense, like a laundry-list of facts) but still believe that natural events occur. </w:t>
      </w:r>
      <w:r w:rsidR="00AD0B6F">
        <w:t>I grant</w:t>
      </w:r>
      <w:r w:rsidR="00882253">
        <w:t xml:space="preserve"> that general principles of direct inference are worth pursuing. However, even if we had simple and purely formal principles of direct inference, that would be </w:t>
      </w:r>
      <w:r w:rsidR="00882253">
        <w:lastRenderedPageBreak/>
        <w:t>compatible with</w:t>
      </w:r>
      <w:r w:rsidR="00140D0D">
        <w:t xml:space="preserve"> the</w:t>
      </w:r>
      <w:r w:rsidR="00882253">
        <w:t xml:space="preserve"> two principal unusual (though not completely original) claims in the MTI: (1) that there are no formal principles </w:t>
      </w:r>
      <w:r w:rsidR="00882253">
        <w:rPr>
          <w:i/>
          <w:iCs/>
        </w:rPr>
        <w:t>of induction</w:t>
      </w:r>
      <w:r w:rsidR="00882253">
        <w:t xml:space="preserve"> and (2) that inductions are not warranted by a general </w:t>
      </w:r>
      <w:r w:rsidR="00882253">
        <w:rPr>
          <w:i/>
          <w:iCs/>
        </w:rPr>
        <w:t>material</w:t>
      </w:r>
      <w:r w:rsidR="00882253">
        <w:t xml:space="preserve"> </w:t>
      </w:r>
      <w:r w:rsidR="00140D0D">
        <w:t>implicit</w:t>
      </w:r>
      <w:r w:rsidR="00882253">
        <w:t xml:space="preserve"> premise(s).</w:t>
      </w:r>
    </w:p>
    <w:p w:rsidR="009353C7" w:rsidRDefault="009353C7" w:rsidP="009353C7"/>
    <w:p w:rsidR="00CE3314" w:rsidRDefault="00291534" w:rsidP="00CE3314">
      <w:r w:rsidRPr="007A153F">
        <w:rPr>
          <w:b/>
          <w:bCs/>
        </w:rPr>
        <w:t>6.2 What About Prior Probabilities?</w:t>
      </w:r>
      <w:r w:rsidR="00334442" w:rsidRPr="00334442">
        <w:t xml:space="preserve"> </w:t>
      </w:r>
    </w:p>
    <w:p w:rsidR="00CE3314" w:rsidRDefault="00CE3314" w:rsidP="00CE3314"/>
    <w:p w:rsidR="00CB5E14" w:rsidRPr="00CB5E14" w:rsidRDefault="00291534" w:rsidP="00CB5E14">
      <w:r>
        <w:tab/>
      </w:r>
      <w:r w:rsidR="001072D6">
        <w:t xml:space="preserve">A strong objection </w:t>
      </w:r>
      <w:r>
        <w:t>to the CJI comes from Patrick Maher</w:t>
      </w:r>
      <w:r w:rsidR="004B1DDE">
        <w:t xml:space="preserve"> (1996)</w:t>
      </w:r>
      <w:r w:rsidR="001072D6">
        <w:t>. He</w:t>
      </w:r>
      <w:r>
        <w:t xml:space="preserve"> notes that, in Bayesian epistemology, </w:t>
      </w:r>
      <w:r w:rsidR="00CB5E14">
        <w:t>direct inferences</w:t>
      </w:r>
      <w:r>
        <w:t xml:space="preserve"> can be defeated by</w:t>
      </w:r>
      <w:r w:rsidR="00882253">
        <w:t xml:space="preserve"> (objective or subjective)</w:t>
      </w:r>
      <w:r>
        <w:t xml:space="preserve"> </w:t>
      </w:r>
      <w:r>
        <w:rPr>
          <w:i/>
          <w:iCs/>
        </w:rPr>
        <w:t>a priori</w:t>
      </w:r>
      <w:r>
        <w:t xml:space="preserve"> probabilities. </w:t>
      </w:r>
      <w:r w:rsidR="00B5018E">
        <w:t>For example, given that there are a</w:t>
      </w:r>
      <w:r w:rsidR="00505998">
        <w:t xml:space="preserve"> gigantic number of</w:t>
      </w:r>
      <w:r w:rsidR="00B5018E">
        <w:t xml:space="preserve"> potential correlations between Cepheids’ periodicity and luminosity in the Milky Way galaxy, a Bayesian might assign a very low prior </w:t>
      </w:r>
      <w:r w:rsidR="00C34BE9">
        <w:t>probability</w:t>
      </w:r>
      <w:r w:rsidR="00B5018E">
        <w:t xml:space="preserve"> </w:t>
      </w:r>
      <w:r w:rsidR="00C34BE9">
        <w:t>to</w:t>
      </w:r>
      <w:r w:rsidR="00B5018E">
        <w:t xml:space="preserve"> </w:t>
      </w:r>
      <w:r w:rsidR="00C34BE9">
        <w:t>each of these</w:t>
      </w:r>
      <w:r w:rsidR="00B5018E">
        <w:t xml:space="preserve"> </w:t>
      </w:r>
      <w:r w:rsidR="00C34BE9">
        <w:t>regularities</w:t>
      </w:r>
      <w:r w:rsidR="00505998">
        <w:t xml:space="preserve">. </w:t>
      </w:r>
      <w:r w:rsidR="00882253">
        <w:t>If Shapley had such</w:t>
      </w:r>
      <w:r w:rsidR="00B5018E">
        <w:t xml:space="preserve"> a low prior</w:t>
      </w:r>
      <w:r w:rsidR="00882253">
        <w:t xml:space="preserve">, this </w:t>
      </w:r>
      <w:r w:rsidR="00B5018E">
        <w:t xml:space="preserve">could overwhelm </w:t>
      </w:r>
      <w:r w:rsidR="00882253">
        <w:t>the combinatoric facts</w:t>
      </w:r>
      <w:r w:rsidR="00C34BE9">
        <w:t>,</w:t>
      </w:r>
      <w:r w:rsidR="00B5018E">
        <w:t xml:space="preserve"> </w:t>
      </w:r>
      <w:r w:rsidR="00882253">
        <w:t>entailing</w:t>
      </w:r>
      <w:r w:rsidR="00B5018E">
        <w:t xml:space="preserve"> that Leavitt’s </w:t>
      </w:r>
      <w:r w:rsidR="00505998">
        <w:t xml:space="preserve">sample </w:t>
      </w:r>
      <w:r w:rsidR="00882253">
        <w:t>was</w:t>
      </w:r>
      <w:r w:rsidR="001072D6">
        <w:t xml:space="preserve"> probably</w:t>
      </w:r>
      <w:r w:rsidR="00B5018E">
        <w:t xml:space="preserve"> unrepresentative.</w:t>
      </w:r>
      <w:r w:rsidR="001072D6">
        <w:t xml:space="preserve"> </w:t>
      </w:r>
      <w:r w:rsidR="00B5018E">
        <w:t>The MTI response is simple:</w:t>
      </w:r>
      <w:r w:rsidR="001072D6">
        <w:t xml:space="preserve"> strictly</w:t>
      </w:r>
      <w:r w:rsidR="00B5018E">
        <w:t xml:space="preserve"> </w:t>
      </w:r>
      <w:r w:rsidR="00B5018E">
        <w:rPr>
          <w:i/>
          <w:iCs/>
        </w:rPr>
        <w:t>a priori</w:t>
      </w:r>
      <w:r w:rsidR="00B5018E">
        <w:t xml:space="preserve"> probabilities have no </w:t>
      </w:r>
      <w:r w:rsidR="00A66753">
        <w:t>function</w:t>
      </w:r>
      <w:r w:rsidR="00B5018E">
        <w:t xml:space="preserve"> in inductive reasoning</w:t>
      </w:r>
      <w:r w:rsidR="00B5018E">
        <w:rPr>
          <w:rStyle w:val="FootnoteReference"/>
        </w:rPr>
        <w:footnoteReference w:id="31"/>
      </w:r>
      <w:r w:rsidR="00B5018E">
        <w:t>.</w:t>
      </w:r>
      <w:r w:rsidR="00505998">
        <w:t xml:space="preserve"> “Prior probabilities” that reflect background probabilistic knowledge are compatible</w:t>
      </w:r>
      <w:r w:rsidR="00C34BE9">
        <w:t xml:space="preserve"> with the MTI – just </w:t>
      </w:r>
      <w:r w:rsidR="00505998">
        <w:t xml:space="preserve">not those that reflect (allegedly) </w:t>
      </w:r>
      <w:r w:rsidR="00C34BE9">
        <w:t>objective</w:t>
      </w:r>
      <w:r w:rsidR="00505998">
        <w:t xml:space="preserve"> constraints or subjective opining</w:t>
      </w:r>
      <w:r w:rsidR="00D049E5">
        <w:rPr>
          <w:rStyle w:val="FootnoteReference"/>
        </w:rPr>
        <w:footnoteReference w:id="32"/>
      </w:r>
      <w:r w:rsidR="00505998">
        <w:t>.</w:t>
      </w:r>
      <w:r w:rsidR="00A66753">
        <w:t xml:space="preserve"> Therefore, </w:t>
      </w:r>
      <w:r w:rsidR="00C34BE9">
        <w:t>assuming the MTI, priors</w:t>
      </w:r>
      <w:r w:rsidR="00A66753">
        <w:t xml:space="preserve"> cannot overwhelm the combinatoric reasoning that I have adapted from the CJI to the frontiers of science</w:t>
      </w:r>
      <w:r w:rsidR="00D14058">
        <w:rPr>
          <w:rStyle w:val="FootnoteReference"/>
        </w:rPr>
        <w:footnoteReference w:id="33"/>
      </w:r>
      <w:r w:rsidR="00A66753">
        <w:t>.</w:t>
      </w:r>
      <w:r w:rsidR="00134A84">
        <w:t xml:space="preserve"> This is a striking difference between Norton and Bayesians like Maher</w:t>
      </w:r>
      <w:r w:rsidR="00134A84">
        <w:rPr>
          <w:rStyle w:val="FootnoteReference"/>
        </w:rPr>
        <w:footnoteReference w:id="34"/>
      </w:r>
      <w:r w:rsidR="00134A84">
        <w:t>.</w:t>
      </w:r>
    </w:p>
    <w:p w:rsidR="00CB5E14" w:rsidRDefault="00CB5E14"/>
    <w:p w:rsidR="002E5B03" w:rsidRDefault="001072D6">
      <w:r>
        <w:tab/>
        <w:t>Maher</w:t>
      </w:r>
      <w:r w:rsidR="00134A84">
        <w:t xml:space="preserve"> might object that this</w:t>
      </w:r>
      <w:r>
        <w:t xml:space="preserve"> response</w:t>
      </w:r>
      <w:r w:rsidR="00134A84">
        <w:t xml:space="preserve"> reveals a severe problem for the MTI</w:t>
      </w:r>
      <w:r w:rsidR="00EA17E1">
        <w:t>. Doesn’t it mean that Nortonians are vulnerable to the Base Rate Fallacy?</w:t>
      </w:r>
      <w:r>
        <w:t xml:space="preserve"> Whether this objection works depends on how we interpret “the Base Rate Fallacy”. The accusation is untrue i</w:t>
      </w:r>
      <w:r w:rsidR="00134A84">
        <w:t xml:space="preserve">f the Base Rate Fallacy is the fallacy of ignoring relevant background knowledge. </w:t>
      </w:r>
      <w:r w:rsidR="00D049E5">
        <w:t>Norton</w:t>
      </w:r>
      <w:r w:rsidR="00134A84">
        <w:t xml:space="preserve"> grants that if we have strong antecedent evidence that Leavitt’s sample was unrepresentative of the Milky Way in general, then </w:t>
      </w:r>
      <w:r>
        <w:t>we should not</w:t>
      </w:r>
      <w:r w:rsidR="00134A84">
        <w:t xml:space="preserve"> extrapolate </w:t>
      </w:r>
      <w:r>
        <w:t>as</w:t>
      </w:r>
      <w:r w:rsidR="00134A84">
        <w:t xml:space="preserve"> Shapley did</w:t>
      </w:r>
      <w:r w:rsidR="00D049E5">
        <w:t>. Alternatively</w:t>
      </w:r>
      <w:r>
        <w:t>, i</w:t>
      </w:r>
      <w:r w:rsidR="00225AB6">
        <w:t>f the Base Rate Fallacy is</w:t>
      </w:r>
      <w:r w:rsidR="00C602E2">
        <w:t xml:space="preserve"> just</w:t>
      </w:r>
      <w:r w:rsidR="00225AB6">
        <w:t xml:space="preserve"> the “fallacy” of not having </w:t>
      </w:r>
      <w:r w:rsidR="00225AB6">
        <w:rPr>
          <w:i/>
          <w:iCs/>
        </w:rPr>
        <w:t>a priori</w:t>
      </w:r>
      <w:r w:rsidR="00225AB6">
        <w:t xml:space="preserve"> probabilities and </w:t>
      </w:r>
      <w:r w:rsidR="00C602E2">
        <w:t>“</w:t>
      </w:r>
      <w:r w:rsidR="00225AB6">
        <w:t>failing</w:t>
      </w:r>
      <w:r w:rsidR="00C602E2">
        <w:t>”</w:t>
      </w:r>
      <w:r w:rsidR="00225AB6">
        <w:t xml:space="preserve"> to use them in any inductive reasoning, then the MTI is guilty as charged</w:t>
      </w:r>
      <w:r w:rsidR="003F1A29">
        <w:t xml:space="preserve">. However, </w:t>
      </w:r>
      <w:r w:rsidR="00225AB6">
        <w:t xml:space="preserve">the existence of the </w:t>
      </w:r>
      <w:r w:rsidR="00EA17E1">
        <w:t>offence</w:t>
      </w:r>
      <w:r w:rsidR="00225AB6">
        <w:t xml:space="preserve"> still needs to be proven. </w:t>
      </w:r>
      <w:r>
        <w:t>In particular, it is not proven that this latter “fallacy” is akin to the obviously bad</w:t>
      </w:r>
      <w:r w:rsidR="00225AB6">
        <w:t xml:space="preserve"> reasoning in </w:t>
      </w:r>
      <w:r w:rsidR="00C34BE9">
        <w:t xml:space="preserve">textbook </w:t>
      </w:r>
      <w:r w:rsidR="00225AB6">
        <w:t>examples like the Harvard Medical Test. There is much more to be said here</w:t>
      </w:r>
      <w:r w:rsidR="003F1A29">
        <w:t xml:space="preserve">; my </w:t>
      </w:r>
      <w:r w:rsidR="00C602E2">
        <w:t>point is</w:t>
      </w:r>
      <w:r w:rsidR="003F1A29">
        <w:t xml:space="preserve"> only</w:t>
      </w:r>
      <w:r w:rsidR="00C602E2">
        <w:t xml:space="preserve"> that</w:t>
      </w:r>
      <w:r w:rsidR="00D14058">
        <w:t xml:space="preserve"> the MTI is not avoiding Maher’s criticism by falling into an obviously fallacious pattern of reasoning</w:t>
      </w:r>
      <w:r w:rsidR="00225AB6">
        <w:t>.</w:t>
      </w:r>
    </w:p>
    <w:p w:rsidR="007A153F" w:rsidRDefault="007A153F"/>
    <w:p w:rsidR="007A153F" w:rsidRPr="007A153F" w:rsidRDefault="007A153F">
      <w:pPr>
        <w:rPr>
          <w:b/>
          <w:bCs/>
        </w:rPr>
      </w:pPr>
      <w:r w:rsidRPr="007A153F">
        <w:rPr>
          <w:b/>
          <w:bCs/>
        </w:rPr>
        <w:t>6.3 Convergence to the Truth</w:t>
      </w:r>
    </w:p>
    <w:p w:rsidR="002E5B03" w:rsidRDefault="002E5B03"/>
    <w:p w:rsidR="00F4572C" w:rsidRPr="00F4572C" w:rsidRDefault="007A153F" w:rsidP="00F4572C">
      <w:r>
        <w:tab/>
        <w:t xml:space="preserve">Benjamin Smart (2013, </w:t>
      </w:r>
      <w:r w:rsidR="007D0EA9">
        <w:t>p</w:t>
      </w:r>
      <w:r>
        <w:t xml:space="preserve">p. 329-330) criticises the type of reasoning that I have </w:t>
      </w:r>
      <w:r w:rsidR="0037505B">
        <w:t>imported from the CJI,</w:t>
      </w:r>
      <w:r>
        <w:t xml:space="preserve"> </w:t>
      </w:r>
      <w:r w:rsidRPr="00F554B3">
        <w:rPr>
          <w:rFonts w:cs="Times New Roman"/>
          <w:szCs w:val="24"/>
        </w:rPr>
        <w:t>on the grounds that it does not guarantee convergence to the truth</w:t>
      </w:r>
      <w:r w:rsidR="0045731B" w:rsidRPr="00F554B3">
        <w:rPr>
          <w:rFonts w:cs="Times New Roman"/>
          <w:szCs w:val="24"/>
        </w:rPr>
        <w:t xml:space="preserve">, and </w:t>
      </w:r>
      <w:r w:rsidR="00D14058">
        <w:rPr>
          <w:rFonts w:cs="Times New Roman"/>
          <w:szCs w:val="24"/>
        </w:rPr>
        <w:t>consequently</w:t>
      </w:r>
      <w:r w:rsidR="0045731B" w:rsidRPr="00F554B3">
        <w:rPr>
          <w:rFonts w:cs="Times New Roman"/>
          <w:szCs w:val="24"/>
        </w:rPr>
        <w:t xml:space="preserve"> it </w:t>
      </w:r>
      <w:r w:rsidR="00C602E2">
        <w:rPr>
          <w:rFonts w:cs="Times New Roman"/>
          <w:szCs w:val="24"/>
        </w:rPr>
        <w:t>has not been demonstrated to satisfy</w:t>
      </w:r>
      <w:r w:rsidR="0045731B" w:rsidRPr="00F554B3">
        <w:rPr>
          <w:rFonts w:cs="Times New Roman"/>
          <w:szCs w:val="24"/>
        </w:rPr>
        <w:t xml:space="preserve"> what he calls the “Principle of Convergence”.</w:t>
      </w:r>
      <w:r w:rsidR="00F554B3" w:rsidRPr="00F554B3">
        <w:rPr>
          <w:rFonts w:cs="Times New Roman"/>
          <w:szCs w:val="24"/>
        </w:rPr>
        <w:t xml:space="preserve"> </w:t>
      </w:r>
      <w:r w:rsidR="00C602E2">
        <w:rPr>
          <w:rFonts w:cs="Times New Roman"/>
          <w:szCs w:val="24"/>
        </w:rPr>
        <w:t>This principle requires that</w:t>
      </w:r>
      <w:r w:rsidR="00F554B3" w:rsidRPr="00F554B3">
        <w:rPr>
          <w:rFonts w:cs="Times New Roman"/>
          <w:szCs w:val="24"/>
        </w:rPr>
        <w:t xml:space="preserve"> ‘A conjecture</w:t>
      </w:r>
      <w:r w:rsidR="00EA17E1">
        <w:rPr>
          <w:rFonts w:cs="Times New Roman"/>
          <w:szCs w:val="24"/>
        </w:rPr>
        <w:t>,</w:t>
      </w:r>
      <w:r w:rsidR="00F554B3" w:rsidRPr="00F554B3">
        <w:rPr>
          <w:rFonts w:cs="Times New Roman"/>
          <w:szCs w:val="24"/>
        </w:rPr>
        <w:t xml:space="preserve"> if false</w:t>
      </w:r>
      <w:r w:rsidR="00EA17E1">
        <w:rPr>
          <w:rFonts w:cs="Times New Roman"/>
          <w:szCs w:val="24"/>
        </w:rPr>
        <w:t>,</w:t>
      </w:r>
      <w:r w:rsidR="00F554B3" w:rsidRPr="00F554B3">
        <w:rPr>
          <w:rFonts w:cs="Times New Roman"/>
          <w:szCs w:val="24"/>
        </w:rPr>
        <w:t xml:space="preserve"> will be rejected at some stage, and if true will never be rejected’.</w:t>
      </w:r>
      <w:r w:rsidR="0045731B">
        <w:t xml:space="preserve"> And it is indeed possible that, even </w:t>
      </w:r>
      <w:r w:rsidR="004A3CB3">
        <w:t>with</w:t>
      </w:r>
      <w:r w:rsidR="0045731B">
        <w:t xml:space="preserve"> truly colossal sample sizes, it is logically possible that not only will we</w:t>
      </w:r>
      <w:r w:rsidR="00345B20">
        <w:t xml:space="preserve"> be</w:t>
      </w:r>
      <w:r w:rsidR="0045731B">
        <w:t xml:space="preserve"> mistaken (something that most modern epistemologists</w:t>
      </w:r>
      <w:r w:rsidR="00EA17E1">
        <w:t>, as fallibilists</w:t>
      </w:r>
      <w:r w:rsidR="004A3CB3">
        <w:t xml:space="preserve"> </w:t>
      </w:r>
      <w:r w:rsidR="0045731B">
        <w:t xml:space="preserve">accept with a shrug) but that </w:t>
      </w:r>
      <w:r w:rsidR="00F554B3">
        <w:t xml:space="preserve">we might </w:t>
      </w:r>
      <w:r w:rsidR="00E62EF3">
        <w:t xml:space="preserve">tentatively </w:t>
      </w:r>
      <w:r w:rsidR="00F554B3">
        <w:t>accept a false hypothesis at some stage or reject a true hypothesis</w:t>
      </w:r>
      <w:r w:rsidR="0045731B">
        <w:t xml:space="preserve">. The justification </w:t>
      </w:r>
      <w:r w:rsidR="002E47C5">
        <w:t>that Smart</w:t>
      </w:r>
      <w:r w:rsidR="0045731B">
        <w:t xml:space="preserve"> gives for this requirement is </w:t>
      </w:r>
      <w:r w:rsidR="00717E03">
        <w:t xml:space="preserve">that </w:t>
      </w:r>
      <w:r w:rsidR="002E47C5">
        <w:t>“w</w:t>
      </w:r>
      <w:r w:rsidR="002E47C5" w:rsidRPr="002E47C5">
        <w:t xml:space="preserve">hen we consider what it is to be an inductive inference, we hope that as evidence accumulates our inferences converge on the </w:t>
      </w:r>
      <w:r w:rsidR="002E47C5">
        <w:t>truth.” (2013, p. 329).</w:t>
      </w:r>
      <w:r w:rsidR="00F4572C" w:rsidRPr="00F4572C">
        <w:t xml:space="preserve"> </w:t>
      </w:r>
    </w:p>
    <w:p w:rsidR="00F4572C" w:rsidRDefault="00F4572C"/>
    <w:p w:rsidR="00F4572C" w:rsidRDefault="002E47C5" w:rsidP="00F4572C">
      <w:r>
        <w:tab/>
        <w:t>Certain</w:t>
      </w:r>
      <w:r w:rsidR="005C6228">
        <w:t xml:space="preserve">ly, we have that hope. It </w:t>
      </w:r>
      <w:r w:rsidR="005C6228" w:rsidRPr="00700B7F">
        <w:rPr>
          <w:i/>
          <w:iCs/>
        </w:rPr>
        <w:t>would</w:t>
      </w:r>
      <w:r w:rsidR="005C6228">
        <w:t xml:space="preserve"> be nice to have a method of induction that satisfies the Principle of Convergence. However, it does not follow that </w:t>
      </w:r>
      <w:r w:rsidR="00EA17E1">
        <w:t>my suggested strategy</w:t>
      </w:r>
      <w:r w:rsidR="005C6228">
        <w:t xml:space="preserve"> is irrational because </w:t>
      </w:r>
      <w:r w:rsidR="00F4572C">
        <w:t xml:space="preserve">we cannot demonstrate that it will </w:t>
      </w:r>
      <w:r w:rsidR="005C6228">
        <w:t xml:space="preserve">satisfy </w:t>
      </w:r>
      <w:r w:rsidR="00EA17E1">
        <w:t>this principle</w:t>
      </w:r>
      <w:r w:rsidR="005C6228">
        <w:t xml:space="preserve">. </w:t>
      </w:r>
      <w:r w:rsidR="00EA17E1">
        <w:t>Similarly</w:t>
      </w:r>
      <w:r w:rsidR="005C6228">
        <w:t xml:space="preserve">, </w:t>
      </w:r>
      <w:r w:rsidR="00EA17E1">
        <w:t>imagine</w:t>
      </w:r>
      <w:r w:rsidR="005C6228">
        <w:t xml:space="preserve"> a sceptic who thinks that Smart is low-balling his demands</w:t>
      </w:r>
      <w:r w:rsidR="00EA17E1">
        <w:t xml:space="preserve">: they </w:t>
      </w:r>
      <w:r w:rsidR="00140D0D">
        <w:t>insist</w:t>
      </w:r>
      <w:r w:rsidR="005C6228">
        <w:t xml:space="preserve"> that we must know that our inductive reasoning </w:t>
      </w:r>
      <w:r w:rsidR="005C6228" w:rsidRPr="005C6228">
        <w:rPr>
          <w:i/>
          <w:iCs/>
        </w:rPr>
        <w:t>guarantees</w:t>
      </w:r>
      <w:r w:rsidR="005C6228">
        <w:t xml:space="preserve"> </w:t>
      </w:r>
      <w:r w:rsidR="00F4572C">
        <w:t>that we will infer</w:t>
      </w:r>
      <w:r w:rsidR="005C6228">
        <w:t xml:space="preserve"> a tru</w:t>
      </w:r>
      <w:r w:rsidR="00F4572C">
        <w:t>e</w:t>
      </w:r>
      <w:r w:rsidR="005C6228">
        <w:t xml:space="preserve"> hypothesis</w:t>
      </w:r>
      <w:r w:rsidR="001723BB">
        <w:t xml:space="preserve"> given</w:t>
      </w:r>
      <w:r w:rsidR="005C6228">
        <w:t xml:space="preserve"> even a</w:t>
      </w:r>
      <w:r w:rsidR="00EA17E1">
        <w:t xml:space="preserve"> </w:t>
      </w:r>
      <w:r w:rsidR="005C6228">
        <w:t>sample</w:t>
      </w:r>
      <w:r w:rsidR="009A4035">
        <w:t xml:space="preserve"> of one</w:t>
      </w:r>
      <w:r w:rsidR="009A4035">
        <w:rPr>
          <w:rStyle w:val="FootnoteReference"/>
        </w:rPr>
        <w:footnoteReference w:id="35"/>
      </w:r>
      <w:r w:rsidR="005C6228">
        <w:t xml:space="preserve">. That would also be nice. We hope that our inductions never lead us to error. It does not follow that such infallibility is a necessary condition for </w:t>
      </w:r>
      <w:r w:rsidR="00EA17E1">
        <w:t>rational inductions</w:t>
      </w:r>
      <w:r w:rsidR="005C6228">
        <w:t xml:space="preserve">. </w:t>
      </w:r>
      <w:r w:rsidR="00AB1F83">
        <w:t xml:space="preserve">Just as we can reasonably proceed in our inductions without satisfying the requirement of infallibility, so we can proceed without satisfying the Principle of Convergence. </w:t>
      </w:r>
      <w:r w:rsidR="001723BB">
        <w:t>For this reason,</w:t>
      </w:r>
      <w:r w:rsidR="005C6228">
        <w:t xml:space="preserve"> MTI contains no such condition.</w:t>
      </w:r>
      <w:r w:rsidR="00F4572C" w:rsidRPr="00F4572C">
        <w:t xml:space="preserve"> </w:t>
      </w:r>
      <w:r w:rsidR="00EA17E1">
        <w:t>The best we can do, and all that we need to do, is to accept/reject only what our evidence warrants, and reject our hypotheses if they are no longer supported by our evidence.</w:t>
      </w:r>
    </w:p>
    <w:p w:rsidR="00F4572C" w:rsidRDefault="00F4572C" w:rsidP="00F4572C"/>
    <w:p w:rsidR="00F4572C" w:rsidRPr="00F4572C" w:rsidRDefault="005C6228" w:rsidP="00F4572C">
      <w:r>
        <w:tab/>
        <w:t xml:space="preserve">One might think that there is a more modest principle that </w:t>
      </w:r>
      <w:r w:rsidR="00F4572C">
        <w:t>any</w:t>
      </w:r>
      <w:r>
        <w:t xml:space="preserve"> justification of some inductive reasoning R</w:t>
      </w:r>
      <w:r w:rsidR="00F4572C">
        <w:t xml:space="preserve"> should prove to be satisfied. Perhaps we must know that </w:t>
      </w:r>
      <w:r>
        <w:t>R should be in accordance with a method M that leads us to accept true hypotheses and reject false hypotheses more often than not</w:t>
      </w:r>
      <w:r w:rsidR="001723BB">
        <w:t xml:space="preserve"> </w:t>
      </w:r>
      <w:r w:rsidR="00C5359F">
        <w:t>(Lange, 2011</w:t>
      </w:r>
      <w:r w:rsidR="001867C8">
        <w:t>,</w:t>
      </w:r>
      <w:r w:rsidR="00C5359F">
        <w:t xml:space="preserve"> p. 85-86)</w:t>
      </w:r>
      <w:r w:rsidR="00A9346D">
        <w:t xml:space="preserve">. </w:t>
      </w:r>
      <w:r w:rsidR="00FD43D0">
        <w:t>We</w:t>
      </w:r>
      <w:r>
        <w:t xml:space="preserve"> </w:t>
      </w:r>
      <w:r w:rsidR="00C30805">
        <w:t>do not know whether</w:t>
      </w:r>
      <w:r>
        <w:t xml:space="preserve"> the reasoning I have suggested in Sections 4 and 5 </w:t>
      </w:r>
      <w:r w:rsidR="00C30805">
        <w:t xml:space="preserve">will </w:t>
      </w:r>
      <w:r w:rsidR="005B2594">
        <w:t>satisf</w:t>
      </w:r>
      <w:r w:rsidR="00C30805">
        <w:t xml:space="preserve">y </w:t>
      </w:r>
      <w:r>
        <w:t>this more modest principle.</w:t>
      </w:r>
      <w:r w:rsidR="00EE3D8B">
        <w:t xml:space="preserve"> </w:t>
      </w:r>
      <w:r w:rsidR="00A9346D">
        <w:t>It is true that the MTI does not contain such a requirement</w:t>
      </w:r>
      <w:r w:rsidR="00C30805">
        <w:t>,</w:t>
      </w:r>
      <w:r w:rsidR="00A9346D">
        <w:t xml:space="preserve"> yet </w:t>
      </w:r>
      <w:r w:rsidR="00C30805">
        <w:t>perhaps this indicates a problem for Norton’s epistemolog</w:t>
      </w:r>
      <w:r w:rsidR="005B7B75">
        <w:t>ical</w:t>
      </w:r>
      <w:r w:rsidR="00C30805">
        <w:t xml:space="preserve"> standards</w:t>
      </w:r>
      <w:r w:rsidR="00A9346D">
        <w:t xml:space="preserve">. </w:t>
      </w:r>
      <w:r w:rsidR="00EE3D8B">
        <w:t xml:space="preserve">However, </w:t>
      </w:r>
      <w:r w:rsidR="00F4572C">
        <w:t xml:space="preserve">note that </w:t>
      </w:r>
      <w:r w:rsidR="001723BB">
        <w:t>what we really want is not to have a generally reliable method, but to justifiably expect</w:t>
      </w:r>
      <w:r w:rsidR="00700B7F">
        <w:t xml:space="preserve"> our</w:t>
      </w:r>
      <w:r w:rsidR="001723BB">
        <w:t xml:space="preserve"> </w:t>
      </w:r>
      <w:r w:rsidR="001723BB">
        <w:rPr>
          <w:i/>
          <w:iCs/>
        </w:rPr>
        <w:t>particular</w:t>
      </w:r>
      <w:r w:rsidR="001723BB">
        <w:t xml:space="preserve"> inductive inferences to be successful. </w:t>
      </w:r>
      <w:r w:rsidR="00700B7F">
        <w:t xml:space="preserve">If we </w:t>
      </w:r>
      <w:r w:rsidR="0044267A">
        <w:t>somehow</w:t>
      </w:r>
      <w:r w:rsidR="00700B7F">
        <w:t xml:space="preserve"> knew that M would lead us to the right answer more often than not, we would still need to infer by direct inference that any particular induction would lead us to the right answer</w:t>
      </w:r>
      <w:r w:rsidR="001723BB">
        <w:t>.</w:t>
      </w:r>
      <w:r w:rsidR="00EE3D8B">
        <w:t xml:space="preserve"> (“Generally, </w:t>
      </w:r>
      <w:r w:rsidR="00F4572C">
        <w:t>M</w:t>
      </w:r>
      <w:r w:rsidR="00EE3D8B">
        <w:t xml:space="preserve"> from </w:t>
      </w:r>
      <w:r w:rsidR="00EE3D8B">
        <w:rPr>
          <w:i/>
          <w:iCs/>
        </w:rPr>
        <w:t>n</w:t>
      </w:r>
      <w:r w:rsidR="00EE3D8B">
        <w:t>-fold samples will lead us to truth</w:t>
      </w:r>
      <w:r w:rsidR="00F4572C">
        <w:t xml:space="preserve"> and we </w:t>
      </w:r>
      <w:r w:rsidR="00F4572C">
        <w:lastRenderedPageBreak/>
        <w:t xml:space="preserve">have an </w:t>
      </w:r>
      <w:r w:rsidR="00F4572C">
        <w:rPr>
          <w:i/>
          <w:iCs/>
        </w:rPr>
        <w:t>n</w:t>
      </w:r>
      <w:r w:rsidR="00F4572C">
        <w:rPr>
          <w:i/>
          <w:iCs/>
        </w:rPr>
        <w:softHyphen/>
      </w:r>
      <w:r w:rsidR="00F4572C">
        <w:t xml:space="preserve">-fold sample in this </w:t>
      </w:r>
      <w:r w:rsidR="00AE222C">
        <w:t>induction,</w:t>
      </w:r>
      <w:r w:rsidR="00EE3D8B">
        <w:t xml:space="preserve"> therefore </w:t>
      </w:r>
      <w:r w:rsidR="00F4572C">
        <w:t>M</w:t>
      </w:r>
      <w:r w:rsidR="00EE3D8B">
        <w:t xml:space="preserve"> will lead us to truth in this particular </w:t>
      </w:r>
      <w:r w:rsidR="00F4572C">
        <w:t>induction</w:t>
      </w:r>
      <w:r w:rsidR="001723BB">
        <w:t>.</w:t>
      </w:r>
      <w:r w:rsidR="00EE3D8B">
        <w:t xml:space="preserve">”) </w:t>
      </w:r>
      <w:r w:rsidR="001723BB">
        <w:t xml:space="preserve">In other words, even if we had the </w:t>
      </w:r>
      <w:r w:rsidR="00700B7F">
        <w:t>cosmic</w:t>
      </w:r>
      <w:r w:rsidR="001723BB">
        <w:t xml:space="preserve"> knowledge that Lange is demanding</w:t>
      </w:r>
      <w:r w:rsidR="007374F8">
        <w:t>,</w:t>
      </w:r>
      <w:r w:rsidR="001723BB">
        <w:t xml:space="preserve"> it would only justify our actual inductions via</w:t>
      </w:r>
      <w:r w:rsidR="00700B7F">
        <w:t xml:space="preserve"> exactly</w:t>
      </w:r>
      <w:r w:rsidR="001723BB">
        <w:t xml:space="preserve"> the sort of reasoning</w:t>
      </w:r>
      <w:r w:rsidR="00EE3D8B">
        <w:t xml:space="preserve"> I was using in Sections 4 and 5.</w:t>
      </w:r>
      <w:r w:rsidR="001723BB">
        <w:t xml:space="preserve"> </w:t>
      </w:r>
      <w:r w:rsidR="00EE3D8B">
        <w:t xml:space="preserve">Why should direct inference be </w:t>
      </w:r>
      <w:r w:rsidR="00A9346D">
        <w:t>inadequate</w:t>
      </w:r>
      <w:r w:rsidR="00EE3D8B">
        <w:t xml:space="preserve"> in the one case and not the other?</w:t>
      </w:r>
      <w:r w:rsidR="00EE3D8B">
        <w:rPr>
          <w:rStyle w:val="FootnoteReference"/>
        </w:rPr>
        <w:footnoteReference w:id="36"/>
      </w:r>
    </w:p>
    <w:p w:rsidR="00F4572C" w:rsidRDefault="00F4572C" w:rsidP="001723BB">
      <w:pPr>
        <w:rPr>
          <w:b/>
          <w:bCs/>
        </w:rPr>
      </w:pPr>
    </w:p>
    <w:p w:rsidR="00F4572C" w:rsidRDefault="001723BB" w:rsidP="00F4572C">
      <w:pPr>
        <w:rPr>
          <w:b/>
          <w:bCs/>
        </w:rPr>
      </w:pPr>
      <w:r>
        <w:rPr>
          <w:b/>
          <w:bCs/>
        </w:rPr>
        <w:t xml:space="preserve">6.4 </w:t>
      </w:r>
      <w:r w:rsidR="00AA6A0F" w:rsidRPr="009C02F8">
        <w:rPr>
          <w:b/>
          <w:bCs/>
        </w:rPr>
        <w:t>Grue</w:t>
      </w:r>
    </w:p>
    <w:p w:rsidR="00F4572C" w:rsidRPr="00F4572C" w:rsidRDefault="00F4572C" w:rsidP="00F4572C"/>
    <w:p w:rsidR="00F4133D" w:rsidRPr="00F4133D" w:rsidRDefault="009C02F8" w:rsidP="00F4133D">
      <w:r>
        <w:tab/>
        <w:t xml:space="preserve">I have presupposed that the scientists in the examples </w:t>
      </w:r>
      <w:r w:rsidR="00F4133D">
        <w:t>in Section 4 and Section 5</w:t>
      </w:r>
      <w:r>
        <w:t xml:space="preserve"> </w:t>
      </w:r>
      <w:r w:rsidR="00F4133D">
        <w:t>possess</w:t>
      </w:r>
      <w:r>
        <w:t xml:space="preserve"> justified beliefs about the appropriate scientific categories (reference classes) for the domain in question. A popular criticism of the CJI is that, in foundational inductive cases, it is not clear that we have such information, because it presumably depends on inductive considerations</w:t>
      </w:r>
      <w:r w:rsidR="00814C46">
        <w:rPr>
          <w:rStyle w:val="FootnoteReference"/>
        </w:rPr>
        <w:footnoteReference w:id="37"/>
      </w:r>
      <w:r>
        <w:t xml:space="preserve">. Thus, the CJI </w:t>
      </w:r>
      <w:r w:rsidR="00F4133D">
        <w:t>arguably falls prey</w:t>
      </w:r>
      <w:r>
        <w:t xml:space="preserve"> to a version of Nelson Goodman’s</w:t>
      </w:r>
      <w:r w:rsidR="00B75BFA">
        <w:t xml:space="preserve"> (1954, Chapter </w:t>
      </w:r>
      <w:r w:rsidR="009036ED">
        <w:t>III</w:t>
      </w:r>
      <w:r w:rsidR="00B75BFA">
        <w:t>)</w:t>
      </w:r>
      <w:r>
        <w:t xml:space="preserve"> New Riddle of Induction: if we used such reasoning to justify our high confidence </w:t>
      </w:r>
      <w:r w:rsidR="001723BB">
        <w:t>in hypotheses like ‘M</w:t>
      </w:r>
      <w:r>
        <w:t>ost grass on Earth is green</w:t>
      </w:r>
      <w:r w:rsidR="001723BB">
        <w:t>’</w:t>
      </w:r>
      <w:r>
        <w:t xml:space="preserve">, we would face parallel reasoning </w:t>
      </w:r>
      <w:r w:rsidR="001723BB">
        <w:t>for contrary hypotheses</w:t>
      </w:r>
      <w:r>
        <w:t xml:space="preserve"> </w:t>
      </w:r>
      <w:r w:rsidR="001723BB">
        <w:t>‘M</w:t>
      </w:r>
      <w:r>
        <w:t>ost grass on Earth is grue</w:t>
      </w:r>
      <w:r w:rsidR="001723BB">
        <w:t xml:space="preserve">’ </w:t>
      </w:r>
      <w:r>
        <w:t xml:space="preserve">(Indurkhya 1990; </w:t>
      </w:r>
      <w:r w:rsidR="001D3605">
        <w:t>Lange,</w:t>
      </w:r>
      <w:r>
        <w:t xml:space="preserve"> 2011</w:t>
      </w:r>
      <w:r w:rsidR="007D0EA9">
        <w:t>,</w:t>
      </w:r>
      <w:r>
        <w:t xml:space="preserve"> p. 85).</w:t>
      </w:r>
      <w:r w:rsidR="00F4133D" w:rsidRPr="00F4133D">
        <w:t xml:space="preserve"> </w:t>
      </w:r>
    </w:p>
    <w:p w:rsidR="00F4133D" w:rsidRDefault="00F4133D" w:rsidP="009C02F8"/>
    <w:p w:rsidR="001D3605" w:rsidRDefault="00FA62C8" w:rsidP="009C02F8">
      <w:r>
        <w:tab/>
        <w:t xml:space="preserve">Regardless of whether this criticism is successful in the more ambitious case of the CJI, it does not work for </w:t>
      </w:r>
      <w:r w:rsidR="00A72AD5">
        <w:t>my</w:t>
      </w:r>
      <w:r>
        <w:t xml:space="preserve"> more modest claims. My goal has not been to solve the Humean Problem of Induction, nor any other general problem of induction</w:t>
      </w:r>
      <w:r w:rsidR="00474180">
        <w:rPr>
          <w:rStyle w:val="FootnoteReference"/>
        </w:rPr>
        <w:footnoteReference w:id="38"/>
      </w:r>
      <w:r>
        <w:t xml:space="preserve">. </w:t>
      </w:r>
      <w:r w:rsidR="00A9346D">
        <w:t>I have only argued</w:t>
      </w:r>
      <w:r>
        <w:t xml:space="preserve"> that the MTI does not clash with our intuitions at the </w:t>
      </w:r>
      <w:r w:rsidRPr="00A36619">
        <w:rPr>
          <w:i/>
          <w:iCs/>
        </w:rPr>
        <w:t>frontiers</w:t>
      </w:r>
      <w:r>
        <w:t xml:space="preserve"> of science. The New Riddle of Induction is a </w:t>
      </w:r>
      <w:r w:rsidR="00814C46">
        <w:t xml:space="preserve">major </w:t>
      </w:r>
      <w:r>
        <w:t xml:space="preserve">problem </w:t>
      </w:r>
      <w:r w:rsidR="00F4133D">
        <w:t>regarding</w:t>
      </w:r>
      <w:r>
        <w:t xml:space="preserve"> the </w:t>
      </w:r>
      <w:r w:rsidR="004B5DDC">
        <w:rPr>
          <w:i/>
          <w:iCs/>
        </w:rPr>
        <w:t>heartland</w:t>
      </w:r>
      <w:r>
        <w:t xml:space="preserve"> of science which, in itself, the CJI does not solve</w:t>
      </w:r>
      <w:r w:rsidR="00F4133D">
        <w:rPr>
          <w:rStyle w:val="FootnoteReference"/>
        </w:rPr>
        <w:footnoteReference w:id="39"/>
      </w:r>
      <w:r w:rsidR="00A72AD5">
        <w:t xml:space="preserve">. Therefore, </w:t>
      </w:r>
      <w:r w:rsidR="00F4133D">
        <w:t>I set aside</w:t>
      </w:r>
      <w:r w:rsidR="00A72AD5">
        <w:t xml:space="preserve"> the New Riddle of Induction</w:t>
      </w:r>
      <w:r w:rsidR="00F4133D">
        <w:t xml:space="preserve"> in this article</w:t>
      </w:r>
      <w:r>
        <w:t>.</w:t>
      </w:r>
    </w:p>
    <w:p w:rsidR="005D7D07" w:rsidRDefault="005D7D07" w:rsidP="008D7827"/>
    <w:p w:rsidR="00FA62C8" w:rsidRPr="00FA62C8" w:rsidRDefault="00FA62C8" w:rsidP="008D7827">
      <w:pPr>
        <w:rPr>
          <w:b/>
          <w:bCs/>
        </w:rPr>
      </w:pPr>
      <w:r w:rsidRPr="00FA62C8">
        <w:rPr>
          <w:b/>
          <w:bCs/>
        </w:rPr>
        <w:t>6.5 Singular Predictions</w:t>
      </w:r>
      <w:bookmarkStart w:id="0" w:name="_Hlk21971946"/>
    </w:p>
    <w:p w:rsidR="00FA62C8" w:rsidRDefault="00FA62C8" w:rsidP="008D7827"/>
    <w:bookmarkEnd w:id="0"/>
    <w:p w:rsidR="00735E53" w:rsidRPr="00FA62C8" w:rsidRDefault="00FA62C8" w:rsidP="00735E53">
      <w:pPr>
        <w:rPr>
          <w:b/>
          <w:bCs/>
        </w:rPr>
      </w:pPr>
      <w:r>
        <w:tab/>
      </w:r>
      <w:r w:rsidR="00A72AD5">
        <w:t>For</w:t>
      </w:r>
      <w:r>
        <w:t xml:space="preserve"> some inductions at the frontiers of science, we know that the target population of our hypothesis does not contain our sample.</w:t>
      </w:r>
      <w:r w:rsidR="007E1F45">
        <w:t xml:space="preserve"> In other words, we </w:t>
      </w:r>
      <w:r w:rsidR="00735E53">
        <w:t>sometimes</w:t>
      </w:r>
      <w:r w:rsidR="007E1F45">
        <w:t xml:space="preserve"> </w:t>
      </w:r>
      <w:r w:rsidR="00D122E4">
        <w:t xml:space="preserve">make </w:t>
      </w:r>
      <w:r w:rsidR="007E1F45">
        <w:t>singular predictions</w:t>
      </w:r>
      <w:r w:rsidR="007101E2">
        <w:t xml:space="preserve"> </w:t>
      </w:r>
      <w:r w:rsidR="008F5AA4">
        <w:t>from our evidence to a prediction of a singular event</w:t>
      </w:r>
      <w:r w:rsidR="007101E2">
        <w:t>.</w:t>
      </w:r>
      <w:r w:rsidR="00735E53">
        <w:t xml:space="preserve"> </w:t>
      </w:r>
      <w:r>
        <w:t xml:space="preserve">Yet the local justifications that I have made are limited to </w:t>
      </w:r>
      <w:r w:rsidR="00A72AD5">
        <w:t>extrapolations</w:t>
      </w:r>
      <w:r>
        <w:t xml:space="preserve"> from a</w:t>
      </w:r>
      <w:r w:rsidR="007E1F45">
        <w:t>n observed set</w:t>
      </w:r>
      <w:r>
        <w:t xml:space="preserve"> to its finite supersets</w:t>
      </w:r>
      <w:r w:rsidR="007E1F45">
        <w:t xml:space="preserve">. </w:t>
      </w:r>
      <w:r w:rsidR="00A72AD5">
        <w:t>Can we extend</w:t>
      </w:r>
      <w:r w:rsidR="007E1F45">
        <w:t xml:space="preserve"> this reasoning to singular predictions?</w:t>
      </w:r>
      <w:r w:rsidR="00735E53" w:rsidRPr="00735E53">
        <w:rPr>
          <w:b/>
          <w:bCs/>
        </w:rPr>
        <w:t xml:space="preserve"> </w:t>
      </w:r>
    </w:p>
    <w:p w:rsidR="00735E53" w:rsidRDefault="00735E53" w:rsidP="00735E53"/>
    <w:p w:rsidR="00A11B51" w:rsidRPr="00735E53" w:rsidRDefault="007E1F45" w:rsidP="00A11B51">
      <w:r>
        <w:tab/>
        <w:t>Yes, but it multiplies the possible defeaters of the inference. Suppose that we</w:t>
      </w:r>
      <w:r w:rsidR="00733953">
        <w:t xml:space="preserve"> have previously inductively extrapolated from</w:t>
      </w:r>
      <w:r>
        <w:t xml:space="preserve"> ‘All the thousands of flames that we have observed are hot’ and our background knowledge to</w:t>
      </w:r>
      <w:r w:rsidR="00A72AD5">
        <w:t xml:space="preserve"> </w:t>
      </w:r>
      <w:r>
        <w:t xml:space="preserve">‘All or almost all of the flames in the universe are hot.’ </w:t>
      </w:r>
      <w:r w:rsidR="00733953">
        <w:t>An additional direct inference is need to infer to</w:t>
      </w:r>
      <w:r>
        <w:t xml:space="preserve"> ‘The next flame that we observe will be hot’:</w:t>
      </w:r>
      <w:r w:rsidR="00A11B51" w:rsidRPr="00A11B51">
        <w:t xml:space="preserve"> </w:t>
      </w:r>
    </w:p>
    <w:p w:rsidR="00A11B51" w:rsidRDefault="00A11B51" w:rsidP="00A11B51"/>
    <w:p w:rsidR="00A11B51" w:rsidRPr="00735E53" w:rsidRDefault="00A11B51" w:rsidP="00A11B51">
      <w:r>
        <w:t xml:space="preserve"> </w:t>
      </w:r>
      <w:r w:rsidR="007E1F45">
        <w:t>(1) The next flame that we observe is a flame in the universe.</w:t>
      </w:r>
      <w:r w:rsidRPr="00A11B51">
        <w:t xml:space="preserve"> </w:t>
      </w:r>
    </w:p>
    <w:p w:rsidR="00A11B51" w:rsidRDefault="00A11B51" w:rsidP="00A11B51"/>
    <w:p w:rsidR="00A11B51" w:rsidRPr="00735E53" w:rsidRDefault="00A11B51" w:rsidP="00A11B51">
      <w:r>
        <w:t xml:space="preserve"> </w:t>
      </w:r>
      <w:r w:rsidR="007E1F45">
        <w:t>(2) All or almost all of the flames in the universe are hot.</w:t>
      </w:r>
      <w:r w:rsidR="00D122E4" w:rsidRPr="00D122E4">
        <w:t xml:space="preserve"> </w:t>
      </w:r>
    </w:p>
    <w:p w:rsidR="00A11B51" w:rsidRDefault="00A11B51" w:rsidP="00A11B51"/>
    <w:p w:rsidR="00735E53" w:rsidRPr="00735E53" w:rsidRDefault="007E1F45" w:rsidP="00A11B51">
      <w:r>
        <w:t>Therefore,</w:t>
      </w:r>
      <w:r w:rsidR="000D2907">
        <w:t xml:space="preserve"> defeasibly,</w:t>
      </w:r>
      <w:r>
        <w:t xml:space="preserve"> (3) The next flame that we observe will be hot.</w:t>
      </w:r>
      <w:r w:rsidR="00A72AD5" w:rsidRPr="00A72AD5">
        <w:t xml:space="preserve"> </w:t>
      </w:r>
    </w:p>
    <w:p w:rsidR="00735E53" w:rsidRDefault="00735E53" w:rsidP="008D7827"/>
    <w:p w:rsidR="00B07D30" w:rsidRDefault="007E1F45" w:rsidP="008D7827">
      <w:r>
        <w:tab/>
      </w:r>
      <w:r w:rsidR="00A72AD5">
        <w:t>Since</w:t>
      </w:r>
      <w:r>
        <w:t xml:space="preserve"> this inference is not deductively valid, it is </w:t>
      </w:r>
      <w:r w:rsidR="00E00D9F">
        <w:t>vulnerable</w:t>
      </w:r>
      <w:r>
        <w:t xml:space="preserve"> to defeaters. </w:t>
      </w:r>
      <w:r w:rsidR="00F81F54">
        <w:t>W</w:t>
      </w:r>
      <w:r>
        <w:t xml:space="preserve">e might </w:t>
      </w:r>
      <w:r w:rsidR="008B2139">
        <w:t>discover</w:t>
      </w:r>
      <w:r>
        <w:t xml:space="preserve"> that the flame we are considering is generated by a previously unobserved </w:t>
      </w:r>
      <w:r w:rsidR="00036AD9">
        <w:t>fuel</w:t>
      </w:r>
      <w:r>
        <w:t>, and we</w:t>
      </w:r>
      <w:r w:rsidR="00036AD9">
        <w:t xml:space="preserve"> might</w:t>
      </w:r>
      <w:r>
        <w:t xml:space="preserve"> have strong reasons from theoretical chemistry to expect </w:t>
      </w:r>
      <w:r w:rsidR="00A72AD5">
        <w:t>flames</w:t>
      </w:r>
      <w:r w:rsidR="008B2139">
        <w:t xml:space="preserve"> generated from this fuel</w:t>
      </w:r>
      <w:r>
        <w:t xml:space="preserve"> to be freezing cold</w:t>
      </w:r>
      <w:r>
        <w:rPr>
          <w:rStyle w:val="FootnoteReference"/>
        </w:rPr>
        <w:footnoteReference w:id="40"/>
      </w:r>
      <w:r>
        <w:t>.</w:t>
      </w:r>
      <w:r w:rsidR="00A372EA">
        <w:t xml:space="preserve"> In general, when induction involves a target population that contains the sample, the defeaters can arise only at the level of extrapolation</w:t>
      </w:r>
      <w:r w:rsidR="001A67B6">
        <w:t>, whereas</w:t>
      </w:r>
      <w:r w:rsidR="00A372EA">
        <w:t xml:space="preserve"> in the case of singular predictions they can arise </w:t>
      </w:r>
      <w:r w:rsidR="00A372EA" w:rsidRPr="00A72AD5">
        <w:rPr>
          <w:i/>
          <w:iCs/>
        </w:rPr>
        <w:t>both</w:t>
      </w:r>
      <w:r w:rsidR="00A372EA">
        <w:t xml:space="preserve"> at the level of extrapolation or at the level of direct inference from premises about our intermediary population (flames in the universe) to our target population (the next flame that we observe).</w:t>
      </w:r>
    </w:p>
    <w:p w:rsidR="00B07D30" w:rsidRDefault="00B07D30" w:rsidP="008D7827"/>
    <w:p w:rsidR="009968C2" w:rsidRPr="00A372EA" w:rsidRDefault="00A372EA">
      <w:pPr>
        <w:rPr>
          <w:b/>
          <w:bCs/>
        </w:rPr>
      </w:pPr>
      <w:r>
        <w:rPr>
          <w:b/>
          <w:bCs/>
        </w:rPr>
        <w:t>6.</w:t>
      </w:r>
      <w:r w:rsidR="00B07D30">
        <w:rPr>
          <w:b/>
          <w:bCs/>
        </w:rPr>
        <w:t>6</w:t>
      </w:r>
      <w:r>
        <w:rPr>
          <w:b/>
          <w:bCs/>
        </w:rPr>
        <w:t xml:space="preserve"> The Problem of the Reference Class</w:t>
      </w:r>
    </w:p>
    <w:p w:rsidR="009968C2" w:rsidRDefault="009968C2"/>
    <w:p w:rsidR="006B60FB" w:rsidRPr="006B60FB" w:rsidRDefault="00A372EA" w:rsidP="006B60FB">
      <w:r>
        <w:tab/>
        <w:t>I have made liberal and vague use of the concept of ‘defeaters’ and ‘strengtheners’ in this article. These concepts are familiar in the epistemology of induction</w:t>
      </w:r>
      <w:r w:rsidR="003F1A29">
        <w:t xml:space="preserve"> and </w:t>
      </w:r>
      <w:r>
        <w:t>the reader is entitled to expect some clarification on how they work in the MTI.</w:t>
      </w:r>
      <w:r w:rsidR="00620E0B">
        <w:t xml:space="preserve"> </w:t>
      </w:r>
      <w:r>
        <w:t xml:space="preserve">However, I cannot </w:t>
      </w:r>
      <w:r w:rsidR="005B2594">
        <w:t>fulfil</w:t>
      </w:r>
      <w:r>
        <w:t xml:space="preserve"> these expectations</w:t>
      </w:r>
      <w:r w:rsidR="00720B19">
        <w:t xml:space="preserve"> in this article, and no </w:t>
      </w:r>
      <w:r w:rsidR="002B5FA0">
        <w:t>Nortonian</w:t>
      </w:r>
      <w:r w:rsidR="00720B19">
        <w:t xml:space="preserve"> has done so elsewhere</w:t>
      </w:r>
      <w:r>
        <w:t>.</w:t>
      </w:r>
      <w:r w:rsidR="00620E0B">
        <w:t xml:space="preserve"> The most popular answer in contemporary non-deductive logic is the Bayesian approach: determine the strength of the inference by determining the conditional probability of the hypothesis given </w:t>
      </w:r>
      <w:r w:rsidR="00E02B1B">
        <w:t>your</w:t>
      </w:r>
      <w:r w:rsidR="008F5AA4">
        <w:t xml:space="preserve"> full prior probability distribution</w:t>
      </w:r>
      <w:r w:rsidR="00620E0B">
        <w:t>. Since the MTI forswears prior probabilities, the Bayesian answer to this problem is unavailable.</w:t>
      </w:r>
      <w:r w:rsidR="006B60FB" w:rsidRPr="006B60FB">
        <w:t xml:space="preserve"> </w:t>
      </w:r>
    </w:p>
    <w:p w:rsidR="006B60FB" w:rsidRDefault="006B60FB"/>
    <w:p w:rsidR="006B60FB" w:rsidRPr="00A372EA" w:rsidRDefault="00620E0B" w:rsidP="006B60FB">
      <w:pPr>
        <w:rPr>
          <w:b/>
          <w:bCs/>
        </w:rPr>
      </w:pPr>
      <w:r>
        <w:tab/>
        <w:t xml:space="preserve">Put another way: </w:t>
      </w:r>
      <w:r w:rsidR="00346A19">
        <w:t>I have employed direct inferences to reconcile the MTI with our intuitions at the frontiers of science</w:t>
      </w:r>
      <w:r>
        <w:t xml:space="preserve">. </w:t>
      </w:r>
      <w:r w:rsidR="00F61BCC">
        <w:t>We know</w:t>
      </w:r>
      <w:r>
        <w:t xml:space="preserve"> that such direct inferences are subject to what </w:t>
      </w:r>
      <w:r>
        <w:lastRenderedPageBreak/>
        <w:t>Hans Reichenbach called “The Problem of the Reference Class” (</w:t>
      </w:r>
      <w:r w:rsidR="00B75BFA">
        <w:t>1949</w:t>
      </w:r>
      <w:r w:rsidR="00D77175">
        <w:t>, p. 374</w:t>
      </w:r>
      <w:r>
        <w:t xml:space="preserve">) because in science we always know that our samples are members of many different reference classes and we generally have conflicting </w:t>
      </w:r>
      <w:r w:rsidR="006D25DB">
        <w:t>statistical</w:t>
      </w:r>
      <w:r>
        <w:t xml:space="preserve"> information for these reference classes. </w:t>
      </w:r>
      <w:r w:rsidR="00346A19">
        <w:t>Therefore, i</w:t>
      </w:r>
      <w:r w:rsidR="00A72AD5">
        <w:t>n</w:t>
      </w:r>
      <w:r w:rsidR="00346A19">
        <w:t xml:space="preserve"> the absence of a systematic answer to the Problem of the Reference Class, my use of direct inference </w:t>
      </w:r>
      <w:r w:rsidR="00D12915">
        <w:t>has a problem of fundamental</w:t>
      </w:r>
      <w:r w:rsidR="00346A19">
        <w:t xml:space="preserve"> vagueness.</w:t>
      </w:r>
      <w:r w:rsidR="006D25DB" w:rsidRPr="006D25DB">
        <w:t xml:space="preserve"> </w:t>
      </w:r>
    </w:p>
    <w:p w:rsidR="006B60FB" w:rsidRDefault="006B60FB" w:rsidP="006B60FB"/>
    <w:p w:rsidR="00B07D30" w:rsidRPr="00A372EA" w:rsidRDefault="00346A19" w:rsidP="00B07D30">
      <w:pPr>
        <w:rPr>
          <w:b/>
          <w:bCs/>
        </w:rPr>
      </w:pPr>
      <w:r>
        <w:tab/>
      </w:r>
      <w:r w:rsidR="006D25DB">
        <w:t>In this article</w:t>
      </w:r>
      <w:r>
        <w:t>, I can only say that this is an outstanding</w:t>
      </w:r>
      <w:r w:rsidR="006D25DB">
        <w:t xml:space="preserve"> </w:t>
      </w:r>
      <w:r w:rsidR="006D25DB">
        <w:rPr>
          <w:i/>
          <w:iCs/>
        </w:rPr>
        <w:t>general</w:t>
      </w:r>
      <w:r>
        <w:t xml:space="preserve"> problem for the MTI. For </w:t>
      </w:r>
      <w:r w:rsidR="00F81F54">
        <w:t>instance</w:t>
      </w:r>
      <w:r>
        <w:t>, in the bismuth case, we know that bismuth is a chemical element and that most chemical elements are homogenous in their melting points</w:t>
      </w:r>
      <w:r w:rsidR="006D25DB">
        <w:t>, yet</w:t>
      </w:r>
      <w:r>
        <w:t xml:space="preserve"> we </w:t>
      </w:r>
      <w:r w:rsidRPr="006D25DB">
        <w:t>also</w:t>
      </w:r>
      <w:r>
        <w:t xml:space="preserve"> know that bismuth is a substance and that most substances are </w:t>
      </w:r>
      <w:r w:rsidRPr="006D25DB">
        <w:rPr>
          <w:i/>
          <w:iCs/>
        </w:rPr>
        <w:t>not</w:t>
      </w:r>
      <w:r>
        <w:t xml:space="preserve"> homogenous in their melting points. The resolution of the Problem of the Reference Class is a </w:t>
      </w:r>
      <w:r w:rsidR="006D25DB">
        <w:t>vital</w:t>
      </w:r>
      <w:r>
        <w:t xml:space="preserve"> issue on the agenda of </w:t>
      </w:r>
      <w:r w:rsidR="006D25DB">
        <w:t>material inductivists</w:t>
      </w:r>
      <w:r w:rsidR="008F5AA4">
        <w:t xml:space="preserve">, but </w:t>
      </w:r>
      <w:r>
        <w:t>there is no reason in principle to believe that such a resolution is impossible.</w:t>
      </w:r>
      <w:r w:rsidR="00102A77">
        <w:t xml:space="preserve"> It is a very important inquiry, but it is a matter for another day</w:t>
      </w:r>
      <w:r w:rsidR="00A72AD5">
        <w:rPr>
          <w:rStyle w:val="FootnoteReference"/>
        </w:rPr>
        <w:footnoteReference w:id="41"/>
      </w:r>
      <w:r w:rsidR="00102A77">
        <w:t>.</w:t>
      </w:r>
    </w:p>
    <w:p w:rsidR="00FB35FE" w:rsidRDefault="00FB35FE"/>
    <w:p w:rsidR="009B06D5" w:rsidRPr="00102A77" w:rsidRDefault="00102A77">
      <w:pPr>
        <w:rPr>
          <w:b/>
          <w:bCs/>
        </w:rPr>
      </w:pPr>
      <w:r w:rsidRPr="00102A77">
        <w:rPr>
          <w:b/>
          <w:bCs/>
        </w:rPr>
        <w:t>7. Conclusion</w:t>
      </w:r>
    </w:p>
    <w:p w:rsidR="00B06E2F" w:rsidRDefault="00B06E2F"/>
    <w:p w:rsidR="004B5DDC" w:rsidRPr="00102A77" w:rsidRDefault="007353B9" w:rsidP="004B5DDC">
      <w:pPr>
        <w:rPr>
          <w:b/>
          <w:bCs/>
        </w:rPr>
      </w:pPr>
      <w:r>
        <w:tab/>
      </w:r>
      <w:r w:rsidR="004B5DDC">
        <w:t xml:space="preserve">Even Norton’s critics often agree that the MTI performs well in </w:t>
      </w:r>
      <w:r>
        <w:t xml:space="preserve">the familiar territory of </w:t>
      </w:r>
      <w:r w:rsidR="004B5DDC">
        <w:t>science</w:t>
      </w:r>
      <w:r>
        <w:t xml:space="preserve">. </w:t>
      </w:r>
      <w:r w:rsidR="006D25DB">
        <w:t xml:space="preserve">There is a </w:t>
      </w:r>
      <w:r w:rsidR="00AB28A6">
        <w:t>lively debate</w:t>
      </w:r>
      <w:r w:rsidR="006D25DB">
        <w:t xml:space="preserve"> about whether he can also answer</w:t>
      </w:r>
      <w:r>
        <w:t xml:space="preserve"> the Humean Problem of Induction</w:t>
      </w:r>
      <w:r w:rsidR="004B5DDC">
        <w:t xml:space="preserve"> at the heartland of science</w:t>
      </w:r>
      <w:r>
        <w:t xml:space="preserve">. </w:t>
      </w:r>
      <w:r w:rsidR="004B5DDC">
        <w:t>I have focused upon</w:t>
      </w:r>
      <w:r>
        <w:t xml:space="preserve"> the frontiers of science</w:t>
      </w:r>
      <w:r w:rsidR="006D25DB">
        <w:t>.</w:t>
      </w:r>
      <w:r>
        <w:t xml:space="preserve"> </w:t>
      </w:r>
      <w:r w:rsidR="00E32F9A">
        <w:t xml:space="preserve">Norton’s </w:t>
      </w:r>
      <w:r w:rsidR="00E32F9A">
        <w:rPr>
          <w:i/>
          <w:iCs/>
        </w:rPr>
        <w:t xml:space="preserve">Factivity </w:t>
      </w:r>
      <w:r w:rsidR="00E32F9A">
        <w:t xml:space="preserve">thesis </w:t>
      </w:r>
      <w:r w:rsidR="005B2594">
        <w:t>seems to clash</w:t>
      </w:r>
      <w:r w:rsidR="00E32F9A">
        <w:t xml:space="preserve"> with our intuitions about many inductions at these frontiers. However,</w:t>
      </w:r>
      <w:r>
        <w:t xml:space="preserve"> there are local uniformity principles t</w:t>
      </w:r>
      <w:r w:rsidR="002B5FA0">
        <w:t xml:space="preserve">hat </w:t>
      </w:r>
      <w:r>
        <w:t>assimilate the intuitively rational inductions into the MTI.</w:t>
      </w:r>
      <w:r w:rsidR="006D25DB">
        <w:t xml:space="preserve"> These local uniformity principles concern the minimum proportion of </w:t>
      </w:r>
      <w:r w:rsidR="005B2594">
        <w:t>representative</w:t>
      </w:r>
      <w:r w:rsidR="006D25DB">
        <w:t xml:space="preserve"> subsets of finite </w:t>
      </w:r>
      <w:r w:rsidR="005B2594">
        <w:t>populations</w:t>
      </w:r>
      <w:r w:rsidR="006D25DB">
        <w:t>, which can be calculated using mathematical principles of combinatorics.</w:t>
      </w:r>
      <w:r w:rsidR="004B5DDC" w:rsidRPr="004B5DDC">
        <w:rPr>
          <w:b/>
          <w:bCs/>
        </w:rPr>
        <w:t xml:space="preserve"> </w:t>
      </w:r>
    </w:p>
    <w:p w:rsidR="004B5DDC" w:rsidRDefault="004B5DDC" w:rsidP="004B5DDC"/>
    <w:p w:rsidR="007353B9" w:rsidRDefault="007353B9" w:rsidP="004B5DDC">
      <w:r>
        <w:tab/>
        <w:t xml:space="preserve">I have argued that the frontiers of science pose no particular problem for the MTI. Nothing that I have said entails that the MTI is the One True Theory of Induction. There are </w:t>
      </w:r>
      <w:r w:rsidR="002B5FA0">
        <w:t xml:space="preserve">also </w:t>
      </w:r>
      <w:r>
        <w:t>many questions</w:t>
      </w:r>
      <w:r w:rsidR="00CE3981">
        <w:t xml:space="preserve"> that are</w:t>
      </w:r>
      <w:r>
        <w:t xml:space="preserve"> set aside in this article</w:t>
      </w:r>
      <w:r w:rsidR="002B5FA0">
        <w:t>;</w:t>
      </w:r>
      <w:r w:rsidR="0041520A">
        <w:t xml:space="preserve"> </w:t>
      </w:r>
      <w:r>
        <w:t xml:space="preserve">I do not mean to downplay their importance. </w:t>
      </w:r>
      <w:r w:rsidR="00AB28A6">
        <w:t>I am confident that the</w:t>
      </w:r>
      <w:r w:rsidR="00F03F92">
        <w:t xml:space="preserve"> MTI</w:t>
      </w:r>
      <w:r>
        <w:t xml:space="preserve"> is not the last word on induction</w:t>
      </w:r>
      <w:r w:rsidR="002B5FA0">
        <w:t xml:space="preserve">, but </w:t>
      </w:r>
      <w:r>
        <w:t xml:space="preserve">I have defended its status as a </w:t>
      </w:r>
      <w:r w:rsidR="006D25DB">
        <w:t>live option</w:t>
      </w:r>
      <w:r w:rsidR="001009C3">
        <w:t>.</w:t>
      </w:r>
    </w:p>
    <w:p w:rsidR="0000750F" w:rsidRDefault="0000750F" w:rsidP="004B5DDC"/>
    <w:p w:rsidR="0000750F" w:rsidRDefault="0000750F" w:rsidP="004B5DDC"/>
    <w:p w:rsidR="0000750F" w:rsidRDefault="0000750F" w:rsidP="004B5DDC"/>
    <w:p w:rsidR="0000750F" w:rsidRDefault="0000750F" w:rsidP="004B5DDC"/>
    <w:p w:rsidR="00B06E2F" w:rsidRDefault="00B06E2F"/>
    <w:p w:rsidR="00B06E2F" w:rsidRPr="00102A77" w:rsidRDefault="00B06E2F">
      <w:pPr>
        <w:rPr>
          <w:b/>
          <w:bCs/>
        </w:rPr>
      </w:pPr>
      <w:r w:rsidRPr="00102A77">
        <w:rPr>
          <w:b/>
          <w:bCs/>
        </w:rPr>
        <w:lastRenderedPageBreak/>
        <w:t>References</w:t>
      </w:r>
    </w:p>
    <w:p w:rsidR="00A4537A" w:rsidRDefault="00A4537A" w:rsidP="00872E34">
      <w:pPr>
        <w:spacing w:line="480" w:lineRule="auto"/>
      </w:pPr>
    </w:p>
    <w:p w:rsidR="00872E34" w:rsidRPr="00872E34" w:rsidRDefault="00872E34" w:rsidP="00A973C1">
      <w:pPr>
        <w:spacing w:line="240" w:lineRule="auto"/>
      </w:pPr>
      <w:r>
        <w:rPr>
          <w:b/>
          <w:bCs/>
        </w:rPr>
        <w:t>Achinstein, P.</w:t>
      </w:r>
      <w:r>
        <w:t xml:space="preserve"> 2010. ‘Norton’s “Intractable Problem of Induction”.’ I</w:t>
      </w:r>
      <w:r w:rsidRPr="003F6FBC">
        <w:t xml:space="preserve">n </w:t>
      </w:r>
      <w:r>
        <w:t>Gregory J. Morgan</w:t>
      </w:r>
      <w:r w:rsidRPr="003F6FBC">
        <w:t xml:space="preserve">, (ed), </w:t>
      </w:r>
      <w:r w:rsidRPr="00872E34">
        <w:rPr>
          <w:i/>
          <w:iCs/>
        </w:rPr>
        <w:t>Philosophy of Science Matters: The Philosophy of Peter Achinstein</w:t>
      </w:r>
      <w:r w:rsidRPr="003F6FBC">
        <w:t xml:space="preserve">, </w:t>
      </w:r>
      <w:r>
        <w:t>pp. 284-285. Oxford</w:t>
      </w:r>
      <w:r w:rsidRPr="003F6FBC">
        <w:t xml:space="preserve">: </w:t>
      </w:r>
      <w:r>
        <w:t>Oxford University Press.</w:t>
      </w:r>
    </w:p>
    <w:p w:rsidR="00872E34" w:rsidRDefault="00872E34" w:rsidP="00A973C1">
      <w:pPr>
        <w:spacing w:line="240" w:lineRule="auto"/>
      </w:pPr>
    </w:p>
    <w:p w:rsidR="006B7738" w:rsidRDefault="006B7738" w:rsidP="00A973C1">
      <w:pPr>
        <w:spacing w:line="240" w:lineRule="auto"/>
      </w:pPr>
      <w:r w:rsidRPr="006B7738">
        <w:rPr>
          <w:b/>
          <w:bCs/>
        </w:rPr>
        <w:t>Campbell, S.</w:t>
      </w:r>
      <w:r>
        <w:t xml:space="preserve"> 2001. ‘</w:t>
      </w:r>
      <w:r w:rsidRPr="006B7738">
        <w:t xml:space="preserve">Fixing a </w:t>
      </w:r>
      <w:r>
        <w:t>H</w:t>
      </w:r>
      <w:r w:rsidRPr="006B7738">
        <w:t xml:space="preserve">ole in the </w:t>
      </w:r>
      <w:r>
        <w:t>G</w:t>
      </w:r>
      <w:r w:rsidRPr="006B7738">
        <w:t xml:space="preserve">round of </w:t>
      </w:r>
      <w:r>
        <w:t>I</w:t>
      </w:r>
      <w:r w:rsidRPr="006B7738">
        <w:t>nduction</w:t>
      </w:r>
      <w:r>
        <w:t xml:space="preserve">.’ </w:t>
      </w:r>
      <w:r>
        <w:rPr>
          <w:i/>
          <w:iCs/>
        </w:rPr>
        <w:t>Australasian Journal of Philosophy</w:t>
      </w:r>
      <w:r>
        <w:t>, 79: 553-563.</w:t>
      </w:r>
    </w:p>
    <w:p w:rsidR="00C53B90" w:rsidRDefault="00C53B90" w:rsidP="00A973C1">
      <w:pPr>
        <w:spacing w:line="240" w:lineRule="auto"/>
      </w:pPr>
    </w:p>
    <w:p w:rsidR="002C41C9" w:rsidRDefault="00C53B90" w:rsidP="00A973C1">
      <w:pPr>
        <w:spacing w:line="240" w:lineRule="auto"/>
      </w:pPr>
      <w:r w:rsidRPr="006B7738">
        <w:rPr>
          <w:b/>
          <w:bCs/>
        </w:rPr>
        <w:t>Campbell, S.</w:t>
      </w:r>
      <w:r>
        <w:t xml:space="preserve"> </w:t>
      </w:r>
      <w:r w:rsidRPr="00C53B90">
        <w:rPr>
          <w:b/>
          <w:bCs/>
        </w:rPr>
        <w:t>and</w:t>
      </w:r>
      <w:r>
        <w:t xml:space="preserve"> </w:t>
      </w:r>
      <w:r>
        <w:rPr>
          <w:b/>
          <w:bCs/>
        </w:rPr>
        <w:t>Franklin, J.</w:t>
      </w:r>
      <w:r>
        <w:t xml:space="preserve"> 2004. ‘</w:t>
      </w:r>
      <w:r w:rsidRPr="00C53B90">
        <w:t>Randomness and the Justification of Induction</w:t>
      </w:r>
      <w:r>
        <w:t xml:space="preserve">.’ </w:t>
      </w:r>
      <w:r>
        <w:rPr>
          <w:i/>
          <w:iCs/>
        </w:rPr>
        <w:t>Synthese</w:t>
      </w:r>
      <w:r>
        <w:t>, 138: 79-99.</w:t>
      </w:r>
      <w:r w:rsidR="002C41C9" w:rsidRPr="002C41C9">
        <w:t xml:space="preserve"> </w:t>
      </w:r>
    </w:p>
    <w:p w:rsidR="002C41C9" w:rsidRDefault="002C41C9" w:rsidP="00A973C1">
      <w:pPr>
        <w:spacing w:line="240" w:lineRule="auto"/>
      </w:pPr>
    </w:p>
    <w:p w:rsidR="007F5B80" w:rsidRPr="007F5B80" w:rsidRDefault="007F5B80" w:rsidP="00A973C1">
      <w:pPr>
        <w:spacing w:line="240" w:lineRule="auto"/>
      </w:pPr>
      <w:r>
        <w:rPr>
          <w:b/>
          <w:bCs/>
        </w:rPr>
        <w:t>Cunningham, C. J.</w:t>
      </w:r>
      <w:r>
        <w:t xml:space="preserve"> 2017. </w:t>
      </w:r>
      <w:r w:rsidRPr="007F5B80">
        <w:rPr>
          <w:i/>
          <w:iCs/>
        </w:rPr>
        <w:t>Bode’s Law and the Discovery of Juno: Historical Studies in Asteroid Research</w:t>
      </w:r>
      <w:r>
        <w:rPr>
          <w:i/>
          <w:iCs/>
        </w:rPr>
        <w:t xml:space="preserve">. </w:t>
      </w:r>
      <w:r>
        <w:t>Switzerland: Sprinter International Publishing.</w:t>
      </w:r>
    </w:p>
    <w:p w:rsidR="006B7738" w:rsidRDefault="006B7738" w:rsidP="00A973C1">
      <w:pPr>
        <w:spacing w:line="240" w:lineRule="auto"/>
      </w:pPr>
    </w:p>
    <w:p w:rsidR="009036ED" w:rsidRDefault="00BE5BE9" w:rsidP="00A973C1">
      <w:pPr>
        <w:spacing w:line="240" w:lineRule="auto"/>
        <w:rPr>
          <w:rFonts w:eastAsia="DengXian"/>
          <w:lang w:eastAsia="zh-CN"/>
        </w:rPr>
      </w:pPr>
      <w:r w:rsidRPr="00BE5BE9">
        <w:rPr>
          <w:rFonts w:eastAsia="DengXian"/>
          <w:b/>
          <w:bCs/>
          <w:lang w:eastAsia="zh-CN"/>
        </w:rPr>
        <w:t>Dawid, R.</w:t>
      </w:r>
      <w:r w:rsidRPr="00C869FB">
        <w:rPr>
          <w:rFonts w:eastAsia="DengXian"/>
          <w:lang w:eastAsia="zh-CN"/>
        </w:rPr>
        <w:t xml:space="preserve"> 2015. </w:t>
      </w:r>
      <w:r w:rsidR="005C446D">
        <w:rPr>
          <w:rFonts w:eastAsia="DengXian"/>
          <w:lang w:eastAsia="zh-CN"/>
        </w:rPr>
        <w:t>‘</w:t>
      </w:r>
      <w:r w:rsidRPr="00C869FB">
        <w:rPr>
          <w:rFonts w:eastAsia="DengXian"/>
          <w:lang w:eastAsia="zh-CN"/>
        </w:rPr>
        <w:t xml:space="preserve">Turning Norton’s </w:t>
      </w:r>
      <w:r>
        <w:rPr>
          <w:rFonts w:eastAsia="DengXian"/>
          <w:lang w:eastAsia="zh-CN"/>
        </w:rPr>
        <w:t>D</w:t>
      </w:r>
      <w:r w:rsidRPr="00C869FB">
        <w:rPr>
          <w:rFonts w:eastAsia="DengXian"/>
          <w:lang w:eastAsia="zh-CN"/>
        </w:rPr>
        <w:t xml:space="preserve">ome </w:t>
      </w:r>
      <w:r>
        <w:rPr>
          <w:rFonts w:eastAsia="DengXian"/>
          <w:lang w:eastAsia="zh-CN"/>
        </w:rPr>
        <w:t>A</w:t>
      </w:r>
      <w:r w:rsidRPr="00C869FB">
        <w:rPr>
          <w:rFonts w:eastAsia="DengXian"/>
          <w:lang w:eastAsia="zh-CN"/>
        </w:rPr>
        <w:t xml:space="preserve">gainst </w:t>
      </w:r>
      <w:r>
        <w:rPr>
          <w:rFonts w:eastAsia="DengXian"/>
          <w:lang w:eastAsia="zh-CN"/>
        </w:rPr>
        <w:t>M</w:t>
      </w:r>
      <w:r w:rsidRPr="00C869FB">
        <w:rPr>
          <w:rFonts w:eastAsia="DengXian"/>
          <w:lang w:eastAsia="zh-CN"/>
        </w:rPr>
        <w:t xml:space="preserve">aterial </w:t>
      </w:r>
      <w:r>
        <w:rPr>
          <w:rFonts w:eastAsia="DengXian"/>
          <w:lang w:eastAsia="zh-CN"/>
        </w:rPr>
        <w:t>I</w:t>
      </w:r>
      <w:r w:rsidRPr="00C869FB">
        <w:rPr>
          <w:rFonts w:eastAsia="DengXian"/>
          <w:lang w:eastAsia="zh-CN"/>
        </w:rPr>
        <w:t>nduction.</w:t>
      </w:r>
      <w:r w:rsidR="005C446D">
        <w:rPr>
          <w:rFonts w:eastAsia="DengXian"/>
          <w:lang w:eastAsia="zh-CN"/>
        </w:rPr>
        <w:t>’</w:t>
      </w:r>
      <w:r w:rsidRPr="00C869FB">
        <w:rPr>
          <w:rFonts w:eastAsia="DengXian"/>
          <w:lang w:eastAsia="zh-CN"/>
        </w:rPr>
        <w:t xml:space="preserve"> </w:t>
      </w:r>
      <w:r w:rsidRPr="00C869FB">
        <w:rPr>
          <w:rFonts w:eastAsia="DengXian"/>
          <w:i/>
          <w:lang w:eastAsia="zh-CN"/>
        </w:rPr>
        <w:t>Foundations of Physics</w:t>
      </w:r>
      <w:r w:rsidRPr="00C869FB">
        <w:rPr>
          <w:rFonts w:eastAsia="DengXian"/>
          <w:lang w:eastAsia="zh-CN"/>
        </w:rPr>
        <w:t xml:space="preserve">, </w:t>
      </w:r>
      <w:r w:rsidRPr="00BE5BE9">
        <w:rPr>
          <w:rFonts w:eastAsia="DengXian"/>
          <w:iCs/>
          <w:lang w:eastAsia="zh-CN"/>
        </w:rPr>
        <w:t>45</w:t>
      </w:r>
      <w:r>
        <w:rPr>
          <w:rFonts w:eastAsia="DengXian"/>
          <w:lang w:eastAsia="zh-CN"/>
        </w:rPr>
        <w:t>:</w:t>
      </w:r>
      <w:r w:rsidRPr="00C869FB">
        <w:rPr>
          <w:rFonts w:eastAsia="DengXian"/>
          <w:lang w:eastAsia="zh-CN"/>
        </w:rPr>
        <w:t xml:space="preserve"> 1101-1109.</w:t>
      </w:r>
    </w:p>
    <w:p w:rsidR="009A4035" w:rsidRDefault="009A4035" w:rsidP="00A973C1">
      <w:pPr>
        <w:spacing w:line="240" w:lineRule="auto"/>
        <w:rPr>
          <w:rFonts w:eastAsia="DengXian"/>
          <w:lang w:eastAsia="zh-CN"/>
        </w:rPr>
      </w:pPr>
    </w:p>
    <w:p w:rsidR="009A4035" w:rsidRPr="009A4035" w:rsidRDefault="009A4035" w:rsidP="00A973C1">
      <w:pPr>
        <w:spacing w:line="240" w:lineRule="auto"/>
      </w:pPr>
      <w:r>
        <w:rPr>
          <w:rFonts w:eastAsia="Calibri" w:cs="Times New Roman"/>
          <w:b/>
          <w:bCs/>
          <w:szCs w:val="24"/>
          <w:lang w:eastAsia="en-GB"/>
        </w:rPr>
        <w:t>Descartes, R.</w:t>
      </w:r>
      <w:r w:rsidR="008F5AA4">
        <w:rPr>
          <w:rFonts w:eastAsia="Calibri" w:cs="Times New Roman"/>
          <w:b/>
          <w:bCs/>
          <w:szCs w:val="24"/>
          <w:lang w:eastAsia="en-GB"/>
        </w:rPr>
        <w:t xml:space="preserve"> and Kemp Smith, N.</w:t>
      </w:r>
      <w:r>
        <w:rPr>
          <w:rFonts w:eastAsia="Calibri" w:cs="Times New Roman"/>
          <w:szCs w:val="24"/>
          <w:lang w:eastAsia="en-GB"/>
        </w:rPr>
        <w:t xml:space="preserve"> 1952. </w:t>
      </w:r>
      <w:r w:rsidRPr="009A4035">
        <w:rPr>
          <w:rFonts w:eastAsia="Calibri" w:cs="Times New Roman"/>
          <w:i/>
          <w:iCs/>
          <w:szCs w:val="24"/>
          <w:lang w:eastAsia="en-GB"/>
        </w:rPr>
        <w:t xml:space="preserve">Descartes’ Philosophical </w:t>
      </w:r>
      <w:r>
        <w:rPr>
          <w:rFonts w:eastAsia="Calibri" w:cs="Times New Roman"/>
          <w:i/>
          <w:iCs/>
          <w:szCs w:val="24"/>
          <w:lang w:eastAsia="en-GB"/>
        </w:rPr>
        <w:t>w</w:t>
      </w:r>
      <w:r w:rsidRPr="009A4035">
        <w:rPr>
          <w:rFonts w:eastAsia="Calibri" w:cs="Times New Roman"/>
          <w:i/>
          <w:iCs/>
          <w:szCs w:val="24"/>
          <w:lang w:eastAsia="en-GB"/>
        </w:rPr>
        <w:t>ritings</w:t>
      </w:r>
      <w:r>
        <w:rPr>
          <w:rFonts w:eastAsia="Calibri" w:cs="Times New Roman"/>
          <w:szCs w:val="24"/>
          <w:lang w:eastAsia="en-GB"/>
        </w:rPr>
        <w:t xml:space="preserve">. </w:t>
      </w:r>
      <w:r w:rsidR="008F5AA4">
        <w:rPr>
          <w:rFonts w:eastAsia="Calibri" w:cs="Times New Roman"/>
          <w:szCs w:val="24"/>
          <w:lang w:eastAsia="en-GB"/>
        </w:rPr>
        <w:t>London: Macmillan.</w:t>
      </w:r>
    </w:p>
    <w:p w:rsidR="006D1A4C" w:rsidRDefault="006D1A4C" w:rsidP="00A973C1">
      <w:pPr>
        <w:spacing w:line="240" w:lineRule="auto"/>
      </w:pPr>
    </w:p>
    <w:p w:rsidR="006D1A4C" w:rsidRPr="006D1A4C" w:rsidRDefault="006D1A4C" w:rsidP="00A973C1">
      <w:pPr>
        <w:spacing w:line="240" w:lineRule="auto"/>
      </w:pPr>
      <w:r w:rsidRPr="006D1A4C">
        <w:rPr>
          <w:b/>
          <w:bCs/>
        </w:rPr>
        <w:t>Ducheyne, S.</w:t>
      </w:r>
      <w:r>
        <w:t xml:space="preserve"> 2008. ‘Some Worries for Norton’s Theory of Induction.’ </w:t>
      </w:r>
      <w:r>
        <w:rPr>
          <w:i/>
          <w:iCs/>
        </w:rPr>
        <w:t>Philosophia Naturalis</w:t>
      </w:r>
      <w:r>
        <w:t xml:space="preserve"> 45: 37-46.</w:t>
      </w:r>
    </w:p>
    <w:p w:rsidR="009036ED" w:rsidRDefault="009036ED" w:rsidP="00A973C1">
      <w:pPr>
        <w:spacing w:line="240" w:lineRule="auto"/>
      </w:pPr>
    </w:p>
    <w:p w:rsidR="00B75BFA" w:rsidRPr="009036ED" w:rsidRDefault="009036ED" w:rsidP="00A973C1">
      <w:pPr>
        <w:spacing w:line="240" w:lineRule="auto"/>
      </w:pPr>
      <w:r>
        <w:rPr>
          <w:b/>
          <w:bCs/>
        </w:rPr>
        <w:t>Goodman, N.</w:t>
      </w:r>
      <w:r>
        <w:t xml:space="preserve"> 1954. </w:t>
      </w:r>
      <w:r>
        <w:rPr>
          <w:i/>
          <w:iCs/>
        </w:rPr>
        <w:t>Fact, Fiction, and Forecast</w:t>
      </w:r>
      <w:r>
        <w:t>. Harvard: Harvard University Press.</w:t>
      </w:r>
    </w:p>
    <w:p w:rsidR="00B75BFA" w:rsidRDefault="00B75BFA" w:rsidP="00A973C1">
      <w:pPr>
        <w:spacing w:line="240" w:lineRule="auto"/>
      </w:pPr>
    </w:p>
    <w:p w:rsidR="00BE5BE9" w:rsidRDefault="00B75BFA" w:rsidP="00A973C1">
      <w:pPr>
        <w:spacing w:line="240" w:lineRule="auto"/>
        <w:rPr>
          <w:rFonts w:eastAsia="DengXian"/>
          <w:lang w:eastAsia="zh-CN"/>
        </w:rPr>
      </w:pPr>
      <w:r w:rsidRPr="00B75BFA">
        <w:rPr>
          <w:rFonts w:eastAsia="DengXian"/>
          <w:b/>
          <w:bCs/>
          <w:lang w:eastAsia="zh-CN"/>
        </w:rPr>
        <w:t>Indurkhya, B.</w:t>
      </w:r>
      <w:r w:rsidRPr="00B75BFA">
        <w:rPr>
          <w:rFonts w:eastAsia="DengXian"/>
          <w:lang w:eastAsia="zh-CN"/>
        </w:rPr>
        <w:t xml:space="preserve"> </w:t>
      </w:r>
      <w:r>
        <w:rPr>
          <w:rFonts w:eastAsia="DengXian"/>
          <w:lang w:eastAsia="zh-CN"/>
        </w:rPr>
        <w:t>1990. ‘</w:t>
      </w:r>
      <w:r w:rsidRPr="00B75BFA">
        <w:rPr>
          <w:rFonts w:eastAsia="DengXian"/>
          <w:lang w:eastAsia="zh-CN"/>
        </w:rPr>
        <w:t>Some Remarks on the Rationality of Induction.</w:t>
      </w:r>
      <w:r>
        <w:rPr>
          <w:rFonts w:eastAsia="DengXian"/>
          <w:lang w:eastAsia="zh-CN"/>
        </w:rPr>
        <w:t xml:space="preserve">’ </w:t>
      </w:r>
      <w:r>
        <w:rPr>
          <w:rFonts w:eastAsia="DengXian"/>
          <w:i/>
          <w:iCs/>
          <w:lang w:eastAsia="zh-CN"/>
        </w:rPr>
        <w:t>Synthese</w:t>
      </w:r>
      <w:r>
        <w:rPr>
          <w:rFonts w:eastAsia="DengXian"/>
          <w:lang w:eastAsia="zh-CN"/>
        </w:rPr>
        <w:t>, 85: 95-114.</w:t>
      </w:r>
    </w:p>
    <w:p w:rsidR="00872E34" w:rsidRDefault="00872E34" w:rsidP="00A973C1">
      <w:pPr>
        <w:spacing w:line="240" w:lineRule="auto"/>
        <w:rPr>
          <w:rFonts w:eastAsia="DengXian"/>
          <w:lang w:eastAsia="zh-CN"/>
        </w:rPr>
      </w:pPr>
    </w:p>
    <w:p w:rsidR="006D1A4C" w:rsidRDefault="00872E34" w:rsidP="00A973C1">
      <w:pPr>
        <w:spacing w:line="240" w:lineRule="auto"/>
        <w:rPr>
          <w:rFonts w:eastAsia="DengXian"/>
          <w:lang w:eastAsia="zh-CN"/>
        </w:rPr>
      </w:pPr>
      <w:r>
        <w:rPr>
          <w:rFonts w:eastAsia="DengXian"/>
          <w:b/>
          <w:bCs/>
          <w:lang w:eastAsia="zh-CN"/>
        </w:rPr>
        <w:t>Jackson, A</w:t>
      </w:r>
      <w:r w:rsidRPr="00B75BFA">
        <w:rPr>
          <w:rFonts w:eastAsia="DengXian"/>
          <w:b/>
          <w:bCs/>
          <w:lang w:eastAsia="zh-CN"/>
        </w:rPr>
        <w:t>.</w:t>
      </w:r>
      <w:r w:rsidRPr="00B75BFA">
        <w:rPr>
          <w:rFonts w:eastAsia="DengXian"/>
          <w:lang w:eastAsia="zh-CN"/>
        </w:rPr>
        <w:t xml:space="preserve"> </w:t>
      </w:r>
      <w:r>
        <w:rPr>
          <w:rFonts w:eastAsia="DengXian"/>
          <w:lang w:eastAsia="zh-CN"/>
        </w:rPr>
        <w:t>2019. ‘How to Solve Hume’s Problem of Induction</w:t>
      </w:r>
      <w:r w:rsidRPr="00B75BFA">
        <w:rPr>
          <w:rFonts w:eastAsia="DengXian"/>
          <w:lang w:eastAsia="zh-CN"/>
        </w:rPr>
        <w:t>.</w:t>
      </w:r>
      <w:r>
        <w:rPr>
          <w:rFonts w:eastAsia="DengXian"/>
          <w:lang w:eastAsia="zh-CN"/>
        </w:rPr>
        <w:t xml:space="preserve">’ </w:t>
      </w:r>
      <w:r>
        <w:rPr>
          <w:rFonts w:eastAsia="DengXian"/>
          <w:i/>
          <w:iCs/>
          <w:lang w:eastAsia="zh-CN"/>
        </w:rPr>
        <w:t>Episteme</w:t>
      </w:r>
      <w:r>
        <w:rPr>
          <w:rFonts w:eastAsia="DengXian"/>
          <w:lang w:eastAsia="zh-CN"/>
        </w:rPr>
        <w:t>, 16: 157-174.</w:t>
      </w:r>
    </w:p>
    <w:p w:rsidR="004B1DDE" w:rsidRDefault="004B1DDE" w:rsidP="00A973C1">
      <w:pPr>
        <w:spacing w:line="240" w:lineRule="auto"/>
        <w:rPr>
          <w:rFonts w:eastAsia="DengXian"/>
          <w:lang w:eastAsia="zh-CN"/>
        </w:rPr>
      </w:pPr>
    </w:p>
    <w:p w:rsidR="006D1A4C" w:rsidRPr="00C869FB" w:rsidRDefault="006D1A4C" w:rsidP="00A973C1">
      <w:pPr>
        <w:autoSpaceDE w:val="0"/>
        <w:autoSpaceDN w:val="0"/>
        <w:adjustRightInd w:val="0"/>
        <w:spacing w:after="0" w:line="240" w:lineRule="auto"/>
        <w:rPr>
          <w:i/>
          <w:iCs/>
          <w:lang w:eastAsia="en-GB"/>
        </w:rPr>
      </w:pPr>
      <w:r w:rsidRPr="006D1A4C">
        <w:rPr>
          <w:b/>
          <w:bCs/>
          <w:lang w:eastAsia="en-GB"/>
        </w:rPr>
        <w:t>Kelly, T.</w:t>
      </w:r>
      <w:r w:rsidRPr="00C869FB">
        <w:rPr>
          <w:lang w:eastAsia="en-GB"/>
        </w:rPr>
        <w:t xml:space="preserve"> 2010. Hume, Norton, and </w:t>
      </w:r>
      <w:r>
        <w:rPr>
          <w:lang w:eastAsia="en-GB"/>
        </w:rPr>
        <w:t>I</w:t>
      </w:r>
      <w:r w:rsidRPr="00C869FB">
        <w:rPr>
          <w:lang w:eastAsia="en-GB"/>
        </w:rPr>
        <w:t xml:space="preserve">nduction </w:t>
      </w:r>
      <w:r>
        <w:rPr>
          <w:lang w:eastAsia="en-GB"/>
        </w:rPr>
        <w:t>w</w:t>
      </w:r>
      <w:r w:rsidRPr="00C869FB">
        <w:rPr>
          <w:lang w:eastAsia="en-GB"/>
        </w:rPr>
        <w:t xml:space="preserve">ithout </w:t>
      </w:r>
      <w:r>
        <w:rPr>
          <w:lang w:eastAsia="en-GB"/>
        </w:rPr>
        <w:t>R</w:t>
      </w:r>
      <w:r w:rsidRPr="00C869FB">
        <w:rPr>
          <w:lang w:eastAsia="en-GB"/>
        </w:rPr>
        <w:t xml:space="preserve">ules. </w:t>
      </w:r>
      <w:r w:rsidRPr="00C869FB">
        <w:rPr>
          <w:i/>
          <w:iCs/>
          <w:lang w:eastAsia="en-GB"/>
        </w:rPr>
        <w:t>Philosophy of</w:t>
      </w:r>
    </w:p>
    <w:p w:rsidR="006D1A4C" w:rsidRPr="006D1A4C" w:rsidRDefault="006D1A4C" w:rsidP="00A973C1">
      <w:pPr>
        <w:spacing w:line="240" w:lineRule="auto"/>
        <w:rPr>
          <w:lang w:eastAsia="en-GB"/>
        </w:rPr>
      </w:pPr>
      <w:r w:rsidRPr="00C869FB">
        <w:rPr>
          <w:i/>
          <w:iCs/>
          <w:lang w:eastAsia="en-GB"/>
        </w:rPr>
        <w:t>Science</w:t>
      </w:r>
      <w:r w:rsidRPr="00C869FB">
        <w:rPr>
          <w:iCs/>
          <w:lang w:eastAsia="en-GB"/>
        </w:rPr>
        <w:t>,</w:t>
      </w:r>
      <w:r w:rsidRPr="00C869FB">
        <w:rPr>
          <w:i/>
          <w:iCs/>
          <w:lang w:eastAsia="en-GB"/>
        </w:rPr>
        <w:t xml:space="preserve"> </w:t>
      </w:r>
      <w:r w:rsidRPr="006D1A4C">
        <w:rPr>
          <w:iCs/>
          <w:lang w:eastAsia="en-GB"/>
        </w:rPr>
        <w:t>77</w:t>
      </w:r>
      <w:r>
        <w:rPr>
          <w:lang w:eastAsia="en-GB"/>
        </w:rPr>
        <w:t>:</w:t>
      </w:r>
      <w:r w:rsidRPr="00C869FB">
        <w:rPr>
          <w:lang w:eastAsia="en-GB"/>
        </w:rPr>
        <w:t xml:space="preserve"> 754-764.</w:t>
      </w:r>
    </w:p>
    <w:p w:rsidR="005C446D" w:rsidRDefault="005C446D" w:rsidP="00A973C1">
      <w:pPr>
        <w:spacing w:line="240" w:lineRule="auto"/>
        <w:rPr>
          <w:rFonts w:eastAsia="DengXian"/>
          <w:lang w:eastAsia="zh-CN"/>
        </w:rPr>
      </w:pPr>
    </w:p>
    <w:p w:rsidR="005C446D" w:rsidRPr="005C446D" w:rsidRDefault="005C446D" w:rsidP="00A973C1">
      <w:pPr>
        <w:spacing w:line="240" w:lineRule="auto"/>
      </w:pPr>
      <w:r>
        <w:rPr>
          <w:rFonts w:eastAsia="DengXian"/>
          <w:b/>
          <w:bCs/>
          <w:lang w:eastAsia="zh-CN"/>
        </w:rPr>
        <w:t>Kyburg, H. E.</w:t>
      </w:r>
      <w:r>
        <w:rPr>
          <w:rFonts w:eastAsia="DengXian"/>
          <w:lang w:eastAsia="zh-CN"/>
        </w:rPr>
        <w:t xml:space="preserve"> 1956. ‘The Justification of Induction.’ </w:t>
      </w:r>
      <w:r>
        <w:rPr>
          <w:rFonts w:eastAsia="DengXian"/>
          <w:i/>
          <w:iCs/>
          <w:lang w:eastAsia="zh-CN"/>
        </w:rPr>
        <w:t>Journal of Philosophy</w:t>
      </w:r>
      <w:r>
        <w:rPr>
          <w:rFonts w:eastAsia="DengXian"/>
          <w:lang w:eastAsia="zh-CN"/>
        </w:rPr>
        <w:t xml:space="preserve">, 53: </w:t>
      </w:r>
      <w:r>
        <w:t>394-400.</w:t>
      </w:r>
      <w:r>
        <w:rPr>
          <w:rFonts w:eastAsia="DengXian"/>
          <w:lang w:eastAsia="zh-CN"/>
        </w:rPr>
        <w:t xml:space="preserve"> </w:t>
      </w:r>
    </w:p>
    <w:p w:rsidR="00BE5BE9" w:rsidRDefault="00BE5BE9" w:rsidP="00A973C1">
      <w:pPr>
        <w:spacing w:line="240" w:lineRule="auto"/>
      </w:pPr>
    </w:p>
    <w:p w:rsidR="00A4537A" w:rsidRPr="006B7738" w:rsidRDefault="00A4537A" w:rsidP="00A973C1">
      <w:pPr>
        <w:spacing w:line="240" w:lineRule="auto"/>
        <w:rPr>
          <w:rFonts w:cs="Times New Roman"/>
          <w:szCs w:val="24"/>
        </w:rPr>
      </w:pPr>
      <w:r>
        <w:rPr>
          <w:b/>
          <w:bCs/>
        </w:rPr>
        <w:lastRenderedPageBreak/>
        <w:t>Lange, M.</w:t>
      </w:r>
      <w:r w:rsidRPr="00B06E2F">
        <w:t xml:space="preserve"> 200</w:t>
      </w:r>
      <w:r>
        <w:t>2</w:t>
      </w:r>
      <w:r w:rsidRPr="00B06E2F">
        <w:t>. ‘</w:t>
      </w:r>
      <w:r w:rsidRPr="006B7738">
        <w:rPr>
          <w:rFonts w:cs="Times New Roman"/>
          <w:szCs w:val="24"/>
        </w:rPr>
        <w:t xml:space="preserve">Okasha on Inductive Scepticism.’ </w:t>
      </w:r>
      <w:r w:rsidR="00BE5BE9" w:rsidRPr="006B7738">
        <w:rPr>
          <w:rFonts w:cs="Times New Roman"/>
          <w:i/>
          <w:iCs/>
          <w:szCs w:val="24"/>
        </w:rPr>
        <w:t>Philosophical Quarterly</w:t>
      </w:r>
      <w:r w:rsidRPr="006B7738">
        <w:rPr>
          <w:rFonts w:cs="Times New Roman"/>
          <w:szCs w:val="24"/>
        </w:rPr>
        <w:t xml:space="preserve">, </w:t>
      </w:r>
      <w:r w:rsidR="00BE5BE9" w:rsidRPr="006B7738">
        <w:rPr>
          <w:rFonts w:cs="Times New Roman"/>
          <w:szCs w:val="24"/>
        </w:rPr>
        <w:t>52</w:t>
      </w:r>
      <w:r w:rsidRPr="006B7738">
        <w:rPr>
          <w:rFonts w:cs="Times New Roman"/>
          <w:szCs w:val="24"/>
        </w:rPr>
        <w:t xml:space="preserve">: </w:t>
      </w:r>
      <w:r w:rsidR="00BE5BE9" w:rsidRPr="006B7738">
        <w:rPr>
          <w:rFonts w:cs="Times New Roman"/>
          <w:szCs w:val="24"/>
        </w:rPr>
        <w:t>226-232</w:t>
      </w:r>
      <w:r w:rsidRPr="006B7738">
        <w:rPr>
          <w:rFonts w:cs="Times New Roman"/>
          <w:szCs w:val="24"/>
        </w:rPr>
        <w:t>.</w:t>
      </w:r>
    </w:p>
    <w:p w:rsidR="006B7738" w:rsidRPr="006B7738" w:rsidRDefault="006B7738" w:rsidP="00A973C1">
      <w:pPr>
        <w:spacing w:line="240" w:lineRule="auto"/>
        <w:rPr>
          <w:rFonts w:cs="Times New Roman"/>
          <w:szCs w:val="24"/>
        </w:rPr>
      </w:pPr>
    </w:p>
    <w:p w:rsidR="00B75BFA" w:rsidRDefault="006B7738" w:rsidP="00A973C1">
      <w:pPr>
        <w:spacing w:line="240" w:lineRule="auto"/>
        <w:rPr>
          <w:rFonts w:cs="Times New Roman"/>
          <w:szCs w:val="24"/>
        </w:rPr>
      </w:pPr>
      <w:r>
        <w:rPr>
          <w:b/>
          <w:bCs/>
        </w:rPr>
        <w:t>Lange, M.</w:t>
      </w:r>
      <w:r w:rsidRPr="00B06E2F">
        <w:t xml:space="preserve"> </w:t>
      </w:r>
      <w:r w:rsidRPr="006B7738">
        <w:rPr>
          <w:rFonts w:eastAsia="Calibri" w:cs="Times New Roman"/>
          <w:szCs w:val="24"/>
          <w:lang w:eastAsia="en-GB"/>
        </w:rPr>
        <w:t xml:space="preserve">2011. ‘Hume and the Problem of Induction.’ In D. Gabbay, S. Hartmann and J. Woods (eds), </w:t>
      </w:r>
      <w:r w:rsidRPr="006B7738">
        <w:rPr>
          <w:rFonts w:eastAsia="Calibri" w:cs="Times New Roman"/>
          <w:i/>
          <w:iCs/>
          <w:szCs w:val="24"/>
          <w:lang w:eastAsia="en-GB"/>
        </w:rPr>
        <w:t>Handbook of the History of Logic, Volume 10: Inductive Logic</w:t>
      </w:r>
      <w:r w:rsidRPr="006B7738">
        <w:rPr>
          <w:rFonts w:eastAsia="Calibri" w:cs="Times New Roman"/>
          <w:szCs w:val="24"/>
          <w:lang w:eastAsia="en-GB"/>
        </w:rPr>
        <w:t>, pp. 43–91. Amsterdam: Elsevier.</w:t>
      </w:r>
      <w:r w:rsidR="00B75BFA" w:rsidRPr="00B75BFA">
        <w:rPr>
          <w:rFonts w:cs="Times New Roman"/>
          <w:szCs w:val="24"/>
        </w:rPr>
        <w:t xml:space="preserve"> </w:t>
      </w:r>
    </w:p>
    <w:p w:rsidR="003E3C68" w:rsidRDefault="003E3C68" w:rsidP="00A973C1">
      <w:pPr>
        <w:spacing w:line="240" w:lineRule="auto"/>
        <w:rPr>
          <w:rFonts w:cs="Times New Roman"/>
          <w:szCs w:val="24"/>
        </w:rPr>
      </w:pPr>
    </w:p>
    <w:p w:rsidR="003E3C68" w:rsidRPr="003E3C68" w:rsidRDefault="003E3C68" w:rsidP="00A973C1">
      <w:pPr>
        <w:spacing w:line="240" w:lineRule="auto"/>
        <w:rPr>
          <w:rFonts w:eastAsia="DengXian" w:cs="Times New Roman"/>
          <w:szCs w:val="24"/>
          <w:lang w:eastAsia="zh-CN"/>
        </w:rPr>
      </w:pPr>
      <w:r>
        <w:rPr>
          <w:rFonts w:eastAsia="Calibri" w:cs="Times New Roman"/>
          <w:b/>
          <w:bCs/>
          <w:szCs w:val="24"/>
          <w:lang w:eastAsia="en-GB"/>
        </w:rPr>
        <w:t>Leavitt, H. S.</w:t>
      </w:r>
      <w:r>
        <w:rPr>
          <w:rFonts w:eastAsia="Calibri" w:cs="Times New Roman"/>
          <w:szCs w:val="24"/>
          <w:lang w:eastAsia="en-GB"/>
        </w:rPr>
        <w:t xml:space="preserve"> </w:t>
      </w:r>
      <w:r w:rsidR="00646C1D">
        <w:rPr>
          <w:rFonts w:eastAsia="Calibri" w:cs="Times New Roman"/>
          <w:b/>
          <w:bCs/>
          <w:szCs w:val="24"/>
          <w:lang w:eastAsia="en-GB"/>
        </w:rPr>
        <w:t xml:space="preserve">and Pickering, E. C. </w:t>
      </w:r>
      <w:r w:rsidR="00646C1D">
        <w:rPr>
          <w:rFonts w:eastAsia="Calibri" w:cs="Times New Roman"/>
          <w:szCs w:val="24"/>
          <w:lang w:eastAsia="en-GB"/>
        </w:rPr>
        <w:t>1912</w:t>
      </w:r>
      <w:r>
        <w:rPr>
          <w:rFonts w:eastAsia="Calibri" w:cs="Times New Roman"/>
          <w:szCs w:val="24"/>
          <w:lang w:eastAsia="en-GB"/>
        </w:rPr>
        <w:t>. ‘</w:t>
      </w:r>
      <w:r w:rsidR="00646C1D" w:rsidRPr="00646C1D">
        <w:rPr>
          <w:rFonts w:eastAsia="Calibri" w:cs="Times New Roman"/>
          <w:szCs w:val="24"/>
          <w:lang w:eastAsia="en-GB"/>
        </w:rPr>
        <w:t>Periods of 25 Variable Stars in the Small Magellanic Cloud</w:t>
      </w:r>
      <w:r>
        <w:rPr>
          <w:rFonts w:eastAsia="Calibri" w:cs="Times New Roman"/>
          <w:szCs w:val="24"/>
          <w:lang w:eastAsia="en-GB"/>
        </w:rPr>
        <w:t xml:space="preserve">.’ </w:t>
      </w:r>
      <w:r w:rsidR="00646C1D" w:rsidRPr="00646C1D">
        <w:rPr>
          <w:rFonts w:eastAsia="Calibri" w:cs="Times New Roman"/>
          <w:i/>
          <w:iCs/>
          <w:szCs w:val="24"/>
          <w:lang w:eastAsia="en-GB"/>
        </w:rPr>
        <w:t>Harvard College Observatory Circular</w:t>
      </w:r>
      <w:r>
        <w:rPr>
          <w:rFonts w:eastAsia="Calibri" w:cs="Times New Roman"/>
          <w:szCs w:val="24"/>
          <w:lang w:eastAsia="en-GB"/>
        </w:rPr>
        <w:t xml:space="preserve">, </w:t>
      </w:r>
      <w:r w:rsidR="00646C1D">
        <w:rPr>
          <w:rFonts w:eastAsia="Calibri" w:cs="Times New Roman"/>
          <w:szCs w:val="24"/>
          <w:lang w:eastAsia="en-GB"/>
        </w:rPr>
        <w:t>173</w:t>
      </w:r>
      <w:r>
        <w:rPr>
          <w:rFonts w:eastAsia="Calibri" w:cs="Times New Roman"/>
          <w:szCs w:val="24"/>
          <w:lang w:eastAsia="en-GB"/>
        </w:rPr>
        <w:t xml:space="preserve">: </w:t>
      </w:r>
      <w:r w:rsidR="00646C1D">
        <w:rPr>
          <w:rFonts w:eastAsia="Calibri" w:cs="Times New Roman"/>
          <w:szCs w:val="24"/>
          <w:lang w:eastAsia="en-GB"/>
        </w:rPr>
        <w:t>1</w:t>
      </w:r>
      <w:r>
        <w:rPr>
          <w:rFonts w:eastAsia="Calibri" w:cs="Times New Roman"/>
          <w:szCs w:val="24"/>
          <w:lang w:eastAsia="en-GB"/>
        </w:rPr>
        <w:t>-</w:t>
      </w:r>
      <w:r w:rsidR="00646C1D">
        <w:rPr>
          <w:rFonts w:eastAsia="Calibri" w:cs="Times New Roman"/>
          <w:szCs w:val="24"/>
          <w:lang w:eastAsia="en-GB"/>
        </w:rPr>
        <w:t>3</w:t>
      </w:r>
      <w:r>
        <w:rPr>
          <w:rFonts w:eastAsia="Calibri" w:cs="Times New Roman"/>
          <w:szCs w:val="24"/>
          <w:lang w:eastAsia="en-GB"/>
        </w:rPr>
        <w:t>.</w:t>
      </w:r>
    </w:p>
    <w:p w:rsidR="00B75BFA" w:rsidRPr="006B7738" w:rsidRDefault="00B75BFA" w:rsidP="00A973C1">
      <w:pPr>
        <w:spacing w:line="240" w:lineRule="auto"/>
        <w:rPr>
          <w:rFonts w:cs="Times New Roman"/>
          <w:szCs w:val="24"/>
        </w:rPr>
      </w:pPr>
    </w:p>
    <w:p w:rsidR="00BE5BE9" w:rsidRDefault="00B75BFA" w:rsidP="00A973C1">
      <w:pPr>
        <w:spacing w:line="240" w:lineRule="auto"/>
        <w:rPr>
          <w:rFonts w:eastAsia="DengXian" w:cs="Times New Roman"/>
          <w:szCs w:val="24"/>
          <w:lang w:eastAsia="zh-CN"/>
        </w:rPr>
      </w:pPr>
      <w:r>
        <w:rPr>
          <w:rFonts w:eastAsia="Calibri" w:cs="Times New Roman"/>
          <w:b/>
          <w:bCs/>
          <w:szCs w:val="24"/>
          <w:lang w:eastAsia="en-GB"/>
        </w:rPr>
        <w:t>Maher, P.</w:t>
      </w:r>
      <w:r>
        <w:rPr>
          <w:rFonts w:eastAsia="Calibri" w:cs="Times New Roman"/>
          <w:szCs w:val="24"/>
          <w:lang w:eastAsia="en-GB"/>
        </w:rPr>
        <w:t xml:space="preserve"> 2001. ‘The Hole in the Ground of Induction.’ </w:t>
      </w:r>
      <w:r>
        <w:rPr>
          <w:rFonts w:eastAsia="Calibri" w:cs="Times New Roman"/>
          <w:i/>
          <w:iCs/>
          <w:szCs w:val="24"/>
          <w:lang w:eastAsia="en-GB"/>
        </w:rPr>
        <w:t>Australasian Journal of Philosophy</w:t>
      </w:r>
      <w:r>
        <w:rPr>
          <w:rFonts w:eastAsia="Calibri" w:cs="Times New Roman"/>
          <w:szCs w:val="24"/>
          <w:lang w:eastAsia="en-GB"/>
        </w:rPr>
        <w:t>, 74: 423-432.</w:t>
      </w:r>
    </w:p>
    <w:p w:rsidR="002026A1" w:rsidRDefault="002026A1" w:rsidP="00A973C1">
      <w:pPr>
        <w:autoSpaceDE w:val="0"/>
        <w:autoSpaceDN w:val="0"/>
        <w:adjustRightInd w:val="0"/>
        <w:spacing w:after="0" w:line="240" w:lineRule="auto"/>
        <w:rPr>
          <w:rFonts w:eastAsia="DengXian" w:cs="Times New Roman"/>
          <w:szCs w:val="24"/>
          <w:lang w:eastAsia="zh-CN"/>
        </w:rPr>
      </w:pPr>
    </w:p>
    <w:p w:rsidR="002026A1" w:rsidRPr="002026A1" w:rsidRDefault="002026A1" w:rsidP="00A973C1">
      <w:pPr>
        <w:autoSpaceDE w:val="0"/>
        <w:autoSpaceDN w:val="0"/>
        <w:adjustRightInd w:val="0"/>
        <w:spacing w:after="0" w:line="240" w:lineRule="auto"/>
        <w:rPr>
          <w:rFonts w:cs="Times New Roman"/>
          <w:szCs w:val="24"/>
        </w:rPr>
      </w:pPr>
      <w:r>
        <w:rPr>
          <w:rFonts w:eastAsia="DengXian" w:cs="Times New Roman"/>
          <w:b/>
          <w:bCs/>
          <w:szCs w:val="24"/>
          <w:lang w:eastAsia="zh-CN"/>
        </w:rPr>
        <w:t xml:space="preserve">Nieto, M. M. </w:t>
      </w:r>
      <w:r>
        <w:rPr>
          <w:rFonts w:eastAsia="DengXian" w:cs="Times New Roman"/>
          <w:szCs w:val="24"/>
          <w:lang w:eastAsia="zh-CN"/>
        </w:rPr>
        <w:t xml:space="preserve">1972. </w:t>
      </w:r>
      <w:r w:rsidRPr="002026A1">
        <w:rPr>
          <w:rFonts w:eastAsia="DengXian" w:cs="Times New Roman"/>
          <w:i/>
          <w:iCs/>
          <w:szCs w:val="24"/>
          <w:lang w:eastAsia="zh-CN"/>
        </w:rPr>
        <w:t>The Titius-Bode Law of Planetary Distances: Its History and Theory</w:t>
      </w:r>
      <w:r>
        <w:rPr>
          <w:rFonts w:eastAsia="DengXian" w:cs="Times New Roman"/>
          <w:szCs w:val="24"/>
          <w:lang w:eastAsia="zh-CN"/>
        </w:rPr>
        <w:t xml:space="preserve">. Oxford: </w:t>
      </w:r>
      <w:r w:rsidR="00E32F9A">
        <w:rPr>
          <w:rFonts w:eastAsia="DengXian" w:cs="Times New Roman"/>
          <w:szCs w:val="24"/>
          <w:lang w:eastAsia="zh-CN"/>
        </w:rPr>
        <w:t>Pergamon</w:t>
      </w:r>
      <w:r>
        <w:rPr>
          <w:rFonts w:eastAsia="DengXian" w:cs="Times New Roman"/>
          <w:szCs w:val="24"/>
          <w:lang w:eastAsia="zh-CN"/>
        </w:rPr>
        <w:t xml:space="preserve"> Press.</w:t>
      </w:r>
    </w:p>
    <w:p w:rsidR="00B06E2F" w:rsidRPr="006B7738" w:rsidRDefault="00B06E2F" w:rsidP="00A973C1">
      <w:pPr>
        <w:spacing w:line="240" w:lineRule="auto"/>
        <w:rPr>
          <w:rFonts w:cs="Times New Roman"/>
          <w:szCs w:val="24"/>
        </w:rPr>
      </w:pPr>
    </w:p>
    <w:p w:rsidR="00DF4715" w:rsidRDefault="00B06E2F" w:rsidP="00A973C1">
      <w:pPr>
        <w:spacing w:line="240" w:lineRule="auto"/>
      </w:pPr>
      <w:r w:rsidRPr="00A4537A">
        <w:rPr>
          <w:b/>
          <w:bCs/>
        </w:rPr>
        <w:t>Norton, J.</w:t>
      </w:r>
      <w:r w:rsidRPr="00B06E2F">
        <w:t xml:space="preserve"> </w:t>
      </w:r>
      <w:r w:rsidR="00872E34" w:rsidRPr="00872E34">
        <w:rPr>
          <w:b/>
          <w:bCs/>
        </w:rPr>
        <w:t>D.</w:t>
      </w:r>
      <w:r w:rsidR="00872E34">
        <w:t xml:space="preserve"> </w:t>
      </w:r>
      <w:r w:rsidRPr="00B06E2F">
        <w:t xml:space="preserve">2003. ‘A Material Theory of Induction.’ </w:t>
      </w:r>
      <w:r w:rsidRPr="00A4537A">
        <w:rPr>
          <w:i/>
          <w:iCs/>
        </w:rPr>
        <w:t>Philosophy of Science</w:t>
      </w:r>
      <w:r w:rsidRPr="00B06E2F">
        <w:t>, 70: 647–70.</w:t>
      </w:r>
    </w:p>
    <w:p w:rsidR="00CF3AF1" w:rsidRDefault="00CF3AF1" w:rsidP="00A973C1">
      <w:pPr>
        <w:spacing w:line="240" w:lineRule="auto"/>
      </w:pPr>
    </w:p>
    <w:p w:rsidR="00872E34" w:rsidRDefault="00CF3AF1" w:rsidP="00A973C1">
      <w:pPr>
        <w:spacing w:line="240" w:lineRule="auto"/>
      </w:pPr>
      <w:r w:rsidRPr="00CF3AF1">
        <w:rPr>
          <w:rFonts w:eastAsia="DengXian"/>
          <w:b/>
          <w:bCs/>
          <w:lang w:eastAsia="zh-CN"/>
        </w:rPr>
        <w:t>Norton, J. D.</w:t>
      </w:r>
      <w:r w:rsidRPr="00C869FB">
        <w:rPr>
          <w:rFonts w:eastAsia="DengXian"/>
          <w:lang w:eastAsia="zh-CN"/>
        </w:rPr>
        <w:t xml:space="preserve"> 2006. </w:t>
      </w:r>
      <w:r>
        <w:rPr>
          <w:rFonts w:eastAsia="DengXian"/>
          <w:lang w:eastAsia="zh-CN"/>
        </w:rPr>
        <w:t>‘</w:t>
      </w:r>
      <w:r w:rsidRPr="00C869FB">
        <w:rPr>
          <w:rFonts w:eastAsia="DengXian"/>
          <w:lang w:eastAsia="zh-CN"/>
        </w:rPr>
        <w:t xml:space="preserve">How the </w:t>
      </w:r>
      <w:r>
        <w:rPr>
          <w:rFonts w:eastAsia="DengXian"/>
          <w:lang w:eastAsia="zh-CN"/>
        </w:rPr>
        <w:t>F</w:t>
      </w:r>
      <w:r w:rsidRPr="00C869FB">
        <w:rPr>
          <w:rFonts w:eastAsia="DengXian"/>
          <w:lang w:eastAsia="zh-CN"/>
        </w:rPr>
        <w:t xml:space="preserve">ormal </w:t>
      </w:r>
      <w:r>
        <w:rPr>
          <w:rFonts w:eastAsia="DengXian"/>
          <w:lang w:eastAsia="zh-CN"/>
        </w:rPr>
        <w:t>E</w:t>
      </w:r>
      <w:r w:rsidRPr="00C869FB">
        <w:rPr>
          <w:rFonts w:eastAsia="DengXian"/>
          <w:lang w:eastAsia="zh-CN"/>
        </w:rPr>
        <w:t xml:space="preserve">quivalence of </w:t>
      </w:r>
      <w:r>
        <w:rPr>
          <w:rFonts w:eastAsia="DengXian"/>
          <w:lang w:eastAsia="zh-CN"/>
        </w:rPr>
        <w:t>G</w:t>
      </w:r>
      <w:r w:rsidRPr="00C869FB">
        <w:rPr>
          <w:rFonts w:eastAsia="DengXian"/>
          <w:lang w:eastAsia="zh-CN"/>
        </w:rPr>
        <w:t xml:space="preserve">rue and </w:t>
      </w:r>
      <w:r>
        <w:rPr>
          <w:rFonts w:eastAsia="DengXian"/>
          <w:lang w:eastAsia="zh-CN"/>
        </w:rPr>
        <w:t>G</w:t>
      </w:r>
      <w:r w:rsidRPr="00C869FB">
        <w:rPr>
          <w:rFonts w:eastAsia="DengXian"/>
          <w:lang w:eastAsia="zh-CN"/>
        </w:rPr>
        <w:t xml:space="preserve">reen </w:t>
      </w:r>
      <w:r>
        <w:rPr>
          <w:rFonts w:eastAsia="DengXian"/>
          <w:lang w:eastAsia="zh-CN"/>
        </w:rPr>
        <w:t>D</w:t>
      </w:r>
      <w:r w:rsidRPr="00C869FB">
        <w:rPr>
          <w:rFonts w:eastAsia="DengXian"/>
          <w:lang w:eastAsia="zh-CN"/>
        </w:rPr>
        <w:t xml:space="preserve">efeats </w:t>
      </w:r>
      <w:r>
        <w:rPr>
          <w:rFonts w:eastAsia="DengXian"/>
          <w:lang w:eastAsia="zh-CN"/>
        </w:rPr>
        <w:t>W</w:t>
      </w:r>
      <w:r w:rsidRPr="00C869FB">
        <w:rPr>
          <w:rFonts w:eastAsia="DengXian"/>
          <w:lang w:eastAsia="zh-CN"/>
        </w:rPr>
        <w:t xml:space="preserve">hat is </w:t>
      </w:r>
      <w:r>
        <w:rPr>
          <w:rFonts w:eastAsia="DengXian"/>
          <w:lang w:eastAsia="zh-CN"/>
        </w:rPr>
        <w:t>N</w:t>
      </w:r>
      <w:r w:rsidRPr="00C869FB">
        <w:rPr>
          <w:rFonts w:eastAsia="DengXian"/>
          <w:lang w:eastAsia="zh-CN"/>
        </w:rPr>
        <w:t xml:space="preserve">ew in the </w:t>
      </w:r>
      <w:r>
        <w:rPr>
          <w:rFonts w:eastAsia="DengXian"/>
          <w:lang w:eastAsia="zh-CN"/>
        </w:rPr>
        <w:t>N</w:t>
      </w:r>
      <w:r w:rsidRPr="00C869FB">
        <w:rPr>
          <w:rFonts w:eastAsia="DengXian"/>
          <w:lang w:eastAsia="zh-CN"/>
        </w:rPr>
        <w:t xml:space="preserve">ew </w:t>
      </w:r>
      <w:r>
        <w:rPr>
          <w:rFonts w:eastAsia="DengXian"/>
          <w:lang w:eastAsia="zh-CN"/>
        </w:rPr>
        <w:t>R</w:t>
      </w:r>
      <w:r w:rsidRPr="00C869FB">
        <w:rPr>
          <w:rFonts w:eastAsia="DengXian"/>
          <w:lang w:eastAsia="zh-CN"/>
        </w:rPr>
        <w:t xml:space="preserve">iddle of </w:t>
      </w:r>
      <w:r>
        <w:rPr>
          <w:rFonts w:eastAsia="DengXian"/>
          <w:lang w:eastAsia="zh-CN"/>
        </w:rPr>
        <w:t>I</w:t>
      </w:r>
      <w:r w:rsidRPr="00C869FB">
        <w:rPr>
          <w:rFonts w:eastAsia="DengXian"/>
          <w:lang w:eastAsia="zh-CN"/>
        </w:rPr>
        <w:t>nduction.</w:t>
      </w:r>
      <w:r>
        <w:rPr>
          <w:rFonts w:eastAsia="DengXian"/>
          <w:lang w:eastAsia="zh-CN"/>
        </w:rPr>
        <w:t>’</w:t>
      </w:r>
      <w:r w:rsidRPr="00C869FB">
        <w:rPr>
          <w:rFonts w:eastAsia="DengXian"/>
          <w:lang w:eastAsia="zh-CN"/>
        </w:rPr>
        <w:t xml:space="preserve"> </w:t>
      </w:r>
      <w:r w:rsidRPr="00C869FB">
        <w:rPr>
          <w:rFonts w:eastAsia="DengXian"/>
          <w:i/>
          <w:iCs/>
          <w:lang w:eastAsia="zh-CN"/>
        </w:rPr>
        <w:t>Synthese</w:t>
      </w:r>
      <w:r w:rsidRPr="00C869FB">
        <w:rPr>
          <w:rFonts w:eastAsia="DengXian"/>
          <w:lang w:eastAsia="zh-CN"/>
        </w:rPr>
        <w:t xml:space="preserve">, </w:t>
      </w:r>
      <w:r w:rsidRPr="00CF3AF1">
        <w:rPr>
          <w:rFonts w:eastAsia="DengXian"/>
          <w:iCs/>
          <w:lang w:eastAsia="zh-CN"/>
        </w:rPr>
        <w:t>150</w:t>
      </w:r>
      <w:r>
        <w:rPr>
          <w:rFonts w:eastAsia="DengXian"/>
          <w:lang w:eastAsia="zh-CN"/>
        </w:rPr>
        <w:t>:</w:t>
      </w:r>
      <w:r w:rsidRPr="00C869FB">
        <w:rPr>
          <w:rFonts w:eastAsia="DengXian"/>
          <w:lang w:eastAsia="zh-CN"/>
        </w:rPr>
        <w:t xml:space="preserve"> 185-207.</w:t>
      </w:r>
      <w:r w:rsidR="00872E34" w:rsidRPr="00872E34">
        <w:t xml:space="preserve"> </w:t>
      </w:r>
    </w:p>
    <w:p w:rsidR="00872E34" w:rsidRDefault="00872E34" w:rsidP="00A973C1">
      <w:pPr>
        <w:spacing w:line="240" w:lineRule="auto"/>
      </w:pPr>
    </w:p>
    <w:p w:rsidR="00872E34" w:rsidRDefault="00636344" w:rsidP="00A973C1">
      <w:pPr>
        <w:spacing w:line="240" w:lineRule="auto"/>
      </w:pPr>
      <w:r>
        <w:rPr>
          <w:rFonts w:eastAsia="DengXian"/>
          <w:b/>
          <w:bCs/>
          <w:lang w:eastAsia="zh-CN"/>
        </w:rPr>
        <w:t xml:space="preserve">Norton, J. D. </w:t>
      </w:r>
      <w:r>
        <w:rPr>
          <w:rFonts w:eastAsia="DengXian"/>
          <w:lang w:eastAsia="zh-CN"/>
        </w:rPr>
        <w:t>2007. ‘</w:t>
      </w:r>
      <w:r w:rsidRPr="00636344">
        <w:rPr>
          <w:rFonts w:eastAsia="DengXian"/>
          <w:lang w:eastAsia="zh-CN"/>
        </w:rPr>
        <w:t>Probability Disassembled</w:t>
      </w:r>
      <w:r>
        <w:rPr>
          <w:rFonts w:eastAsia="DengXian"/>
          <w:lang w:eastAsia="zh-CN"/>
        </w:rPr>
        <w:t xml:space="preserve">.’ </w:t>
      </w:r>
      <w:r w:rsidRPr="00636344">
        <w:rPr>
          <w:rFonts w:eastAsia="DengXian"/>
          <w:i/>
          <w:iCs/>
          <w:lang w:eastAsia="zh-CN"/>
        </w:rPr>
        <w:t>British Journal for the Philosophy of Science</w:t>
      </w:r>
      <w:r>
        <w:rPr>
          <w:rFonts w:eastAsia="DengXian"/>
          <w:lang w:eastAsia="zh-CN"/>
        </w:rPr>
        <w:t>,</w:t>
      </w:r>
      <w:r w:rsidRPr="00636344">
        <w:rPr>
          <w:rFonts w:eastAsia="DengXian"/>
          <w:lang w:eastAsia="zh-CN"/>
        </w:rPr>
        <w:t xml:space="preserve"> 58</w:t>
      </w:r>
      <w:r>
        <w:rPr>
          <w:rFonts w:eastAsia="DengXian"/>
          <w:lang w:eastAsia="zh-CN"/>
        </w:rPr>
        <w:t>: 141-171.</w:t>
      </w:r>
      <w:r w:rsidR="00872E34" w:rsidRPr="00872E34">
        <w:rPr>
          <w:rFonts w:eastAsia="Calibri" w:cs="Times New Roman"/>
          <w:szCs w:val="24"/>
          <w:lang w:eastAsia="en-GB"/>
        </w:rPr>
        <w:t xml:space="preserve"> </w:t>
      </w:r>
    </w:p>
    <w:p w:rsidR="00872E34" w:rsidRDefault="00872E34" w:rsidP="00A973C1">
      <w:pPr>
        <w:spacing w:line="240" w:lineRule="auto"/>
      </w:pPr>
    </w:p>
    <w:p w:rsidR="00872E34" w:rsidRDefault="00872E34" w:rsidP="00A973C1">
      <w:pPr>
        <w:spacing w:line="240" w:lineRule="auto"/>
      </w:pPr>
      <w:r>
        <w:rPr>
          <w:b/>
          <w:bCs/>
        </w:rPr>
        <w:t>Norton, J. D.</w:t>
      </w:r>
      <w:r>
        <w:t xml:space="preserve"> 2010. ‘</w:t>
      </w:r>
      <w:r w:rsidRPr="00872E34">
        <w:t>Observationally Indistinguishable Spacetimes: A Challenge for Any Inductivist</w:t>
      </w:r>
      <w:r>
        <w:t>.’ I</w:t>
      </w:r>
      <w:r w:rsidRPr="003F6FBC">
        <w:t xml:space="preserve">n </w:t>
      </w:r>
      <w:r>
        <w:t>Gregory J. Morgan</w:t>
      </w:r>
      <w:r w:rsidRPr="003F6FBC">
        <w:t xml:space="preserve">, (ed), </w:t>
      </w:r>
      <w:r w:rsidRPr="00872E34">
        <w:rPr>
          <w:i/>
          <w:iCs/>
        </w:rPr>
        <w:t>Philosophy of Science Matters: The Philosophy of Peter Achinstein</w:t>
      </w:r>
      <w:r w:rsidRPr="003F6FBC">
        <w:t xml:space="preserve">, </w:t>
      </w:r>
      <w:r>
        <w:t>pp. 284-285. Oxford</w:t>
      </w:r>
      <w:r w:rsidRPr="003F6FBC">
        <w:t xml:space="preserve">: </w:t>
      </w:r>
      <w:r>
        <w:t>Oxford University Press.</w:t>
      </w:r>
      <w:r w:rsidRPr="00872E34">
        <w:rPr>
          <w:rFonts w:eastAsia="DengXian"/>
          <w:lang w:eastAsia="zh-CN"/>
        </w:rPr>
        <w:t xml:space="preserve"> </w:t>
      </w:r>
    </w:p>
    <w:p w:rsidR="00872E34" w:rsidRDefault="00872E34" w:rsidP="00A973C1">
      <w:pPr>
        <w:spacing w:line="240" w:lineRule="auto"/>
      </w:pPr>
    </w:p>
    <w:p w:rsidR="00872E34" w:rsidRDefault="00636344" w:rsidP="00A973C1">
      <w:pPr>
        <w:spacing w:line="240" w:lineRule="auto"/>
      </w:pPr>
      <w:r w:rsidRPr="00636344">
        <w:rPr>
          <w:rFonts w:eastAsia="Calibri" w:cs="Times New Roman"/>
          <w:b/>
          <w:bCs/>
          <w:szCs w:val="24"/>
          <w:lang w:eastAsia="en-GB"/>
        </w:rPr>
        <w:t>Norton, John. D.</w:t>
      </w:r>
      <w:r>
        <w:rPr>
          <w:rFonts w:eastAsia="Calibri" w:cs="Times New Roman"/>
          <w:szCs w:val="24"/>
          <w:lang w:eastAsia="en-GB"/>
        </w:rPr>
        <w:t xml:space="preserve"> 2011. ‘Challenges to Bayesian Confirmation Theory.’ In Prasanta S. Bandyopadhyay and Malcolm R. Forster (eds), </w:t>
      </w:r>
      <w:r>
        <w:rPr>
          <w:rFonts w:eastAsia="Calibri" w:cs="Times New Roman"/>
          <w:i/>
          <w:iCs/>
          <w:szCs w:val="24"/>
          <w:lang w:eastAsia="en-GB"/>
        </w:rPr>
        <w:t xml:space="preserve">Philosophy of Statistics </w:t>
      </w:r>
      <w:r>
        <w:rPr>
          <w:rFonts w:eastAsia="Calibri" w:cs="Times New Roman"/>
          <w:szCs w:val="24"/>
          <w:lang w:eastAsia="en-GB"/>
        </w:rPr>
        <w:t>pp. 391-440. Oxford: Elsevier B. V.</w:t>
      </w:r>
      <w:r w:rsidR="00872E34" w:rsidRPr="00872E34">
        <w:t xml:space="preserve"> </w:t>
      </w:r>
    </w:p>
    <w:p w:rsidR="00872E34" w:rsidRDefault="00872E34" w:rsidP="00A973C1">
      <w:pPr>
        <w:spacing w:line="240" w:lineRule="auto"/>
      </w:pPr>
    </w:p>
    <w:p w:rsidR="00DF4715" w:rsidRDefault="00DF4715" w:rsidP="00A973C1">
      <w:pPr>
        <w:spacing w:after="0" w:line="240" w:lineRule="auto"/>
      </w:pPr>
      <w:r w:rsidRPr="00DF4715">
        <w:rPr>
          <w:b/>
          <w:bCs/>
        </w:rPr>
        <w:t>Norton, J. D.</w:t>
      </w:r>
      <w:r>
        <w:t xml:space="preserve"> 2014. ‘A Material Dissolution of the Problem of Induction.’ </w:t>
      </w:r>
      <w:r w:rsidRPr="00DF4715">
        <w:rPr>
          <w:i/>
          <w:iCs/>
        </w:rPr>
        <w:t>Synthese</w:t>
      </w:r>
      <w:r>
        <w:t>,</w:t>
      </w:r>
    </w:p>
    <w:p w:rsidR="00DF4715" w:rsidRDefault="00DF4715" w:rsidP="00A973C1">
      <w:pPr>
        <w:spacing w:line="240" w:lineRule="auto"/>
      </w:pPr>
      <w:r>
        <w:t>191: 671-690.</w:t>
      </w:r>
    </w:p>
    <w:p w:rsidR="006D1A4C" w:rsidRDefault="006D1A4C" w:rsidP="00A973C1">
      <w:pPr>
        <w:spacing w:line="240" w:lineRule="auto"/>
      </w:pPr>
    </w:p>
    <w:p w:rsidR="006D1A4C" w:rsidRDefault="006D1A4C" w:rsidP="00A973C1">
      <w:pPr>
        <w:spacing w:line="240" w:lineRule="auto"/>
        <w:rPr>
          <w:lang w:eastAsia="en-GB"/>
        </w:rPr>
      </w:pPr>
      <w:r w:rsidRPr="006D1A4C">
        <w:rPr>
          <w:b/>
          <w:bCs/>
          <w:lang w:eastAsia="en-GB"/>
        </w:rPr>
        <w:t>Okasha, S.</w:t>
      </w:r>
      <w:r w:rsidRPr="00596EB0">
        <w:rPr>
          <w:lang w:eastAsia="en-GB"/>
        </w:rPr>
        <w:t xml:space="preserve"> 2005. </w:t>
      </w:r>
      <w:r>
        <w:rPr>
          <w:lang w:eastAsia="en-GB"/>
        </w:rPr>
        <w:t>‘</w:t>
      </w:r>
      <w:r w:rsidRPr="00596EB0">
        <w:rPr>
          <w:lang w:eastAsia="en-GB"/>
        </w:rPr>
        <w:t xml:space="preserve">Does Hume's </w:t>
      </w:r>
      <w:r>
        <w:rPr>
          <w:lang w:eastAsia="en-GB"/>
        </w:rPr>
        <w:t>A</w:t>
      </w:r>
      <w:r w:rsidRPr="00596EB0">
        <w:rPr>
          <w:lang w:eastAsia="en-GB"/>
        </w:rPr>
        <w:t xml:space="preserve">rgument </w:t>
      </w:r>
      <w:r>
        <w:rPr>
          <w:lang w:eastAsia="en-GB"/>
        </w:rPr>
        <w:t>A</w:t>
      </w:r>
      <w:r w:rsidRPr="00596EB0">
        <w:rPr>
          <w:lang w:eastAsia="en-GB"/>
        </w:rPr>
        <w:t xml:space="preserve">gainst </w:t>
      </w:r>
      <w:r>
        <w:rPr>
          <w:lang w:eastAsia="en-GB"/>
        </w:rPr>
        <w:t>I</w:t>
      </w:r>
      <w:r w:rsidRPr="00596EB0">
        <w:rPr>
          <w:lang w:eastAsia="en-GB"/>
        </w:rPr>
        <w:t xml:space="preserve">nduction </w:t>
      </w:r>
      <w:r>
        <w:rPr>
          <w:lang w:eastAsia="en-GB"/>
        </w:rPr>
        <w:t>R</w:t>
      </w:r>
      <w:r w:rsidRPr="00596EB0">
        <w:rPr>
          <w:lang w:eastAsia="en-GB"/>
        </w:rPr>
        <w:t>est</w:t>
      </w:r>
      <w:r>
        <w:rPr>
          <w:lang w:eastAsia="en-GB"/>
        </w:rPr>
        <w:t xml:space="preserve"> on a Quantifier-shift Fallacy?’ </w:t>
      </w:r>
      <w:r w:rsidRPr="00596EB0">
        <w:rPr>
          <w:i/>
          <w:iCs/>
          <w:lang w:eastAsia="en-GB"/>
        </w:rPr>
        <w:t>Proceedings of the Aristotelian Society</w:t>
      </w:r>
      <w:r w:rsidRPr="00596EB0">
        <w:rPr>
          <w:lang w:eastAsia="en-GB"/>
        </w:rPr>
        <w:t xml:space="preserve">, </w:t>
      </w:r>
      <w:r w:rsidRPr="006D1A4C">
        <w:rPr>
          <w:lang w:eastAsia="en-GB"/>
        </w:rPr>
        <w:t>105</w:t>
      </w:r>
      <w:r>
        <w:rPr>
          <w:lang w:eastAsia="en-GB"/>
        </w:rPr>
        <w:t>:</w:t>
      </w:r>
      <w:r w:rsidRPr="00596EB0">
        <w:rPr>
          <w:lang w:eastAsia="en-GB"/>
        </w:rPr>
        <w:t xml:space="preserve"> 237-255.</w:t>
      </w:r>
    </w:p>
    <w:p w:rsidR="00CC1D86" w:rsidRDefault="00CC1D86" w:rsidP="00A973C1">
      <w:pPr>
        <w:spacing w:line="240" w:lineRule="auto"/>
        <w:rPr>
          <w:lang w:eastAsia="en-GB"/>
        </w:rPr>
      </w:pPr>
    </w:p>
    <w:p w:rsidR="00CC1D86" w:rsidRPr="00CC1D86" w:rsidRDefault="00CC1D86" w:rsidP="00A973C1">
      <w:pPr>
        <w:spacing w:line="240" w:lineRule="auto"/>
      </w:pPr>
      <w:r>
        <w:rPr>
          <w:b/>
          <w:bCs/>
        </w:rPr>
        <w:lastRenderedPageBreak/>
        <w:t xml:space="preserve">Peden, W. </w:t>
      </w:r>
      <w:r>
        <w:t xml:space="preserve">2019. ‘Direct Inference in the Material Theory of Induction.’ </w:t>
      </w:r>
      <w:r>
        <w:rPr>
          <w:i/>
          <w:iCs/>
        </w:rPr>
        <w:t>Philosophy of Science</w:t>
      </w:r>
      <w:r>
        <w:t>, 86: 672-695.</w:t>
      </w:r>
    </w:p>
    <w:p w:rsidR="00127C70" w:rsidRDefault="00127C70" w:rsidP="00A973C1">
      <w:pPr>
        <w:spacing w:line="240" w:lineRule="auto"/>
        <w:rPr>
          <w:lang w:eastAsia="en-GB"/>
        </w:rPr>
      </w:pPr>
    </w:p>
    <w:p w:rsidR="00127C70" w:rsidRDefault="00127C70" w:rsidP="00A973C1">
      <w:pPr>
        <w:spacing w:line="240" w:lineRule="auto"/>
      </w:pPr>
      <w:r>
        <w:rPr>
          <w:rFonts w:eastAsia="DengXian"/>
          <w:b/>
          <w:bCs/>
          <w:lang w:eastAsia="zh-CN"/>
        </w:rPr>
        <w:t>Pollock, J. L</w:t>
      </w:r>
      <w:r w:rsidRPr="00CF3AF1">
        <w:rPr>
          <w:rFonts w:eastAsia="DengXian"/>
          <w:b/>
          <w:bCs/>
          <w:lang w:eastAsia="zh-CN"/>
        </w:rPr>
        <w:t>.</w:t>
      </w:r>
      <w:r w:rsidRPr="00C869FB">
        <w:rPr>
          <w:rFonts w:eastAsia="DengXian"/>
          <w:lang w:eastAsia="zh-CN"/>
        </w:rPr>
        <w:t xml:space="preserve"> </w:t>
      </w:r>
      <w:r>
        <w:rPr>
          <w:rFonts w:eastAsia="DengXian"/>
          <w:lang w:eastAsia="zh-CN"/>
        </w:rPr>
        <w:t>1983</w:t>
      </w:r>
      <w:r w:rsidRPr="00C869FB">
        <w:rPr>
          <w:rFonts w:eastAsia="DengXian"/>
          <w:lang w:eastAsia="zh-CN"/>
        </w:rPr>
        <w:t xml:space="preserve">. </w:t>
      </w:r>
      <w:r>
        <w:rPr>
          <w:rFonts w:eastAsia="DengXian"/>
          <w:lang w:eastAsia="zh-CN"/>
        </w:rPr>
        <w:t>‘Epistemology and Probability</w:t>
      </w:r>
      <w:r w:rsidRPr="00C869FB">
        <w:rPr>
          <w:rFonts w:eastAsia="DengXian"/>
          <w:lang w:eastAsia="zh-CN"/>
        </w:rPr>
        <w:t>.</w:t>
      </w:r>
      <w:r>
        <w:rPr>
          <w:rFonts w:eastAsia="DengXian"/>
          <w:lang w:eastAsia="zh-CN"/>
        </w:rPr>
        <w:t>’</w:t>
      </w:r>
      <w:r w:rsidRPr="00C869FB">
        <w:rPr>
          <w:rFonts w:eastAsia="DengXian"/>
          <w:lang w:eastAsia="zh-CN"/>
        </w:rPr>
        <w:t xml:space="preserve"> </w:t>
      </w:r>
      <w:r w:rsidRPr="00C869FB">
        <w:rPr>
          <w:rFonts w:eastAsia="DengXian"/>
          <w:i/>
          <w:iCs/>
          <w:lang w:eastAsia="zh-CN"/>
        </w:rPr>
        <w:t>Synthese</w:t>
      </w:r>
      <w:r w:rsidRPr="00C869FB">
        <w:rPr>
          <w:rFonts w:eastAsia="DengXian"/>
          <w:lang w:eastAsia="zh-CN"/>
        </w:rPr>
        <w:t xml:space="preserve">, </w:t>
      </w:r>
      <w:r>
        <w:rPr>
          <w:rFonts w:eastAsia="DengXian"/>
          <w:iCs/>
          <w:lang w:eastAsia="zh-CN"/>
        </w:rPr>
        <w:t>55</w:t>
      </w:r>
      <w:r>
        <w:rPr>
          <w:rFonts w:eastAsia="DengXian"/>
          <w:lang w:eastAsia="zh-CN"/>
        </w:rPr>
        <w:t>:</w:t>
      </w:r>
      <w:r w:rsidRPr="00C869FB">
        <w:rPr>
          <w:rFonts w:eastAsia="DengXian"/>
          <w:lang w:eastAsia="zh-CN"/>
        </w:rPr>
        <w:t xml:space="preserve"> </w:t>
      </w:r>
      <w:r>
        <w:rPr>
          <w:rFonts w:eastAsia="DengXian"/>
          <w:lang w:eastAsia="zh-CN"/>
        </w:rPr>
        <w:t>231</w:t>
      </w:r>
      <w:r w:rsidRPr="00C869FB">
        <w:rPr>
          <w:rFonts w:eastAsia="DengXian"/>
          <w:lang w:eastAsia="zh-CN"/>
        </w:rPr>
        <w:t>-</w:t>
      </w:r>
      <w:r>
        <w:rPr>
          <w:rFonts w:eastAsia="DengXian"/>
          <w:lang w:eastAsia="zh-CN"/>
        </w:rPr>
        <w:t>252</w:t>
      </w:r>
      <w:r w:rsidRPr="00C869FB">
        <w:rPr>
          <w:rFonts w:eastAsia="DengXian"/>
          <w:lang w:eastAsia="zh-CN"/>
        </w:rPr>
        <w:t>.</w:t>
      </w:r>
      <w:r w:rsidRPr="00872E34">
        <w:t xml:space="preserve"> </w:t>
      </w:r>
    </w:p>
    <w:p w:rsidR="00A72AD5" w:rsidRDefault="00A72AD5" w:rsidP="00A973C1">
      <w:pPr>
        <w:spacing w:line="240" w:lineRule="auto"/>
        <w:rPr>
          <w:lang w:eastAsia="en-GB"/>
        </w:rPr>
      </w:pPr>
    </w:p>
    <w:p w:rsidR="00A72AD5" w:rsidRDefault="00A72AD5" w:rsidP="00A973C1">
      <w:pPr>
        <w:spacing w:line="240" w:lineRule="auto"/>
        <w:rPr>
          <w:lang w:eastAsia="en-GB"/>
        </w:rPr>
      </w:pPr>
      <w:r>
        <w:rPr>
          <w:b/>
          <w:bCs/>
          <w:lang w:eastAsia="en-GB"/>
        </w:rPr>
        <w:t>Pollok, J. L.</w:t>
      </w:r>
      <w:r>
        <w:rPr>
          <w:lang w:eastAsia="en-GB"/>
        </w:rPr>
        <w:t xml:space="preserve"> 1990. </w:t>
      </w:r>
      <w:r>
        <w:rPr>
          <w:i/>
          <w:iCs/>
          <w:lang w:eastAsia="en-GB"/>
        </w:rPr>
        <w:t>Nomic Probability and the Foundations of Induction</w:t>
      </w:r>
      <w:r>
        <w:rPr>
          <w:lang w:eastAsia="en-GB"/>
        </w:rPr>
        <w:t>. New York: Oxford University Press.</w:t>
      </w:r>
    </w:p>
    <w:p w:rsidR="00FE210D" w:rsidRDefault="00FE210D" w:rsidP="00A973C1">
      <w:pPr>
        <w:spacing w:line="240" w:lineRule="auto"/>
        <w:rPr>
          <w:lang w:eastAsia="en-GB"/>
        </w:rPr>
      </w:pPr>
    </w:p>
    <w:p w:rsidR="00FE210D" w:rsidRPr="00FE210D" w:rsidRDefault="00FE210D" w:rsidP="00A973C1">
      <w:pPr>
        <w:spacing w:line="240" w:lineRule="auto"/>
      </w:pPr>
      <w:r w:rsidRPr="00FE210D">
        <w:rPr>
          <w:b/>
          <w:bCs/>
          <w:lang w:eastAsia="en-GB"/>
        </w:rPr>
        <w:t xml:space="preserve">Ramachandran, </w:t>
      </w:r>
      <w:r>
        <w:rPr>
          <w:b/>
          <w:bCs/>
          <w:lang w:eastAsia="en-GB"/>
        </w:rPr>
        <w:t>K.</w:t>
      </w:r>
      <w:r w:rsidRPr="00FE210D">
        <w:rPr>
          <w:b/>
          <w:bCs/>
          <w:lang w:eastAsia="en-GB"/>
        </w:rPr>
        <w:t xml:space="preserve"> M. and Tsokos, </w:t>
      </w:r>
      <w:r>
        <w:rPr>
          <w:b/>
          <w:bCs/>
          <w:lang w:eastAsia="en-GB"/>
        </w:rPr>
        <w:t>C.</w:t>
      </w:r>
      <w:r w:rsidRPr="00FE210D">
        <w:rPr>
          <w:b/>
          <w:bCs/>
          <w:lang w:eastAsia="en-GB"/>
        </w:rPr>
        <w:t xml:space="preserve"> P.</w:t>
      </w:r>
      <w:r>
        <w:rPr>
          <w:lang w:eastAsia="en-GB"/>
        </w:rPr>
        <w:t xml:space="preserve"> 2009. </w:t>
      </w:r>
      <w:r w:rsidRPr="00FE210D">
        <w:rPr>
          <w:i/>
          <w:iCs/>
          <w:lang w:eastAsia="en-GB"/>
        </w:rPr>
        <w:t>Mathematical Statistics with Applications</w:t>
      </w:r>
      <w:r>
        <w:t>. London: Elsevier Academic Press.</w:t>
      </w:r>
    </w:p>
    <w:p w:rsidR="00B75BFA" w:rsidRDefault="00B75BFA" w:rsidP="00A973C1">
      <w:pPr>
        <w:spacing w:line="240" w:lineRule="auto"/>
      </w:pPr>
    </w:p>
    <w:p w:rsidR="00B75BFA" w:rsidRDefault="00B75BFA" w:rsidP="00A973C1">
      <w:pPr>
        <w:autoSpaceDE w:val="0"/>
        <w:autoSpaceDN w:val="0"/>
        <w:adjustRightInd w:val="0"/>
        <w:spacing w:after="0" w:line="240" w:lineRule="auto"/>
        <w:rPr>
          <w:rFonts w:eastAsia="Calibri" w:cs="Times New Roman"/>
          <w:szCs w:val="24"/>
          <w:lang w:eastAsia="en-GB"/>
        </w:rPr>
      </w:pPr>
      <w:r w:rsidRPr="00B75BFA">
        <w:rPr>
          <w:rFonts w:eastAsia="Calibri" w:cs="Times New Roman"/>
          <w:b/>
          <w:bCs/>
          <w:szCs w:val="24"/>
          <w:lang w:eastAsia="en-GB"/>
        </w:rPr>
        <w:t>Reichenbach, H.</w:t>
      </w:r>
      <w:r>
        <w:rPr>
          <w:rFonts w:eastAsia="Calibri" w:cs="Times New Roman"/>
          <w:szCs w:val="24"/>
          <w:lang w:eastAsia="en-GB"/>
        </w:rPr>
        <w:t xml:space="preserve"> 1949. </w:t>
      </w:r>
      <w:r>
        <w:rPr>
          <w:rFonts w:eastAsia="Calibri" w:cs="Times New Roman"/>
          <w:i/>
          <w:iCs/>
          <w:szCs w:val="24"/>
          <w:lang w:eastAsia="en-GB"/>
        </w:rPr>
        <w:t>The Theory of Probability</w:t>
      </w:r>
      <w:r>
        <w:rPr>
          <w:rFonts w:eastAsia="Calibri" w:cs="Times New Roman"/>
          <w:szCs w:val="24"/>
          <w:lang w:eastAsia="en-GB"/>
        </w:rPr>
        <w:t>. Berkeley: University of California</w:t>
      </w:r>
    </w:p>
    <w:p w:rsidR="00B75BFA" w:rsidRDefault="00B75BFA" w:rsidP="00A973C1">
      <w:pPr>
        <w:spacing w:line="240" w:lineRule="auto"/>
        <w:rPr>
          <w:rFonts w:eastAsia="Calibri" w:cs="Times New Roman"/>
          <w:szCs w:val="24"/>
          <w:lang w:eastAsia="en-GB"/>
        </w:rPr>
      </w:pPr>
      <w:r>
        <w:rPr>
          <w:rFonts w:eastAsia="Calibri" w:cs="Times New Roman"/>
          <w:szCs w:val="24"/>
          <w:lang w:eastAsia="en-GB"/>
        </w:rPr>
        <w:t>Press.</w:t>
      </w:r>
    </w:p>
    <w:p w:rsidR="00EE30DC" w:rsidRDefault="00EE30DC" w:rsidP="00A973C1">
      <w:pPr>
        <w:spacing w:line="240" w:lineRule="auto"/>
        <w:rPr>
          <w:rFonts w:eastAsia="Calibri" w:cs="Times New Roman"/>
          <w:szCs w:val="24"/>
          <w:lang w:eastAsia="en-GB"/>
        </w:rPr>
      </w:pPr>
    </w:p>
    <w:p w:rsidR="00EE30DC" w:rsidRPr="00EE30DC" w:rsidRDefault="00EE30DC" w:rsidP="00A973C1">
      <w:pPr>
        <w:spacing w:line="240" w:lineRule="auto"/>
        <w:rPr>
          <w:rFonts w:eastAsia="Calibri" w:cs="Times New Roman"/>
          <w:szCs w:val="24"/>
          <w:lang w:eastAsia="en-GB"/>
        </w:rPr>
      </w:pPr>
      <w:r>
        <w:rPr>
          <w:rFonts w:eastAsia="Calibri" w:cs="Times New Roman"/>
          <w:b/>
          <w:bCs/>
          <w:szCs w:val="24"/>
          <w:lang w:eastAsia="en-GB"/>
        </w:rPr>
        <w:t>Ross, W. D.</w:t>
      </w:r>
      <w:r>
        <w:rPr>
          <w:rFonts w:eastAsia="Calibri" w:cs="Times New Roman"/>
          <w:szCs w:val="24"/>
          <w:lang w:eastAsia="en-GB"/>
        </w:rPr>
        <w:t xml:space="preserve"> 1930. </w:t>
      </w:r>
      <w:r>
        <w:rPr>
          <w:rFonts w:eastAsia="Calibri" w:cs="Times New Roman"/>
          <w:i/>
          <w:iCs/>
          <w:szCs w:val="24"/>
          <w:lang w:eastAsia="en-GB"/>
        </w:rPr>
        <w:t>The Right and the Good</w:t>
      </w:r>
      <w:r>
        <w:rPr>
          <w:rFonts w:eastAsia="Calibri" w:cs="Times New Roman"/>
          <w:szCs w:val="24"/>
          <w:lang w:eastAsia="en-GB"/>
        </w:rPr>
        <w:t>. Oxford: Clarendon Press.</w:t>
      </w:r>
    </w:p>
    <w:p w:rsidR="00A64771" w:rsidRDefault="00A64771" w:rsidP="00A973C1">
      <w:pPr>
        <w:spacing w:line="240" w:lineRule="auto"/>
        <w:rPr>
          <w:rFonts w:eastAsia="Calibri" w:cs="Times New Roman"/>
          <w:szCs w:val="24"/>
          <w:lang w:eastAsia="en-GB"/>
        </w:rPr>
      </w:pPr>
    </w:p>
    <w:p w:rsidR="00A64771" w:rsidRDefault="00A64771" w:rsidP="00A973C1">
      <w:pPr>
        <w:spacing w:line="240" w:lineRule="auto"/>
      </w:pPr>
      <w:r w:rsidRPr="00A64771">
        <w:rPr>
          <w:b/>
          <w:bCs/>
        </w:rPr>
        <w:t>Russell, B.</w:t>
      </w:r>
      <w:r w:rsidRPr="00A64771">
        <w:t xml:space="preserve"> 1912. </w:t>
      </w:r>
      <w:r w:rsidRPr="00A64771">
        <w:rPr>
          <w:i/>
          <w:iCs/>
        </w:rPr>
        <w:t>The Problems of Philosophy</w:t>
      </w:r>
      <w:r w:rsidRPr="00A64771">
        <w:t>. London: Williams and Norgate.</w:t>
      </w:r>
    </w:p>
    <w:p w:rsidR="009D1DDA" w:rsidRDefault="009D1DDA" w:rsidP="00A973C1">
      <w:pPr>
        <w:spacing w:line="240" w:lineRule="auto"/>
      </w:pPr>
    </w:p>
    <w:p w:rsidR="009D1DDA" w:rsidRPr="009D1DDA" w:rsidRDefault="009D1DDA" w:rsidP="00A973C1">
      <w:pPr>
        <w:autoSpaceDE w:val="0"/>
        <w:autoSpaceDN w:val="0"/>
        <w:adjustRightInd w:val="0"/>
        <w:spacing w:after="0" w:line="240" w:lineRule="auto"/>
        <w:rPr>
          <w:rFonts w:eastAsia="DengXian"/>
          <w:lang w:eastAsia="zh-CN"/>
        </w:rPr>
      </w:pPr>
      <w:r>
        <w:rPr>
          <w:rFonts w:eastAsia="Calibri" w:cs="Times New Roman"/>
          <w:b/>
          <w:bCs/>
          <w:szCs w:val="24"/>
          <w:lang w:eastAsia="en-GB"/>
        </w:rPr>
        <w:t>Saatsi, J</w:t>
      </w:r>
      <w:r w:rsidRPr="00636344">
        <w:rPr>
          <w:rFonts w:eastAsia="Calibri" w:cs="Times New Roman"/>
          <w:b/>
          <w:bCs/>
          <w:szCs w:val="24"/>
          <w:lang w:eastAsia="en-GB"/>
        </w:rPr>
        <w:t>.</w:t>
      </w:r>
      <w:r>
        <w:rPr>
          <w:rFonts w:eastAsia="Calibri" w:cs="Times New Roman"/>
          <w:szCs w:val="24"/>
          <w:lang w:eastAsia="en-GB"/>
        </w:rPr>
        <w:t xml:space="preserve"> 2010. ‘</w:t>
      </w:r>
      <w:r w:rsidRPr="009D1DDA">
        <w:rPr>
          <w:rFonts w:eastAsia="Calibri" w:cs="Times New Roman"/>
          <w:szCs w:val="24"/>
          <w:lang w:eastAsia="en-GB"/>
        </w:rPr>
        <w:t>Form-</w:t>
      </w:r>
      <w:r>
        <w:rPr>
          <w:rFonts w:eastAsia="Calibri" w:cs="Times New Roman"/>
          <w:szCs w:val="24"/>
          <w:lang w:eastAsia="en-GB"/>
        </w:rPr>
        <w:t>D</w:t>
      </w:r>
      <w:r w:rsidRPr="009D1DDA">
        <w:rPr>
          <w:rFonts w:eastAsia="Calibri" w:cs="Times New Roman"/>
          <w:szCs w:val="24"/>
          <w:lang w:eastAsia="en-GB"/>
        </w:rPr>
        <w:t xml:space="preserve">riven vs. </w:t>
      </w:r>
      <w:r>
        <w:rPr>
          <w:rFonts w:eastAsia="Calibri" w:cs="Times New Roman"/>
          <w:szCs w:val="24"/>
          <w:lang w:eastAsia="en-GB"/>
        </w:rPr>
        <w:t>C</w:t>
      </w:r>
      <w:r w:rsidRPr="009D1DDA">
        <w:rPr>
          <w:rFonts w:eastAsia="Calibri" w:cs="Times New Roman"/>
          <w:szCs w:val="24"/>
          <w:lang w:eastAsia="en-GB"/>
        </w:rPr>
        <w:t>ontent-</w:t>
      </w:r>
      <w:r>
        <w:rPr>
          <w:rFonts w:eastAsia="Calibri" w:cs="Times New Roman"/>
          <w:szCs w:val="24"/>
          <w:lang w:eastAsia="en-GB"/>
        </w:rPr>
        <w:t>D</w:t>
      </w:r>
      <w:r w:rsidRPr="009D1DDA">
        <w:rPr>
          <w:rFonts w:eastAsia="Calibri" w:cs="Times New Roman"/>
          <w:szCs w:val="24"/>
          <w:lang w:eastAsia="en-GB"/>
        </w:rPr>
        <w:t xml:space="preserve">riven </w:t>
      </w:r>
      <w:r>
        <w:rPr>
          <w:rFonts w:eastAsia="Calibri" w:cs="Times New Roman"/>
          <w:szCs w:val="24"/>
          <w:lang w:eastAsia="en-GB"/>
        </w:rPr>
        <w:t>A</w:t>
      </w:r>
      <w:r w:rsidRPr="009D1DDA">
        <w:rPr>
          <w:rFonts w:eastAsia="Calibri" w:cs="Times New Roman"/>
          <w:szCs w:val="24"/>
          <w:lang w:eastAsia="en-GB"/>
        </w:rPr>
        <w:t xml:space="preserve">rguments </w:t>
      </w:r>
      <w:r>
        <w:rPr>
          <w:rFonts w:eastAsia="Calibri" w:cs="Times New Roman"/>
          <w:szCs w:val="24"/>
          <w:lang w:eastAsia="en-GB"/>
        </w:rPr>
        <w:t>f</w:t>
      </w:r>
      <w:r w:rsidRPr="009D1DDA">
        <w:rPr>
          <w:rFonts w:eastAsia="Calibri" w:cs="Times New Roman"/>
          <w:szCs w:val="24"/>
          <w:lang w:eastAsia="en-GB"/>
        </w:rPr>
        <w:t xml:space="preserve">or </w:t>
      </w:r>
      <w:r>
        <w:rPr>
          <w:rFonts w:eastAsia="Calibri" w:cs="Times New Roman"/>
          <w:szCs w:val="24"/>
          <w:lang w:eastAsia="en-GB"/>
        </w:rPr>
        <w:t>R</w:t>
      </w:r>
      <w:r w:rsidRPr="009D1DDA">
        <w:rPr>
          <w:rFonts w:eastAsia="Calibri" w:cs="Times New Roman"/>
          <w:szCs w:val="24"/>
          <w:lang w:eastAsia="en-GB"/>
        </w:rPr>
        <w:t>ealism</w:t>
      </w:r>
      <w:r>
        <w:rPr>
          <w:rFonts w:eastAsia="Calibri" w:cs="Times New Roman"/>
          <w:szCs w:val="24"/>
          <w:lang w:eastAsia="en-GB"/>
        </w:rPr>
        <w:t xml:space="preserve">.’ In </w:t>
      </w:r>
      <w:r>
        <w:t xml:space="preserve">P. D. Magnus and J. Busch </w:t>
      </w:r>
      <w:r>
        <w:rPr>
          <w:rFonts w:eastAsia="Calibri" w:cs="Times New Roman"/>
          <w:szCs w:val="24"/>
          <w:lang w:eastAsia="en-GB"/>
        </w:rPr>
        <w:t xml:space="preserve">(eds), </w:t>
      </w:r>
      <w:r w:rsidRPr="009D1DDA">
        <w:rPr>
          <w:i/>
          <w:iCs/>
        </w:rPr>
        <w:t>New Waves in Philosophy of Science</w:t>
      </w:r>
      <w:r>
        <w:t xml:space="preserve">, </w:t>
      </w:r>
      <w:r w:rsidRPr="009D1DDA">
        <w:rPr>
          <w:rFonts w:eastAsia="Calibri" w:cs="Times New Roman"/>
          <w:szCs w:val="24"/>
          <w:lang w:eastAsia="en-GB"/>
        </w:rPr>
        <w:t>pp</w:t>
      </w:r>
      <w:r>
        <w:rPr>
          <w:rFonts w:eastAsia="Calibri" w:cs="Times New Roman"/>
          <w:szCs w:val="24"/>
          <w:lang w:eastAsia="en-GB"/>
        </w:rPr>
        <w:t xml:space="preserve">. 8-28. London: </w:t>
      </w:r>
      <w:r>
        <w:t>Palgrave-Macmillan.</w:t>
      </w:r>
    </w:p>
    <w:p w:rsidR="000A4695" w:rsidRDefault="000A4695" w:rsidP="00A973C1">
      <w:pPr>
        <w:spacing w:line="240" w:lineRule="auto"/>
      </w:pPr>
    </w:p>
    <w:p w:rsidR="006D1A4C" w:rsidRDefault="000A4695" w:rsidP="00A973C1">
      <w:pPr>
        <w:spacing w:line="240" w:lineRule="auto"/>
      </w:pPr>
      <w:r>
        <w:rPr>
          <w:b/>
          <w:bCs/>
        </w:rPr>
        <w:t>Smart, B. T.</w:t>
      </w:r>
      <w:r>
        <w:t xml:space="preserve"> 2013. ‘</w:t>
      </w:r>
      <w:r w:rsidRPr="000A4695">
        <w:t xml:space="preserve">Is the Humean </w:t>
      </w:r>
      <w:r>
        <w:t>D</w:t>
      </w:r>
      <w:r w:rsidRPr="000A4695">
        <w:t xml:space="preserve">efeated by </w:t>
      </w:r>
      <w:r>
        <w:t>I</w:t>
      </w:r>
      <w:r w:rsidRPr="000A4695">
        <w:t>nduction?</w:t>
      </w:r>
      <w:r>
        <w:t xml:space="preserve">’ </w:t>
      </w:r>
      <w:r>
        <w:rPr>
          <w:i/>
          <w:iCs/>
        </w:rPr>
        <w:t>Philosophical Studies</w:t>
      </w:r>
      <w:r w:rsidR="006D1A4C">
        <w:t>,</w:t>
      </w:r>
      <w:r>
        <w:t xml:space="preserve"> 162: 319-332.</w:t>
      </w:r>
    </w:p>
    <w:p w:rsidR="006D1A4C" w:rsidRDefault="006D1A4C" w:rsidP="00A973C1">
      <w:pPr>
        <w:spacing w:line="240" w:lineRule="auto"/>
        <w:rPr>
          <w:b/>
          <w:bCs/>
        </w:rPr>
      </w:pPr>
    </w:p>
    <w:p w:rsidR="006D1A4C" w:rsidRPr="006D1A4C" w:rsidRDefault="006D1A4C" w:rsidP="00A973C1">
      <w:pPr>
        <w:spacing w:line="240" w:lineRule="auto"/>
      </w:pPr>
      <w:r>
        <w:rPr>
          <w:b/>
          <w:bCs/>
        </w:rPr>
        <w:t xml:space="preserve">Steel, D. </w:t>
      </w:r>
      <w:r>
        <w:t>2010. ‘</w:t>
      </w:r>
      <w:r w:rsidRPr="006D1A4C">
        <w:t>What If the Principle of Induction Is Normative? Formal Learning Theory and Hume’s Problem</w:t>
      </w:r>
      <w:r>
        <w:t xml:space="preserve">.’ </w:t>
      </w:r>
      <w:r>
        <w:rPr>
          <w:i/>
          <w:iCs/>
        </w:rPr>
        <w:t>International Studies in the Philosophy of Science</w:t>
      </w:r>
      <w:r>
        <w:t>, 24: 171-185.</w:t>
      </w:r>
    </w:p>
    <w:p w:rsidR="00DF4715" w:rsidRDefault="00DF4715" w:rsidP="00A973C1">
      <w:pPr>
        <w:spacing w:line="240" w:lineRule="auto"/>
      </w:pPr>
    </w:p>
    <w:p w:rsidR="00B06E2F" w:rsidRDefault="005C446D" w:rsidP="00A973C1">
      <w:pPr>
        <w:spacing w:line="240" w:lineRule="auto"/>
        <w:rPr>
          <w:lang w:eastAsia="en-GB"/>
        </w:rPr>
      </w:pPr>
      <w:r>
        <w:rPr>
          <w:b/>
          <w:bCs/>
        </w:rPr>
        <w:t>Stove, D. C.</w:t>
      </w:r>
      <w:r>
        <w:t xml:space="preserve"> 1986. </w:t>
      </w:r>
      <w:r>
        <w:rPr>
          <w:i/>
          <w:iCs/>
        </w:rPr>
        <w:t>The Rationality of Induction</w:t>
      </w:r>
      <w:r>
        <w:t xml:space="preserve">. </w:t>
      </w:r>
      <w:r w:rsidRPr="00C869FB">
        <w:rPr>
          <w:lang w:eastAsia="en-GB"/>
        </w:rPr>
        <w:t>Oxford: Oxford University Press.</w:t>
      </w:r>
    </w:p>
    <w:p w:rsidR="006D1A4C" w:rsidRDefault="006D1A4C" w:rsidP="00A973C1">
      <w:pPr>
        <w:spacing w:line="240" w:lineRule="auto"/>
        <w:rPr>
          <w:lang w:eastAsia="en-GB"/>
        </w:rPr>
      </w:pPr>
    </w:p>
    <w:p w:rsidR="006D1A4C" w:rsidRPr="006D1A4C" w:rsidRDefault="006D1A4C" w:rsidP="00A973C1">
      <w:pPr>
        <w:spacing w:line="240" w:lineRule="auto"/>
      </w:pPr>
      <w:r>
        <w:rPr>
          <w:b/>
          <w:bCs/>
          <w:lang w:eastAsia="en-GB"/>
        </w:rPr>
        <w:t>Worrall, J.</w:t>
      </w:r>
      <w:r>
        <w:t xml:space="preserve"> 2010. ‘For Universal Rules, Against Induction.’ </w:t>
      </w:r>
      <w:r>
        <w:rPr>
          <w:i/>
          <w:iCs/>
        </w:rPr>
        <w:t>Philosophy of Science</w:t>
      </w:r>
      <w:r>
        <w:t xml:space="preserve">, 77: 740-753. </w:t>
      </w:r>
      <w:bookmarkStart w:id="1" w:name="_GoBack"/>
      <w:bookmarkEnd w:id="1"/>
    </w:p>
    <w:sectPr w:rsidR="006D1A4C" w:rsidRPr="006D1A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7DB" w:rsidRDefault="003847DB" w:rsidP="0009068B">
      <w:pPr>
        <w:spacing w:after="0" w:line="240" w:lineRule="auto"/>
      </w:pPr>
      <w:r>
        <w:separator/>
      </w:r>
    </w:p>
  </w:endnote>
  <w:endnote w:type="continuationSeparator" w:id="0">
    <w:p w:rsidR="003847DB" w:rsidRDefault="003847DB" w:rsidP="0009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7DB" w:rsidRDefault="003847DB" w:rsidP="0009068B">
      <w:pPr>
        <w:spacing w:after="0" w:line="240" w:lineRule="auto"/>
      </w:pPr>
      <w:r>
        <w:separator/>
      </w:r>
    </w:p>
  </w:footnote>
  <w:footnote w:type="continuationSeparator" w:id="0">
    <w:p w:rsidR="003847DB" w:rsidRDefault="003847DB" w:rsidP="0009068B">
      <w:pPr>
        <w:spacing w:after="0" w:line="240" w:lineRule="auto"/>
      </w:pPr>
      <w:r>
        <w:continuationSeparator/>
      </w:r>
    </w:p>
  </w:footnote>
  <w:footnote w:id="1">
    <w:p w:rsidR="008B2139" w:rsidRDefault="008B2139">
      <w:pPr>
        <w:pStyle w:val="FootnoteText"/>
      </w:pPr>
      <w:r>
        <w:rPr>
          <w:rStyle w:val="FootnoteReference"/>
        </w:rPr>
        <w:footnoteRef/>
      </w:r>
      <w:r>
        <w:t xml:space="preserve"> Throughout, I use </w:t>
      </w:r>
      <w:r w:rsidR="005955F1">
        <w:t>‘</w:t>
      </w:r>
      <w:r>
        <w:t>single inverted commas</w:t>
      </w:r>
      <w:r w:rsidR="005955F1">
        <w:t xml:space="preserve">’ </w:t>
      </w:r>
      <w:r>
        <w:t>to refer to words</w:t>
      </w:r>
      <w:r w:rsidR="0080206F">
        <w:t>, phrases,</w:t>
      </w:r>
      <w:r>
        <w:t xml:space="preserve"> and sentences</w:t>
      </w:r>
      <w:r w:rsidR="0080206F">
        <w:t xml:space="preserve">; </w:t>
      </w:r>
      <w:r w:rsidR="005955F1">
        <w:t>“</w:t>
      </w:r>
      <w:r>
        <w:t>double inverted commas” for quotation.</w:t>
      </w:r>
    </w:p>
  </w:footnote>
  <w:footnote w:id="2">
    <w:p w:rsidR="008B2139" w:rsidRDefault="008B2139">
      <w:pPr>
        <w:pStyle w:val="FootnoteText"/>
      </w:pPr>
      <w:r>
        <w:rPr>
          <w:rStyle w:val="FootnoteReference"/>
        </w:rPr>
        <w:footnoteRef/>
      </w:r>
      <w:r>
        <w:t xml:space="preserve"> </w:t>
      </w:r>
      <w:r>
        <w:rPr>
          <w:rFonts w:cs="Times New Roman"/>
          <w:szCs w:val="24"/>
        </w:rPr>
        <w:t>Direct inference can also involve multiple statements about distinct supersets. I shall not discuss more complex direct inferences.</w:t>
      </w:r>
    </w:p>
  </w:footnote>
  <w:footnote w:id="3">
    <w:p w:rsidR="008B2139" w:rsidRDefault="008B2139">
      <w:pPr>
        <w:pStyle w:val="FootnoteText"/>
      </w:pPr>
      <w:r>
        <w:rPr>
          <w:rStyle w:val="FootnoteReference"/>
        </w:rPr>
        <w:footnoteRef/>
      </w:r>
      <w:r>
        <w:t xml:space="preserve"> To be precise, it is defeasible in the sense of having an “undercutting” defeater, which undermines the rationality of the inference.</w:t>
      </w:r>
      <w:r w:rsidR="00A57325">
        <w:t xml:space="preserve"> A defeater is a proposition which, if we justifiably belief it, makes the defeated inference (epistemically) irrational.</w:t>
      </w:r>
      <w:r>
        <w:t xml:space="preserve"> Deductive inference is also defeasible, in the different sense that we can have “rebutting” defeaters, which make it unreasonable to continue to accept at least one crucial premise in the deduction (Pollock, 1983 p. 233).</w:t>
      </w:r>
    </w:p>
  </w:footnote>
  <w:footnote w:id="4">
    <w:p w:rsidR="008B2139" w:rsidRPr="0009068B" w:rsidRDefault="008B2139">
      <w:pPr>
        <w:pStyle w:val="FootnoteText"/>
        <w:rPr>
          <w:i/>
          <w:iCs/>
        </w:rPr>
      </w:pPr>
      <w:r>
        <w:rPr>
          <w:rStyle w:val="FootnoteReference"/>
        </w:rPr>
        <w:footnoteRef/>
      </w:r>
      <w:r>
        <w:t xml:space="preserve"> Richard Dawid (2015) also discusses a particular case of the frontiers of science as a problem for Norton’s theory, but the relevant details are too complex to discuss here.</w:t>
      </w:r>
    </w:p>
  </w:footnote>
  <w:footnote w:id="5">
    <w:p w:rsidR="008B2139" w:rsidRDefault="008B2139">
      <w:pPr>
        <w:pStyle w:val="FootnoteText"/>
      </w:pPr>
      <w:r>
        <w:rPr>
          <w:rStyle w:val="FootnoteReference"/>
        </w:rPr>
        <w:footnoteRef/>
      </w:r>
      <w:r>
        <w:t xml:space="preserve"> Cepheids are stars that pulsate radially with regularities in both their pulsation pattern and the amplitude of the pulsations’ brightness.</w:t>
      </w:r>
    </w:p>
  </w:footnote>
  <w:footnote w:id="6">
    <w:p w:rsidR="008B2139" w:rsidRPr="00474B10" w:rsidRDefault="008B2139">
      <w:pPr>
        <w:pStyle w:val="FootnoteText"/>
      </w:pPr>
      <w:r>
        <w:rPr>
          <w:rStyle w:val="FootnoteReference"/>
        </w:rPr>
        <w:footnoteRef/>
      </w:r>
      <w:r>
        <w:t xml:space="preserve"> A “random variable” is actually a function for assigning numerical values to outcomes, e.g. the numbers 1 to 6 for the outcomes of a six-sided die throw. In this case, these numbers could be ‘1’ for satisfying Leavitt’s regularity and ‘0’ for not doing so.</w:t>
      </w:r>
      <w:r w:rsidR="00E92363">
        <w:t xml:space="preserve"> By “typical random variable”, I mean one with a finite mean and variance, with a unique value for every member of its domain.</w:t>
      </w:r>
    </w:p>
  </w:footnote>
  <w:footnote w:id="7">
    <w:p w:rsidR="008B2139" w:rsidRPr="00486A19" w:rsidRDefault="008B2139">
      <w:pPr>
        <w:pStyle w:val="FootnoteText"/>
      </w:pPr>
      <w:r>
        <w:rPr>
          <w:rStyle w:val="FootnoteReference"/>
        </w:rPr>
        <w:footnoteRef/>
      </w:r>
      <w:r>
        <w:t xml:space="preserve"> The difference is important because in order for there to be a minimum proportion of representative samples, there needs to be a mean for the random variable in question. This mean might not exist in there is an infinite population.</w:t>
      </w:r>
    </w:p>
  </w:footnote>
  <w:footnote w:id="8">
    <w:p w:rsidR="008B2139" w:rsidRDefault="008B2139">
      <w:pPr>
        <w:pStyle w:val="FootnoteText"/>
      </w:pPr>
      <w:r>
        <w:rPr>
          <w:rStyle w:val="FootnoteReference"/>
        </w:rPr>
        <w:footnoteRef/>
      </w:r>
      <w:r>
        <w:t xml:space="preserve"> As applied to finite frequencies, rather than epistemic probabilities, propensities etc.</w:t>
      </w:r>
    </w:p>
  </w:footnote>
  <w:footnote w:id="9">
    <w:p w:rsidR="006F74DF" w:rsidRDefault="006F74DF">
      <w:pPr>
        <w:pStyle w:val="FootnoteText"/>
      </w:pPr>
      <w:r>
        <w:rPr>
          <w:rStyle w:val="FootnoteReference"/>
        </w:rPr>
        <w:footnoteRef/>
      </w:r>
      <w:r>
        <w:t xml:space="preserve"> For this example, I am especially grateful to an anonymous reviewer for advice on which details to cover and which to leave aside.</w:t>
      </w:r>
    </w:p>
  </w:footnote>
  <w:footnote w:id="10">
    <w:p w:rsidR="00894993" w:rsidRDefault="00894993" w:rsidP="00894993">
      <w:pPr>
        <w:pStyle w:val="FootnoteText"/>
      </w:pPr>
      <w:r>
        <w:rPr>
          <w:rStyle w:val="FootnoteReference"/>
        </w:rPr>
        <w:footnoteRef/>
      </w:r>
      <w:r>
        <w:t xml:space="preserve"> In some cases, we can use a normal distribution to conveniently approximate the values, but this approximation is unreliable under a variety of conditions, including when the sample sizes are small.</w:t>
      </w:r>
    </w:p>
  </w:footnote>
  <w:footnote w:id="11">
    <w:p w:rsidR="005A4BCC" w:rsidRDefault="005A4BCC">
      <w:pPr>
        <w:pStyle w:val="FootnoteText"/>
      </w:pPr>
      <w:r>
        <w:rPr>
          <w:rStyle w:val="FootnoteReference"/>
        </w:rPr>
        <w:footnoteRef/>
      </w:r>
      <w:r>
        <w:t xml:space="preserve"> </w:t>
      </w:r>
      <w:r w:rsidR="00894993">
        <w:t xml:space="preserve">The exact proportion is very slightly above </w:t>
      </w:r>
      <w:r w:rsidR="00CF7996">
        <w:t>77</w:t>
      </w:r>
      <w:r w:rsidR="00894993">
        <w:t xml:space="preserve">%. </w:t>
      </w:r>
      <w:r>
        <w:t>For the often-used 95% confidence level, we can calculate that</w:t>
      </w:r>
      <w:r w:rsidRPr="005A4BCC">
        <w:t xml:space="preserve"> ~95% of 25-fold binomial samples, all of them with the value ‘1’, will match the population within a margin of error of </w:t>
      </w:r>
      <w:r w:rsidR="00CF7996">
        <w:t>40.89</w:t>
      </w:r>
      <w:r w:rsidRPr="005A4BCC">
        <w:t>%</w:t>
      </w:r>
      <w:r w:rsidR="00CF7996">
        <w:t>, which is very broad, but at least somewhat informative.</w:t>
      </w:r>
    </w:p>
  </w:footnote>
  <w:footnote w:id="12">
    <w:p w:rsidR="00A241F1" w:rsidRPr="00817ABA" w:rsidRDefault="00A241F1" w:rsidP="00A241F1">
      <w:pPr>
        <w:pStyle w:val="FootnoteText"/>
      </w:pPr>
      <w:r>
        <w:rPr>
          <w:rStyle w:val="FootnoteReference"/>
        </w:rPr>
        <w:footnoteRef/>
      </w:r>
      <w:r>
        <w:t xml:space="preserve"> I mean ‘confirmed’ in an informal sense, rather than e.g. the Bayesian definition. I assume that, if our total evidence indicates that a hypothesis is approximately true and possibly even exactly true, then we have confirmed that hypothesis.</w:t>
      </w:r>
    </w:p>
  </w:footnote>
  <w:footnote w:id="13">
    <w:p w:rsidR="00B60351" w:rsidRDefault="00B60351">
      <w:pPr>
        <w:pStyle w:val="FootnoteText"/>
      </w:pPr>
      <w:r>
        <w:rPr>
          <w:rStyle w:val="FootnoteReference"/>
        </w:rPr>
        <w:footnoteRef/>
      </w:r>
      <w:r>
        <w:t xml:space="preserve"> Such as if he knew that large Cepheids were easier to observe and more likely to conform to Leavitt’s regularity.</w:t>
      </w:r>
    </w:p>
  </w:footnote>
  <w:footnote w:id="14">
    <w:p w:rsidR="008B2139" w:rsidRDefault="008B2139">
      <w:pPr>
        <w:pStyle w:val="FootnoteText"/>
      </w:pPr>
      <w:r>
        <w:rPr>
          <w:rStyle w:val="FootnoteReference"/>
        </w:rPr>
        <w:footnoteRef/>
      </w:r>
      <w:r>
        <w:t xml:space="preserve"> The same is true for the bismuth example: imagine if we knew that bismuth is a member of a subset of elements that generally have non-uniform melting points.</w:t>
      </w:r>
    </w:p>
  </w:footnote>
  <w:footnote w:id="15">
    <w:p w:rsidR="008B2139" w:rsidRPr="00130DFA" w:rsidRDefault="008B2139" w:rsidP="001373ED">
      <w:pPr>
        <w:pStyle w:val="FootnoteText"/>
      </w:pPr>
      <w:r>
        <w:rPr>
          <w:rStyle w:val="FootnoteReference"/>
        </w:rPr>
        <w:footnoteRef/>
      </w:r>
      <w:r>
        <w:t xml:space="preserve"> Alternatively, it could determine a higher minimum proportion of representative subsets, for a fixed definition of ‘representative’.</w:t>
      </w:r>
    </w:p>
  </w:footnote>
  <w:footnote w:id="16">
    <w:p w:rsidR="008B2139" w:rsidRPr="00971EDA" w:rsidRDefault="008B2139">
      <w:pPr>
        <w:pStyle w:val="FootnoteText"/>
      </w:pPr>
      <w:r>
        <w:rPr>
          <w:rStyle w:val="FootnoteReference"/>
        </w:rPr>
        <w:footnoteRef/>
      </w:r>
      <w:r>
        <w:t xml:space="preserve"> If </w:t>
      </w:r>
      <w:r>
        <w:rPr>
          <w:i/>
          <w:iCs/>
        </w:rPr>
        <w:t>n</w:t>
      </w:r>
      <w:r>
        <w:t xml:space="preserve"> = 10,000 then well over 99% of subsets </w:t>
      </w:r>
      <w:r w:rsidRPr="00971EDA">
        <w:t xml:space="preserve">are </w:t>
      </w:r>
      <w:r w:rsidRPr="00971EDA">
        <w:rPr>
          <w:rFonts w:cs="Times New Roman"/>
        </w:rPr>
        <w:t>ε</w:t>
      </w:r>
      <w:r w:rsidRPr="00971EDA">
        <w:rPr>
          <w:rFonts w:cs="Times New Roman"/>
          <w:vertAlign w:val="subscript"/>
        </w:rPr>
        <w:t>1</w:t>
      </w:r>
      <w:r w:rsidRPr="00971EDA">
        <w:rPr>
          <w:rFonts w:cs="Times New Roman"/>
        </w:rPr>
        <w:t>-representative</w:t>
      </w:r>
      <w:r>
        <w:rPr>
          <w:rFonts w:cs="Times New Roman"/>
        </w:rPr>
        <w:t>.</w:t>
      </w:r>
    </w:p>
  </w:footnote>
  <w:footnote w:id="17">
    <w:p w:rsidR="008B2139" w:rsidRDefault="008B2139">
      <w:pPr>
        <w:pStyle w:val="FootnoteText"/>
      </w:pPr>
      <w:r>
        <w:rPr>
          <w:rStyle w:val="FootnoteReference"/>
        </w:rPr>
        <w:footnoteRef/>
      </w:r>
      <w:r>
        <w:t xml:space="preserve"> </w:t>
      </w:r>
      <w:r w:rsidR="00DB33C3">
        <w:t>R</w:t>
      </w:r>
      <w:r>
        <w:t>andom variables</w:t>
      </w:r>
      <w:r w:rsidR="00DB33C3">
        <w:t xml:space="preserve"> with a Cauchy or Landau distribution (or some other types) have no means, so </w:t>
      </w:r>
      <w:r>
        <w:t>there can be no question of subsets matching these population means within a margin of error.</w:t>
      </w:r>
    </w:p>
  </w:footnote>
  <w:footnote w:id="18">
    <w:p w:rsidR="008B2139" w:rsidRPr="00AE35DC" w:rsidRDefault="008B2139">
      <w:pPr>
        <w:pStyle w:val="FootnoteText"/>
      </w:pPr>
      <w:r>
        <w:rPr>
          <w:rStyle w:val="FootnoteReference"/>
        </w:rPr>
        <w:footnoteRef/>
      </w:r>
      <w:r>
        <w:t xml:space="preserve"> This is one reason why my arguments should </w:t>
      </w:r>
      <w:r>
        <w:rPr>
          <w:i/>
          <w:iCs/>
        </w:rPr>
        <w:t>not</w:t>
      </w:r>
      <w:r>
        <w:t xml:space="preserve"> be seen as attempts to answer Hume’s Problem of Induction.</w:t>
      </w:r>
    </w:p>
  </w:footnote>
  <w:footnote w:id="19">
    <w:p w:rsidR="008B2139" w:rsidRDefault="008B2139">
      <w:pPr>
        <w:pStyle w:val="FootnoteText"/>
      </w:pPr>
      <w:r>
        <w:rPr>
          <w:rStyle w:val="FootnoteReference"/>
        </w:rPr>
        <w:footnoteRef/>
      </w:r>
      <w:r>
        <w:t xml:space="preserve"> Imagine sampling (with replacement) marbles from an urn of unknown composition and trying to predict their shape. In the MTI, knowing that a high proportion of large subsets of marbles will be representative provides some justification for expecting a large sample to be representative</w:t>
      </w:r>
      <w:r w:rsidR="005A3F05">
        <w:t xml:space="preserve">. However, suppose you </w:t>
      </w:r>
      <w:r>
        <w:t xml:space="preserve">know that the marbles will be selected via a hole that only round marbles can fit through. However, information about </w:t>
      </w:r>
      <w:r w:rsidR="005A3F05">
        <w:t xml:space="preserve">sampling </w:t>
      </w:r>
      <w:r>
        <w:t xml:space="preserve">biases can also strengthen induction: imagine that you knew that the marbles were selected by a computerised mechanism that has been engineered to </w:t>
      </w:r>
      <w:r w:rsidRPr="003930A6">
        <w:rPr>
          <w:i/>
          <w:iCs/>
        </w:rPr>
        <w:t>guarantee</w:t>
      </w:r>
      <w:r>
        <w:t xml:space="preserve"> that an </w:t>
      </w:r>
      <w:r w:rsidRPr="00291E39">
        <w:rPr>
          <w:rFonts w:cs="Times New Roman"/>
        </w:rPr>
        <w:t>ε</w:t>
      </w:r>
      <w:r w:rsidRPr="00291E39">
        <w:rPr>
          <w:rFonts w:cs="Times New Roman"/>
          <w:vertAlign w:val="subscript"/>
        </w:rPr>
        <w:t>1</w:t>
      </w:r>
      <w:r w:rsidRPr="008A5B38">
        <w:t>-representative</w:t>
      </w:r>
      <w:r>
        <w:t xml:space="preserve"> sample of marbles will be drawn. In general, the applicability of combinatoric facts needs to be very sensitive to local background knowledge.</w:t>
      </w:r>
    </w:p>
  </w:footnote>
  <w:footnote w:id="20">
    <w:p w:rsidR="008B2139" w:rsidRDefault="008B2139">
      <w:pPr>
        <w:pStyle w:val="FootnoteText"/>
      </w:pPr>
      <w:r>
        <w:rPr>
          <w:rStyle w:val="FootnoteReference"/>
        </w:rPr>
        <w:footnoteRef/>
      </w:r>
      <w:r>
        <w:t xml:space="preserve"> More generally, any spacetime that is not a full Minkowski spacetime.</w:t>
      </w:r>
    </w:p>
  </w:footnote>
  <w:footnote w:id="21">
    <w:p w:rsidR="008B2139" w:rsidRDefault="008B2139">
      <w:pPr>
        <w:pStyle w:val="FootnoteText"/>
      </w:pPr>
      <w:r>
        <w:rPr>
          <w:rStyle w:val="FootnoteReference"/>
        </w:rPr>
        <w:footnoteRef/>
      </w:r>
      <w:r>
        <w:t xml:space="preserve"> For instance, consider how many milliseconds are known to have occurred in our spatiotemporal past to form our evidence for H</w:t>
      </w:r>
      <w:r>
        <w:rPr>
          <w:vertAlign w:val="subscript"/>
        </w:rPr>
        <w:t>1</w:t>
      </w:r>
      <w:r>
        <w:t xml:space="preserve">. There are </w:t>
      </w:r>
      <w:r w:rsidRPr="00235C1E">
        <w:t>86</w:t>
      </w:r>
      <w:r>
        <w:t>,</w:t>
      </w:r>
      <w:r w:rsidRPr="00235C1E">
        <w:t>400</w:t>
      </w:r>
      <w:r>
        <w:t>,</w:t>
      </w:r>
      <w:r w:rsidRPr="00235C1E">
        <w:t>000</w:t>
      </w:r>
      <w:r>
        <w:t xml:space="preserve"> milliseconds in just one day. With </w:t>
      </w:r>
      <w:r>
        <w:rPr>
          <w:i/>
          <w:iCs/>
        </w:rPr>
        <w:t>n</w:t>
      </w:r>
      <w:r>
        <w:t xml:space="preserve"> = 86,400,000, </w:t>
      </w:r>
      <w:r w:rsidR="004F5379">
        <w:t>over 99% of</w:t>
      </w:r>
      <w:r>
        <w:t xml:space="preserve"> subsets that match the population mean within a </w:t>
      </w:r>
      <w:r w:rsidR="00710934">
        <w:t>0.</w:t>
      </w:r>
      <w:r w:rsidR="007E460D">
        <w:t>0</w:t>
      </w:r>
      <w:r w:rsidR="00710934">
        <w:t>1%</w:t>
      </w:r>
      <w:r>
        <w:t xml:space="preserve"> margin of error</w:t>
      </w:r>
      <w:r w:rsidR="004F5379">
        <w:t>.</w:t>
      </w:r>
    </w:p>
  </w:footnote>
  <w:footnote w:id="22">
    <w:p w:rsidR="008B2139" w:rsidRDefault="008B2139">
      <w:pPr>
        <w:pStyle w:val="FootnoteText"/>
      </w:pPr>
      <w:r>
        <w:rPr>
          <w:rStyle w:val="FootnoteReference"/>
        </w:rPr>
        <w:footnoteRef/>
      </w:r>
      <w:r>
        <w:t xml:space="preserve"> Or even that reality </w:t>
      </w:r>
      <w:r w:rsidR="00140D0D">
        <w:t xml:space="preserve">in general </w:t>
      </w:r>
      <w:r>
        <w:t xml:space="preserve">is </w:t>
      </w:r>
      <w:r w:rsidR="00140D0D">
        <w:t>plentiful</w:t>
      </w:r>
      <w:r>
        <w:t xml:space="preserve">, or that all </w:t>
      </w:r>
      <w:r w:rsidRPr="002C41C9">
        <w:rPr>
          <w:i/>
          <w:iCs/>
        </w:rPr>
        <w:t>possible</w:t>
      </w:r>
      <w:r>
        <w:t xml:space="preserve"> realities are </w:t>
      </w:r>
      <w:r w:rsidR="00140D0D">
        <w:t>plentiful</w:t>
      </w:r>
      <w:r>
        <w:t xml:space="preserve"> etc. Once you are </w:t>
      </w:r>
      <w:r w:rsidR="00140D0D">
        <w:t>playing</w:t>
      </w:r>
      <w:r>
        <w:t xml:space="preserve"> the game of “finding” presuppositions for an induction, it is hard to stop.</w:t>
      </w:r>
    </w:p>
  </w:footnote>
  <w:footnote w:id="23">
    <w:p w:rsidR="008B2139" w:rsidRDefault="008B2139" w:rsidP="00B85890">
      <w:pPr>
        <w:pStyle w:val="FootnoteText"/>
      </w:pPr>
      <w:r>
        <w:rPr>
          <w:rStyle w:val="FootnoteReference"/>
        </w:rPr>
        <w:footnoteRef/>
      </w:r>
      <w:r>
        <w:t xml:space="preserve"> Norton</w:t>
      </w:r>
      <w:r w:rsidR="00375948">
        <w:t xml:space="preserve">’s </w:t>
      </w:r>
      <w:r>
        <w:t>arguments against Bayesianism (such as in 2011) apparently use evidentialism or some very similar principle of rational belief as an implicit premise. I think that evidentialism is right and I tend to be persuaded by his arguments. However, I understand why many Bayesians are not. John Worrall makes a similar point (2010, pp. 751-752).</w:t>
      </w:r>
    </w:p>
  </w:footnote>
  <w:footnote w:id="24">
    <w:p w:rsidR="008B2139" w:rsidRPr="00EE30DC" w:rsidRDefault="008B2139">
      <w:pPr>
        <w:pStyle w:val="FootnoteText"/>
      </w:pPr>
      <w:r>
        <w:rPr>
          <w:rStyle w:val="FootnoteReference"/>
        </w:rPr>
        <w:footnoteRef/>
      </w:r>
      <w:r>
        <w:t xml:space="preserve"> To illustrate, I suspect that conformity to evidentialism is </w:t>
      </w:r>
      <w:r w:rsidR="00AC7F7F">
        <w:t xml:space="preserve">only </w:t>
      </w:r>
      <w:r>
        <w:t xml:space="preserve">a </w:t>
      </w:r>
      <w:r>
        <w:rPr>
          <w:i/>
          <w:iCs/>
        </w:rPr>
        <w:t>prima facie</w:t>
      </w:r>
      <w:r>
        <w:t xml:space="preserve"> duty (Ross, 1930). However, evidentialism is a very broad tent.</w:t>
      </w:r>
    </w:p>
  </w:footnote>
  <w:footnote w:id="25">
    <w:p w:rsidR="008B2139" w:rsidRDefault="008B2139" w:rsidP="001850AC">
      <w:pPr>
        <w:pStyle w:val="FootnoteText"/>
      </w:pPr>
      <w:r>
        <w:rPr>
          <w:rStyle w:val="FootnoteReference"/>
        </w:rPr>
        <w:footnoteRef/>
      </w:r>
      <w:r>
        <w:t xml:space="preserve"> Here, my use of ‘complexity’ and ‘simplicity’ does not presuppose that a general characterisation of these concepts is possible. They might be family resemblance concepts.</w:t>
      </w:r>
    </w:p>
  </w:footnote>
  <w:footnote w:id="26">
    <w:p w:rsidR="008B2139" w:rsidRDefault="008B2139">
      <w:pPr>
        <w:pStyle w:val="FootnoteText"/>
      </w:pPr>
      <w:r>
        <w:rPr>
          <w:rStyle w:val="FootnoteReference"/>
        </w:rPr>
        <w:footnoteRef/>
      </w:r>
      <w:r>
        <w:t xml:space="preserve"> In this section, I have only discussed inductive reasoning. Many philosophers believe that simplicity or plenitude, as material rather than evidentialist principles, have a major function in abductive reasoning, but that is independent of my arguments here.</w:t>
      </w:r>
    </w:p>
  </w:footnote>
  <w:footnote w:id="27">
    <w:p w:rsidR="008B2139" w:rsidRDefault="008B2139">
      <w:pPr>
        <w:pStyle w:val="FootnoteText"/>
      </w:pPr>
      <w:r>
        <w:rPr>
          <w:rStyle w:val="FootnoteReference"/>
        </w:rPr>
        <w:footnoteRef/>
      </w:r>
      <w:r>
        <w:t xml:space="preserve"> Randomness is usually defined in terms of probability, but one of Norton’s central contentions is that the role of probabilities in induction is quite limited, contrary to probabilistic accounts such as Bayesianism. </w:t>
      </w:r>
    </w:p>
  </w:footnote>
  <w:footnote w:id="28">
    <w:p w:rsidR="008B2139" w:rsidRPr="00486A19" w:rsidRDefault="008B2139" w:rsidP="0062178E">
      <w:pPr>
        <w:pStyle w:val="FootnoteText"/>
      </w:pPr>
      <w:r>
        <w:rPr>
          <w:rStyle w:val="FootnoteReference"/>
        </w:rPr>
        <w:footnoteRef/>
      </w:r>
      <w:r>
        <w:t xml:space="preserve"> Contrary to some suggestions (e.g. Smart, 2013, p. 329) these defeaters are not the same as merely knowing that our sample was more likely to be drawn than any other sample. Of course, Leavitt was more likely to observe Cepheids that were relatively close to the Solar System, rather than on the other side of the galaxy, but this should only act as a defeater within the MTI if we know that such Cepheids are atypical in their periodicity-luminosity relation. The mere </w:t>
      </w:r>
      <w:r>
        <w:rPr>
          <w:i/>
          <w:iCs/>
        </w:rPr>
        <w:t>a priori</w:t>
      </w:r>
      <w:r>
        <w:t xml:space="preserve"> possibility that they are atypical is not enough, because (assuming that we are fallibilists) we do not require that induction cannot lead us into error. Additionally, knowledge of bias can </w:t>
      </w:r>
      <w:r>
        <w:rPr>
          <w:i/>
          <w:iCs/>
        </w:rPr>
        <w:t xml:space="preserve">strengthen </w:t>
      </w:r>
      <w:r>
        <w:t>an induction, if we know that the sampling method is biased towards representative samples.</w:t>
      </w:r>
    </w:p>
  </w:footnote>
  <w:footnote w:id="29">
    <w:p w:rsidR="008B2139" w:rsidRPr="001E1AA4" w:rsidRDefault="008B2139">
      <w:pPr>
        <w:pStyle w:val="FootnoteText"/>
      </w:pPr>
      <w:r>
        <w:rPr>
          <w:rStyle w:val="FootnoteReference"/>
        </w:rPr>
        <w:footnoteRef/>
      </w:r>
      <w:r>
        <w:t xml:space="preserve"> Background theory still has a non-trivial function in my examples, including to identify good scientific categories over gruesome.</w:t>
      </w:r>
    </w:p>
  </w:footnote>
  <w:footnote w:id="30">
    <w:p w:rsidR="008B2139" w:rsidRDefault="008B2139">
      <w:pPr>
        <w:pStyle w:val="FootnoteText"/>
      </w:pPr>
      <w:r>
        <w:rPr>
          <w:rStyle w:val="FootnoteReference"/>
        </w:rPr>
        <w:footnoteRef/>
      </w:r>
      <w:r>
        <w:t xml:space="preserve"> I am grateful to an anonymous reviewer for raising this point.</w:t>
      </w:r>
    </w:p>
  </w:footnote>
  <w:footnote w:id="31">
    <w:p w:rsidR="008B2139" w:rsidRPr="00B5018E" w:rsidRDefault="008B2139">
      <w:pPr>
        <w:pStyle w:val="FootnoteText"/>
      </w:pPr>
      <w:r>
        <w:rPr>
          <w:rStyle w:val="FootnoteReference"/>
        </w:rPr>
        <w:footnoteRef/>
      </w:r>
      <w:r>
        <w:t xml:space="preserve"> Apart from degenerate cases, e.g. we know </w:t>
      </w:r>
      <w:r>
        <w:rPr>
          <w:i/>
          <w:iCs/>
        </w:rPr>
        <w:t>a priori</w:t>
      </w:r>
      <w:r>
        <w:t xml:space="preserve"> that we shall not discover inductive evidence in favour of a contradiction or against a tautology.</w:t>
      </w:r>
    </w:p>
  </w:footnote>
  <w:footnote w:id="32">
    <w:p w:rsidR="008B2139" w:rsidRDefault="008B2139">
      <w:pPr>
        <w:pStyle w:val="FootnoteText"/>
      </w:pPr>
      <w:r>
        <w:rPr>
          <w:rStyle w:val="FootnoteReference"/>
        </w:rPr>
        <w:footnoteRef/>
      </w:r>
      <w:r>
        <w:t xml:space="preserve"> The latter must also be distinguished from expert probabilistic judgements, which are not arbitrary. Norton has not discussed expert probabilistic judgements, though there is nothing in the MTI to rule them out.</w:t>
      </w:r>
    </w:p>
  </w:footnote>
  <w:footnote w:id="33">
    <w:p w:rsidR="008B2139" w:rsidRPr="007B3ECC" w:rsidRDefault="008B2139" w:rsidP="00D14058">
      <w:pPr>
        <w:pStyle w:val="FootnoteText"/>
      </w:pPr>
      <w:r>
        <w:rPr>
          <w:rStyle w:val="FootnoteReference"/>
        </w:rPr>
        <w:footnoteRef/>
      </w:r>
      <w:r>
        <w:t xml:space="preserve"> Scott Campbell (2001) has defended the CJI from Maher’s objections, while still allowing for </w:t>
      </w:r>
      <w:r>
        <w:rPr>
          <w:i/>
          <w:iCs/>
        </w:rPr>
        <w:t>a priori</w:t>
      </w:r>
      <w:r>
        <w:t xml:space="preserve"> probabilities. Lange (2011, p. 84) correctly notes that direct inference is not a principle of (Subjective) Bayesian epistemology, though it can hold in special cases.</w:t>
      </w:r>
    </w:p>
  </w:footnote>
  <w:footnote w:id="34">
    <w:p w:rsidR="008B2139" w:rsidRDefault="008B2139">
      <w:pPr>
        <w:pStyle w:val="FootnoteText"/>
      </w:pPr>
      <w:r>
        <w:rPr>
          <w:rStyle w:val="FootnoteReference"/>
        </w:rPr>
        <w:footnoteRef/>
      </w:r>
      <w:r>
        <w:t xml:space="preserve"> Norton criticises Bayesianism in many places (2003, pp. 659-662, 2007, 2011). The controversy is beyond this article’s scope.</w:t>
      </w:r>
    </w:p>
  </w:footnote>
  <w:footnote w:id="35">
    <w:p w:rsidR="009A4035" w:rsidRDefault="009A4035">
      <w:pPr>
        <w:pStyle w:val="FootnoteText"/>
      </w:pPr>
      <w:r>
        <w:rPr>
          <w:rStyle w:val="FootnoteReference"/>
        </w:rPr>
        <w:footnoteRef/>
      </w:r>
      <w:r>
        <w:t xml:space="preserve"> Or consider Descartes’s ideal: “… </w:t>
      </w:r>
      <w:r w:rsidRPr="009A4035">
        <w:t>certain and simple rules, such that, if a man observe them accurately, he shall never assume what is false as true</w:t>
      </w:r>
      <w:r>
        <w:t>.” (</w:t>
      </w:r>
      <w:r w:rsidR="00AC21F1">
        <w:t>Descartes</w:t>
      </w:r>
      <w:r>
        <w:t xml:space="preserve">, 1952). Few, if any, epistemologists today would endorse this standard, but then why is the Principle of Convergence a </w:t>
      </w:r>
      <w:r w:rsidR="00BB54B3">
        <w:t>more reasonable standard</w:t>
      </w:r>
      <w:r>
        <w:t>?</w:t>
      </w:r>
    </w:p>
  </w:footnote>
  <w:footnote w:id="36">
    <w:p w:rsidR="008B2139" w:rsidRDefault="008B2139">
      <w:pPr>
        <w:pStyle w:val="FootnoteText"/>
      </w:pPr>
      <w:r>
        <w:rPr>
          <w:rStyle w:val="FootnoteReference"/>
        </w:rPr>
        <w:footnoteRef/>
      </w:r>
      <w:r>
        <w:t xml:space="preserve"> Henry E. Kyburg (1956) and David Stove (1986, Chapter 12) make such defences of the CJI, but I am just discussing induction at science’s frontiers.</w:t>
      </w:r>
    </w:p>
  </w:footnote>
  <w:footnote w:id="37">
    <w:p w:rsidR="008B2139" w:rsidRDefault="008B2139">
      <w:pPr>
        <w:pStyle w:val="FootnoteText"/>
      </w:pPr>
      <w:r>
        <w:rPr>
          <w:rStyle w:val="FootnoteReference"/>
        </w:rPr>
        <w:footnoteRef/>
      </w:r>
      <w:r>
        <w:t xml:space="preserve"> Such as extrapolating the past performance of the classificatory system’s inferential success.</w:t>
      </w:r>
    </w:p>
  </w:footnote>
  <w:footnote w:id="38">
    <w:p w:rsidR="008B2139" w:rsidRDefault="008B2139">
      <w:pPr>
        <w:pStyle w:val="FootnoteText"/>
      </w:pPr>
      <w:r>
        <w:rPr>
          <w:rStyle w:val="FootnoteReference"/>
        </w:rPr>
        <w:footnoteRef/>
      </w:r>
      <w:r>
        <w:t xml:space="preserve"> Norton (2014) is the most extensive discussion of Hume’s problem in relation to the MTI.</w:t>
      </w:r>
    </w:p>
  </w:footnote>
  <w:footnote w:id="39">
    <w:p w:rsidR="008B2139" w:rsidRDefault="008B2139" w:rsidP="00F4133D">
      <w:pPr>
        <w:pStyle w:val="FootnoteText"/>
      </w:pPr>
      <w:r>
        <w:rPr>
          <w:rStyle w:val="FootnoteReference"/>
        </w:rPr>
        <w:footnoteRef/>
      </w:r>
      <w:r>
        <w:t xml:space="preserve"> Stove (1986, Chapter IX) attempts to answer this problem for the CJI within a Keynesian epistemology and theory of probability. Norton has also discussed the New Riddle of Induction (Norton, 2006).</w:t>
      </w:r>
    </w:p>
  </w:footnote>
  <w:footnote w:id="40">
    <w:p w:rsidR="008B2139" w:rsidRDefault="008B2139">
      <w:pPr>
        <w:pStyle w:val="FootnoteText"/>
      </w:pPr>
      <w:r>
        <w:rPr>
          <w:rStyle w:val="FootnoteReference"/>
        </w:rPr>
        <w:footnoteRef/>
      </w:r>
      <w:r>
        <w:t xml:space="preserve"> No such processes are actually known: even a ‘cool flame’ in the sense of chemistry has a temperature in the hundreds of degrees Celsius.</w:t>
      </w:r>
    </w:p>
  </w:footnote>
  <w:footnote w:id="41">
    <w:p w:rsidR="008B2139" w:rsidRDefault="008B2139">
      <w:pPr>
        <w:pStyle w:val="FootnoteText"/>
      </w:pPr>
      <w:r>
        <w:rPr>
          <w:rStyle w:val="FootnoteReference"/>
        </w:rPr>
        <w:footnoteRef/>
      </w:r>
      <w:r>
        <w:t xml:space="preserve"> There is no shortage of answers in the literature. For example, John L. Pollock (1990) meticulously analyses defeaters and strengtheners in direct inference. The MTI does not presuppose any particular response to the Problem of the Reference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049515"/>
      <w:docPartObj>
        <w:docPartGallery w:val="Page Numbers (Top of Page)"/>
        <w:docPartUnique/>
      </w:docPartObj>
    </w:sdtPr>
    <w:sdtEndPr>
      <w:rPr>
        <w:noProof/>
      </w:rPr>
    </w:sdtEndPr>
    <w:sdtContent>
      <w:p w:rsidR="008B2139" w:rsidRDefault="008B2139">
        <w:pPr>
          <w:pStyle w:val="Header"/>
        </w:pPr>
        <w:r>
          <w:fldChar w:fldCharType="begin"/>
        </w:r>
        <w:r>
          <w:instrText xml:space="preserve"> PAGE   \* MERGEFORMAT </w:instrText>
        </w:r>
        <w:r>
          <w:fldChar w:fldCharType="separate"/>
        </w:r>
        <w:r>
          <w:rPr>
            <w:noProof/>
          </w:rPr>
          <w:t>2</w:t>
        </w:r>
        <w:r>
          <w:rPr>
            <w:noProof/>
          </w:rPr>
          <w:fldChar w:fldCharType="end"/>
        </w:r>
      </w:p>
    </w:sdtContent>
  </w:sdt>
  <w:p w:rsidR="008B2139" w:rsidRDefault="008B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6C99"/>
    <w:multiLevelType w:val="multilevel"/>
    <w:tmpl w:val="F9BC2F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6429F"/>
    <w:multiLevelType w:val="hybridMultilevel"/>
    <w:tmpl w:val="BA48F0DE"/>
    <w:lvl w:ilvl="0" w:tplc="2FF41EE6">
      <w:start w:val="4"/>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624EA"/>
    <w:multiLevelType w:val="hybridMultilevel"/>
    <w:tmpl w:val="DCC4D00E"/>
    <w:lvl w:ilvl="0" w:tplc="F53CBC1A">
      <w:start w:val="4"/>
      <w:numFmt w:val="bullet"/>
      <w:lvlText w:val="-"/>
      <w:lvlJc w:val="left"/>
      <w:pPr>
        <w:ind w:left="1080" w:hanging="360"/>
      </w:pPr>
      <w:rPr>
        <w:rFonts w:ascii="Times New Roman" w:eastAsia="PMingLiU"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D5"/>
    <w:rsid w:val="00000D2A"/>
    <w:rsid w:val="00000DE3"/>
    <w:rsid w:val="00006DC9"/>
    <w:rsid w:val="0000750F"/>
    <w:rsid w:val="000103C7"/>
    <w:rsid w:val="000148CC"/>
    <w:rsid w:val="0002447B"/>
    <w:rsid w:val="000250BD"/>
    <w:rsid w:val="000330EA"/>
    <w:rsid w:val="00036AD9"/>
    <w:rsid w:val="00047089"/>
    <w:rsid w:val="000514DF"/>
    <w:rsid w:val="00053CBE"/>
    <w:rsid w:val="00054E4E"/>
    <w:rsid w:val="000657A4"/>
    <w:rsid w:val="00076915"/>
    <w:rsid w:val="00090592"/>
    <w:rsid w:val="0009068B"/>
    <w:rsid w:val="0009209B"/>
    <w:rsid w:val="000921F0"/>
    <w:rsid w:val="000A004E"/>
    <w:rsid w:val="000A4695"/>
    <w:rsid w:val="000A47D3"/>
    <w:rsid w:val="000A79C5"/>
    <w:rsid w:val="000B09C4"/>
    <w:rsid w:val="000B1F02"/>
    <w:rsid w:val="000C511B"/>
    <w:rsid w:val="000C5597"/>
    <w:rsid w:val="000C73B9"/>
    <w:rsid w:val="000D2907"/>
    <w:rsid w:val="000E1322"/>
    <w:rsid w:val="000F6A8D"/>
    <w:rsid w:val="001009C3"/>
    <w:rsid w:val="00102A77"/>
    <w:rsid w:val="0010366B"/>
    <w:rsid w:val="001062FD"/>
    <w:rsid w:val="001072D6"/>
    <w:rsid w:val="00125B28"/>
    <w:rsid w:val="00127956"/>
    <w:rsid w:val="00127C70"/>
    <w:rsid w:val="00130DFA"/>
    <w:rsid w:val="0013243F"/>
    <w:rsid w:val="00134A84"/>
    <w:rsid w:val="00135645"/>
    <w:rsid w:val="001373ED"/>
    <w:rsid w:val="00140D0D"/>
    <w:rsid w:val="001433F3"/>
    <w:rsid w:val="00146932"/>
    <w:rsid w:val="00163733"/>
    <w:rsid w:val="0016563E"/>
    <w:rsid w:val="001723BB"/>
    <w:rsid w:val="0017777D"/>
    <w:rsid w:val="00181566"/>
    <w:rsid w:val="00183595"/>
    <w:rsid w:val="001847B4"/>
    <w:rsid w:val="001850AC"/>
    <w:rsid w:val="00185D5B"/>
    <w:rsid w:val="001863B5"/>
    <w:rsid w:val="001867C8"/>
    <w:rsid w:val="001872C5"/>
    <w:rsid w:val="0019117A"/>
    <w:rsid w:val="0019439A"/>
    <w:rsid w:val="00194F18"/>
    <w:rsid w:val="001A67B6"/>
    <w:rsid w:val="001B3781"/>
    <w:rsid w:val="001B454C"/>
    <w:rsid w:val="001D2502"/>
    <w:rsid w:val="001D3605"/>
    <w:rsid w:val="001E1AA4"/>
    <w:rsid w:val="001E3809"/>
    <w:rsid w:val="001E5831"/>
    <w:rsid w:val="001E792F"/>
    <w:rsid w:val="001F3745"/>
    <w:rsid w:val="001F3936"/>
    <w:rsid w:val="002026A1"/>
    <w:rsid w:val="00205A4B"/>
    <w:rsid w:val="00205C29"/>
    <w:rsid w:val="0022078D"/>
    <w:rsid w:val="00221AF0"/>
    <w:rsid w:val="00223E0F"/>
    <w:rsid w:val="0022580C"/>
    <w:rsid w:val="00225AB6"/>
    <w:rsid w:val="00233DC3"/>
    <w:rsid w:val="00234206"/>
    <w:rsid w:val="00235C1E"/>
    <w:rsid w:val="002425BD"/>
    <w:rsid w:val="00252883"/>
    <w:rsid w:val="0026246B"/>
    <w:rsid w:val="002735B2"/>
    <w:rsid w:val="0027418C"/>
    <w:rsid w:val="00276F3B"/>
    <w:rsid w:val="002909E3"/>
    <w:rsid w:val="00291534"/>
    <w:rsid w:val="00291E39"/>
    <w:rsid w:val="00293744"/>
    <w:rsid w:val="0029791C"/>
    <w:rsid w:val="002A1896"/>
    <w:rsid w:val="002A3B31"/>
    <w:rsid w:val="002A4952"/>
    <w:rsid w:val="002A5D81"/>
    <w:rsid w:val="002B0023"/>
    <w:rsid w:val="002B4616"/>
    <w:rsid w:val="002B5FA0"/>
    <w:rsid w:val="002C386D"/>
    <w:rsid w:val="002C41C9"/>
    <w:rsid w:val="002C77E6"/>
    <w:rsid w:val="002D02E7"/>
    <w:rsid w:val="002E05F7"/>
    <w:rsid w:val="002E15E4"/>
    <w:rsid w:val="002E2A59"/>
    <w:rsid w:val="002E3B34"/>
    <w:rsid w:val="002E47C5"/>
    <w:rsid w:val="002E5B03"/>
    <w:rsid w:val="002F0788"/>
    <w:rsid w:val="002F4E65"/>
    <w:rsid w:val="003048EC"/>
    <w:rsid w:val="003128B3"/>
    <w:rsid w:val="003211BE"/>
    <w:rsid w:val="00325D48"/>
    <w:rsid w:val="00327A69"/>
    <w:rsid w:val="00334442"/>
    <w:rsid w:val="00345B20"/>
    <w:rsid w:val="00346A19"/>
    <w:rsid w:val="00347334"/>
    <w:rsid w:val="00351BDB"/>
    <w:rsid w:val="00352A27"/>
    <w:rsid w:val="00357608"/>
    <w:rsid w:val="00364496"/>
    <w:rsid w:val="0037505B"/>
    <w:rsid w:val="00375948"/>
    <w:rsid w:val="003761CB"/>
    <w:rsid w:val="003847DB"/>
    <w:rsid w:val="003855BB"/>
    <w:rsid w:val="00385D87"/>
    <w:rsid w:val="003930A6"/>
    <w:rsid w:val="003952B9"/>
    <w:rsid w:val="003A15B3"/>
    <w:rsid w:val="003A455A"/>
    <w:rsid w:val="003B0FAB"/>
    <w:rsid w:val="003B5EE8"/>
    <w:rsid w:val="003B78D0"/>
    <w:rsid w:val="003C25E7"/>
    <w:rsid w:val="003C2E68"/>
    <w:rsid w:val="003D42E3"/>
    <w:rsid w:val="003E3C68"/>
    <w:rsid w:val="003E465B"/>
    <w:rsid w:val="003E6F71"/>
    <w:rsid w:val="003F1A29"/>
    <w:rsid w:val="003F3F4C"/>
    <w:rsid w:val="003F6FBC"/>
    <w:rsid w:val="00400340"/>
    <w:rsid w:val="004047E9"/>
    <w:rsid w:val="004106EA"/>
    <w:rsid w:val="004107FB"/>
    <w:rsid w:val="00411F34"/>
    <w:rsid w:val="0041520A"/>
    <w:rsid w:val="00426863"/>
    <w:rsid w:val="004339F4"/>
    <w:rsid w:val="0044267A"/>
    <w:rsid w:val="0045731B"/>
    <w:rsid w:val="00463E93"/>
    <w:rsid w:val="00471FA4"/>
    <w:rsid w:val="00472CFF"/>
    <w:rsid w:val="00473B72"/>
    <w:rsid w:val="00474180"/>
    <w:rsid w:val="00474B10"/>
    <w:rsid w:val="004812E3"/>
    <w:rsid w:val="00486A19"/>
    <w:rsid w:val="00487CE9"/>
    <w:rsid w:val="00490558"/>
    <w:rsid w:val="00491B4B"/>
    <w:rsid w:val="004A05F3"/>
    <w:rsid w:val="004A3CB3"/>
    <w:rsid w:val="004B1675"/>
    <w:rsid w:val="004B1DDE"/>
    <w:rsid w:val="004B4CAE"/>
    <w:rsid w:val="004B5B08"/>
    <w:rsid w:val="004B5DDC"/>
    <w:rsid w:val="004C1EB7"/>
    <w:rsid w:val="004C6193"/>
    <w:rsid w:val="004D29F4"/>
    <w:rsid w:val="004D2DA4"/>
    <w:rsid w:val="004D4E88"/>
    <w:rsid w:val="004E04C3"/>
    <w:rsid w:val="004E5F7D"/>
    <w:rsid w:val="004E6FAD"/>
    <w:rsid w:val="004F15F4"/>
    <w:rsid w:val="004F4D50"/>
    <w:rsid w:val="004F5379"/>
    <w:rsid w:val="005003D3"/>
    <w:rsid w:val="0050048D"/>
    <w:rsid w:val="0050140B"/>
    <w:rsid w:val="00504AA8"/>
    <w:rsid w:val="00505998"/>
    <w:rsid w:val="0051148D"/>
    <w:rsid w:val="0051328D"/>
    <w:rsid w:val="00522C01"/>
    <w:rsid w:val="00530448"/>
    <w:rsid w:val="00536626"/>
    <w:rsid w:val="00547B3C"/>
    <w:rsid w:val="00550FFC"/>
    <w:rsid w:val="0055463C"/>
    <w:rsid w:val="005575E4"/>
    <w:rsid w:val="0056262B"/>
    <w:rsid w:val="0057323F"/>
    <w:rsid w:val="005766A9"/>
    <w:rsid w:val="00584185"/>
    <w:rsid w:val="00586ECE"/>
    <w:rsid w:val="005955F1"/>
    <w:rsid w:val="0059734E"/>
    <w:rsid w:val="00597BAC"/>
    <w:rsid w:val="005A3F05"/>
    <w:rsid w:val="005A4BCC"/>
    <w:rsid w:val="005A656F"/>
    <w:rsid w:val="005B2594"/>
    <w:rsid w:val="005B7B75"/>
    <w:rsid w:val="005C09E5"/>
    <w:rsid w:val="005C2518"/>
    <w:rsid w:val="005C446D"/>
    <w:rsid w:val="005C5FF2"/>
    <w:rsid w:val="005C6228"/>
    <w:rsid w:val="005C7346"/>
    <w:rsid w:val="005D1D76"/>
    <w:rsid w:val="005D40A6"/>
    <w:rsid w:val="005D5465"/>
    <w:rsid w:val="005D7D07"/>
    <w:rsid w:val="005E12A9"/>
    <w:rsid w:val="005E2F1E"/>
    <w:rsid w:val="005F2C75"/>
    <w:rsid w:val="005F4022"/>
    <w:rsid w:val="006028CF"/>
    <w:rsid w:val="00602EC6"/>
    <w:rsid w:val="00604498"/>
    <w:rsid w:val="00610C7D"/>
    <w:rsid w:val="00615507"/>
    <w:rsid w:val="00620E0B"/>
    <w:rsid w:val="00620EAA"/>
    <w:rsid w:val="0062178E"/>
    <w:rsid w:val="00623477"/>
    <w:rsid w:val="0063297B"/>
    <w:rsid w:val="006361D3"/>
    <w:rsid w:val="00636344"/>
    <w:rsid w:val="00640CBA"/>
    <w:rsid w:val="006413F4"/>
    <w:rsid w:val="00646C1D"/>
    <w:rsid w:val="00652DF2"/>
    <w:rsid w:val="00660F84"/>
    <w:rsid w:val="00683830"/>
    <w:rsid w:val="00684507"/>
    <w:rsid w:val="00684B8E"/>
    <w:rsid w:val="00691DC3"/>
    <w:rsid w:val="00696917"/>
    <w:rsid w:val="00697D0A"/>
    <w:rsid w:val="006A301C"/>
    <w:rsid w:val="006A6B63"/>
    <w:rsid w:val="006B233F"/>
    <w:rsid w:val="006B4BAE"/>
    <w:rsid w:val="006B60FB"/>
    <w:rsid w:val="006B7738"/>
    <w:rsid w:val="006C7DF5"/>
    <w:rsid w:val="006D1A4C"/>
    <w:rsid w:val="006D1B6E"/>
    <w:rsid w:val="006D25A4"/>
    <w:rsid w:val="006D25DB"/>
    <w:rsid w:val="006D517E"/>
    <w:rsid w:val="006D769C"/>
    <w:rsid w:val="006E2BB8"/>
    <w:rsid w:val="006E36FB"/>
    <w:rsid w:val="006E40E5"/>
    <w:rsid w:val="006E4399"/>
    <w:rsid w:val="006E5AF7"/>
    <w:rsid w:val="006E7FAA"/>
    <w:rsid w:val="006F504B"/>
    <w:rsid w:val="006F5084"/>
    <w:rsid w:val="006F74DF"/>
    <w:rsid w:val="00700B7F"/>
    <w:rsid w:val="007101E2"/>
    <w:rsid w:val="00710934"/>
    <w:rsid w:val="00715D32"/>
    <w:rsid w:val="00717E03"/>
    <w:rsid w:val="00720B19"/>
    <w:rsid w:val="00724AF8"/>
    <w:rsid w:val="00727C11"/>
    <w:rsid w:val="00733953"/>
    <w:rsid w:val="007341DE"/>
    <w:rsid w:val="007353B9"/>
    <w:rsid w:val="00735E53"/>
    <w:rsid w:val="007374F8"/>
    <w:rsid w:val="00744AC7"/>
    <w:rsid w:val="00746289"/>
    <w:rsid w:val="00746CBA"/>
    <w:rsid w:val="00754267"/>
    <w:rsid w:val="0076702A"/>
    <w:rsid w:val="00767F2F"/>
    <w:rsid w:val="00770545"/>
    <w:rsid w:val="007779FE"/>
    <w:rsid w:val="0078689C"/>
    <w:rsid w:val="00786EC7"/>
    <w:rsid w:val="00794DB7"/>
    <w:rsid w:val="00796A5A"/>
    <w:rsid w:val="007A153F"/>
    <w:rsid w:val="007B3ECC"/>
    <w:rsid w:val="007B639D"/>
    <w:rsid w:val="007B6F74"/>
    <w:rsid w:val="007C02CE"/>
    <w:rsid w:val="007C2DB2"/>
    <w:rsid w:val="007C4429"/>
    <w:rsid w:val="007C6DA2"/>
    <w:rsid w:val="007D0EA9"/>
    <w:rsid w:val="007E06E6"/>
    <w:rsid w:val="007E0C68"/>
    <w:rsid w:val="007E17D4"/>
    <w:rsid w:val="007E1F45"/>
    <w:rsid w:val="007E460D"/>
    <w:rsid w:val="007E5DBC"/>
    <w:rsid w:val="007F3810"/>
    <w:rsid w:val="007F3DC0"/>
    <w:rsid w:val="007F5B80"/>
    <w:rsid w:val="007F7265"/>
    <w:rsid w:val="0080206F"/>
    <w:rsid w:val="0080583B"/>
    <w:rsid w:val="00814C46"/>
    <w:rsid w:val="00817ABA"/>
    <w:rsid w:val="00822AC5"/>
    <w:rsid w:val="008303A2"/>
    <w:rsid w:val="008326AD"/>
    <w:rsid w:val="00832D96"/>
    <w:rsid w:val="00833017"/>
    <w:rsid w:val="00834911"/>
    <w:rsid w:val="008467EC"/>
    <w:rsid w:val="008503AB"/>
    <w:rsid w:val="00854E30"/>
    <w:rsid w:val="008676EA"/>
    <w:rsid w:val="00870334"/>
    <w:rsid w:val="00872E34"/>
    <w:rsid w:val="008762C4"/>
    <w:rsid w:val="00876ABA"/>
    <w:rsid w:val="00882253"/>
    <w:rsid w:val="00883C4B"/>
    <w:rsid w:val="00886F46"/>
    <w:rsid w:val="00890676"/>
    <w:rsid w:val="00894993"/>
    <w:rsid w:val="008A5B38"/>
    <w:rsid w:val="008B2139"/>
    <w:rsid w:val="008B76C9"/>
    <w:rsid w:val="008C11F5"/>
    <w:rsid w:val="008C4C0C"/>
    <w:rsid w:val="008C4EDF"/>
    <w:rsid w:val="008D2440"/>
    <w:rsid w:val="008D7827"/>
    <w:rsid w:val="008E7602"/>
    <w:rsid w:val="008F5AA4"/>
    <w:rsid w:val="009036ED"/>
    <w:rsid w:val="0091701E"/>
    <w:rsid w:val="00917CD8"/>
    <w:rsid w:val="009210A2"/>
    <w:rsid w:val="009353C7"/>
    <w:rsid w:val="00935765"/>
    <w:rsid w:val="0094315C"/>
    <w:rsid w:val="00956C0D"/>
    <w:rsid w:val="00957EC4"/>
    <w:rsid w:val="00971EDA"/>
    <w:rsid w:val="00972F52"/>
    <w:rsid w:val="00977E6F"/>
    <w:rsid w:val="00985082"/>
    <w:rsid w:val="00985B97"/>
    <w:rsid w:val="00986CB1"/>
    <w:rsid w:val="009968C2"/>
    <w:rsid w:val="0099768A"/>
    <w:rsid w:val="009A055E"/>
    <w:rsid w:val="009A0E91"/>
    <w:rsid w:val="009A37A9"/>
    <w:rsid w:val="009A4035"/>
    <w:rsid w:val="009B06D5"/>
    <w:rsid w:val="009B2347"/>
    <w:rsid w:val="009B3A7A"/>
    <w:rsid w:val="009B5203"/>
    <w:rsid w:val="009B5F4C"/>
    <w:rsid w:val="009C02F8"/>
    <w:rsid w:val="009C0AB9"/>
    <w:rsid w:val="009C1F8E"/>
    <w:rsid w:val="009C75C8"/>
    <w:rsid w:val="009D1025"/>
    <w:rsid w:val="009D1DDA"/>
    <w:rsid w:val="009D465D"/>
    <w:rsid w:val="009D4A90"/>
    <w:rsid w:val="009D7A3B"/>
    <w:rsid w:val="009D7E61"/>
    <w:rsid w:val="009E2068"/>
    <w:rsid w:val="009E22FD"/>
    <w:rsid w:val="009E2905"/>
    <w:rsid w:val="009E3C8D"/>
    <w:rsid w:val="009E67F0"/>
    <w:rsid w:val="009F0505"/>
    <w:rsid w:val="009F21FE"/>
    <w:rsid w:val="009F5594"/>
    <w:rsid w:val="00A06F35"/>
    <w:rsid w:val="00A11B51"/>
    <w:rsid w:val="00A14AE2"/>
    <w:rsid w:val="00A23CBD"/>
    <w:rsid w:val="00A241F1"/>
    <w:rsid w:val="00A263A1"/>
    <w:rsid w:val="00A2697E"/>
    <w:rsid w:val="00A322C9"/>
    <w:rsid w:val="00A36619"/>
    <w:rsid w:val="00A372EA"/>
    <w:rsid w:val="00A4537A"/>
    <w:rsid w:val="00A4750C"/>
    <w:rsid w:val="00A5151F"/>
    <w:rsid w:val="00A57325"/>
    <w:rsid w:val="00A64771"/>
    <w:rsid w:val="00A66753"/>
    <w:rsid w:val="00A72AD5"/>
    <w:rsid w:val="00A73A76"/>
    <w:rsid w:val="00A80EB4"/>
    <w:rsid w:val="00A83753"/>
    <w:rsid w:val="00A84CCD"/>
    <w:rsid w:val="00A9346D"/>
    <w:rsid w:val="00A973C1"/>
    <w:rsid w:val="00AA3118"/>
    <w:rsid w:val="00AA6A0F"/>
    <w:rsid w:val="00AB1F83"/>
    <w:rsid w:val="00AB28A6"/>
    <w:rsid w:val="00AB3072"/>
    <w:rsid w:val="00AB72F9"/>
    <w:rsid w:val="00AC0DC8"/>
    <w:rsid w:val="00AC21F1"/>
    <w:rsid w:val="00AC26A4"/>
    <w:rsid w:val="00AC2AF4"/>
    <w:rsid w:val="00AC5DB6"/>
    <w:rsid w:val="00AC7F7F"/>
    <w:rsid w:val="00AD0B6F"/>
    <w:rsid w:val="00AD19CF"/>
    <w:rsid w:val="00AD5B40"/>
    <w:rsid w:val="00AE0187"/>
    <w:rsid w:val="00AE222C"/>
    <w:rsid w:val="00AE225E"/>
    <w:rsid w:val="00AE35DC"/>
    <w:rsid w:val="00AF480C"/>
    <w:rsid w:val="00B025C7"/>
    <w:rsid w:val="00B06E2F"/>
    <w:rsid w:val="00B07D30"/>
    <w:rsid w:val="00B12281"/>
    <w:rsid w:val="00B13EEA"/>
    <w:rsid w:val="00B154E7"/>
    <w:rsid w:val="00B16FC4"/>
    <w:rsid w:val="00B240B6"/>
    <w:rsid w:val="00B30ACA"/>
    <w:rsid w:val="00B30DB0"/>
    <w:rsid w:val="00B44A05"/>
    <w:rsid w:val="00B46ADC"/>
    <w:rsid w:val="00B5018E"/>
    <w:rsid w:val="00B52BEF"/>
    <w:rsid w:val="00B56473"/>
    <w:rsid w:val="00B56DF2"/>
    <w:rsid w:val="00B57900"/>
    <w:rsid w:val="00B60351"/>
    <w:rsid w:val="00B648D7"/>
    <w:rsid w:val="00B65034"/>
    <w:rsid w:val="00B71308"/>
    <w:rsid w:val="00B75BFA"/>
    <w:rsid w:val="00B8487A"/>
    <w:rsid w:val="00B84DCA"/>
    <w:rsid w:val="00B85890"/>
    <w:rsid w:val="00B911C4"/>
    <w:rsid w:val="00BA17D9"/>
    <w:rsid w:val="00BA2725"/>
    <w:rsid w:val="00BB3E4F"/>
    <w:rsid w:val="00BB3FA0"/>
    <w:rsid w:val="00BB54B3"/>
    <w:rsid w:val="00BB63EA"/>
    <w:rsid w:val="00BC21FE"/>
    <w:rsid w:val="00BD6093"/>
    <w:rsid w:val="00BE5BE9"/>
    <w:rsid w:val="00BF2730"/>
    <w:rsid w:val="00BF62BE"/>
    <w:rsid w:val="00C029DC"/>
    <w:rsid w:val="00C02B97"/>
    <w:rsid w:val="00C03E11"/>
    <w:rsid w:val="00C07CFB"/>
    <w:rsid w:val="00C07F10"/>
    <w:rsid w:val="00C11189"/>
    <w:rsid w:val="00C13022"/>
    <w:rsid w:val="00C14684"/>
    <w:rsid w:val="00C21152"/>
    <w:rsid w:val="00C227E6"/>
    <w:rsid w:val="00C24BB8"/>
    <w:rsid w:val="00C25804"/>
    <w:rsid w:val="00C30805"/>
    <w:rsid w:val="00C32697"/>
    <w:rsid w:val="00C34BE9"/>
    <w:rsid w:val="00C41B20"/>
    <w:rsid w:val="00C4212A"/>
    <w:rsid w:val="00C45B12"/>
    <w:rsid w:val="00C46253"/>
    <w:rsid w:val="00C46259"/>
    <w:rsid w:val="00C46997"/>
    <w:rsid w:val="00C5359F"/>
    <w:rsid w:val="00C53B90"/>
    <w:rsid w:val="00C53EF3"/>
    <w:rsid w:val="00C54AB2"/>
    <w:rsid w:val="00C602E2"/>
    <w:rsid w:val="00C6143C"/>
    <w:rsid w:val="00C62C87"/>
    <w:rsid w:val="00C6771E"/>
    <w:rsid w:val="00C7526C"/>
    <w:rsid w:val="00C80505"/>
    <w:rsid w:val="00C80F1C"/>
    <w:rsid w:val="00C86BEF"/>
    <w:rsid w:val="00C91A61"/>
    <w:rsid w:val="00C96FD9"/>
    <w:rsid w:val="00CA0541"/>
    <w:rsid w:val="00CA4DAC"/>
    <w:rsid w:val="00CA6585"/>
    <w:rsid w:val="00CB5E14"/>
    <w:rsid w:val="00CC1D86"/>
    <w:rsid w:val="00CC6763"/>
    <w:rsid w:val="00CC7A00"/>
    <w:rsid w:val="00CD51B3"/>
    <w:rsid w:val="00CD77CB"/>
    <w:rsid w:val="00CE1410"/>
    <w:rsid w:val="00CE3314"/>
    <w:rsid w:val="00CE3981"/>
    <w:rsid w:val="00CE73C9"/>
    <w:rsid w:val="00CE7DCC"/>
    <w:rsid w:val="00CF2487"/>
    <w:rsid w:val="00CF3AF1"/>
    <w:rsid w:val="00CF3F23"/>
    <w:rsid w:val="00CF7996"/>
    <w:rsid w:val="00D049E5"/>
    <w:rsid w:val="00D122E4"/>
    <w:rsid w:val="00D12915"/>
    <w:rsid w:val="00D12C40"/>
    <w:rsid w:val="00D12DF0"/>
    <w:rsid w:val="00D14058"/>
    <w:rsid w:val="00D21859"/>
    <w:rsid w:val="00D2516F"/>
    <w:rsid w:val="00D346A1"/>
    <w:rsid w:val="00D5116A"/>
    <w:rsid w:val="00D52F83"/>
    <w:rsid w:val="00D54D6B"/>
    <w:rsid w:val="00D577B2"/>
    <w:rsid w:val="00D65E3D"/>
    <w:rsid w:val="00D728C6"/>
    <w:rsid w:val="00D77175"/>
    <w:rsid w:val="00D80A06"/>
    <w:rsid w:val="00D8143E"/>
    <w:rsid w:val="00D817E9"/>
    <w:rsid w:val="00D8188C"/>
    <w:rsid w:val="00D834B0"/>
    <w:rsid w:val="00D8449F"/>
    <w:rsid w:val="00D96B20"/>
    <w:rsid w:val="00DA07E5"/>
    <w:rsid w:val="00DA1399"/>
    <w:rsid w:val="00DA2405"/>
    <w:rsid w:val="00DA3F55"/>
    <w:rsid w:val="00DA4A4E"/>
    <w:rsid w:val="00DA4F61"/>
    <w:rsid w:val="00DA5591"/>
    <w:rsid w:val="00DA59BA"/>
    <w:rsid w:val="00DB153F"/>
    <w:rsid w:val="00DB30BB"/>
    <w:rsid w:val="00DB33C3"/>
    <w:rsid w:val="00DB34FF"/>
    <w:rsid w:val="00DB5993"/>
    <w:rsid w:val="00DB5A35"/>
    <w:rsid w:val="00DC14DE"/>
    <w:rsid w:val="00DC589D"/>
    <w:rsid w:val="00DD2B25"/>
    <w:rsid w:val="00DF4715"/>
    <w:rsid w:val="00E006F0"/>
    <w:rsid w:val="00E00D9F"/>
    <w:rsid w:val="00E02B1B"/>
    <w:rsid w:val="00E0466F"/>
    <w:rsid w:val="00E0503F"/>
    <w:rsid w:val="00E05F7A"/>
    <w:rsid w:val="00E065B7"/>
    <w:rsid w:val="00E15728"/>
    <w:rsid w:val="00E171B3"/>
    <w:rsid w:val="00E1723D"/>
    <w:rsid w:val="00E176B8"/>
    <w:rsid w:val="00E17C24"/>
    <w:rsid w:val="00E240D5"/>
    <w:rsid w:val="00E32F9A"/>
    <w:rsid w:val="00E43DD1"/>
    <w:rsid w:val="00E44F4C"/>
    <w:rsid w:val="00E61DF3"/>
    <w:rsid w:val="00E62EF3"/>
    <w:rsid w:val="00E64845"/>
    <w:rsid w:val="00E6599F"/>
    <w:rsid w:val="00E6780A"/>
    <w:rsid w:val="00E73819"/>
    <w:rsid w:val="00E75959"/>
    <w:rsid w:val="00E81F1E"/>
    <w:rsid w:val="00E82F11"/>
    <w:rsid w:val="00E92363"/>
    <w:rsid w:val="00EA0186"/>
    <w:rsid w:val="00EA17E1"/>
    <w:rsid w:val="00EA196A"/>
    <w:rsid w:val="00EA5054"/>
    <w:rsid w:val="00EA5FE2"/>
    <w:rsid w:val="00EA6C88"/>
    <w:rsid w:val="00EB472D"/>
    <w:rsid w:val="00EB6396"/>
    <w:rsid w:val="00EB6549"/>
    <w:rsid w:val="00EC0BC9"/>
    <w:rsid w:val="00EC21DB"/>
    <w:rsid w:val="00ED11FA"/>
    <w:rsid w:val="00ED6988"/>
    <w:rsid w:val="00EE1D4C"/>
    <w:rsid w:val="00EE1E6F"/>
    <w:rsid w:val="00EE30DC"/>
    <w:rsid w:val="00EE3D8B"/>
    <w:rsid w:val="00EE4CF4"/>
    <w:rsid w:val="00EE5773"/>
    <w:rsid w:val="00EF358D"/>
    <w:rsid w:val="00EF3603"/>
    <w:rsid w:val="00EF5B6A"/>
    <w:rsid w:val="00F023C2"/>
    <w:rsid w:val="00F03F92"/>
    <w:rsid w:val="00F06727"/>
    <w:rsid w:val="00F15460"/>
    <w:rsid w:val="00F24B9F"/>
    <w:rsid w:val="00F37F73"/>
    <w:rsid w:val="00F4133D"/>
    <w:rsid w:val="00F41867"/>
    <w:rsid w:val="00F41DD5"/>
    <w:rsid w:val="00F42678"/>
    <w:rsid w:val="00F4572C"/>
    <w:rsid w:val="00F45B8D"/>
    <w:rsid w:val="00F46844"/>
    <w:rsid w:val="00F554B3"/>
    <w:rsid w:val="00F554E3"/>
    <w:rsid w:val="00F56F08"/>
    <w:rsid w:val="00F61BCC"/>
    <w:rsid w:val="00F65820"/>
    <w:rsid w:val="00F6715A"/>
    <w:rsid w:val="00F6759B"/>
    <w:rsid w:val="00F7685C"/>
    <w:rsid w:val="00F81F54"/>
    <w:rsid w:val="00F828AA"/>
    <w:rsid w:val="00F85E24"/>
    <w:rsid w:val="00F93B58"/>
    <w:rsid w:val="00F94291"/>
    <w:rsid w:val="00FA4096"/>
    <w:rsid w:val="00FA62C8"/>
    <w:rsid w:val="00FB35FE"/>
    <w:rsid w:val="00FB544A"/>
    <w:rsid w:val="00FC0FB2"/>
    <w:rsid w:val="00FC3BA2"/>
    <w:rsid w:val="00FC3F30"/>
    <w:rsid w:val="00FD2ECE"/>
    <w:rsid w:val="00FD43D0"/>
    <w:rsid w:val="00FD457C"/>
    <w:rsid w:val="00FD7082"/>
    <w:rsid w:val="00FE09B0"/>
    <w:rsid w:val="00FE0D6D"/>
    <w:rsid w:val="00FE210D"/>
    <w:rsid w:val="00FF0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7398"/>
  <w15:chartTrackingRefBased/>
  <w15:docId w15:val="{326D506B-7417-43B5-849A-97BD0D12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2C"/>
    <w:pPr>
      <w:spacing w:after="160" w:line="259" w:lineRule="auto"/>
    </w:pPr>
    <w:rPr>
      <w:rFonts w:ascii="Times New Roman" w:eastAsia="PMingLiU" w:hAnsi="Times New Roman" w:cs="Arial"/>
      <w:sz w:val="24"/>
      <w:szCs w:val="22"/>
      <w:lang w:eastAsia="en-US"/>
    </w:rPr>
  </w:style>
  <w:style w:type="paragraph" w:styleId="Heading1">
    <w:name w:val="heading 1"/>
    <w:basedOn w:val="Normal"/>
    <w:next w:val="Normal"/>
    <w:link w:val="Heading1Char"/>
    <w:uiPriority w:val="9"/>
    <w:qFormat/>
    <w:rsid w:val="004812E3"/>
    <w:pPr>
      <w:keepNext/>
      <w:keepLines/>
      <w:shd w:val="clear" w:color="auto" w:fill="FFFFFF"/>
      <w:spacing w:before="240" w:after="0" w:line="100" w:lineRule="atLeast"/>
      <w:outlineLvl w:val="0"/>
    </w:pPr>
    <w:rPr>
      <w:rFonts w:ascii="Calibri" w:eastAsia="Times New Roman" w:hAnsi="Calibri" w:cs="Times New Roman"/>
      <w:color w:val="2F5496"/>
      <w:kern w:val="1"/>
      <w:sz w:val="32"/>
      <w:szCs w:val="32"/>
      <w:u w:color="000000"/>
      <w:lang w:val="en-US" w:eastAsia="ar-SA"/>
    </w:rPr>
  </w:style>
  <w:style w:type="paragraph" w:styleId="Heading2">
    <w:name w:val="heading 2"/>
    <w:basedOn w:val="Normal"/>
    <w:next w:val="Normal"/>
    <w:link w:val="Heading2Char"/>
    <w:uiPriority w:val="9"/>
    <w:semiHidden/>
    <w:unhideWhenUsed/>
    <w:qFormat/>
    <w:rsid w:val="00194F18"/>
    <w:pPr>
      <w:keepNext/>
      <w:spacing w:before="240" w:after="60"/>
      <w:outlineLvl w:val="1"/>
    </w:pPr>
    <w:rPr>
      <w:rFonts w:eastAsia="Times New Roman"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12E3"/>
    <w:rPr>
      <w:rFonts w:eastAsia="Times New Roman" w:cs="Times New Roman"/>
      <w:color w:val="2F5496"/>
      <w:kern w:val="1"/>
      <w:sz w:val="32"/>
      <w:szCs w:val="32"/>
      <w:u w:color="000000"/>
      <w:shd w:val="clear" w:color="auto" w:fill="FFFFFF"/>
      <w:lang w:val="en-US" w:eastAsia="ar-SA"/>
    </w:rPr>
  </w:style>
  <w:style w:type="paragraph" w:styleId="NoSpacing">
    <w:name w:val="No Spacing"/>
    <w:uiPriority w:val="1"/>
    <w:qFormat/>
    <w:rsid w:val="00194F18"/>
    <w:rPr>
      <w:rFonts w:ascii="Times New Roman" w:hAnsi="Times New Roman"/>
      <w:sz w:val="24"/>
      <w:szCs w:val="22"/>
      <w:lang w:eastAsia="en-US"/>
    </w:rPr>
  </w:style>
  <w:style w:type="character" w:customStyle="1" w:styleId="Heading2Char">
    <w:name w:val="Heading 2 Char"/>
    <w:link w:val="Heading2"/>
    <w:uiPriority w:val="9"/>
    <w:semiHidden/>
    <w:rsid w:val="00194F18"/>
    <w:rPr>
      <w:rFonts w:ascii="Times New Roman" w:eastAsia="Times New Roman" w:hAnsi="Times New Roman" w:cs="Times New Roman"/>
      <w:b/>
      <w:bCs/>
      <w:i/>
      <w:iCs/>
      <w:sz w:val="28"/>
      <w:szCs w:val="28"/>
    </w:rPr>
  </w:style>
  <w:style w:type="paragraph" w:styleId="Subtitle">
    <w:name w:val="Subtitle"/>
    <w:basedOn w:val="Normal"/>
    <w:next w:val="Normal"/>
    <w:link w:val="SubtitleChar"/>
    <w:uiPriority w:val="11"/>
    <w:qFormat/>
    <w:rsid w:val="004812E3"/>
    <w:pPr>
      <w:numPr>
        <w:ilvl w:val="1"/>
      </w:numPr>
      <w:shd w:val="clear" w:color="auto" w:fill="FFFFFF"/>
      <w:spacing w:line="100" w:lineRule="atLeast"/>
    </w:pPr>
    <w:rPr>
      <w:rFonts w:ascii="Calibri" w:eastAsia="Times New Roman" w:hAnsi="Calibri" w:cs="Times New Roman"/>
      <w:color w:val="5A5A5A"/>
      <w:spacing w:val="15"/>
      <w:kern w:val="1"/>
      <w:u w:color="000000"/>
      <w:lang w:val="en-US" w:eastAsia="ar-SA"/>
    </w:rPr>
  </w:style>
  <w:style w:type="character" w:customStyle="1" w:styleId="SubtitleChar">
    <w:name w:val="Subtitle Char"/>
    <w:link w:val="Subtitle"/>
    <w:uiPriority w:val="11"/>
    <w:rsid w:val="004812E3"/>
    <w:rPr>
      <w:rFonts w:eastAsia="Times New Roman"/>
      <w:color w:val="5A5A5A"/>
      <w:spacing w:val="15"/>
      <w:kern w:val="1"/>
      <w:sz w:val="24"/>
      <w:u w:color="000000"/>
      <w:shd w:val="clear" w:color="auto" w:fill="FFFFFF"/>
      <w:lang w:val="en-US" w:eastAsia="ar-SA"/>
    </w:rPr>
  </w:style>
  <w:style w:type="character" w:styleId="SubtleEmphasis">
    <w:name w:val="Subtle Emphasis"/>
    <w:uiPriority w:val="19"/>
    <w:qFormat/>
    <w:rsid w:val="004812E3"/>
    <w:rPr>
      <w:rFonts w:ascii="Times New Roman" w:hAnsi="Times New Roman"/>
      <w:i/>
      <w:iCs/>
      <w:color w:val="404040"/>
      <w:sz w:val="24"/>
    </w:rPr>
  </w:style>
  <w:style w:type="paragraph" w:styleId="ListParagraph">
    <w:name w:val="List Paragraph"/>
    <w:basedOn w:val="Normal"/>
    <w:uiPriority w:val="34"/>
    <w:qFormat/>
    <w:rsid w:val="00194F18"/>
    <w:pPr>
      <w:ind w:left="720"/>
    </w:pPr>
  </w:style>
  <w:style w:type="character" w:styleId="BookTitle">
    <w:name w:val="Book Title"/>
    <w:uiPriority w:val="33"/>
    <w:qFormat/>
    <w:rsid w:val="00194F18"/>
    <w:rPr>
      <w:rFonts w:ascii="Times New Roman" w:hAnsi="Times New Roman"/>
      <w:b/>
      <w:bCs/>
      <w:i/>
      <w:iCs/>
      <w:spacing w:val="5"/>
      <w:sz w:val="24"/>
    </w:rPr>
  </w:style>
  <w:style w:type="character" w:styleId="IntenseReference">
    <w:name w:val="Intense Reference"/>
    <w:uiPriority w:val="32"/>
    <w:qFormat/>
    <w:rsid w:val="00194F18"/>
    <w:rPr>
      <w:rFonts w:ascii="Times New Roman" w:hAnsi="Times New Roman"/>
      <w:b/>
      <w:bCs/>
      <w:smallCaps/>
      <w:color w:val="4472C4"/>
      <w:spacing w:val="5"/>
      <w:sz w:val="24"/>
    </w:rPr>
  </w:style>
  <w:style w:type="character" w:styleId="SubtleReference">
    <w:name w:val="Subtle Reference"/>
    <w:uiPriority w:val="31"/>
    <w:qFormat/>
    <w:rsid w:val="004812E3"/>
    <w:rPr>
      <w:rFonts w:ascii="Times New Roman" w:hAnsi="Times New Roman"/>
      <w:smallCaps/>
      <w:color w:val="5A5A5A"/>
      <w:sz w:val="24"/>
    </w:rPr>
  </w:style>
  <w:style w:type="paragraph" w:styleId="Quote">
    <w:name w:val="Quote"/>
    <w:basedOn w:val="Normal"/>
    <w:next w:val="Normal"/>
    <w:link w:val="QuoteChar"/>
    <w:uiPriority w:val="29"/>
    <w:qFormat/>
    <w:rsid w:val="004812E3"/>
    <w:pPr>
      <w:shd w:val="clear" w:color="auto" w:fill="FFFFFF"/>
      <w:spacing w:before="200" w:line="100" w:lineRule="atLeast"/>
      <w:ind w:left="864" w:right="864"/>
      <w:jc w:val="center"/>
    </w:pPr>
    <w:rPr>
      <w:rFonts w:ascii="Calibri" w:eastAsia="Arial Unicode MS" w:hAnsi="Calibri" w:cs="Times New Roman"/>
      <w:i/>
      <w:iCs/>
      <w:color w:val="404040"/>
      <w:kern w:val="1"/>
      <w:szCs w:val="24"/>
      <w:u w:color="000000"/>
      <w:lang w:val="en-US" w:eastAsia="ar-SA"/>
    </w:rPr>
  </w:style>
  <w:style w:type="character" w:customStyle="1" w:styleId="QuoteChar">
    <w:name w:val="Quote Char"/>
    <w:link w:val="Quote"/>
    <w:uiPriority w:val="29"/>
    <w:rsid w:val="004812E3"/>
    <w:rPr>
      <w:rFonts w:eastAsia="Arial Unicode MS"/>
      <w:i/>
      <w:iCs/>
      <w:color w:val="404040"/>
      <w:kern w:val="1"/>
      <w:sz w:val="24"/>
      <w:szCs w:val="24"/>
      <w:u w:color="000000"/>
      <w:shd w:val="clear" w:color="auto" w:fill="FFFFFF"/>
      <w:lang w:val="en-US" w:eastAsia="ar-SA"/>
    </w:rPr>
  </w:style>
  <w:style w:type="character" w:styleId="Strong">
    <w:name w:val="Strong"/>
    <w:uiPriority w:val="22"/>
    <w:qFormat/>
    <w:rsid w:val="004812E3"/>
    <w:rPr>
      <w:rFonts w:ascii="Times New Roman" w:hAnsi="Times New Roman"/>
      <w:b/>
      <w:bCs/>
      <w:sz w:val="24"/>
    </w:rPr>
  </w:style>
  <w:style w:type="character" w:styleId="IntenseEmphasis">
    <w:name w:val="Intense Emphasis"/>
    <w:uiPriority w:val="21"/>
    <w:qFormat/>
    <w:rsid w:val="00194F18"/>
    <w:rPr>
      <w:rFonts w:ascii="Times New Roman" w:hAnsi="Times New Roman"/>
      <w:i/>
      <w:iCs/>
      <w:color w:val="4472C4"/>
      <w:sz w:val="24"/>
    </w:rPr>
  </w:style>
  <w:style w:type="character" w:styleId="Emphasis">
    <w:name w:val="Emphasis"/>
    <w:uiPriority w:val="20"/>
    <w:qFormat/>
    <w:rsid w:val="004812E3"/>
    <w:rPr>
      <w:rFonts w:ascii="Times New Roman" w:hAnsi="Times New Roman"/>
      <w:i/>
      <w:iCs/>
      <w:sz w:val="24"/>
    </w:rPr>
  </w:style>
  <w:style w:type="paragraph" w:styleId="Title">
    <w:name w:val="Title"/>
    <w:basedOn w:val="Normal"/>
    <w:next w:val="Normal"/>
    <w:link w:val="TitleChar"/>
    <w:uiPriority w:val="10"/>
    <w:qFormat/>
    <w:rsid w:val="004812E3"/>
    <w:pPr>
      <w:shd w:val="clear" w:color="auto" w:fill="FFFFFF"/>
      <w:spacing w:after="0" w:line="240" w:lineRule="auto"/>
      <w:contextualSpacing/>
    </w:pPr>
    <w:rPr>
      <w:rFonts w:ascii="Calibri" w:eastAsia="Times New Roman" w:hAnsi="Calibri" w:cs="Times New Roman"/>
      <w:spacing w:val="-10"/>
      <w:kern w:val="28"/>
      <w:sz w:val="56"/>
      <w:szCs w:val="56"/>
      <w:u w:color="000000"/>
      <w:lang w:val="en-US" w:eastAsia="ar-SA"/>
    </w:rPr>
  </w:style>
  <w:style w:type="character" w:customStyle="1" w:styleId="TitleChar">
    <w:name w:val="Title Char"/>
    <w:link w:val="Title"/>
    <w:uiPriority w:val="10"/>
    <w:rsid w:val="004812E3"/>
    <w:rPr>
      <w:rFonts w:eastAsia="Times New Roman" w:cs="Times New Roman"/>
      <w:spacing w:val="-10"/>
      <w:kern w:val="28"/>
      <w:sz w:val="56"/>
      <w:szCs w:val="56"/>
      <w:u w:color="000000"/>
      <w:shd w:val="clear" w:color="auto" w:fill="FFFFFF"/>
      <w:lang w:val="en-US" w:eastAsia="ar-SA"/>
    </w:rPr>
  </w:style>
  <w:style w:type="paragraph" w:customStyle="1" w:styleId="font8">
    <w:name w:val="font_8"/>
    <w:basedOn w:val="Normal"/>
    <w:rsid w:val="006413F4"/>
    <w:pPr>
      <w:spacing w:before="100" w:beforeAutospacing="1" w:after="100" w:afterAutospacing="1" w:line="240" w:lineRule="auto"/>
    </w:pPr>
    <w:rPr>
      <w:rFonts w:eastAsia="Times New Roman" w:cs="Times New Roman"/>
      <w:szCs w:val="24"/>
      <w:lang w:eastAsia="en-GB"/>
    </w:rPr>
  </w:style>
  <w:style w:type="paragraph" w:styleId="FootnoteText">
    <w:name w:val="footnote text"/>
    <w:basedOn w:val="Normal"/>
    <w:link w:val="FootnoteTextChar"/>
    <w:uiPriority w:val="99"/>
    <w:semiHidden/>
    <w:unhideWhenUsed/>
    <w:rsid w:val="0009068B"/>
    <w:rPr>
      <w:sz w:val="20"/>
      <w:szCs w:val="20"/>
    </w:rPr>
  </w:style>
  <w:style w:type="character" w:customStyle="1" w:styleId="FootnoteTextChar">
    <w:name w:val="Footnote Text Char"/>
    <w:link w:val="FootnoteText"/>
    <w:uiPriority w:val="99"/>
    <w:semiHidden/>
    <w:rsid w:val="0009068B"/>
    <w:rPr>
      <w:rFonts w:ascii="Times New Roman" w:eastAsia="PMingLiU" w:hAnsi="Times New Roman" w:cs="Arial"/>
      <w:lang w:eastAsia="en-US"/>
    </w:rPr>
  </w:style>
  <w:style w:type="character" w:styleId="FootnoteReference">
    <w:name w:val="footnote reference"/>
    <w:uiPriority w:val="99"/>
    <w:semiHidden/>
    <w:unhideWhenUsed/>
    <w:rsid w:val="0009068B"/>
    <w:rPr>
      <w:vertAlign w:val="superscript"/>
    </w:rPr>
  </w:style>
  <w:style w:type="character" w:styleId="Hyperlink">
    <w:name w:val="Hyperlink"/>
    <w:uiPriority w:val="99"/>
    <w:unhideWhenUsed/>
    <w:rsid w:val="00B46ADC"/>
    <w:rPr>
      <w:color w:val="0563C1"/>
      <w:u w:val="single"/>
    </w:rPr>
  </w:style>
  <w:style w:type="character" w:styleId="UnresolvedMention">
    <w:name w:val="Unresolved Mention"/>
    <w:uiPriority w:val="99"/>
    <w:semiHidden/>
    <w:unhideWhenUsed/>
    <w:rsid w:val="00B46ADC"/>
    <w:rPr>
      <w:color w:val="605E5C"/>
      <w:shd w:val="clear" w:color="auto" w:fill="E1DFDD"/>
    </w:rPr>
  </w:style>
  <w:style w:type="character" w:styleId="PlaceholderText">
    <w:name w:val="Placeholder Text"/>
    <w:basedOn w:val="DefaultParagraphFont"/>
    <w:uiPriority w:val="99"/>
    <w:semiHidden/>
    <w:rsid w:val="00DA1399"/>
    <w:rPr>
      <w:color w:val="808080"/>
    </w:rPr>
  </w:style>
  <w:style w:type="paragraph" w:styleId="EndnoteText">
    <w:name w:val="endnote text"/>
    <w:basedOn w:val="Normal"/>
    <w:link w:val="EndnoteTextChar"/>
    <w:uiPriority w:val="99"/>
    <w:semiHidden/>
    <w:unhideWhenUsed/>
    <w:rsid w:val="00D72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28C6"/>
    <w:rPr>
      <w:rFonts w:ascii="Times New Roman" w:eastAsia="PMingLiU" w:hAnsi="Times New Roman" w:cs="Arial"/>
      <w:lang w:eastAsia="en-US"/>
    </w:rPr>
  </w:style>
  <w:style w:type="character" w:styleId="EndnoteReference">
    <w:name w:val="endnote reference"/>
    <w:basedOn w:val="DefaultParagraphFont"/>
    <w:uiPriority w:val="99"/>
    <w:semiHidden/>
    <w:unhideWhenUsed/>
    <w:rsid w:val="00D728C6"/>
    <w:rPr>
      <w:vertAlign w:val="superscript"/>
    </w:rPr>
  </w:style>
  <w:style w:type="paragraph" w:styleId="BalloonText">
    <w:name w:val="Balloon Text"/>
    <w:basedOn w:val="Normal"/>
    <w:link w:val="BalloonTextChar"/>
    <w:uiPriority w:val="99"/>
    <w:semiHidden/>
    <w:unhideWhenUsed/>
    <w:rsid w:val="00A45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7A"/>
    <w:rPr>
      <w:rFonts w:ascii="Segoe UI" w:eastAsia="PMingLiU" w:hAnsi="Segoe UI" w:cs="Segoe UI"/>
      <w:sz w:val="18"/>
      <w:szCs w:val="18"/>
      <w:lang w:eastAsia="en-US"/>
    </w:rPr>
  </w:style>
  <w:style w:type="paragraph" w:styleId="Header">
    <w:name w:val="header"/>
    <w:basedOn w:val="Normal"/>
    <w:link w:val="HeaderChar"/>
    <w:uiPriority w:val="99"/>
    <w:unhideWhenUsed/>
    <w:rsid w:val="00487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CE9"/>
    <w:rPr>
      <w:rFonts w:ascii="Times New Roman" w:eastAsia="PMingLiU" w:hAnsi="Times New Roman" w:cs="Arial"/>
      <w:sz w:val="24"/>
      <w:szCs w:val="22"/>
      <w:lang w:eastAsia="en-US"/>
    </w:rPr>
  </w:style>
  <w:style w:type="paragraph" w:styleId="Footer">
    <w:name w:val="footer"/>
    <w:basedOn w:val="Normal"/>
    <w:link w:val="FooterChar"/>
    <w:uiPriority w:val="99"/>
    <w:unhideWhenUsed/>
    <w:rsid w:val="00487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CE9"/>
    <w:rPr>
      <w:rFonts w:ascii="Times New Roman" w:eastAsia="PMingLiU" w:hAnsi="Times New Roman" w:cs="Arial"/>
      <w:sz w:val="24"/>
      <w:szCs w:val="22"/>
      <w:lang w:eastAsia="en-US"/>
    </w:rPr>
  </w:style>
  <w:style w:type="character" w:customStyle="1" w:styleId="mi">
    <w:name w:val="mi"/>
    <w:basedOn w:val="DefaultParagraphFont"/>
    <w:rsid w:val="00684507"/>
  </w:style>
  <w:style w:type="character" w:customStyle="1" w:styleId="mo">
    <w:name w:val="mo"/>
    <w:basedOn w:val="DefaultParagraphFont"/>
    <w:rsid w:val="00684507"/>
  </w:style>
  <w:style w:type="character" w:customStyle="1" w:styleId="mn">
    <w:name w:val="mn"/>
    <w:basedOn w:val="DefaultParagraphFont"/>
    <w:rsid w:val="0068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103107">
      <w:bodyDiv w:val="1"/>
      <w:marLeft w:val="0"/>
      <w:marRight w:val="0"/>
      <w:marTop w:val="0"/>
      <w:marBottom w:val="0"/>
      <w:divBdr>
        <w:top w:val="none" w:sz="0" w:space="0" w:color="auto"/>
        <w:left w:val="none" w:sz="0" w:space="0" w:color="auto"/>
        <w:bottom w:val="none" w:sz="0" w:space="0" w:color="auto"/>
        <w:right w:val="none" w:sz="0" w:space="0" w:color="auto"/>
      </w:divBdr>
    </w:div>
    <w:div w:id="962274726">
      <w:bodyDiv w:val="1"/>
      <w:marLeft w:val="0"/>
      <w:marRight w:val="0"/>
      <w:marTop w:val="0"/>
      <w:marBottom w:val="0"/>
      <w:divBdr>
        <w:top w:val="none" w:sz="0" w:space="0" w:color="auto"/>
        <w:left w:val="none" w:sz="0" w:space="0" w:color="auto"/>
        <w:bottom w:val="none" w:sz="0" w:space="0" w:color="auto"/>
        <w:right w:val="none" w:sz="0" w:space="0" w:color="auto"/>
      </w:divBdr>
    </w:div>
    <w:div w:id="1697348148">
      <w:bodyDiv w:val="1"/>
      <w:marLeft w:val="0"/>
      <w:marRight w:val="0"/>
      <w:marTop w:val="0"/>
      <w:marBottom w:val="0"/>
      <w:divBdr>
        <w:top w:val="none" w:sz="0" w:space="0" w:color="auto"/>
        <w:left w:val="none" w:sz="0" w:space="0" w:color="auto"/>
        <w:bottom w:val="none" w:sz="0" w:space="0" w:color="auto"/>
        <w:right w:val="none" w:sz="0" w:space="0" w:color="auto"/>
      </w:divBdr>
    </w:div>
    <w:div w:id="1852451341">
      <w:bodyDiv w:val="1"/>
      <w:marLeft w:val="0"/>
      <w:marRight w:val="0"/>
      <w:marTop w:val="0"/>
      <w:marBottom w:val="0"/>
      <w:divBdr>
        <w:top w:val="none" w:sz="0" w:space="0" w:color="auto"/>
        <w:left w:val="none" w:sz="0" w:space="0" w:color="auto"/>
        <w:bottom w:val="none" w:sz="0" w:space="0" w:color="auto"/>
        <w:right w:val="none" w:sz="0" w:space="0" w:color="auto"/>
      </w:divBdr>
    </w:div>
    <w:div w:id="19807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F9DA4-CEAB-475C-9F80-A1037B45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7924</Words>
  <Characters>45171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Peden</dc:creator>
  <cp:keywords/>
  <dc:description/>
  <cp:lastModifiedBy>PEDEN, WILLIAM J.</cp:lastModifiedBy>
  <cp:revision>2</cp:revision>
  <dcterms:created xsi:type="dcterms:W3CDTF">2021-01-19T15:19:00Z</dcterms:created>
  <dcterms:modified xsi:type="dcterms:W3CDTF">2021-01-19T15:19:00Z</dcterms:modified>
</cp:coreProperties>
</file>