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DDFAA" w14:textId="77777777" w:rsidR="003104D0" w:rsidRDefault="003104D0" w:rsidP="00722BBD">
      <w:pPr>
        <w:jc w:val="center"/>
        <w:rPr>
          <w:rFonts w:ascii="Times New Roman" w:hAnsi="Times New Roman" w:cs="Times New Roman"/>
          <w:b/>
        </w:rPr>
      </w:pPr>
    </w:p>
    <w:p w14:paraId="388A37A7" w14:textId="77777777" w:rsidR="00F15DD2" w:rsidRDefault="00F15DD2" w:rsidP="00722BBD">
      <w:pPr>
        <w:jc w:val="center"/>
        <w:rPr>
          <w:rFonts w:ascii="Times New Roman" w:hAnsi="Times New Roman" w:cs="Times New Roman"/>
          <w:b/>
        </w:rPr>
      </w:pPr>
    </w:p>
    <w:p w14:paraId="2985D2AB" w14:textId="77777777" w:rsidR="007B00C4" w:rsidRPr="00997805" w:rsidRDefault="00997805" w:rsidP="00722BBD">
      <w:pPr>
        <w:jc w:val="center"/>
        <w:rPr>
          <w:rFonts w:ascii="Times New Roman" w:hAnsi="Times New Roman" w:cs="Times New Roman"/>
          <w:b/>
          <w:bCs/>
          <w:sz w:val="28"/>
          <w:szCs w:val="28"/>
        </w:rPr>
      </w:pPr>
      <w:r w:rsidRPr="00997805">
        <w:rPr>
          <w:rFonts w:ascii="Times New Roman" w:hAnsi="Times New Roman" w:cs="Times New Roman"/>
          <w:b/>
          <w:bCs/>
          <w:sz w:val="28"/>
          <w:szCs w:val="28"/>
        </w:rPr>
        <w:t xml:space="preserve">Understanding without </w:t>
      </w:r>
      <w:r w:rsidR="001D1615">
        <w:rPr>
          <w:rFonts w:ascii="Times New Roman" w:hAnsi="Times New Roman" w:cs="Times New Roman"/>
          <w:b/>
          <w:bCs/>
          <w:sz w:val="28"/>
          <w:szCs w:val="28"/>
        </w:rPr>
        <w:t>e</w:t>
      </w:r>
      <w:r w:rsidRPr="00997805">
        <w:rPr>
          <w:rFonts w:ascii="Times New Roman" w:hAnsi="Times New Roman" w:cs="Times New Roman"/>
          <w:b/>
          <w:bCs/>
          <w:sz w:val="28"/>
          <w:szCs w:val="28"/>
        </w:rPr>
        <w:t xml:space="preserve">xplanation: </w:t>
      </w:r>
      <w:r w:rsidR="006044CD">
        <w:rPr>
          <w:rFonts w:ascii="Times New Roman" w:hAnsi="Times New Roman" w:cs="Times New Roman"/>
          <w:b/>
          <w:bCs/>
          <w:sz w:val="28"/>
          <w:szCs w:val="28"/>
        </w:rPr>
        <w:t>t</w:t>
      </w:r>
      <w:r w:rsidR="006076BA" w:rsidRPr="00997805">
        <w:rPr>
          <w:rFonts w:ascii="Times New Roman" w:hAnsi="Times New Roman" w:cs="Times New Roman"/>
          <w:b/>
          <w:bCs/>
          <w:sz w:val="28"/>
          <w:szCs w:val="28"/>
        </w:rPr>
        <w:t>he case is not closed</w:t>
      </w:r>
    </w:p>
    <w:p w14:paraId="0DEFAB2A" w14:textId="77777777" w:rsidR="00CE4ED3" w:rsidRPr="001D2A80" w:rsidRDefault="00CE4ED3" w:rsidP="00722BBD">
      <w:pPr>
        <w:rPr>
          <w:rFonts w:ascii="Times New Roman" w:hAnsi="Times New Roman" w:cs="Times New Roman"/>
        </w:rPr>
      </w:pPr>
    </w:p>
    <w:p w14:paraId="3E8610D9" w14:textId="77777777" w:rsidR="00343423" w:rsidRDefault="00343423" w:rsidP="00722BBD">
      <w:pPr>
        <w:rPr>
          <w:rFonts w:ascii="Times New Roman" w:hAnsi="Times New Roman" w:cs="Times New Roman"/>
        </w:rPr>
      </w:pPr>
    </w:p>
    <w:p w14:paraId="38411D37" w14:textId="77777777" w:rsidR="003104D0" w:rsidRPr="001D2A80" w:rsidRDefault="003104D0" w:rsidP="00722BBD">
      <w:pPr>
        <w:rPr>
          <w:rFonts w:ascii="Times New Roman" w:hAnsi="Times New Roman" w:cs="Times New Roman"/>
        </w:rPr>
      </w:pPr>
    </w:p>
    <w:p w14:paraId="350A8C4A" w14:textId="77777777" w:rsidR="006076BA" w:rsidRPr="001D2A80" w:rsidRDefault="006076BA" w:rsidP="00722BBD">
      <w:pPr>
        <w:rPr>
          <w:rFonts w:ascii="Times New Roman" w:hAnsi="Times New Roman" w:cs="Times New Roman"/>
        </w:rPr>
      </w:pPr>
      <w:r w:rsidRPr="001D2A80">
        <w:rPr>
          <w:rFonts w:ascii="Times New Roman" w:hAnsi="Times New Roman" w:cs="Times New Roman"/>
        </w:rPr>
        <w:t>Abstract</w:t>
      </w:r>
    </w:p>
    <w:p w14:paraId="633885B7" w14:textId="48DB709B" w:rsidR="00F15DD2" w:rsidRDefault="00B55F07" w:rsidP="00722BBD">
      <w:pPr>
        <w:rPr>
          <w:rFonts w:ascii="Times New Roman" w:hAnsi="Times New Roman" w:cs="Times New Roman"/>
          <w:sz w:val="18"/>
          <w:szCs w:val="18"/>
        </w:rPr>
      </w:pPr>
      <w:r w:rsidRPr="000F088D">
        <w:rPr>
          <w:rFonts w:ascii="Times New Roman" w:hAnsi="Times New Roman" w:cs="Times New Roman"/>
          <w:sz w:val="18"/>
          <w:szCs w:val="18"/>
        </w:rPr>
        <w:t xml:space="preserve">This paper takes a stance </w:t>
      </w:r>
      <w:r>
        <w:rPr>
          <w:rFonts w:ascii="Times New Roman" w:hAnsi="Times New Roman" w:cs="Times New Roman"/>
          <w:sz w:val="18"/>
          <w:szCs w:val="18"/>
        </w:rPr>
        <w:t>i</w:t>
      </w:r>
      <w:r w:rsidRPr="000F088D">
        <w:rPr>
          <w:rFonts w:ascii="Times New Roman" w:hAnsi="Times New Roman" w:cs="Times New Roman"/>
          <w:sz w:val="18"/>
          <w:szCs w:val="18"/>
        </w:rPr>
        <w:t>n the debate on scientific understanding. It claims that the case for a specific type of understanding</w:t>
      </w:r>
      <w:r>
        <w:rPr>
          <w:rFonts w:ascii="Times New Roman" w:hAnsi="Times New Roman" w:cs="Times New Roman"/>
          <w:sz w:val="18"/>
          <w:szCs w:val="18"/>
        </w:rPr>
        <w:t>,</w:t>
      </w:r>
      <w:r w:rsidRPr="000F088D">
        <w:rPr>
          <w:rFonts w:ascii="Times New Roman" w:hAnsi="Times New Roman" w:cs="Times New Roman"/>
          <w:sz w:val="18"/>
          <w:szCs w:val="18"/>
        </w:rPr>
        <w:t xml:space="preserve"> understanding without explanation </w:t>
      </w:r>
      <w:r>
        <w:rPr>
          <w:rFonts w:ascii="Times New Roman" w:hAnsi="Times New Roman" w:cs="Times New Roman"/>
          <w:sz w:val="18"/>
          <w:szCs w:val="18"/>
        </w:rPr>
        <w:t>(UWE),</w:t>
      </w:r>
      <w:r w:rsidRPr="000F088D">
        <w:rPr>
          <w:rFonts w:ascii="Times New Roman" w:hAnsi="Times New Roman" w:cs="Times New Roman"/>
          <w:sz w:val="18"/>
          <w:szCs w:val="18"/>
        </w:rPr>
        <w:t xml:space="preserve"> is still open, despite some tendencies in the current literature that </w:t>
      </w:r>
      <w:r>
        <w:rPr>
          <w:rFonts w:ascii="Times New Roman" w:hAnsi="Times New Roman" w:cs="Times New Roman"/>
          <w:sz w:val="18"/>
          <w:szCs w:val="18"/>
        </w:rPr>
        <w:t>might</w:t>
      </w:r>
      <w:r w:rsidRPr="000F088D">
        <w:rPr>
          <w:rFonts w:ascii="Times New Roman" w:hAnsi="Times New Roman" w:cs="Times New Roman"/>
          <w:sz w:val="18"/>
          <w:szCs w:val="18"/>
        </w:rPr>
        <w:t xml:space="preserve"> suggest otherwise. The paper begins by situating the distinction between explanatory and non-explanatory understanding in the debate on understanding introducing Lipton’s account o</w:t>
      </w:r>
      <w:r>
        <w:rPr>
          <w:rFonts w:ascii="Times New Roman" w:hAnsi="Times New Roman" w:cs="Times New Roman"/>
          <w:sz w:val="18"/>
          <w:szCs w:val="18"/>
        </w:rPr>
        <w:t>f</w:t>
      </w:r>
      <w:r w:rsidRPr="000F088D">
        <w:rPr>
          <w:rFonts w:ascii="Times New Roman" w:hAnsi="Times New Roman" w:cs="Times New Roman"/>
          <w:sz w:val="18"/>
          <w:szCs w:val="18"/>
        </w:rPr>
        <w:t xml:space="preserve"> UwE. I</w:t>
      </w:r>
      <w:r>
        <w:rPr>
          <w:rFonts w:ascii="Times New Roman" w:hAnsi="Times New Roman" w:cs="Times New Roman"/>
          <w:sz w:val="18"/>
          <w:szCs w:val="18"/>
        </w:rPr>
        <w:t>t</w:t>
      </w:r>
      <w:r w:rsidRPr="000F088D">
        <w:rPr>
          <w:rFonts w:ascii="Times New Roman" w:hAnsi="Times New Roman" w:cs="Times New Roman"/>
          <w:sz w:val="18"/>
          <w:szCs w:val="18"/>
        </w:rPr>
        <w:t xml:space="preserve"> discuss</w:t>
      </w:r>
      <w:r>
        <w:rPr>
          <w:rFonts w:ascii="Times New Roman" w:hAnsi="Times New Roman" w:cs="Times New Roman"/>
          <w:sz w:val="18"/>
          <w:szCs w:val="18"/>
        </w:rPr>
        <w:t>es</w:t>
      </w:r>
      <w:r w:rsidRPr="000F088D">
        <w:rPr>
          <w:rFonts w:ascii="Times New Roman" w:hAnsi="Times New Roman" w:cs="Times New Roman"/>
          <w:sz w:val="18"/>
          <w:szCs w:val="18"/>
        </w:rPr>
        <w:t xml:space="preserve"> next the significance of Lipton’s proposal</w:t>
      </w:r>
      <w:r>
        <w:rPr>
          <w:rFonts w:ascii="Times New Roman" w:hAnsi="Times New Roman" w:cs="Times New Roman"/>
          <w:sz w:val="18"/>
          <w:szCs w:val="18"/>
        </w:rPr>
        <w:t>s</w:t>
      </w:r>
      <w:r w:rsidRPr="000F088D">
        <w:rPr>
          <w:rFonts w:ascii="Times New Roman" w:hAnsi="Times New Roman" w:cs="Times New Roman"/>
          <w:sz w:val="18"/>
          <w:szCs w:val="18"/>
        </w:rPr>
        <w:t xml:space="preserve"> for the debate and argue</w:t>
      </w:r>
      <w:r>
        <w:rPr>
          <w:rFonts w:ascii="Times New Roman" w:hAnsi="Times New Roman" w:cs="Times New Roman"/>
          <w:sz w:val="18"/>
          <w:szCs w:val="18"/>
        </w:rPr>
        <w:t>s</w:t>
      </w:r>
      <w:r w:rsidRPr="000F088D">
        <w:rPr>
          <w:rFonts w:ascii="Times New Roman" w:hAnsi="Times New Roman" w:cs="Times New Roman"/>
          <w:sz w:val="18"/>
          <w:szCs w:val="18"/>
        </w:rPr>
        <w:t xml:space="preserve"> that Kelp’s </w:t>
      </w:r>
      <w:r>
        <w:rPr>
          <w:rFonts w:ascii="Times New Roman" w:hAnsi="Times New Roman" w:cs="Times New Roman"/>
          <w:sz w:val="18"/>
          <w:szCs w:val="18"/>
        </w:rPr>
        <w:t xml:space="preserve">interpretation </w:t>
      </w:r>
      <w:r w:rsidRPr="000F088D">
        <w:rPr>
          <w:rFonts w:ascii="Times New Roman" w:hAnsi="Times New Roman" w:cs="Times New Roman"/>
          <w:sz w:val="18"/>
          <w:szCs w:val="18"/>
        </w:rPr>
        <w:t xml:space="preserve">does not exhaust the challenge </w:t>
      </w:r>
      <w:r>
        <w:rPr>
          <w:rFonts w:ascii="Times New Roman" w:hAnsi="Times New Roman" w:cs="Times New Roman"/>
          <w:sz w:val="18"/>
          <w:szCs w:val="18"/>
        </w:rPr>
        <w:t xml:space="preserve">they </w:t>
      </w:r>
      <w:r w:rsidRPr="000F088D">
        <w:rPr>
          <w:rFonts w:ascii="Times New Roman" w:hAnsi="Times New Roman" w:cs="Times New Roman"/>
          <w:sz w:val="18"/>
          <w:szCs w:val="18"/>
        </w:rPr>
        <w:t xml:space="preserve">pose to </w:t>
      </w:r>
      <w:r>
        <w:rPr>
          <w:rFonts w:ascii="Times New Roman" w:hAnsi="Times New Roman" w:cs="Times New Roman"/>
          <w:sz w:val="18"/>
          <w:szCs w:val="18"/>
        </w:rPr>
        <w:t xml:space="preserve">any </w:t>
      </w:r>
      <w:r w:rsidRPr="000F088D">
        <w:rPr>
          <w:rFonts w:ascii="Times New Roman" w:hAnsi="Times New Roman" w:cs="Times New Roman"/>
          <w:sz w:val="18"/>
          <w:szCs w:val="18"/>
        </w:rPr>
        <w:t>theor</w:t>
      </w:r>
      <w:r>
        <w:rPr>
          <w:rFonts w:ascii="Times New Roman" w:hAnsi="Times New Roman" w:cs="Times New Roman"/>
          <w:sz w:val="18"/>
          <w:szCs w:val="18"/>
        </w:rPr>
        <w:t>y</w:t>
      </w:r>
      <w:r w:rsidRPr="000F088D">
        <w:rPr>
          <w:rFonts w:ascii="Times New Roman" w:hAnsi="Times New Roman" w:cs="Times New Roman"/>
          <w:sz w:val="18"/>
          <w:szCs w:val="18"/>
        </w:rPr>
        <w:t xml:space="preserve"> of understanding. </w:t>
      </w:r>
      <w:r>
        <w:rPr>
          <w:rFonts w:ascii="Times New Roman" w:hAnsi="Times New Roman" w:cs="Times New Roman"/>
          <w:sz w:val="18"/>
          <w:szCs w:val="18"/>
        </w:rPr>
        <w:t xml:space="preserve">The paper deals </w:t>
      </w:r>
      <w:r w:rsidRPr="000F088D">
        <w:rPr>
          <w:rFonts w:ascii="Times New Roman" w:hAnsi="Times New Roman" w:cs="Times New Roman"/>
          <w:sz w:val="18"/>
          <w:szCs w:val="18"/>
        </w:rPr>
        <w:t xml:space="preserve">further </w:t>
      </w:r>
      <w:r>
        <w:rPr>
          <w:rFonts w:ascii="Times New Roman" w:hAnsi="Times New Roman" w:cs="Times New Roman"/>
          <w:sz w:val="18"/>
          <w:szCs w:val="18"/>
        </w:rPr>
        <w:t>with</w:t>
      </w:r>
      <w:r w:rsidRPr="000F088D">
        <w:rPr>
          <w:rFonts w:ascii="Times New Roman" w:hAnsi="Times New Roman" w:cs="Times New Roman"/>
          <w:sz w:val="18"/>
          <w:szCs w:val="18"/>
        </w:rPr>
        <w:t xml:space="preserve"> the best articulated critique of Lipton</w:t>
      </w:r>
      <w:r>
        <w:rPr>
          <w:rFonts w:ascii="Times New Roman" w:hAnsi="Times New Roman" w:cs="Times New Roman"/>
          <w:sz w:val="18"/>
          <w:szCs w:val="18"/>
        </w:rPr>
        <w:t>’</w:t>
      </w:r>
      <w:r w:rsidRPr="000F088D">
        <w:rPr>
          <w:rFonts w:ascii="Times New Roman" w:hAnsi="Times New Roman" w:cs="Times New Roman"/>
          <w:sz w:val="18"/>
          <w:szCs w:val="18"/>
        </w:rPr>
        <w:t>s account provide</w:t>
      </w:r>
      <w:r>
        <w:rPr>
          <w:rFonts w:ascii="Times New Roman" w:hAnsi="Times New Roman" w:cs="Times New Roman"/>
          <w:sz w:val="18"/>
          <w:szCs w:val="18"/>
        </w:rPr>
        <w:t>d</w:t>
      </w:r>
      <w:r w:rsidRPr="000F088D">
        <w:rPr>
          <w:rFonts w:ascii="Times New Roman" w:hAnsi="Times New Roman" w:cs="Times New Roman"/>
          <w:sz w:val="18"/>
          <w:szCs w:val="18"/>
        </w:rPr>
        <w:t xml:space="preserve"> by Khalifa and reject it as inadequate. </w:t>
      </w:r>
      <w:r>
        <w:rPr>
          <w:rFonts w:ascii="Times New Roman" w:hAnsi="Times New Roman" w:cs="Times New Roman"/>
          <w:sz w:val="18"/>
          <w:szCs w:val="18"/>
        </w:rPr>
        <w:t xml:space="preserve">It ends </w:t>
      </w:r>
      <w:r w:rsidRPr="000F088D">
        <w:rPr>
          <w:rFonts w:ascii="Times New Roman" w:hAnsi="Times New Roman" w:cs="Times New Roman"/>
          <w:sz w:val="18"/>
          <w:szCs w:val="18"/>
        </w:rPr>
        <w:t>by sketching a list of positive reasons that supports a further working agenda on UwE.</w:t>
      </w:r>
    </w:p>
    <w:p w14:paraId="257BCBB8" w14:textId="77777777" w:rsidR="002819BD" w:rsidRPr="00F15DD2" w:rsidRDefault="002819BD" w:rsidP="00722BBD">
      <w:pPr>
        <w:rPr>
          <w:rFonts w:ascii="Times New Roman" w:hAnsi="Times New Roman" w:cs="Times New Roman"/>
          <w:sz w:val="18"/>
          <w:szCs w:val="18"/>
        </w:rPr>
      </w:pPr>
    </w:p>
    <w:p w14:paraId="0A6E9839" w14:textId="77777777" w:rsidR="008616CF" w:rsidRDefault="003104D0" w:rsidP="00722BBD">
      <w:pPr>
        <w:rPr>
          <w:rFonts w:ascii="Times New Roman" w:hAnsi="Times New Roman" w:cs="Times New Roman"/>
        </w:rPr>
      </w:pPr>
      <w:r>
        <w:rPr>
          <w:rFonts w:ascii="Times New Roman" w:hAnsi="Times New Roman" w:cs="Times New Roman"/>
        </w:rPr>
        <w:t xml:space="preserve">Keywords: scientific understanding, understanding without explanation </w:t>
      </w:r>
    </w:p>
    <w:p w14:paraId="4FD274E9" w14:textId="77777777" w:rsidR="003104D0" w:rsidRDefault="003104D0" w:rsidP="00722BBD">
      <w:pPr>
        <w:rPr>
          <w:rFonts w:ascii="Times New Roman" w:hAnsi="Times New Roman" w:cs="Times New Roman"/>
        </w:rPr>
      </w:pPr>
    </w:p>
    <w:p w14:paraId="57DBDCF2" w14:textId="77777777" w:rsidR="00F15DD2" w:rsidRPr="001D2A80" w:rsidRDefault="00F15DD2" w:rsidP="00722BBD">
      <w:pPr>
        <w:rPr>
          <w:rFonts w:ascii="Times New Roman" w:hAnsi="Times New Roman" w:cs="Times New Roman"/>
        </w:rPr>
      </w:pPr>
    </w:p>
    <w:p w14:paraId="28B802A3" w14:textId="77777777" w:rsidR="002937E3" w:rsidRPr="001D2A80" w:rsidRDefault="00F15DD2" w:rsidP="00F15DD2">
      <w:pPr>
        <w:jc w:val="center"/>
        <w:rPr>
          <w:rFonts w:ascii="Times New Roman" w:hAnsi="Times New Roman" w:cs="Times New Roman"/>
          <w:b/>
        </w:rPr>
      </w:pPr>
      <w:r w:rsidRPr="001D2A80">
        <w:rPr>
          <w:rFonts w:ascii="Times New Roman" w:hAnsi="Times New Roman" w:cs="Times New Roman"/>
          <w:b/>
        </w:rPr>
        <w:t>INTRODUCTION – A BRIEF RETROSPECTIVE LOOK</w:t>
      </w:r>
    </w:p>
    <w:p w14:paraId="3649EF12" w14:textId="77777777" w:rsidR="00F15DD2" w:rsidRDefault="00F15DD2" w:rsidP="00722BBD">
      <w:pPr>
        <w:rPr>
          <w:rFonts w:ascii="Times New Roman" w:hAnsi="Times New Roman" w:cs="Times New Roman"/>
        </w:rPr>
      </w:pPr>
    </w:p>
    <w:p w14:paraId="4D6566CC" w14:textId="3BF363AB" w:rsidR="008616CF" w:rsidRPr="001D2A80" w:rsidRDefault="00427293" w:rsidP="00722BBD">
      <w:pPr>
        <w:rPr>
          <w:rFonts w:ascii="Times New Roman" w:hAnsi="Times New Roman" w:cs="Times New Roman"/>
        </w:rPr>
      </w:pPr>
      <w:r w:rsidRPr="001D2A80">
        <w:rPr>
          <w:rFonts w:ascii="Times New Roman" w:hAnsi="Times New Roman" w:cs="Times New Roman"/>
        </w:rPr>
        <w:t xml:space="preserve">Scientific </w:t>
      </w:r>
      <w:r w:rsidR="008616CF" w:rsidRPr="001D2A80">
        <w:rPr>
          <w:rFonts w:ascii="Times New Roman" w:hAnsi="Times New Roman" w:cs="Times New Roman"/>
        </w:rPr>
        <w:t xml:space="preserve">understanding </w:t>
      </w:r>
      <w:r w:rsidR="006458AD">
        <w:rPr>
          <w:rFonts w:ascii="Times New Roman" w:hAnsi="Times New Roman" w:cs="Times New Roman"/>
        </w:rPr>
        <w:t xml:space="preserve">has not been a mainstream </w:t>
      </w:r>
      <w:r>
        <w:rPr>
          <w:rFonts w:ascii="Times New Roman" w:hAnsi="Times New Roman" w:cs="Times New Roman"/>
        </w:rPr>
        <w:t xml:space="preserve">topic </w:t>
      </w:r>
      <w:r w:rsidR="006458AD">
        <w:rPr>
          <w:rFonts w:ascii="Times New Roman" w:hAnsi="Times New Roman" w:cs="Times New Roman"/>
        </w:rPr>
        <w:t xml:space="preserve">in </w:t>
      </w:r>
      <w:r w:rsidR="009F04F1" w:rsidRPr="001D2A80">
        <w:rPr>
          <w:rFonts w:ascii="Times New Roman" w:hAnsi="Times New Roman" w:cs="Times New Roman"/>
        </w:rPr>
        <w:t>philosoph</w:t>
      </w:r>
      <w:r w:rsidR="00E029E6" w:rsidRPr="001D2A80">
        <w:rPr>
          <w:rFonts w:ascii="Times New Roman" w:hAnsi="Times New Roman" w:cs="Times New Roman"/>
        </w:rPr>
        <w:t>y</w:t>
      </w:r>
      <w:r w:rsidR="009F04F1" w:rsidRPr="001D2A80">
        <w:rPr>
          <w:rFonts w:ascii="Times New Roman" w:hAnsi="Times New Roman" w:cs="Times New Roman"/>
        </w:rPr>
        <w:t xml:space="preserve"> </w:t>
      </w:r>
      <w:r w:rsidR="00E029E6" w:rsidRPr="001D2A80">
        <w:rPr>
          <w:rFonts w:ascii="Times New Roman" w:hAnsi="Times New Roman" w:cs="Times New Roman"/>
        </w:rPr>
        <w:t>of s</w:t>
      </w:r>
      <w:r w:rsidR="009F04F1" w:rsidRPr="001D2A80">
        <w:rPr>
          <w:rFonts w:ascii="Times New Roman" w:hAnsi="Times New Roman" w:cs="Times New Roman"/>
        </w:rPr>
        <w:t>cie</w:t>
      </w:r>
      <w:r w:rsidR="00E029E6" w:rsidRPr="001D2A80">
        <w:rPr>
          <w:rFonts w:ascii="Times New Roman" w:hAnsi="Times New Roman" w:cs="Times New Roman"/>
        </w:rPr>
        <w:t>n</w:t>
      </w:r>
      <w:r w:rsidR="009F04F1" w:rsidRPr="001D2A80">
        <w:rPr>
          <w:rFonts w:ascii="Times New Roman" w:hAnsi="Times New Roman" w:cs="Times New Roman"/>
        </w:rPr>
        <w:t xml:space="preserve">ce </w:t>
      </w:r>
      <w:r w:rsidR="00E029E6" w:rsidRPr="001D2A80">
        <w:rPr>
          <w:rFonts w:ascii="Times New Roman" w:hAnsi="Times New Roman" w:cs="Times New Roman"/>
        </w:rPr>
        <w:t xml:space="preserve">in </w:t>
      </w:r>
      <w:r>
        <w:rPr>
          <w:rFonts w:ascii="Times New Roman" w:hAnsi="Times New Roman" w:cs="Times New Roman"/>
        </w:rPr>
        <w:t xml:space="preserve">the </w:t>
      </w:r>
      <w:r w:rsidR="00E029E6" w:rsidRPr="001D2A80">
        <w:rPr>
          <w:rFonts w:ascii="Times New Roman" w:hAnsi="Times New Roman" w:cs="Times New Roman"/>
        </w:rPr>
        <w:t>an</w:t>
      </w:r>
      <w:r w:rsidR="009F04F1" w:rsidRPr="001D2A80">
        <w:rPr>
          <w:rFonts w:ascii="Times New Roman" w:hAnsi="Times New Roman" w:cs="Times New Roman"/>
        </w:rPr>
        <w:t>a</w:t>
      </w:r>
      <w:r w:rsidR="00E029E6" w:rsidRPr="001D2A80">
        <w:rPr>
          <w:rFonts w:ascii="Times New Roman" w:hAnsi="Times New Roman" w:cs="Times New Roman"/>
        </w:rPr>
        <w:t>lytic tradition. It got a distinct profile recently</w:t>
      </w:r>
      <w:r w:rsidR="002819BD">
        <w:rPr>
          <w:rFonts w:ascii="Times New Roman" w:hAnsi="Times New Roman" w:cs="Times New Roman"/>
        </w:rPr>
        <w:t>,</w:t>
      </w:r>
      <w:r w:rsidR="00E029E6" w:rsidRPr="001D2A80">
        <w:rPr>
          <w:rFonts w:ascii="Times New Roman" w:hAnsi="Times New Roman" w:cs="Times New Roman"/>
        </w:rPr>
        <w:t xml:space="preserve"> in</w:t>
      </w:r>
      <w:r w:rsidR="009F04F1" w:rsidRPr="001D2A80">
        <w:rPr>
          <w:rFonts w:ascii="Times New Roman" w:hAnsi="Times New Roman" w:cs="Times New Roman"/>
        </w:rPr>
        <w:t xml:space="preserve"> t</w:t>
      </w:r>
      <w:r w:rsidR="00E029E6" w:rsidRPr="001D2A80">
        <w:rPr>
          <w:rFonts w:ascii="Times New Roman" w:hAnsi="Times New Roman" w:cs="Times New Roman"/>
        </w:rPr>
        <w:t>h</w:t>
      </w:r>
      <w:r w:rsidR="009F04F1" w:rsidRPr="001D2A80">
        <w:rPr>
          <w:rFonts w:ascii="Times New Roman" w:hAnsi="Times New Roman" w:cs="Times New Roman"/>
        </w:rPr>
        <w:t xml:space="preserve">e </w:t>
      </w:r>
      <w:r w:rsidR="00E029E6" w:rsidRPr="001D2A80">
        <w:rPr>
          <w:rFonts w:ascii="Times New Roman" w:hAnsi="Times New Roman" w:cs="Times New Roman"/>
        </w:rPr>
        <w:t xml:space="preserve">aftermath of the climax </w:t>
      </w:r>
      <w:r w:rsidR="00EC26F0">
        <w:rPr>
          <w:rFonts w:ascii="Times New Roman" w:hAnsi="Times New Roman" w:cs="Times New Roman"/>
        </w:rPr>
        <w:t>of</w:t>
      </w:r>
      <w:r w:rsidR="00E029E6" w:rsidRPr="001D2A80">
        <w:rPr>
          <w:rFonts w:ascii="Times New Roman" w:hAnsi="Times New Roman" w:cs="Times New Roman"/>
        </w:rPr>
        <w:t xml:space="preserve"> the great debate</w:t>
      </w:r>
      <w:r w:rsidR="00F86D29" w:rsidRPr="001D2A80">
        <w:rPr>
          <w:rFonts w:ascii="Times New Roman" w:hAnsi="Times New Roman" w:cs="Times New Roman"/>
        </w:rPr>
        <w:t>s</w:t>
      </w:r>
      <w:r w:rsidR="00E029E6" w:rsidRPr="001D2A80">
        <w:rPr>
          <w:rFonts w:ascii="Times New Roman" w:hAnsi="Times New Roman" w:cs="Times New Roman"/>
        </w:rPr>
        <w:t xml:space="preserve"> on </w:t>
      </w:r>
      <w:r w:rsidR="00BA4611" w:rsidRPr="001D2A80">
        <w:rPr>
          <w:rFonts w:ascii="Times New Roman" w:hAnsi="Times New Roman" w:cs="Times New Roman"/>
        </w:rPr>
        <w:t xml:space="preserve">scientific </w:t>
      </w:r>
      <w:r w:rsidR="00E029E6" w:rsidRPr="001D2A80">
        <w:rPr>
          <w:rFonts w:ascii="Times New Roman" w:hAnsi="Times New Roman" w:cs="Times New Roman"/>
        </w:rPr>
        <w:t>explanation</w:t>
      </w:r>
      <w:r w:rsidR="009F04F1" w:rsidRPr="001D2A80">
        <w:rPr>
          <w:rFonts w:ascii="Times New Roman" w:hAnsi="Times New Roman" w:cs="Times New Roman"/>
        </w:rPr>
        <w:t>, at the end of the last century</w:t>
      </w:r>
      <w:r w:rsidR="00E029E6" w:rsidRPr="001D2A80">
        <w:rPr>
          <w:rFonts w:ascii="Times New Roman" w:hAnsi="Times New Roman" w:cs="Times New Roman"/>
        </w:rPr>
        <w:t>.</w:t>
      </w:r>
      <w:r w:rsidR="00E029E6" w:rsidRPr="001D2A80">
        <w:rPr>
          <w:rStyle w:val="FootnoteReference"/>
          <w:rFonts w:ascii="Times New Roman" w:hAnsi="Times New Roman" w:cs="Times New Roman"/>
        </w:rPr>
        <w:footnoteReference w:id="1"/>
      </w:r>
      <w:r w:rsidR="009F04F1" w:rsidRPr="001D2A80">
        <w:rPr>
          <w:rFonts w:ascii="Times New Roman" w:hAnsi="Times New Roman" w:cs="Times New Roman"/>
        </w:rPr>
        <w:t xml:space="preserve"> But it also emerged in the frame of </w:t>
      </w:r>
      <w:r w:rsidR="00B63FF3">
        <w:rPr>
          <w:rFonts w:ascii="Times New Roman" w:hAnsi="Times New Roman" w:cs="Times New Roman"/>
        </w:rPr>
        <w:t>these debates</w:t>
      </w:r>
      <w:r w:rsidR="009F04F1" w:rsidRPr="001D2A80">
        <w:rPr>
          <w:rFonts w:ascii="Times New Roman" w:hAnsi="Times New Roman" w:cs="Times New Roman"/>
        </w:rPr>
        <w:t>.</w:t>
      </w:r>
      <w:r w:rsidR="00E029E6" w:rsidRPr="001D2A80">
        <w:rPr>
          <w:rFonts w:ascii="Times New Roman" w:hAnsi="Times New Roman" w:cs="Times New Roman"/>
        </w:rPr>
        <w:t xml:space="preserve"> </w:t>
      </w:r>
      <w:r w:rsidR="00BA4611" w:rsidRPr="001D2A80">
        <w:rPr>
          <w:rFonts w:ascii="Times New Roman" w:hAnsi="Times New Roman" w:cs="Times New Roman"/>
        </w:rPr>
        <w:t>I</w:t>
      </w:r>
      <w:r w:rsidR="009F04F1" w:rsidRPr="001D2A80">
        <w:rPr>
          <w:rFonts w:ascii="Times New Roman" w:hAnsi="Times New Roman" w:cs="Times New Roman"/>
        </w:rPr>
        <w:t xml:space="preserve">t might be no wonder therefore that it retained a direct reference to the explanation topic. My </w:t>
      </w:r>
      <w:r w:rsidR="002B3B1B">
        <w:rPr>
          <w:rFonts w:ascii="Times New Roman" w:hAnsi="Times New Roman" w:cs="Times New Roman"/>
        </w:rPr>
        <w:t>argument</w:t>
      </w:r>
      <w:r w:rsidR="002B3B1B" w:rsidRPr="001D2A80">
        <w:rPr>
          <w:rFonts w:ascii="Times New Roman" w:hAnsi="Times New Roman" w:cs="Times New Roman"/>
        </w:rPr>
        <w:t xml:space="preserve"> </w:t>
      </w:r>
      <w:r w:rsidR="009F04F1" w:rsidRPr="001D2A80">
        <w:rPr>
          <w:rFonts w:ascii="Times New Roman" w:hAnsi="Times New Roman" w:cs="Times New Roman"/>
        </w:rPr>
        <w:t>touch</w:t>
      </w:r>
      <w:r w:rsidR="002B3B1B">
        <w:rPr>
          <w:rFonts w:ascii="Times New Roman" w:hAnsi="Times New Roman" w:cs="Times New Roman"/>
        </w:rPr>
        <w:t>es</w:t>
      </w:r>
      <w:r w:rsidR="009F04F1" w:rsidRPr="001D2A80">
        <w:rPr>
          <w:rFonts w:ascii="Times New Roman" w:hAnsi="Times New Roman" w:cs="Times New Roman"/>
        </w:rPr>
        <w:t xml:space="preserve"> on this point and expose</w:t>
      </w:r>
      <w:r w:rsidR="002B3B1B">
        <w:rPr>
          <w:rFonts w:ascii="Times New Roman" w:hAnsi="Times New Roman" w:cs="Times New Roman"/>
        </w:rPr>
        <w:t>s</w:t>
      </w:r>
      <w:r w:rsidR="009F04F1" w:rsidRPr="001D2A80">
        <w:rPr>
          <w:rFonts w:ascii="Times New Roman" w:hAnsi="Times New Roman" w:cs="Times New Roman"/>
        </w:rPr>
        <w:t xml:space="preserve"> the assumptions that are determining the directions of advance of the inquiry</w:t>
      </w:r>
      <w:r w:rsidR="00E53C46">
        <w:rPr>
          <w:rFonts w:ascii="Times New Roman" w:hAnsi="Times New Roman" w:cs="Times New Roman"/>
        </w:rPr>
        <w:t xml:space="preserve"> on understanding</w:t>
      </w:r>
      <w:r w:rsidR="009F04F1" w:rsidRPr="001D2A80">
        <w:rPr>
          <w:rFonts w:ascii="Times New Roman" w:hAnsi="Times New Roman" w:cs="Times New Roman"/>
        </w:rPr>
        <w:t>.</w:t>
      </w:r>
    </w:p>
    <w:p w14:paraId="7B21E491" w14:textId="767132C8" w:rsidR="00D32EDA" w:rsidRPr="001D2A80" w:rsidRDefault="000E76DF" w:rsidP="00721E7B">
      <w:pPr>
        <w:rPr>
          <w:rFonts w:ascii="Times New Roman" w:hAnsi="Times New Roman" w:cs="Times New Roman"/>
        </w:rPr>
      </w:pPr>
      <w:r w:rsidRPr="001D2A80">
        <w:rPr>
          <w:rFonts w:ascii="Times New Roman" w:hAnsi="Times New Roman" w:cs="Times New Roman"/>
        </w:rPr>
        <w:t xml:space="preserve">The subject of scientific explanation </w:t>
      </w:r>
      <w:r w:rsidR="00B00521" w:rsidRPr="001D2A80">
        <w:rPr>
          <w:rFonts w:ascii="Times New Roman" w:hAnsi="Times New Roman" w:cs="Times New Roman"/>
        </w:rPr>
        <w:t>gained</w:t>
      </w:r>
      <w:r w:rsidRPr="001D2A80">
        <w:rPr>
          <w:rFonts w:ascii="Times New Roman" w:hAnsi="Times New Roman" w:cs="Times New Roman"/>
        </w:rPr>
        <w:t xml:space="preserve"> a respectable position in the philosophy of science marking </w:t>
      </w:r>
      <w:r w:rsidR="00B00521" w:rsidRPr="001D2A80">
        <w:rPr>
          <w:rFonts w:ascii="Times New Roman" w:hAnsi="Times New Roman" w:cs="Times New Roman"/>
        </w:rPr>
        <w:t xml:space="preserve">with </w:t>
      </w:r>
      <w:r w:rsidRPr="001D2A80">
        <w:rPr>
          <w:rFonts w:ascii="Times New Roman" w:hAnsi="Times New Roman" w:cs="Times New Roman"/>
        </w:rPr>
        <w:t xml:space="preserve">its working agenda most of the </w:t>
      </w:r>
      <w:r w:rsidR="0002639B" w:rsidRPr="001D2A80">
        <w:rPr>
          <w:rFonts w:ascii="Times New Roman" w:hAnsi="Times New Roman" w:cs="Times New Roman"/>
        </w:rPr>
        <w:t>second</w:t>
      </w:r>
      <w:r w:rsidRPr="001D2A80">
        <w:rPr>
          <w:rFonts w:ascii="Times New Roman" w:hAnsi="Times New Roman" w:cs="Times New Roman"/>
        </w:rPr>
        <w:t xml:space="preserve"> part of the last century. </w:t>
      </w:r>
      <w:r w:rsidR="0002639B" w:rsidRPr="001D2A80">
        <w:rPr>
          <w:rFonts w:ascii="Times New Roman" w:hAnsi="Times New Roman" w:cs="Times New Roman"/>
        </w:rPr>
        <w:t>Since</w:t>
      </w:r>
      <w:r w:rsidR="005E5D77" w:rsidRPr="001D2A80">
        <w:rPr>
          <w:rFonts w:ascii="Times New Roman" w:hAnsi="Times New Roman" w:cs="Times New Roman"/>
        </w:rPr>
        <w:t xml:space="preserve"> its inception by Hem</w:t>
      </w:r>
      <w:r w:rsidR="001F60DB" w:rsidRPr="001D2A80">
        <w:rPr>
          <w:rFonts w:ascii="Times New Roman" w:hAnsi="Times New Roman" w:cs="Times New Roman"/>
        </w:rPr>
        <w:t>pel</w:t>
      </w:r>
      <w:r w:rsidR="005913E2" w:rsidRPr="001D2A80">
        <w:rPr>
          <w:rFonts w:ascii="Times New Roman" w:hAnsi="Times New Roman" w:cs="Times New Roman"/>
        </w:rPr>
        <w:t xml:space="preserve"> (1948, 19</w:t>
      </w:r>
      <w:r w:rsidR="007E00EB">
        <w:rPr>
          <w:rFonts w:ascii="Times New Roman" w:hAnsi="Times New Roman" w:cs="Times New Roman"/>
        </w:rPr>
        <w:t>65</w:t>
      </w:r>
      <w:r w:rsidR="005913E2" w:rsidRPr="001D2A80">
        <w:rPr>
          <w:rFonts w:ascii="Times New Roman" w:hAnsi="Times New Roman" w:cs="Times New Roman"/>
        </w:rPr>
        <w:t>)</w:t>
      </w:r>
      <w:r w:rsidR="001F60DB" w:rsidRPr="001D2A80">
        <w:rPr>
          <w:rFonts w:ascii="Times New Roman" w:hAnsi="Times New Roman" w:cs="Times New Roman"/>
        </w:rPr>
        <w:t xml:space="preserve"> in the context of neopositi</w:t>
      </w:r>
      <w:r w:rsidR="005E5D77" w:rsidRPr="001D2A80">
        <w:rPr>
          <w:rFonts w:ascii="Times New Roman" w:hAnsi="Times New Roman" w:cs="Times New Roman"/>
        </w:rPr>
        <w:t>v</w:t>
      </w:r>
      <w:r w:rsidR="001F60DB" w:rsidRPr="001D2A80">
        <w:rPr>
          <w:rFonts w:ascii="Times New Roman" w:hAnsi="Times New Roman" w:cs="Times New Roman"/>
        </w:rPr>
        <w:t>i</w:t>
      </w:r>
      <w:r w:rsidR="005E5D77" w:rsidRPr="001D2A80">
        <w:rPr>
          <w:rFonts w:ascii="Times New Roman" w:hAnsi="Times New Roman" w:cs="Times New Roman"/>
        </w:rPr>
        <w:t>sm</w:t>
      </w:r>
      <w:r w:rsidR="0002639B" w:rsidRPr="001D2A80">
        <w:rPr>
          <w:rFonts w:ascii="Times New Roman" w:hAnsi="Times New Roman" w:cs="Times New Roman"/>
        </w:rPr>
        <w:t>,</w:t>
      </w:r>
      <w:r w:rsidR="005E5D77" w:rsidRPr="001D2A80">
        <w:rPr>
          <w:rFonts w:ascii="Times New Roman" w:hAnsi="Times New Roman" w:cs="Times New Roman"/>
        </w:rPr>
        <w:t xml:space="preserve"> it attracted the attention of philosophers of science and triggered heavy debates. After the dismiss o</w:t>
      </w:r>
      <w:r w:rsidR="001F60DB" w:rsidRPr="001D2A80">
        <w:rPr>
          <w:rFonts w:ascii="Times New Roman" w:hAnsi="Times New Roman" w:cs="Times New Roman"/>
        </w:rPr>
        <w:t>f the Hempelian model</w:t>
      </w:r>
      <w:r w:rsidR="005913E2" w:rsidRPr="001D2A80">
        <w:rPr>
          <w:rFonts w:ascii="Times New Roman" w:hAnsi="Times New Roman" w:cs="Times New Roman"/>
        </w:rPr>
        <w:t xml:space="preserve"> </w:t>
      </w:r>
      <w:r w:rsidR="001F60DB" w:rsidRPr="001D2A80">
        <w:rPr>
          <w:rFonts w:ascii="Times New Roman" w:hAnsi="Times New Roman" w:cs="Times New Roman"/>
        </w:rPr>
        <w:t>during th</w:t>
      </w:r>
      <w:r w:rsidR="005E5D77" w:rsidRPr="001D2A80">
        <w:rPr>
          <w:rFonts w:ascii="Times New Roman" w:hAnsi="Times New Roman" w:cs="Times New Roman"/>
        </w:rPr>
        <w:t>e</w:t>
      </w:r>
      <w:r w:rsidR="001F60DB" w:rsidRPr="001D2A80">
        <w:rPr>
          <w:rFonts w:ascii="Times New Roman" w:hAnsi="Times New Roman" w:cs="Times New Roman"/>
        </w:rPr>
        <w:t xml:space="preserve"> </w:t>
      </w:r>
      <w:r w:rsidR="005E5D77" w:rsidRPr="001D2A80">
        <w:rPr>
          <w:rFonts w:ascii="Times New Roman" w:hAnsi="Times New Roman" w:cs="Times New Roman"/>
        </w:rPr>
        <w:t>80s</w:t>
      </w:r>
      <w:r w:rsidR="00622207">
        <w:rPr>
          <w:rFonts w:ascii="Times New Roman" w:hAnsi="Times New Roman" w:cs="Times New Roman"/>
        </w:rPr>
        <w:t>,</w:t>
      </w:r>
      <w:r w:rsidR="005E5D77" w:rsidRPr="001D2A80">
        <w:rPr>
          <w:rFonts w:ascii="Times New Roman" w:hAnsi="Times New Roman" w:cs="Times New Roman"/>
        </w:rPr>
        <w:t xml:space="preserve"> more varied approaches</w:t>
      </w:r>
      <w:r w:rsidR="00C27F55" w:rsidRPr="001D2A80">
        <w:rPr>
          <w:rFonts w:ascii="Times New Roman" w:hAnsi="Times New Roman" w:cs="Times New Roman"/>
        </w:rPr>
        <w:t>,</w:t>
      </w:r>
      <w:r w:rsidR="005E5D77" w:rsidRPr="001D2A80">
        <w:rPr>
          <w:rFonts w:ascii="Times New Roman" w:hAnsi="Times New Roman" w:cs="Times New Roman"/>
        </w:rPr>
        <w:t xml:space="preserve"> such </w:t>
      </w:r>
      <w:r w:rsidR="00C27F55" w:rsidRPr="001D2A80">
        <w:rPr>
          <w:rFonts w:ascii="Times New Roman" w:hAnsi="Times New Roman" w:cs="Times New Roman"/>
        </w:rPr>
        <w:t xml:space="preserve">as </w:t>
      </w:r>
      <w:r w:rsidR="0002639B" w:rsidRPr="001D2A80">
        <w:rPr>
          <w:rFonts w:ascii="Times New Roman" w:hAnsi="Times New Roman" w:cs="Times New Roman"/>
        </w:rPr>
        <w:t xml:space="preserve">the </w:t>
      </w:r>
      <w:r w:rsidR="005E5D77" w:rsidRPr="001D2A80">
        <w:rPr>
          <w:rFonts w:ascii="Times New Roman" w:hAnsi="Times New Roman" w:cs="Times New Roman"/>
        </w:rPr>
        <w:t xml:space="preserve">influential </w:t>
      </w:r>
      <w:r w:rsidR="001F60DB" w:rsidRPr="001D2A80">
        <w:rPr>
          <w:rFonts w:ascii="Times New Roman" w:hAnsi="Times New Roman" w:cs="Times New Roman"/>
        </w:rPr>
        <w:t xml:space="preserve">unificationist </w:t>
      </w:r>
      <w:r w:rsidR="0002639B" w:rsidRPr="001D2A80">
        <w:rPr>
          <w:rFonts w:ascii="Times New Roman" w:hAnsi="Times New Roman" w:cs="Times New Roman"/>
        </w:rPr>
        <w:t>approach</w:t>
      </w:r>
      <w:r w:rsidR="005913E2" w:rsidRPr="001D2A80">
        <w:rPr>
          <w:rFonts w:ascii="Times New Roman" w:hAnsi="Times New Roman" w:cs="Times New Roman"/>
        </w:rPr>
        <w:t xml:space="preserve"> (Friedman 1974, Kitcher 1981)</w:t>
      </w:r>
      <w:r w:rsidR="0002639B" w:rsidRPr="001D2A80">
        <w:rPr>
          <w:rFonts w:ascii="Times New Roman" w:hAnsi="Times New Roman" w:cs="Times New Roman"/>
        </w:rPr>
        <w:t xml:space="preserve"> </w:t>
      </w:r>
      <w:r w:rsidR="001F60DB" w:rsidRPr="001D2A80">
        <w:rPr>
          <w:rFonts w:ascii="Times New Roman" w:hAnsi="Times New Roman" w:cs="Times New Roman"/>
        </w:rPr>
        <w:t>or the causal</w:t>
      </w:r>
      <w:r w:rsidR="0002639B" w:rsidRPr="001D2A80">
        <w:rPr>
          <w:rFonts w:ascii="Times New Roman" w:hAnsi="Times New Roman" w:cs="Times New Roman"/>
        </w:rPr>
        <w:t xml:space="preserve"> one</w:t>
      </w:r>
      <w:r w:rsidR="00483DDE" w:rsidRPr="001D2A80">
        <w:rPr>
          <w:rFonts w:ascii="Times New Roman" w:hAnsi="Times New Roman" w:cs="Times New Roman"/>
        </w:rPr>
        <w:t xml:space="preserve"> (Salmon 1984)</w:t>
      </w:r>
      <w:r w:rsidR="005E5D77" w:rsidRPr="001D2A80">
        <w:rPr>
          <w:rFonts w:ascii="Times New Roman" w:hAnsi="Times New Roman" w:cs="Times New Roman"/>
        </w:rPr>
        <w:t xml:space="preserve">, polarized the inquiry. </w:t>
      </w:r>
      <w:r w:rsidR="000D0980" w:rsidRPr="001D2A80">
        <w:rPr>
          <w:rFonts w:ascii="Times New Roman" w:hAnsi="Times New Roman" w:cs="Times New Roman"/>
        </w:rPr>
        <w:t>Understanding was initially</w:t>
      </w:r>
      <w:r w:rsidR="00F86D29" w:rsidRPr="001D2A80">
        <w:rPr>
          <w:rFonts w:ascii="Times New Roman" w:hAnsi="Times New Roman" w:cs="Times New Roman"/>
        </w:rPr>
        <w:t xml:space="preserve"> </w:t>
      </w:r>
      <w:r w:rsidR="000D0980" w:rsidRPr="001D2A80">
        <w:rPr>
          <w:rFonts w:ascii="Times New Roman" w:hAnsi="Times New Roman" w:cs="Times New Roman"/>
        </w:rPr>
        <w:t xml:space="preserve">rejected </w:t>
      </w:r>
      <w:r w:rsidR="00BC6D3F">
        <w:rPr>
          <w:rFonts w:ascii="Times New Roman" w:hAnsi="Times New Roman" w:cs="Times New Roman"/>
        </w:rPr>
        <w:t xml:space="preserve">by Hempel </w:t>
      </w:r>
      <w:r w:rsidR="000D0980" w:rsidRPr="001D2A80">
        <w:rPr>
          <w:rFonts w:ascii="Times New Roman" w:hAnsi="Times New Roman" w:cs="Times New Roman"/>
        </w:rPr>
        <w:t xml:space="preserve">as </w:t>
      </w:r>
      <w:r w:rsidR="00905852">
        <w:rPr>
          <w:rFonts w:ascii="Times New Roman" w:hAnsi="Times New Roman" w:cs="Times New Roman"/>
        </w:rPr>
        <w:t xml:space="preserve">an </w:t>
      </w:r>
      <w:r w:rsidR="000D0980" w:rsidRPr="001D2A80">
        <w:rPr>
          <w:rFonts w:ascii="Times New Roman" w:hAnsi="Times New Roman" w:cs="Times New Roman"/>
        </w:rPr>
        <w:t>unsuitable obj</w:t>
      </w:r>
      <w:r w:rsidR="001F60DB" w:rsidRPr="001D2A80">
        <w:rPr>
          <w:rFonts w:ascii="Times New Roman" w:hAnsi="Times New Roman" w:cs="Times New Roman"/>
        </w:rPr>
        <w:t>ect of inquiry through logical and</w:t>
      </w:r>
      <w:r w:rsidR="000D0980" w:rsidRPr="001D2A80">
        <w:rPr>
          <w:rFonts w:ascii="Times New Roman" w:hAnsi="Times New Roman" w:cs="Times New Roman"/>
        </w:rPr>
        <w:t xml:space="preserve"> philosophical means</w:t>
      </w:r>
      <w:r w:rsidR="00905852">
        <w:rPr>
          <w:rFonts w:ascii="Times New Roman" w:hAnsi="Times New Roman" w:cs="Times New Roman"/>
        </w:rPr>
        <w:t>,</w:t>
      </w:r>
      <w:r w:rsidR="000D0980" w:rsidRPr="001D2A80">
        <w:rPr>
          <w:rFonts w:ascii="Times New Roman" w:hAnsi="Times New Roman" w:cs="Times New Roman"/>
        </w:rPr>
        <w:t xml:space="preserve"> due to its pragmatic nature</w:t>
      </w:r>
      <w:r w:rsidR="005913E2" w:rsidRPr="001D2A80">
        <w:rPr>
          <w:rFonts w:ascii="Times New Roman" w:hAnsi="Times New Roman" w:cs="Times New Roman"/>
        </w:rPr>
        <w:t xml:space="preserve"> (Hempel 19</w:t>
      </w:r>
      <w:r w:rsidR="007E00EB">
        <w:rPr>
          <w:rFonts w:ascii="Times New Roman" w:hAnsi="Times New Roman" w:cs="Times New Roman"/>
        </w:rPr>
        <w:t>65</w:t>
      </w:r>
      <w:r w:rsidR="005913E2" w:rsidRPr="001D2A80">
        <w:rPr>
          <w:rFonts w:ascii="Times New Roman" w:hAnsi="Times New Roman" w:cs="Times New Roman"/>
        </w:rPr>
        <w:t>)</w:t>
      </w:r>
      <w:r w:rsidR="000D0980" w:rsidRPr="001D2A80">
        <w:rPr>
          <w:rFonts w:ascii="Times New Roman" w:hAnsi="Times New Roman" w:cs="Times New Roman"/>
        </w:rPr>
        <w:t xml:space="preserve">. </w:t>
      </w:r>
      <w:r w:rsidR="00905852">
        <w:rPr>
          <w:rFonts w:ascii="Times New Roman" w:hAnsi="Times New Roman" w:cs="Times New Roman"/>
        </w:rPr>
        <w:t>T</w:t>
      </w:r>
      <w:r w:rsidR="000D0980" w:rsidRPr="001D2A80">
        <w:rPr>
          <w:rFonts w:ascii="Times New Roman" w:hAnsi="Times New Roman" w:cs="Times New Roman"/>
        </w:rPr>
        <w:t xml:space="preserve">he next </w:t>
      </w:r>
      <w:r w:rsidR="001F60DB" w:rsidRPr="001D2A80">
        <w:rPr>
          <w:rFonts w:ascii="Times New Roman" w:hAnsi="Times New Roman" w:cs="Times New Roman"/>
        </w:rPr>
        <w:lastRenderedPageBreak/>
        <w:t xml:space="preserve">generation </w:t>
      </w:r>
      <w:r w:rsidR="000D0980" w:rsidRPr="001D2A80">
        <w:rPr>
          <w:rFonts w:ascii="Times New Roman" w:hAnsi="Times New Roman" w:cs="Times New Roman"/>
        </w:rPr>
        <w:t>of phil</w:t>
      </w:r>
      <w:r w:rsidR="001F60DB" w:rsidRPr="001D2A80">
        <w:rPr>
          <w:rFonts w:ascii="Times New Roman" w:hAnsi="Times New Roman" w:cs="Times New Roman"/>
        </w:rPr>
        <w:t>o</w:t>
      </w:r>
      <w:r w:rsidR="000D0980" w:rsidRPr="001D2A80">
        <w:rPr>
          <w:rFonts w:ascii="Times New Roman" w:hAnsi="Times New Roman" w:cs="Times New Roman"/>
        </w:rPr>
        <w:t>sophers</w:t>
      </w:r>
      <w:r w:rsidR="001F60DB" w:rsidRPr="001D2A80">
        <w:rPr>
          <w:rFonts w:ascii="Times New Roman" w:hAnsi="Times New Roman" w:cs="Times New Roman"/>
        </w:rPr>
        <w:t xml:space="preserve">, </w:t>
      </w:r>
      <w:r w:rsidR="00905852">
        <w:rPr>
          <w:rFonts w:ascii="Times New Roman" w:hAnsi="Times New Roman" w:cs="Times New Roman"/>
        </w:rPr>
        <w:t xml:space="preserve">albeit </w:t>
      </w:r>
      <w:r w:rsidR="000D0980" w:rsidRPr="001D2A80">
        <w:rPr>
          <w:rFonts w:ascii="Times New Roman" w:hAnsi="Times New Roman" w:cs="Times New Roman"/>
        </w:rPr>
        <w:t>formed</w:t>
      </w:r>
      <w:r w:rsidR="00EE0740" w:rsidRPr="001D2A80">
        <w:rPr>
          <w:rFonts w:ascii="Times New Roman" w:hAnsi="Times New Roman" w:cs="Times New Roman"/>
        </w:rPr>
        <w:t xml:space="preserve"> </w:t>
      </w:r>
      <w:r w:rsidR="000D0980" w:rsidRPr="001D2A80">
        <w:rPr>
          <w:rFonts w:ascii="Times New Roman" w:hAnsi="Times New Roman" w:cs="Times New Roman"/>
        </w:rPr>
        <w:t>in the sp</w:t>
      </w:r>
      <w:r w:rsidR="001F60DB" w:rsidRPr="001D2A80">
        <w:rPr>
          <w:rFonts w:ascii="Times New Roman" w:hAnsi="Times New Roman" w:cs="Times New Roman"/>
        </w:rPr>
        <w:t>irit of neopositivists</w:t>
      </w:r>
      <w:r w:rsidR="00740D84">
        <w:rPr>
          <w:rFonts w:ascii="Times New Roman" w:hAnsi="Times New Roman" w:cs="Times New Roman"/>
        </w:rPr>
        <w:t>,</w:t>
      </w:r>
      <w:r w:rsidR="001F60DB" w:rsidRPr="001D2A80">
        <w:rPr>
          <w:rFonts w:ascii="Times New Roman" w:hAnsi="Times New Roman" w:cs="Times New Roman"/>
        </w:rPr>
        <w:t xml:space="preserve"> </w:t>
      </w:r>
      <w:r w:rsidR="00740D84">
        <w:rPr>
          <w:rFonts w:ascii="Times New Roman" w:hAnsi="Times New Roman" w:cs="Times New Roman"/>
        </w:rPr>
        <w:t xml:space="preserve">have not </w:t>
      </w:r>
      <w:r w:rsidR="000D0980" w:rsidRPr="001D2A80">
        <w:rPr>
          <w:rFonts w:ascii="Times New Roman" w:hAnsi="Times New Roman" w:cs="Times New Roman"/>
        </w:rPr>
        <w:t>ignore</w:t>
      </w:r>
      <w:r w:rsidR="00740D84">
        <w:rPr>
          <w:rFonts w:ascii="Times New Roman" w:hAnsi="Times New Roman" w:cs="Times New Roman"/>
        </w:rPr>
        <w:t>d</w:t>
      </w:r>
      <w:r w:rsidR="000D0980" w:rsidRPr="001D2A80">
        <w:rPr>
          <w:rFonts w:ascii="Times New Roman" w:hAnsi="Times New Roman" w:cs="Times New Roman"/>
        </w:rPr>
        <w:t xml:space="preserve"> the importance of scientific understanding. </w:t>
      </w:r>
      <w:r w:rsidR="00234D6C" w:rsidRPr="001D2A80">
        <w:rPr>
          <w:rFonts w:ascii="Times New Roman" w:hAnsi="Times New Roman" w:cs="Times New Roman"/>
        </w:rPr>
        <w:t>They acknowledge</w:t>
      </w:r>
      <w:r w:rsidR="00CD2E76">
        <w:rPr>
          <w:rFonts w:ascii="Times New Roman" w:hAnsi="Times New Roman" w:cs="Times New Roman"/>
        </w:rPr>
        <w:t>d</w:t>
      </w:r>
      <w:r w:rsidR="00E51FC9">
        <w:rPr>
          <w:rFonts w:ascii="Times New Roman" w:hAnsi="Times New Roman" w:cs="Times New Roman"/>
        </w:rPr>
        <w:t xml:space="preserve"> </w:t>
      </w:r>
      <w:r w:rsidR="00CD2E76">
        <w:rPr>
          <w:rFonts w:ascii="Times New Roman" w:hAnsi="Times New Roman" w:cs="Times New Roman"/>
        </w:rPr>
        <w:t xml:space="preserve">that </w:t>
      </w:r>
      <w:r w:rsidR="000D0980" w:rsidRPr="001D2A80">
        <w:rPr>
          <w:rFonts w:ascii="Times New Roman" w:hAnsi="Times New Roman" w:cs="Times New Roman"/>
        </w:rPr>
        <w:t>understanding</w:t>
      </w:r>
      <w:r w:rsidR="00234D6C" w:rsidRPr="001D2A80">
        <w:rPr>
          <w:rFonts w:ascii="Times New Roman" w:hAnsi="Times New Roman" w:cs="Times New Roman"/>
        </w:rPr>
        <w:t xml:space="preserve"> </w:t>
      </w:r>
      <w:r w:rsidR="00CD2E76">
        <w:rPr>
          <w:rFonts w:ascii="Times New Roman" w:hAnsi="Times New Roman" w:cs="Times New Roman"/>
        </w:rPr>
        <w:t xml:space="preserve">is </w:t>
      </w:r>
      <w:r w:rsidR="00234D6C" w:rsidRPr="001D2A80">
        <w:rPr>
          <w:rFonts w:ascii="Times New Roman" w:hAnsi="Times New Roman" w:cs="Times New Roman"/>
        </w:rPr>
        <w:t xml:space="preserve">a major goal of scientific </w:t>
      </w:r>
      <w:r w:rsidR="000D0980" w:rsidRPr="001D2A80">
        <w:rPr>
          <w:rFonts w:ascii="Times New Roman" w:hAnsi="Times New Roman" w:cs="Times New Roman"/>
        </w:rPr>
        <w:t xml:space="preserve">inquiry and </w:t>
      </w:r>
      <w:r w:rsidR="00234D6C" w:rsidRPr="001D2A80">
        <w:rPr>
          <w:rFonts w:ascii="Times New Roman" w:hAnsi="Times New Roman" w:cs="Times New Roman"/>
        </w:rPr>
        <w:t xml:space="preserve">therefore </w:t>
      </w:r>
      <w:r w:rsidR="00E51FC9">
        <w:rPr>
          <w:rFonts w:ascii="Times New Roman" w:hAnsi="Times New Roman" w:cs="Times New Roman"/>
        </w:rPr>
        <w:t xml:space="preserve">did </w:t>
      </w:r>
      <w:r w:rsidR="001F60DB" w:rsidRPr="001D2A80">
        <w:rPr>
          <w:rFonts w:ascii="Times New Roman" w:hAnsi="Times New Roman" w:cs="Times New Roman"/>
        </w:rPr>
        <w:t xml:space="preserve">not dismissed </w:t>
      </w:r>
      <w:r w:rsidR="00F86D29" w:rsidRPr="001D2A80">
        <w:rPr>
          <w:rFonts w:ascii="Times New Roman" w:hAnsi="Times New Roman" w:cs="Times New Roman"/>
        </w:rPr>
        <w:t xml:space="preserve">it </w:t>
      </w:r>
      <w:r w:rsidR="0094005B">
        <w:rPr>
          <w:rFonts w:ascii="Times New Roman" w:hAnsi="Times New Roman" w:cs="Times New Roman"/>
        </w:rPr>
        <w:t>but</w:t>
      </w:r>
      <w:r w:rsidR="00E51FC9">
        <w:rPr>
          <w:rFonts w:ascii="Times New Roman" w:hAnsi="Times New Roman" w:cs="Times New Roman"/>
        </w:rPr>
        <w:t xml:space="preserve"> </w:t>
      </w:r>
      <w:r w:rsidR="00FB784B">
        <w:rPr>
          <w:rFonts w:ascii="Times New Roman" w:hAnsi="Times New Roman" w:cs="Times New Roman"/>
        </w:rPr>
        <w:t>place</w:t>
      </w:r>
      <w:r w:rsidR="008411BE">
        <w:rPr>
          <w:rFonts w:ascii="Times New Roman" w:hAnsi="Times New Roman" w:cs="Times New Roman"/>
        </w:rPr>
        <w:t>d</w:t>
      </w:r>
      <w:r w:rsidR="00FB784B">
        <w:rPr>
          <w:rFonts w:ascii="Times New Roman" w:hAnsi="Times New Roman" w:cs="Times New Roman"/>
        </w:rPr>
        <w:t xml:space="preserve"> it </w:t>
      </w:r>
      <w:r w:rsidR="008411BE">
        <w:rPr>
          <w:rFonts w:ascii="Times New Roman" w:hAnsi="Times New Roman" w:cs="Times New Roman"/>
        </w:rPr>
        <w:t xml:space="preserve">among the topics of </w:t>
      </w:r>
      <w:r w:rsidR="001F60DB" w:rsidRPr="001D2A80">
        <w:rPr>
          <w:rFonts w:ascii="Times New Roman" w:hAnsi="Times New Roman" w:cs="Times New Roman"/>
        </w:rPr>
        <w:t>philosophical analys</w:t>
      </w:r>
      <w:r w:rsidR="00FB784B">
        <w:rPr>
          <w:rFonts w:ascii="Times New Roman" w:hAnsi="Times New Roman" w:cs="Times New Roman"/>
        </w:rPr>
        <w:t>is</w:t>
      </w:r>
      <w:r w:rsidR="000D0980" w:rsidRPr="001D2A80">
        <w:rPr>
          <w:rFonts w:ascii="Times New Roman" w:hAnsi="Times New Roman" w:cs="Times New Roman"/>
        </w:rPr>
        <w:t>.</w:t>
      </w:r>
      <w:r w:rsidR="00CD2E76" w:rsidRPr="001D2A80">
        <w:rPr>
          <w:rStyle w:val="FootnoteReference"/>
          <w:rFonts w:ascii="Times New Roman" w:hAnsi="Times New Roman" w:cs="Times New Roman"/>
        </w:rPr>
        <w:footnoteReference w:id="2"/>
      </w:r>
      <w:r w:rsidR="000D0980" w:rsidRPr="001D2A80">
        <w:rPr>
          <w:rFonts w:ascii="Times New Roman" w:hAnsi="Times New Roman" w:cs="Times New Roman"/>
        </w:rPr>
        <w:t xml:space="preserve"> </w:t>
      </w:r>
    </w:p>
    <w:p w14:paraId="6ABA5DB1" w14:textId="6B978849" w:rsidR="009F04F1" w:rsidRPr="001D2A80" w:rsidRDefault="00F86D29" w:rsidP="0027764B">
      <w:pPr>
        <w:rPr>
          <w:rFonts w:ascii="Times New Roman" w:hAnsi="Times New Roman" w:cs="Times New Roman"/>
        </w:rPr>
      </w:pPr>
      <w:r w:rsidRPr="001D2A80">
        <w:rPr>
          <w:rFonts w:ascii="Times New Roman" w:hAnsi="Times New Roman" w:cs="Times New Roman"/>
        </w:rPr>
        <w:t xml:space="preserve">The unificationist approach was </w:t>
      </w:r>
      <w:r w:rsidR="00E90635">
        <w:rPr>
          <w:rFonts w:ascii="Times New Roman" w:hAnsi="Times New Roman" w:cs="Times New Roman"/>
        </w:rPr>
        <w:t xml:space="preserve">a mainstream </w:t>
      </w:r>
      <w:r w:rsidRPr="001D2A80">
        <w:rPr>
          <w:rFonts w:ascii="Times New Roman" w:hAnsi="Times New Roman" w:cs="Times New Roman"/>
        </w:rPr>
        <w:t xml:space="preserve">approach </w:t>
      </w:r>
      <w:r w:rsidR="00E461DB">
        <w:rPr>
          <w:rFonts w:ascii="Times New Roman" w:hAnsi="Times New Roman" w:cs="Times New Roman"/>
        </w:rPr>
        <w:t xml:space="preserve">to explanation </w:t>
      </w:r>
      <w:r w:rsidR="00E90635">
        <w:rPr>
          <w:rFonts w:ascii="Times New Roman" w:hAnsi="Times New Roman" w:cs="Times New Roman"/>
        </w:rPr>
        <w:t xml:space="preserve">which </w:t>
      </w:r>
      <w:r w:rsidRPr="001D2A80">
        <w:rPr>
          <w:rFonts w:ascii="Times New Roman" w:hAnsi="Times New Roman" w:cs="Times New Roman"/>
        </w:rPr>
        <w:t>reevaluated understanding</w:t>
      </w:r>
      <w:r w:rsidR="00855A4B">
        <w:rPr>
          <w:rFonts w:ascii="Times New Roman" w:hAnsi="Times New Roman" w:cs="Times New Roman"/>
        </w:rPr>
        <w:t>, especially through Friedman’s account</w:t>
      </w:r>
      <w:r w:rsidR="00855A4B" w:rsidRPr="001D2A80">
        <w:rPr>
          <w:rFonts w:ascii="Times New Roman" w:hAnsi="Times New Roman" w:cs="Times New Roman"/>
        </w:rPr>
        <w:t>.</w:t>
      </w:r>
      <w:r w:rsidR="00D32EDA" w:rsidRPr="001D2A80">
        <w:rPr>
          <w:rFonts w:ascii="Times New Roman" w:hAnsi="Times New Roman" w:cs="Times New Roman"/>
        </w:rPr>
        <w:t xml:space="preserve"> A</w:t>
      </w:r>
      <w:r w:rsidR="0068571E" w:rsidRPr="001D2A80">
        <w:rPr>
          <w:rFonts w:ascii="Times New Roman" w:hAnsi="Times New Roman" w:cs="Times New Roman"/>
        </w:rPr>
        <w:t xml:space="preserve">ccording to </w:t>
      </w:r>
      <w:r w:rsidR="00855A4B">
        <w:rPr>
          <w:rFonts w:ascii="Times New Roman" w:hAnsi="Times New Roman" w:cs="Times New Roman"/>
        </w:rPr>
        <w:t xml:space="preserve">his </w:t>
      </w:r>
      <w:r w:rsidR="0068571E" w:rsidRPr="001D2A80">
        <w:rPr>
          <w:rFonts w:ascii="Times New Roman" w:hAnsi="Times New Roman" w:cs="Times New Roman"/>
        </w:rPr>
        <w:t>view, a</w:t>
      </w:r>
      <w:r w:rsidR="00D32EDA" w:rsidRPr="001D2A80">
        <w:rPr>
          <w:rFonts w:ascii="Times New Roman" w:hAnsi="Times New Roman" w:cs="Times New Roman"/>
        </w:rPr>
        <w:t>ny theory of explanation should show also what</w:t>
      </w:r>
      <w:r w:rsidR="0068571E" w:rsidRPr="001D2A80">
        <w:rPr>
          <w:rFonts w:ascii="Times New Roman" w:hAnsi="Times New Roman" w:cs="Times New Roman"/>
        </w:rPr>
        <w:t xml:space="preserve"> and how</w:t>
      </w:r>
      <w:r w:rsidR="00D32EDA" w:rsidRPr="001D2A80">
        <w:rPr>
          <w:rFonts w:ascii="Times New Roman" w:hAnsi="Times New Roman" w:cs="Times New Roman"/>
        </w:rPr>
        <w:t xml:space="preserve"> </w:t>
      </w:r>
      <w:r w:rsidR="00AD316E">
        <w:rPr>
          <w:rFonts w:ascii="Times New Roman" w:hAnsi="Times New Roman" w:cs="Times New Roman"/>
        </w:rPr>
        <w:t xml:space="preserve">the scientific </w:t>
      </w:r>
      <w:r w:rsidR="00D32EDA" w:rsidRPr="001D2A80">
        <w:rPr>
          <w:rFonts w:ascii="Times New Roman" w:hAnsi="Times New Roman" w:cs="Times New Roman"/>
        </w:rPr>
        <w:t>explanat</w:t>
      </w:r>
      <w:r w:rsidR="0068571E" w:rsidRPr="001D2A80">
        <w:rPr>
          <w:rFonts w:ascii="Times New Roman" w:hAnsi="Times New Roman" w:cs="Times New Roman"/>
        </w:rPr>
        <w:t>ion</w:t>
      </w:r>
      <w:r w:rsidR="00D32EDA" w:rsidRPr="001D2A80">
        <w:rPr>
          <w:rFonts w:ascii="Times New Roman" w:hAnsi="Times New Roman" w:cs="Times New Roman"/>
        </w:rPr>
        <w:t xml:space="preserve"> produces understanding</w:t>
      </w:r>
      <w:r w:rsidR="0068571E" w:rsidRPr="001D2A80">
        <w:rPr>
          <w:rFonts w:ascii="Times New Roman" w:hAnsi="Times New Roman" w:cs="Times New Roman"/>
        </w:rPr>
        <w:t>.</w:t>
      </w:r>
      <w:r w:rsidR="00D32EDA" w:rsidRPr="001D2A80">
        <w:rPr>
          <w:rFonts w:ascii="Times New Roman" w:hAnsi="Times New Roman" w:cs="Times New Roman"/>
        </w:rPr>
        <w:t xml:space="preserve"> </w:t>
      </w:r>
      <w:r w:rsidR="0068571E" w:rsidRPr="001D2A80">
        <w:rPr>
          <w:rFonts w:ascii="Times New Roman" w:hAnsi="Times New Roman" w:cs="Times New Roman"/>
        </w:rPr>
        <w:t>I</w:t>
      </w:r>
      <w:r w:rsidR="0027764B" w:rsidRPr="001D2A80">
        <w:rPr>
          <w:rFonts w:ascii="Times New Roman" w:hAnsi="Times New Roman" w:cs="Times New Roman"/>
        </w:rPr>
        <w:t>n</w:t>
      </w:r>
      <w:r w:rsidR="0068571E" w:rsidRPr="001D2A80">
        <w:rPr>
          <w:rFonts w:ascii="Times New Roman" w:hAnsi="Times New Roman" w:cs="Times New Roman"/>
        </w:rPr>
        <w:t xml:space="preserve"> order</w:t>
      </w:r>
      <w:r w:rsidR="004935E3" w:rsidRPr="001D2A80">
        <w:rPr>
          <w:rFonts w:ascii="Times New Roman" w:hAnsi="Times New Roman" w:cs="Times New Roman"/>
        </w:rPr>
        <w:t xml:space="preserve"> to</w:t>
      </w:r>
      <w:r w:rsidR="0068571E" w:rsidRPr="001D2A80">
        <w:rPr>
          <w:rFonts w:ascii="Times New Roman" w:hAnsi="Times New Roman" w:cs="Times New Roman"/>
        </w:rPr>
        <w:t xml:space="preserve"> </w:t>
      </w:r>
      <w:r w:rsidR="0027764B" w:rsidRPr="001D2A80">
        <w:rPr>
          <w:rFonts w:ascii="Times New Roman" w:hAnsi="Times New Roman" w:cs="Times New Roman"/>
        </w:rPr>
        <w:t>make understanding respectable</w:t>
      </w:r>
      <w:r w:rsidR="00C87DE0">
        <w:rPr>
          <w:rFonts w:ascii="Times New Roman" w:hAnsi="Times New Roman" w:cs="Times New Roman"/>
        </w:rPr>
        <w:t>,</w:t>
      </w:r>
      <w:r w:rsidR="0027764B" w:rsidRPr="001D2A80">
        <w:rPr>
          <w:rFonts w:ascii="Times New Roman" w:hAnsi="Times New Roman" w:cs="Times New Roman"/>
        </w:rPr>
        <w:t xml:space="preserve"> </w:t>
      </w:r>
      <w:r w:rsidR="0027764B" w:rsidRPr="00134CE4">
        <w:rPr>
          <w:rFonts w:ascii="Times New Roman" w:hAnsi="Times New Roman" w:cs="Times New Roman"/>
          <w:i/>
          <w:iCs/>
        </w:rPr>
        <w:t>i.e.</w:t>
      </w:r>
      <w:r w:rsidR="0027764B" w:rsidRPr="001D2A80">
        <w:rPr>
          <w:rFonts w:ascii="Times New Roman" w:hAnsi="Times New Roman" w:cs="Times New Roman"/>
        </w:rPr>
        <w:t xml:space="preserve"> eliminate its subjective and pragmatic dimension</w:t>
      </w:r>
      <w:r w:rsidR="00C87DE0">
        <w:rPr>
          <w:rFonts w:ascii="Times New Roman" w:hAnsi="Times New Roman" w:cs="Times New Roman"/>
        </w:rPr>
        <w:t>,</w:t>
      </w:r>
      <w:r w:rsidR="0027764B" w:rsidRPr="001D2A80">
        <w:rPr>
          <w:rFonts w:ascii="Times New Roman" w:hAnsi="Times New Roman" w:cs="Times New Roman"/>
        </w:rPr>
        <w:t xml:space="preserve"> </w:t>
      </w:r>
      <w:r w:rsidR="0094005B">
        <w:rPr>
          <w:rFonts w:ascii="Times New Roman" w:hAnsi="Times New Roman" w:cs="Times New Roman"/>
        </w:rPr>
        <w:t>an</w:t>
      </w:r>
      <w:r w:rsidR="0027764B" w:rsidRPr="001D2A80">
        <w:rPr>
          <w:rFonts w:ascii="Times New Roman" w:hAnsi="Times New Roman" w:cs="Times New Roman"/>
        </w:rPr>
        <w:t xml:space="preserve"> account </w:t>
      </w:r>
      <w:r w:rsidR="0094005B">
        <w:rPr>
          <w:rFonts w:ascii="Times New Roman" w:hAnsi="Times New Roman" w:cs="Times New Roman"/>
        </w:rPr>
        <w:t>has</w:t>
      </w:r>
      <w:r w:rsidR="0027764B" w:rsidRPr="001D2A80">
        <w:rPr>
          <w:rFonts w:ascii="Times New Roman" w:hAnsi="Times New Roman" w:cs="Times New Roman"/>
        </w:rPr>
        <w:t xml:space="preserve"> to isolate a propriety that embodies </w:t>
      </w:r>
      <w:r w:rsidR="004935E3" w:rsidRPr="001D2A80">
        <w:rPr>
          <w:rFonts w:ascii="Times New Roman" w:hAnsi="Times New Roman" w:cs="Times New Roman"/>
        </w:rPr>
        <w:t>the</w:t>
      </w:r>
      <w:r w:rsidR="0027764B" w:rsidRPr="001D2A80">
        <w:rPr>
          <w:rFonts w:ascii="Times New Roman" w:hAnsi="Times New Roman" w:cs="Times New Roman"/>
        </w:rPr>
        <w:t xml:space="preserve"> objective sense of scientific understanding (Friedman 1974). </w:t>
      </w:r>
      <w:r w:rsidR="0014465F" w:rsidRPr="001D2A80">
        <w:rPr>
          <w:rFonts w:ascii="Times New Roman" w:hAnsi="Times New Roman" w:cs="Times New Roman"/>
        </w:rPr>
        <w:t xml:space="preserve">In </w:t>
      </w:r>
      <w:r w:rsidR="0027764B" w:rsidRPr="001D2A80">
        <w:rPr>
          <w:rFonts w:ascii="Times New Roman" w:hAnsi="Times New Roman" w:cs="Times New Roman"/>
        </w:rPr>
        <w:t>Friedman’s view</w:t>
      </w:r>
      <w:r w:rsidR="0014465F">
        <w:rPr>
          <w:rFonts w:ascii="Times New Roman" w:hAnsi="Times New Roman" w:cs="Times New Roman"/>
        </w:rPr>
        <w:t>,</w:t>
      </w:r>
      <w:r w:rsidR="0027764B" w:rsidRPr="001D2A80">
        <w:rPr>
          <w:rFonts w:ascii="Times New Roman" w:hAnsi="Times New Roman" w:cs="Times New Roman"/>
        </w:rPr>
        <w:t xml:space="preserve"> </w:t>
      </w:r>
      <w:r w:rsidR="0014465F">
        <w:rPr>
          <w:rFonts w:ascii="Times New Roman" w:hAnsi="Times New Roman" w:cs="Times New Roman"/>
        </w:rPr>
        <w:t>t</w:t>
      </w:r>
      <w:r w:rsidR="0014465F" w:rsidRPr="001D2A80">
        <w:rPr>
          <w:rFonts w:ascii="Times New Roman" w:hAnsi="Times New Roman" w:cs="Times New Roman"/>
        </w:rPr>
        <w:t xml:space="preserve">his can be done </w:t>
      </w:r>
      <w:r w:rsidR="00AD316E">
        <w:rPr>
          <w:rFonts w:ascii="Times New Roman" w:hAnsi="Times New Roman" w:cs="Times New Roman"/>
        </w:rPr>
        <w:t xml:space="preserve">only </w:t>
      </w:r>
      <w:r w:rsidR="0027764B" w:rsidRPr="001D2A80">
        <w:rPr>
          <w:rFonts w:ascii="Times New Roman" w:hAnsi="Times New Roman" w:cs="Times New Roman"/>
        </w:rPr>
        <w:t xml:space="preserve">by simultaneously </w:t>
      </w:r>
      <w:r w:rsidR="00855A4B">
        <w:rPr>
          <w:rFonts w:ascii="Times New Roman" w:hAnsi="Times New Roman" w:cs="Times New Roman"/>
        </w:rPr>
        <w:t xml:space="preserve">offering an </w:t>
      </w:r>
      <w:r w:rsidR="00855A4B" w:rsidRPr="001D2A80">
        <w:rPr>
          <w:rFonts w:ascii="Times New Roman" w:hAnsi="Times New Roman" w:cs="Times New Roman"/>
        </w:rPr>
        <w:t>explicati</w:t>
      </w:r>
      <w:r w:rsidR="00855A4B">
        <w:rPr>
          <w:rFonts w:ascii="Times New Roman" w:hAnsi="Times New Roman" w:cs="Times New Roman"/>
        </w:rPr>
        <w:t>on of</w:t>
      </w:r>
      <w:r w:rsidR="00855A4B" w:rsidRPr="001D2A80">
        <w:rPr>
          <w:rFonts w:ascii="Times New Roman" w:hAnsi="Times New Roman" w:cs="Times New Roman"/>
        </w:rPr>
        <w:t xml:space="preserve"> </w:t>
      </w:r>
      <w:r w:rsidR="0027764B" w:rsidRPr="001D2A80">
        <w:rPr>
          <w:rFonts w:ascii="Times New Roman" w:hAnsi="Times New Roman" w:cs="Times New Roman"/>
        </w:rPr>
        <w:t>explanation and understanding</w:t>
      </w:r>
      <w:r w:rsidR="00743FF5" w:rsidRPr="001D2A80">
        <w:rPr>
          <w:rFonts w:ascii="Times New Roman" w:hAnsi="Times New Roman" w:cs="Times New Roman"/>
        </w:rPr>
        <w:t>.</w:t>
      </w:r>
      <w:r w:rsidR="004935E3" w:rsidRPr="001D2A80">
        <w:rPr>
          <w:rFonts w:ascii="Times New Roman" w:hAnsi="Times New Roman" w:cs="Times New Roman"/>
        </w:rPr>
        <w:t xml:space="preserve"> </w:t>
      </w:r>
      <w:r w:rsidR="00743FF5" w:rsidRPr="001D2A80">
        <w:rPr>
          <w:rFonts w:ascii="Times New Roman" w:hAnsi="Times New Roman" w:cs="Times New Roman"/>
        </w:rPr>
        <w:t>H</w:t>
      </w:r>
      <w:r w:rsidR="004935E3" w:rsidRPr="001D2A80">
        <w:rPr>
          <w:rFonts w:ascii="Times New Roman" w:hAnsi="Times New Roman" w:cs="Times New Roman"/>
        </w:rPr>
        <w:t>e qualifies any</w:t>
      </w:r>
      <w:r w:rsidR="0027764B" w:rsidRPr="001D2A80">
        <w:rPr>
          <w:rFonts w:ascii="Times New Roman" w:hAnsi="Times New Roman" w:cs="Times New Roman"/>
        </w:rPr>
        <w:t xml:space="preserve"> approach that will </w:t>
      </w:r>
      <w:r w:rsidR="00743FF5" w:rsidRPr="001D2A80">
        <w:rPr>
          <w:rFonts w:ascii="Times New Roman" w:hAnsi="Times New Roman" w:cs="Times New Roman"/>
        </w:rPr>
        <w:t>define first</w:t>
      </w:r>
      <w:r w:rsidR="0027764B" w:rsidRPr="001D2A80">
        <w:rPr>
          <w:rFonts w:ascii="Times New Roman" w:hAnsi="Times New Roman" w:cs="Times New Roman"/>
        </w:rPr>
        <w:t xml:space="preserve"> understanding </w:t>
      </w:r>
      <w:r w:rsidR="00743FF5" w:rsidRPr="001D2A80">
        <w:rPr>
          <w:rFonts w:ascii="Times New Roman" w:hAnsi="Times New Roman" w:cs="Times New Roman"/>
        </w:rPr>
        <w:t>and proceed afterwards to clarify explanation as unreasonable</w:t>
      </w:r>
      <w:r w:rsidR="0027764B" w:rsidRPr="001D2A80">
        <w:rPr>
          <w:rFonts w:ascii="Times New Roman" w:hAnsi="Times New Roman" w:cs="Times New Roman"/>
        </w:rPr>
        <w:t xml:space="preserve">. </w:t>
      </w:r>
      <w:r w:rsidR="008067CB" w:rsidRPr="001D2A80">
        <w:rPr>
          <w:rFonts w:ascii="Times New Roman" w:hAnsi="Times New Roman" w:cs="Times New Roman"/>
        </w:rPr>
        <w:t>Th</w:t>
      </w:r>
      <w:r w:rsidR="00721E7B" w:rsidRPr="001D2A80">
        <w:rPr>
          <w:rFonts w:ascii="Times New Roman" w:hAnsi="Times New Roman" w:cs="Times New Roman"/>
        </w:rPr>
        <w:t xml:space="preserve">is makes any </w:t>
      </w:r>
      <w:r w:rsidR="00AF4F9D" w:rsidRPr="001D2A80">
        <w:rPr>
          <w:rFonts w:ascii="Times New Roman" w:hAnsi="Times New Roman" w:cs="Times New Roman"/>
        </w:rPr>
        <w:t xml:space="preserve">approach on understanding </w:t>
      </w:r>
      <w:r w:rsidR="00721E7B" w:rsidRPr="001D2A80">
        <w:rPr>
          <w:rFonts w:ascii="Times New Roman" w:hAnsi="Times New Roman" w:cs="Times New Roman"/>
        </w:rPr>
        <w:t xml:space="preserve">totally </w:t>
      </w:r>
      <w:r w:rsidR="00AF4F9D" w:rsidRPr="001D2A80">
        <w:rPr>
          <w:rFonts w:ascii="Times New Roman" w:hAnsi="Times New Roman" w:cs="Times New Roman"/>
        </w:rPr>
        <w:t xml:space="preserve">dependent </w:t>
      </w:r>
      <w:r w:rsidR="00721E7B" w:rsidRPr="001D2A80">
        <w:rPr>
          <w:rFonts w:ascii="Times New Roman" w:hAnsi="Times New Roman" w:cs="Times New Roman"/>
        </w:rPr>
        <w:t xml:space="preserve">on an </w:t>
      </w:r>
      <w:r w:rsidR="00AF4F9D" w:rsidRPr="001D2A80">
        <w:rPr>
          <w:rFonts w:ascii="Times New Roman" w:hAnsi="Times New Roman" w:cs="Times New Roman"/>
        </w:rPr>
        <w:t>approac</w:t>
      </w:r>
      <w:r w:rsidR="00721E7B" w:rsidRPr="001D2A80">
        <w:rPr>
          <w:rFonts w:ascii="Times New Roman" w:hAnsi="Times New Roman" w:cs="Times New Roman"/>
        </w:rPr>
        <w:t>h on scientific explanation</w:t>
      </w:r>
      <w:r w:rsidR="00AF4F9D" w:rsidRPr="001D2A80">
        <w:rPr>
          <w:rFonts w:ascii="Times New Roman" w:hAnsi="Times New Roman" w:cs="Times New Roman"/>
        </w:rPr>
        <w:t>.</w:t>
      </w:r>
      <w:r w:rsidR="008067CB" w:rsidRPr="001D2A80">
        <w:rPr>
          <w:rFonts w:ascii="Times New Roman" w:hAnsi="Times New Roman" w:cs="Times New Roman"/>
        </w:rPr>
        <w:t xml:space="preserve"> Furthermo</w:t>
      </w:r>
      <w:r w:rsidR="001F60DB" w:rsidRPr="001D2A80">
        <w:rPr>
          <w:rFonts w:ascii="Times New Roman" w:hAnsi="Times New Roman" w:cs="Times New Roman"/>
        </w:rPr>
        <w:t>re</w:t>
      </w:r>
      <w:r w:rsidR="00722BBD" w:rsidRPr="001D2A80">
        <w:rPr>
          <w:rFonts w:ascii="Times New Roman" w:hAnsi="Times New Roman" w:cs="Times New Roman"/>
        </w:rPr>
        <w:t>,</w:t>
      </w:r>
      <w:r w:rsidR="001F60DB" w:rsidRPr="001D2A80">
        <w:rPr>
          <w:rFonts w:ascii="Times New Roman" w:hAnsi="Times New Roman" w:cs="Times New Roman"/>
        </w:rPr>
        <w:t xml:space="preserve"> this position was </w:t>
      </w:r>
      <w:r w:rsidR="003B63D6">
        <w:rPr>
          <w:rFonts w:ascii="Times New Roman" w:hAnsi="Times New Roman" w:cs="Times New Roman"/>
        </w:rPr>
        <w:t xml:space="preserve">taken </w:t>
      </w:r>
      <w:r w:rsidR="008067CB" w:rsidRPr="001D2A80">
        <w:rPr>
          <w:rFonts w:ascii="Times New Roman" w:hAnsi="Times New Roman" w:cs="Times New Roman"/>
        </w:rPr>
        <w:t xml:space="preserve">by the </w:t>
      </w:r>
      <w:r w:rsidR="00BE2976">
        <w:rPr>
          <w:rFonts w:ascii="Times New Roman" w:hAnsi="Times New Roman" w:cs="Times New Roman"/>
        </w:rPr>
        <w:t xml:space="preserve">those who </w:t>
      </w:r>
      <w:r w:rsidR="001F60DB" w:rsidRPr="001D2A80">
        <w:rPr>
          <w:rFonts w:ascii="Times New Roman" w:hAnsi="Times New Roman" w:cs="Times New Roman"/>
        </w:rPr>
        <w:t>work</w:t>
      </w:r>
      <w:r w:rsidR="00B27FE6">
        <w:rPr>
          <w:rFonts w:ascii="Times New Roman" w:hAnsi="Times New Roman" w:cs="Times New Roman"/>
        </w:rPr>
        <w:t>ed</w:t>
      </w:r>
      <w:r w:rsidR="001F60DB" w:rsidRPr="001D2A80">
        <w:rPr>
          <w:rFonts w:ascii="Times New Roman" w:hAnsi="Times New Roman" w:cs="Times New Roman"/>
        </w:rPr>
        <w:t xml:space="preserve"> </w:t>
      </w:r>
      <w:r w:rsidR="008067CB" w:rsidRPr="001D2A80">
        <w:rPr>
          <w:rFonts w:ascii="Times New Roman" w:hAnsi="Times New Roman" w:cs="Times New Roman"/>
        </w:rPr>
        <w:t xml:space="preserve">on explanation topic at that time. </w:t>
      </w:r>
    </w:p>
    <w:p w14:paraId="0AA937C1" w14:textId="4EEDB4D1" w:rsidR="008616CF" w:rsidRPr="001D2A80" w:rsidRDefault="00EB21E6" w:rsidP="00722BBD">
      <w:pPr>
        <w:rPr>
          <w:rFonts w:ascii="Times New Roman" w:hAnsi="Times New Roman" w:cs="Times New Roman"/>
        </w:rPr>
      </w:pPr>
      <w:r w:rsidRPr="001D2A80">
        <w:rPr>
          <w:rFonts w:ascii="Times New Roman" w:hAnsi="Times New Roman" w:cs="Times New Roman"/>
        </w:rPr>
        <w:t>It to</w:t>
      </w:r>
      <w:r w:rsidR="00BB1768" w:rsidRPr="001D2A80">
        <w:rPr>
          <w:rFonts w:ascii="Times New Roman" w:hAnsi="Times New Roman" w:cs="Times New Roman"/>
        </w:rPr>
        <w:t>o</w:t>
      </w:r>
      <w:r w:rsidRPr="001D2A80">
        <w:rPr>
          <w:rFonts w:ascii="Times New Roman" w:hAnsi="Times New Roman" w:cs="Times New Roman"/>
        </w:rPr>
        <w:t xml:space="preserve">k some time </w:t>
      </w:r>
      <w:r w:rsidR="00106A25" w:rsidRPr="001D2A80">
        <w:rPr>
          <w:rFonts w:ascii="Times New Roman" w:hAnsi="Times New Roman" w:cs="Times New Roman"/>
        </w:rPr>
        <w:t>till rad</w:t>
      </w:r>
      <w:r w:rsidR="00722BBD" w:rsidRPr="001D2A80">
        <w:rPr>
          <w:rFonts w:ascii="Times New Roman" w:hAnsi="Times New Roman" w:cs="Times New Roman"/>
        </w:rPr>
        <w:t xml:space="preserve">ical new views </w:t>
      </w:r>
      <w:r w:rsidR="00C8744C">
        <w:rPr>
          <w:rFonts w:ascii="Times New Roman" w:hAnsi="Times New Roman" w:cs="Times New Roman"/>
        </w:rPr>
        <w:t xml:space="preserve">surfaced in </w:t>
      </w:r>
      <w:r w:rsidR="00C8744C" w:rsidRPr="001D2A80">
        <w:rPr>
          <w:rFonts w:ascii="Times New Roman" w:hAnsi="Times New Roman" w:cs="Times New Roman"/>
        </w:rPr>
        <w:t>the explanation research</w:t>
      </w:r>
      <w:r w:rsidR="00722BBD" w:rsidRPr="001D2A80">
        <w:rPr>
          <w:rFonts w:ascii="Times New Roman" w:hAnsi="Times New Roman" w:cs="Times New Roman"/>
        </w:rPr>
        <w:t xml:space="preserve">. </w:t>
      </w:r>
      <w:r w:rsidR="005818F1">
        <w:rPr>
          <w:rFonts w:ascii="Times New Roman" w:hAnsi="Times New Roman" w:cs="Times New Roman"/>
        </w:rPr>
        <w:t>E</w:t>
      </w:r>
      <w:r w:rsidR="00722BBD" w:rsidRPr="001D2A80">
        <w:rPr>
          <w:rFonts w:ascii="Times New Roman" w:hAnsi="Times New Roman" w:cs="Times New Roman"/>
        </w:rPr>
        <w:t>arly harbinger</w:t>
      </w:r>
      <w:r w:rsidR="005818F1">
        <w:rPr>
          <w:rFonts w:ascii="Times New Roman" w:hAnsi="Times New Roman" w:cs="Times New Roman"/>
        </w:rPr>
        <w:t>s</w:t>
      </w:r>
      <w:r w:rsidR="00722BBD" w:rsidRPr="001D2A80">
        <w:rPr>
          <w:rFonts w:ascii="Times New Roman" w:hAnsi="Times New Roman" w:cs="Times New Roman"/>
        </w:rPr>
        <w:t xml:space="preserve"> </w:t>
      </w:r>
      <w:r w:rsidR="005818F1">
        <w:rPr>
          <w:rFonts w:ascii="Times New Roman" w:hAnsi="Times New Roman" w:cs="Times New Roman"/>
        </w:rPr>
        <w:t xml:space="preserve">are </w:t>
      </w:r>
      <w:r w:rsidR="00106A25" w:rsidRPr="001D2A80">
        <w:rPr>
          <w:rFonts w:ascii="Times New Roman" w:hAnsi="Times New Roman" w:cs="Times New Roman"/>
        </w:rPr>
        <w:t>Lambert</w:t>
      </w:r>
      <w:r w:rsidR="00074357">
        <w:rPr>
          <w:rFonts w:ascii="Times New Roman" w:hAnsi="Times New Roman" w:cs="Times New Roman"/>
        </w:rPr>
        <w:t xml:space="preserve"> and </w:t>
      </w:r>
      <w:r w:rsidR="00722BBD" w:rsidRPr="001D2A80">
        <w:rPr>
          <w:rFonts w:ascii="Times New Roman" w:hAnsi="Times New Roman" w:cs="Times New Roman"/>
        </w:rPr>
        <w:t>Schur</w:t>
      </w:r>
      <w:r w:rsidR="00106A25" w:rsidRPr="001D2A80">
        <w:rPr>
          <w:rFonts w:ascii="Times New Roman" w:hAnsi="Times New Roman" w:cs="Times New Roman"/>
        </w:rPr>
        <w:t>z</w:t>
      </w:r>
      <w:r w:rsidR="00722BBD" w:rsidRPr="001D2A80">
        <w:rPr>
          <w:rFonts w:ascii="Times New Roman" w:hAnsi="Times New Roman" w:cs="Times New Roman"/>
        </w:rPr>
        <w:t xml:space="preserve"> </w:t>
      </w:r>
      <w:r w:rsidR="00FE560F" w:rsidRPr="001D2A80">
        <w:rPr>
          <w:rFonts w:ascii="Times New Roman" w:hAnsi="Times New Roman" w:cs="Times New Roman"/>
        </w:rPr>
        <w:t>(1994)</w:t>
      </w:r>
      <w:r w:rsidR="005818F1">
        <w:rPr>
          <w:rFonts w:ascii="Times New Roman" w:hAnsi="Times New Roman" w:cs="Times New Roman"/>
        </w:rPr>
        <w:t xml:space="preserve"> who</w:t>
      </w:r>
      <w:r w:rsidR="00722BBD" w:rsidRPr="001D2A80">
        <w:rPr>
          <w:rFonts w:ascii="Times New Roman" w:hAnsi="Times New Roman" w:cs="Times New Roman"/>
        </w:rPr>
        <w:t xml:space="preserve"> advance</w:t>
      </w:r>
      <w:r w:rsidR="00106A25" w:rsidRPr="001D2A80">
        <w:rPr>
          <w:rFonts w:ascii="Times New Roman" w:hAnsi="Times New Roman" w:cs="Times New Roman"/>
        </w:rPr>
        <w:t xml:space="preserve"> an account </w:t>
      </w:r>
      <w:r w:rsidR="005818F1">
        <w:rPr>
          <w:rFonts w:ascii="Times New Roman" w:hAnsi="Times New Roman" w:cs="Times New Roman"/>
        </w:rPr>
        <w:t>of</w:t>
      </w:r>
      <w:r w:rsidR="00106A25" w:rsidRPr="001D2A80">
        <w:rPr>
          <w:rFonts w:ascii="Times New Roman" w:hAnsi="Times New Roman" w:cs="Times New Roman"/>
        </w:rPr>
        <w:t xml:space="preserve"> scientific understanding totally indep</w:t>
      </w:r>
      <w:r w:rsidR="00722BBD" w:rsidRPr="001D2A80">
        <w:rPr>
          <w:rFonts w:ascii="Times New Roman" w:hAnsi="Times New Roman" w:cs="Times New Roman"/>
        </w:rPr>
        <w:t>endent</w:t>
      </w:r>
      <w:r w:rsidR="00106A25" w:rsidRPr="001D2A80">
        <w:rPr>
          <w:rFonts w:ascii="Times New Roman" w:hAnsi="Times New Roman" w:cs="Times New Roman"/>
        </w:rPr>
        <w:t xml:space="preserve"> of explanation</w:t>
      </w:r>
      <w:r w:rsidR="00FA3AB2">
        <w:rPr>
          <w:rFonts w:ascii="Times New Roman" w:hAnsi="Times New Roman" w:cs="Times New Roman"/>
        </w:rPr>
        <w:t xml:space="preserve">, </w:t>
      </w:r>
      <w:r w:rsidR="00722BBD" w:rsidRPr="001D2A80">
        <w:rPr>
          <w:rFonts w:ascii="Times New Roman" w:hAnsi="Times New Roman" w:cs="Times New Roman"/>
        </w:rPr>
        <w:t>but not without being</w:t>
      </w:r>
      <w:r w:rsidR="00106A25" w:rsidRPr="001D2A80">
        <w:rPr>
          <w:rFonts w:ascii="Times New Roman" w:hAnsi="Times New Roman" w:cs="Times New Roman"/>
        </w:rPr>
        <w:t xml:space="preserve"> tributary to the idea o</w:t>
      </w:r>
      <w:r w:rsidR="00722BBD" w:rsidRPr="001D2A80">
        <w:rPr>
          <w:rFonts w:ascii="Times New Roman" w:hAnsi="Times New Roman" w:cs="Times New Roman"/>
        </w:rPr>
        <w:t>f understanding as unification</w:t>
      </w:r>
      <w:r w:rsidR="00476C67" w:rsidRPr="001D2A80">
        <w:rPr>
          <w:rFonts w:ascii="Times New Roman" w:hAnsi="Times New Roman" w:cs="Times New Roman"/>
        </w:rPr>
        <w:t xml:space="preserve">, </w:t>
      </w:r>
      <w:r w:rsidR="00722BBD" w:rsidRPr="001D2A80">
        <w:rPr>
          <w:rFonts w:ascii="Times New Roman" w:hAnsi="Times New Roman" w:cs="Times New Roman"/>
        </w:rPr>
        <w:t xml:space="preserve">central to the </w:t>
      </w:r>
      <w:r w:rsidR="00106A25" w:rsidRPr="001D2A80">
        <w:rPr>
          <w:rFonts w:ascii="Times New Roman" w:hAnsi="Times New Roman" w:cs="Times New Roman"/>
        </w:rPr>
        <w:t>unificationist approach. Just after the tu</w:t>
      </w:r>
      <w:r w:rsidR="00B20C2A" w:rsidRPr="001D2A80">
        <w:rPr>
          <w:rFonts w:ascii="Times New Roman" w:hAnsi="Times New Roman" w:cs="Times New Roman"/>
        </w:rPr>
        <w:t>rn of the century one could see</w:t>
      </w:r>
      <w:r w:rsidR="00106A25" w:rsidRPr="001D2A80">
        <w:rPr>
          <w:rFonts w:ascii="Times New Roman" w:hAnsi="Times New Roman" w:cs="Times New Roman"/>
        </w:rPr>
        <w:t xml:space="preserve"> </w:t>
      </w:r>
      <w:r w:rsidR="00B20C2A" w:rsidRPr="001D2A80">
        <w:rPr>
          <w:rFonts w:ascii="Times New Roman" w:hAnsi="Times New Roman" w:cs="Times New Roman"/>
        </w:rPr>
        <w:t xml:space="preserve">emerging </w:t>
      </w:r>
      <w:r w:rsidR="00106A25" w:rsidRPr="001D2A80">
        <w:rPr>
          <w:rFonts w:ascii="Times New Roman" w:hAnsi="Times New Roman" w:cs="Times New Roman"/>
        </w:rPr>
        <w:t>a real debate around the subject. The philosopher Henk de Regt</w:t>
      </w:r>
      <w:r w:rsidR="00FE560F" w:rsidRPr="001D2A80">
        <w:rPr>
          <w:rFonts w:ascii="Times New Roman" w:hAnsi="Times New Roman" w:cs="Times New Roman"/>
        </w:rPr>
        <w:t xml:space="preserve"> (</w:t>
      </w:r>
      <w:r w:rsidR="00EC6CD4">
        <w:rPr>
          <w:rFonts w:ascii="Times New Roman" w:hAnsi="Times New Roman" w:cs="Times New Roman"/>
        </w:rPr>
        <w:t xml:space="preserve">de Regt, Dieks </w:t>
      </w:r>
      <w:r w:rsidR="00FE560F" w:rsidRPr="001D2A80">
        <w:rPr>
          <w:rFonts w:ascii="Times New Roman" w:hAnsi="Times New Roman" w:cs="Times New Roman"/>
        </w:rPr>
        <w:t>2005)</w:t>
      </w:r>
      <w:r w:rsidR="00106A25" w:rsidRPr="001D2A80">
        <w:rPr>
          <w:rFonts w:ascii="Times New Roman" w:hAnsi="Times New Roman" w:cs="Times New Roman"/>
        </w:rPr>
        <w:t xml:space="preserve"> </w:t>
      </w:r>
      <w:r w:rsidR="006F6C18" w:rsidRPr="001D2A80">
        <w:rPr>
          <w:rFonts w:ascii="Times New Roman" w:hAnsi="Times New Roman" w:cs="Times New Roman"/>
        </w:rPr>
        <w:t>can</w:t>
      </w:r>
      <w:r w:rsidR="00106A25" w:rsidRPr="001D2A80">
        <w:rPr>
          <w:rFonts w:ascii="Times New Roman" w:hAnsi="Times New Roman" w:cs="Times New Roman"/>
        </w:rPr>
        <w:t xml:space="preserve"> be </w:t>
      </w:r>
      <w:r w:rsidR="006F6C18" w:rsidRPr="001D2A80">
        <w:rPr>
          <w:rFonts w:ascii="Times New Roman" w:hAnsi="Times New Roman" w:cs="Times New Roman"/>
        </w:rPr>
        <w:t>regarded</w:t>
      </w:r>
      <w:r w:rsidR="00B20C2A" w:rsidRPr="001D2A80">
        <w:rPr>
          <w:rFonts w:ascii="Times New Roman" w:hAnsi="Times New Roman" w:cs="Times New Roman"/>
        </w:rPr>
        <w:t xml:space="preserve"> as a pioneer in this sense</w:t>
      </w:r>
      <w:r w:rsidR="00E53C46">
        <w:rPr>
          <w:rFonts w:ascii="Times New Roman" w:hAnsi="Times New Roman" w:cs="Times New Roman"/>
        </w:rPr>
        <w:t xml:space="preserve">, </w:t>
      </w:r>
      <w:bookmarkStart w:id="0" w:name="_Hlk64660632"/>
      <w:r w:rsidR="00E53C46">
        <w:rPr>
          <w:rFonts w:ascii="Times New Roman" w:hAnsi="Times New Roman" w:cs="Times New Roman"/>
        </w:rPr>
        <w:t>with his contextual theory of scientific understanding</w:t>
      </w:r>
      <w:bookmarkEnd w:id="0"/>
      <w:r w:rsidR="00B20C2A" w:rsidRPr="001D2A80">
        <w:rPr>
          <w:rFonts w:ascii="Times New Roman" w:hAnsi="Times New Roman" w:cs="Times New Roman"/>
        </w:rPr>
        <w:t xml:space="preserve"> </w:t>
      </w:r>
      <w:r w:rsidR="00106A25" w:rsidRPr="001D2A80">
        <w:rPr>
          <w:rFonts w:ascii="Times New Roman" w:hAnsi="Times New Roman" w:cs="Times New Roman"/>
        </w:rPr>
        <w:t>and Trout</w:t>
      </w:r>
      <w:r w:rsidR="00FE560F" w:rsidRPr="001D2A80">
        <w:rPr>
          <w:rFonts w:ascii="Times New Roman" w:hAnsi="Times New Roman" w:cs="Times New Roman"/>
        </w:rPr>
        <w:t xml:space="preserve"> (2002)</w:t>
      </w:r>
      <w:r w:rsidR="00106A25" w:rsidRPr="001D2A80">
        <w:rPr>
          <w:rFonts w:ascii="Times New Roman" w:hAnsi="Times New Roman" w:cs="Times New Roman"/>
        </w:rPr>
        <w:t xml:space="preserve"> one of </w:t>
      </w:r>
      <w:r w:rsidR="00B20C2A" w:rsidRPr="001D2A80">
        <w:rPr>
          <w:rFonts w:ascii="Times New Roman" w:hAnsi="Times New Roman" w:cs="Times New Roman"/>
        </w:rPr>
        <w:t>the first fervent opponents to the new</w:t>
      </w:r>
      <w:r w:rsidR="00E53C46">
        <w:rPr>
          <w:rFonts w:ascii="Times New Roman" w:hAnsi="Times New Roman" w:cs="Times New Roman"/>
        </w:rPr>
        <w:t xml:space="preserve"> research</w:t>
      </w:r>
      <w:r w:rsidR="00B20C2A" w:rsidRPr="001D2A80">
        <w:rPr>
          <w:rFonts w:ascii="Times New Roman" w:hAnsi="Times New Roman" w:cs="Times New Roman"/>
        </w:rPr>
        <w:t xml:space="preserve"> direction</w:t>
      </w:r>
      <w:r w:rsidR="00AD316E">
        <w:rPr>
          <w:rFonts w:ascii="Times New Roman" w:hAnsi="Times New Roman" w:cs="Times New Roman"/>
        </w:rPr>
        <w:t xml:space="preserve"> by</w:t>
      </w:r>
      <w:r w:rsidR="00476C67" w:rsidRPr="001D2A80">
        <w:rPr>
          <w:rFonts w:ascii="Times New Roman" w:hAnsi="Times New Roman" w:cs="Times New Roman"/>
        </w:rPr>
        <w:t xml:space="preserve"> </w:t>
      </w:r>
      <w:r w:rsidR="00964354" w:rsidRPr="001D2A80">
        <w:rPr>
          <w:rFonts w:ascii="Times New Roman" w:hAnsi="Times New Roman" w:cs="Times New Roman"/>
        </w:rPr>
        <w:t>dismissing any value of a philosophical approach to th</w:t>
      </w:r>
      <w:r w:rsidR="00E53C46">
        <w:rPr>
          <w:rFonts w:ascii="Times New Roman" w:hAnsi="Times New Roman" w:cs="Times New Roman"/>
        </w:rPr>
        <w:t xml:space="preserve">e </w:t>
      </w:r>
      <w:r w:rsidR="0069502E">
        <w:rPr>
          <w:rFonts w:ascii="Times New Roman" w:hAnsi="Times New Roman" w:cs="Times New Roman"/>
        </w:rPr>
        <w:t>topic</w:t>
      </w:r>
      <w:r w:rsidR="00E53C46">
        <w:rPr>
          <w:rFonts w:ascii="Times New Roman" w:hAnsi="Times New Roman" w:cs="Times New Roman"/>
        </w:rPr>
        <w:t xml:space="preserve"> of understanding. </w:t>
      </w:r>
    </w:p>
    <w:p w14:paraId="18CCA289" w14:textId="335F04D8" w:rsidR="00106A25" w:rsidRPr="001D2A80" w:rsidRDefault="00106A25" w:rsidP="00722BBD">
      <w:pPr>
        <w:rPr>
          <w:rFonts w:ascii="Times New Roman" w:hAnsi="Times New Roman" w:cs="Times New Roman"/>
        </w:rPr>
      </w:pPr>
      <w:r w:rsidRPr="001D2A80">
        <w:rPr>
          <w:rFonts w:ascii="Times New Roman" w:hAnsi="Times New Roman" w:cs="Times New Roman"/>
        </w:rPr>
        <w:t xml:space="preserve">A parallel tendency </w:t>
      </w:r>
      <w:r w:rsidR="002937E3" w:rsidRPr="001D2A80">
        <w:rPr>
          <w:rFonts w:ascii="Times New Roman" w:hAnsi="Times New Roman" w:cs="Times New Roman"/>
        </w:rPr>
        <w:t xml:space="preserve">of reevaluating understanding </w:t>
      </w:r>
      <w:r w:rsidR="00964354" w:rsidRPr="001D2A80">
        <w:rPr>
          <w:rFonts w:ascii="Times New Roman" w:hAnsi="Times New Roman" w:cs="Times New Roman"/>
        </w:rPr>
        <w:t>flourished</w:t>
      </w:r>
      <w:r w:rsidRPr="001D2A80">
        <w:rPr>
          <w:rFonts w:ascii="Times New Roman" w:hAnsi="Times New Roman" w:cs="Times New Roman"/>
        </w:rPr>
        <w:t xml:space="preserve"> </w:t>
      </w:r>
      <w:r w:rsidR="007E39C0" w:rsidRPr="001D2A80">
        <w:rPr>
          <w:rFonts w:ascii="Times New Roman" w:hAnsi="Times New Roman" w:cs="Times New Roman"/>
        </w:rPr>
        <w:t xml:space="preserve">the last two decades </w:t>
      </w:r>
      <w:r w:rsidR="00964354" w:rsidRPr="001D2A80">
        <w:rPr>
          <w:rFonts w:ascii="Times New Roman" w:hAnsi="Times New Roman" w:cs="Times New Roman"/>
        </w:rPr>
        <w:t>and</w:t>
      </w:r>
      <w:r w:rsidRPr="001D2A80">
        <w:rPr>
          <w:rFonts w:ascii="Times New Roman" w:hAnsi="Times New Roman" w:cs="Times New Roman"/>
        </w:rPr>
        <w:t xml:space="preserve"> found its expression</w:t>
      </w:r>
      <w:r w:rsidR="00FE3D45" w:rsidRPr="001D2A80">
        <w:rPr>
          <w:rFonts w:ascii="Times New Roman" w:hAnsi="Times New Roman" w:cs="Times New Roman"/>
        </w:rPr>
        <w:t xml:space="preserve"> </w:t>
      </w:r>
      <w:r w:rsidRPr="001D2A80">
        <w:rPr>
          <w:rFonts w:ascii="Times New Roman" w:hAnsi="Times New Roman" w:cs="Times New Roman"/>
        </w:rPr>
        <w:t>in</w:t>
      </w:r>
      <w:r w:rsidR="00FE3D45" w:rsidRPr="001D2A80">
        <w:rPr>
          <w:rFonts w:ascii="Times New Roman" w:hAnsi="Times New Roman" w:cs="Times New Roman"/>
        </w:rPr>
        <w:t xml:space="preserve"> </w:t>
      </w:r>
      <w:r w:rsidRPr="001D2A80">
        <w:rPr>
          <w:rFonts w:ascii="Times New Roman" w:hAnsi="Times New Roman" w:cs="Times New Roman"/>
        </w:rPr>
        <w:t xml:space="preserve">virtue epistemology. Understanding attracted the </w:t>
      </w:r>
      <w:r w:rsidR="00FE3D45" w:rsidRPr="001D2A80">
        <w:rPr>
          <w:rFonts w:ascii="Times New Roman" w:hAnsi="Times New Roman" w:cs="Times New Roman"/>
        </w:rPr>
        <w:t xml:space="preserve">attention </w:t>
      </w:r>
      <w:r w:rsidRPr="001D2A80">
        <w:rPr>
          <w:rFonts w:ascii="Times New Roman" w:hAnsi="Times New Roman" w:cs="Times New Roman"/>
        </w:rPr>
        <w:t>of some epistemologist</w:t>
      </w:r>
      <w:r w:rsidR="00476C67" w:rsidRPr="001D2A80">
        <w:rPr>
          <w:rFonts w:ascii="Times New Roman" w:hAnsi="Times New Roman" w:cs="Times New Roman"/>
        </w:rPr>
        <w:t>s such</w:t>
      </w:r>
      <w:r w:rsidRPr="001D2A80">
        <w:rPr>
          <w:rFonts w:ascii="Times New Roman" w:hAnsi="Times New Roman" w:cs="Times New Roman"/>
        </w:rPr>
        <w:t xml:space="preserve"> as Za</w:t>
      </w:r>
      <w:r w:rsidR="009D4D1E" w:rsidRPr="001D2A80">
        <w:rPr>
          <w:rFonts w:ascii="Times New Roman" w:hAnsi="Times New Roman" w:cs="Times New Roman"/>
        </w:rPr>
        <w:t>g</w:t>
      </w:r>
      <w:r w:rsidRPr="001D2A80">
        <w:rPr>
          <w:rFonts w:ascii="Times New Roman" w:hAnsi="Times New Roman" w:cs="Times New Roman"/>
        </w:rPr>
        <w:t>ze</w:t>
      </w:r>
      <w:r w:rsidR="009D4D1E" w:rsidRPr="001D2A80">
        <w:rPr>
          <w:rFonts w:ascii="Times New Roman" w:hAnsi="Times New Roman" w:cs="Times New Roman"/>
        </w:rPr>
        <w:t>b</w:t>
      </w:r>
      <w:r w:rsidRPr="001D2A80">
        <w:rPr>
          <w:rFonts w:ascii="Times New Roman" w:hAnsi="Times New Roman" w:cs="Times New Roman"/>
        </w:rPr>
        <w:t>ski</w:t>
      </w:r>
      <w:r w:rsidR="00045E8F" w:rsidRPr="001D2A80">
        <w:rPr>
          <w:rFonts w:ascii="Times New Roman" w:hAnsi="Times New Roman" w:cs="Times New Roman"/>
        </w:rPr>
        <w:t xml:space="preserve"> (2001)</w:t>
      </w:r>
      <w:r w:rsidRPr="001D2A80">
        <w:rPr>
          <w:rFonts w:ascii="Times New Roman" w:hAnsi="Times New Roman" w:cs="Times New Roman"/>
        </w:rPr>
        <w:t>, Riggs</w:t>
      </w:r>
      <w:r w:rsidR="00045E8F" w:rsidRPr="001D2A80">
        <w:rPr>
          <w:rFonts w:ascii="Times New Roman" w:hAnsi="Times New Roman" w:cs="Times New Roman"/>
        </w:rPr>
        <w:t xml:space="preserve"> (2003)</w:t>
      </w:r>
      <w:r w:rsidR="00FE3D45" w:rsidRPr="001D2A80">
        <w:rPr>
          <w:rFonts w:ascii="Times New Roman" w:hAnsi="Times New Roman" w:cs="Times New Roman"/>
        </w:rPr>
        <w:t>, Kvavig</w:t>
      </w:r>
      <w:r w:rsidR="00045E8F" w:rsidRPr="001D2A80">
        <w:rPr>
          <w:rFonts w:ascii="Times New Roman" w:hAnsi="Times New Roman" w:cs="Times New Roman"/>
        </w:rPr>
        <w:t xml:space="preserve"> (2003)</w:t>
      </w:r>
      <w:r w:rsidR="00FE3D45" w:rsidRPr="001D2A80">
        <w:rPr>
          <w:rFonts w:ascii="Times New Roman" w:hAnsi="Times New Roman" w:cs="Times New Roman"/>
        </w:rPr>
        <w:t xml:space="preserve"> with th</w:t>
      </w:r>
      <w:r w:rsidRPr="001D2A80">
        <w:rPr>
          <w:rFonts w:ascii="Times New Roman" w:hAnsi="Times New Roman" w:cs="Times New Roman"/>
        </w:rPr>
        <w:t>e</w:t>
      </w:r>
      <w:r w:rsidR="00FE3D45" w:rsidRPr="001D2A80">
        <w:rPr>
          <w:rFonts w:ascii="Times New Roman" w:hAnsi="Times New Roman" w:cs="Times New Roman"/>
        </w:rPr>
        <w:t xml:space="preserve"> </w:t>
      </w:r>
      <w:r w:rsidRPr="001D2A80">
        <w:rPr>
          <w:rFonts w:ascii="Times New Roman" w:hAnsi="Times New Roman" w:cs="Times New Roman"/>
        </w:rPr>
        <w:t>promise of reconfig</w:t>
      </w:r>
      <w:r w:rsidR="00FE3D45" w:rsidRPr="001D2A80">
        <w:rPr>
          <w:rFonts w:ascii="Times New Roman" w:hAnsi="Times New Roman" w:cs="Times New Roman"/>
        </w:rPr>
        <w:t xml:space="preserve">uring the </w:t>
      </w:r>
      <w:r w:rsidR="00AD316E">
        <w:rPr>
          <w:rFonts w:ascii="Times New Roman" w:hAnsi="Times New Roman" w:cs="Times New Roman"/>
        </w:rPr>
        <w:t xml:space="preserve">epistemological </w:t>
      </w:r>
      <w:r w:rsidR="00FE3D45" w:rsidRPr="001D2A80">
        <w:rPr>
          <w:rFonts w:ascii="Times New Roman" w:hAnsi="Times New Roman" w:cs="Times New Roman"/>
        </w:rPr>
        <w:t xml:space="preserve">agenda by rediscovering </w:t>
      </w:r>
      <w:r w:rsidR="00E90AC2">
        <w:rPr>
          <w:rFonts w:ascii="Times New Roman" w:hAnsi="Times New Roman" w:cs="Times New Roman"/>
        </w:rPr>
        <w:t xml:space="preserve">the </w:t>
      </w:r>
      <w:r w:rsidRPr="001D2A80">
        <w:rPr>
          <w:rFonts w:ascii="Times New Roman" w:hAnsi="Times New Roman" w:cs="Times New Roman"/>
        </w:rPr>
        <w:t>value</w:t>
      </w:r>
      <w:r w:rsidR="0012302A">
        <w:rPr>
          <w:rFonts w:ascii="Times New Roman" w:hAnsi="Times New Roman" w:cs="Times New Roman"/>
        </w:rPr>
        <w:t xml:space="preserve"> </w:t>
      </w:r>
      <w:r w:rsidR="002155A7">
        <w:rPr>
          <w:rFonts w:ascii="Times New Roman" w:hAnsi="Times New Roman" w:cs="Times New Roman"/>
        </w:rPr>
        <w:t>of understanding</w:t>
      </w:r>
      <w:r w:rsidR="00FE3D45" w:rsidRPr="001D2A80">
        <w:rPr>
          <w:rFonts w:ascii="Times New Roman" w:hAnsi="Times New Roman" w:cs="Times New Roman"/>
        </w:rPr>
        <w:t xml:space="preserve">. As the </w:t>
      </w:r>
      <w:r w:rsidRPr="001D2A80">
        <w:rPr>
          <w:rFonts w:ascii="Times New Roman" w:hAnsi="Times New Roman" w:cs="Times New Roman"/>
        </w:rPr>
        <w:t>v</w:t>
      </w:r>
      <w:r w:rsidR="00FE3D45" w:rsidRPr="001D2A80">
        <w:rPr>
          <w:rFonts w:ascii="Times New Roman" w:hAnsi="Times New Roman" w:cs="Times New Roman"/>
        </w:rPr>
        <w:t>o</w:t>
      </w:r>
      <w:r w:rsidRPr="001D2A80">
        <w:rPr>
          <w:rFonts w:ascii="Times New Roman" w:hAnsi="Times New Roman" w:cs="Times New Roman"/>
        </w:rPr>
        <w:t>i</w:t>
      </w:r>
      <w:r w:rsidR="00FE3D45" w:rsidRPr="001D2A80">
        <w:rPr>
          <w:rFonts w:ascii="Times New Roman" w:hAnsi="Times New Roman" w:cs="Times New Roman"/>
        </w:rPr>
        <w:t>ces</w:t>
      </w:r>
      <w:r w:rsidR="006A2E7F">
        <w:rPr>
          <w:rFonts w:ascii="Times New Roman" w:hAnsi="Times New Roman" w:cs="Times New Roman"/>
        </w:rPr>
        <w:t xml:space="preserve"> in </w:t>
      </w:r>
      <w:r w:rsidR="006A2E7F" w:rsidRPr="001D2A80">
        <w:rPr>
          <w:rFonts w:ascii="Times New Roman" w:hAnsi="Times New Roman" w:cs="Times New Roman"/>
        </w:rPr>
        <w:t>the two philosophical fields</w:t>
      </w:r>
      <w:r w:rsidR="006A2E7F">
        <w:rPr>
          <w:rFonts w:ascii="Times New Roman" w:hAnsi="Times New Roman" w:cs="Times New Roman"/>
        </w:rPr>
        <w:t>: epistemology and philosophy of science</w:t>
      </w:r>
      <w:r w:rsidR="006A2E7F" w:rsidRPr="001D2A80">
        <w:rPr>
          <w:rFonts w:ascii="Times New Roman" w:hAnsi="Times New Roman" w:cs="Times New Roman"/>
        </w:rPr>
        <w:t xml:space="preserve"> multiplied</w:t>
      </w:r>
      <w:r w:rsidR="00FE3D45" w:rsidRPr="001D2A80">
        <w:rPr>
          <w:rFonts w:ascii="Times New Roman" w:hAnsi="Times New Roman" w:cs="Times New Roman"/>
        </w:rPr>
        <w:t>, the subject gained mo</w:t>
      </w:r>
      <w:r w:rsidRPr="001D2A80">
        <w:rPr>
          <w:rFonts w:ascii="Times New Roman" w:hAnsi="Times New Roman" w:cs="Times New Roman"/>
        </w:rPr>
        <w:t>m</w:t>
      </w:r>
      <w:r w:rsidR="00FE3D45" w:rsidRPr="001D2A80">
        <w:rPr>
          <w:rFonts w:ascii="Times New Roman" w:hAnsi="Times New Roman" w:cs="Times New Roman"/>
        </w:rPr>
        <w:t>entum and</w:t>
      </w:r>
      <w:r w:rsidRPr="001D2A80">
        <w:rPr>
          <w:rFonts w:ascii="Times New Roman" w:hAnsi="Times New Roman" w:cs="Times New Roman"/>
        </w:rPr>
        <w:t xml:space="preserve"> cross</w:t>
      </w:r>
      <w:r w:rsidR="00FE3D45" w:rsidRPr="001D2A80">
        <w:rPr>
          <w:rFonts w:ascii="Times New Roman" w:hAnsi="Times New Roman" w:cs="Times New Roman"/>
        </w:rPr>
        <w:t>-fertilizations appeared in this</w:t>
      </w:r>
      <w:r w:rsidRPr="001D2A80">
        <w:rPr>
          <w:rFonts w:ascii="Times New Roman" w:hAnsi="Times New Roman" w:cs="Times New Roman"/>
        </w:rPr>
        <w:t xml:space="preserve"> la</w:t>
      </w:r>
      <w:r w:rsidR="00FE3D45" w:rsidRPr="001D2A80">
        <w:rPr>
          <w:rFonts w:ascii="Times New Roman" w:hAnsi="Times New Roman" w:cs="Times New Roman"/>
        </w:rPr>
        <w:t>ndscape. The recent volume edit</w:t>
      </w:r>
      <w:r w:rsidRPr="001D2A80">
        <w:rPr>
          <w:rFonts w:ascii="Times New Roman" w:hAnsi="Times New Roman" w:cs="Times New Roman"/>
        </w:rPr>
        <w:t xml:space="preserve">ed by Grimm &amp; </w:t>
      </w:r>
      <w:r w:rsidR="00FE3D45" w:rsidRPr="001D2A80">
        <w:rPr>
          <w:rFonts w:ascii="Times New Roman" w:hAnsi="Times New Roman" w:cs="Times New Roman"/>
        </w:rPr>
        <w:t>collaborators</w:t>
      </w:r>
      <w:r w:rsidR="00FE560F" w:rsidRPr="001D2A80">
        <w:rPr>
          <w:rFonts w:ascii="Times New Roman" w:hAnsi="Times New Roman" w:cs="Times New Roman"/>
        </w:rPr>
        <w:t xml:space="preserve"> (201</w:t>
      </w:r>
      <w:r w:rsidR="00EC6CD4">
        <w:rPr>
          <w:rFonts w:ascii="Times New Roman" w:hAnsi="Times New Roman" w:cs="Times New Roman"/>
        </w:rPr>
        <w:t>7</w:t>
      </w:r>
      <w:r w:rsidR="00FE560F" w:rsidRPr="001D2A80">
        <w:rPr>
          <w:rFonts w:ascii="Times New Roman" w:hAnsi="Times New Roman" w:cs="Times New Roman"/>
        </w:rPr>
        <w:t>)</w:t>
      </w:r>
      <w:r w:rsidRPr="001D2A80">
        <w:rPr>
          <w:rFonts w:ascii="Times New Roman" w:hAnsi="Times New Roman" w:cs="Times New Roman"/>
        </w:rPr>
        <w:t xml:space="preserve"> presents a good sample of</w:t>
      </w:r>
      <w:r w:rsidR="00FE3D45" w:rsidRPr="001D2A80">
        <w:rPr>
          <w:rFonts w:ascii="Times New Roman" w:hAnsi="Times New Roman" w:cs="Times New Roman"/>
        </w:rPr>
        <w:t xml:space="preserve"> these tendencies</w:t>
      </w:r>
      <w:r w:rsidRPr="001D2A80">
        <w:rPr>
          <w:rFonts w:ascii="Times New Roman" w:hAnsi="Times New Roman" w:cs="Times New Roman"/>
        </w:rPr>
        <w:t xml:space="preserve"> </w:t>
      </w:r>
      <w:r w:rsidR="00FE3D45" w:rsidRPr="001D2A80">
        <w:rPr>
          <w:rFonts w:ascii="Times New Roman" w:hAnsi="Times New Roman" w:cs="Times New Roman"/>
        </w:rPr>
        <w:t>in</w:t>
      </w:r>
      <w:r w:rsidRPr="001D2A80">
        <w:rPr>
          <w:rFonts w:ascii="Times New Roman" w:hAnsi="Times New Roman" w:cs="Times New Roman"/>
        </w:rPr>
        <w:t xml:space="preserve"> both philosophical fiel</w:t>
      </w:r>
      <w:r w:rsidR="00FE3D45" w:rsidRPr="001D2A80">
        <w:rPr>
          <w:rFonts w:ascii="Times New Roman" w:hAnsi="Times New Roman" w:cs="Times New Roman"/>
        </w:rPr>
        <w:t>ds; though</w:t>
      </w:r>
      <w:r w:rsidRPr="001D2A80">
        <w:rPr>
          <w:rFonts w:ascii="Times New Roman" w:hAnsi="Times New Roman" w:cs="Times New Roman"/>
        </w:rPr>
        <w:t xml:space="preserve"> not everybody is happy with such interse</w:t>
      </w:r>
      <w:r w:rsidR="00FE3D45" w:rsidRPr="001D2A80">
        <w:rPr>
          <w:rFonts w:ascii="Times New Roman" w:hAnsi="Times New Roman" w:cs="Times New Roman"/>
        </w:rPr>
        <w:t>ctions as a recent review of the book</w:t>
      </w:r>
      <w:r w:rsidR="00E10AF6">
        <w:rPr>
          <w:rFonts w:ascii="Times New Roman" w:hAnsi="Times New Roman" w:cs="Times New Roman"/>
        </w:rPr>
        <w:t xml:space="preserve"> (Dellsen 2018)</w:t>
      </w:r>
      <w:r w:rsidR="00FE3D45" w:rsidRPr="001D2A80">
        <w:rPr>
          <w:rFonts w:ascii="Times New Roman" w:hAnsi="Times New Roman" w:cs="Times New Roman"/>
        </w:rPr>
        <w:t xml:space="preserve"> suggests. W</w:t>
      </w:r>
      <w:r w:rsidRPr="001D2A80">
        <w:rPr>
          <w:rFonts w:ascii="Times New Roman" w:hAnsi="Times New Roman" w:cs="Times New Roman"/>
        </w:rPr>
        <w:t xml:space="preserve">ithout entering into </w:t>
      </w:r>
      <w:r w:rsidR="001D2A80" w:rsidRPr="001D2A80">
        <w:rPr>
          <w:rFonts w:ascii="Times New Roman" w:hAnsi="Times New Roman" w:cs="Times New Roman"/>
        </w:rPr>
        <w:t>details</w:t>
      </w:r>
      <w:r w:rsidR="00AD316E">
        <w:rPr>
          <w:rFonts w:ascii="Times New Roman" w:hAnsi="Times New Roman" w:cs="Times New Roman"/>
        </w:rPr>
        <w:t xml:space="preserve"> here</w:t>
      </w:r>
      <w:r w:rsidR="001D2A80" w:rsidRPr="001D2A80">
        <w:rPr>
          <w:rFonts w:ascii="Times New Roman" w:hAnsi="Times New Roman" w:cs="Times New Roman"/>
        </w:rPr>
        <w:t>,</w:t>
      </w:r>
      <w:r w:rsidRPr="001D2A80">
        <w:rPr>
          <w:rFonts w:ascii="Times New Roman" w:hAnsi="Times New Roman" w:cs="Times New Roman"/>
        </w:rPr>
        <w:t xml:space="preserve"> I will recall this point later.</w:t>
      </w:r>
    </w:p>
    <w:p w14:paraId="7D8416D1" w14:textId="77777777" w:rsidR="00FE3D45" w:rsidRDefault="00FE3D45" w:rsidP="00722BBD">
      <w:pPr>
        <w:rPr>
          <w:rFonts w:ascii="Times New Roman" w:hAnsi="Times New Roman" w:cs="Times New Roman"/>
        </w:rPr>
      </w:pPr>
    </w:p>
    <w:p w14:paraId="4F6C40D8" w14:textId="77777777" w:rsidR="00F15DD2" w:rsidRPr="001D2A80" w:rsidRDefault="00F15DD2" w:rsidP="00722BBD">
      <w:pPr>
        <w:rPr>
          <w:rFonts w:ascii="Times New Roman" w:hAnsi="Times New Roman" w:cs="Times New Roman"/>
        </w:rPr>
      </w:pPr>
    </w:p>
    <w:p w14:paraId="07006E1F" w14:textId="77777777" w:rsidR="00106A25" w:rsidRDefault="00F15DD2" w:rsidP="00F15DD2">
      <w:pPr>
        <w:jc w:val="center"/>
        <w:rPr>
          <w:rFonts w:ascii="Times New Roman" w:hAnsi="Times New Roman" w:cs="Times New Roman"/>
          <w:b/>
        </w:rPr>
      </w:pPr>
      <w:r w:rsidRPr="001D2A80">
        <w:rPr>
          <w:rFonts w:ascii="Times New Roman" w:hAnsi="Times New Roman" w:cs="Times New Roman"/>
          <w:b/>
        </w:rPr>
        <w:lastRenderedPageBreak/>
        <w:t>SITUATING THE EXPLANATORY - NON-EXPLANATORY DICHOTOMY</w:t>
      </w:r>
    </w:p>
    <w:p w14:paraId="368D51F6" w14:textId="77777777" w:rsidR="00F15DD2" w:rsidRPr="001D2A80" w:rsidRDefault="00F15DD2" w:rsidP="00F15DD2">
      <w:pPr>
        <w:jc w:val="center"/>
        <w:rPr>
          <w:rFonts w:ascii="Times New Roman" w:hAnsi="Times New Roman" w:cs="Times New Roman"/>
          <w:b/>
        </w:rPr>
      </w:pPr>
    </w:p>
    <w:p w14:paraId="668E14C5" w14:textId="4664A051" w:rsidR="00DE47E8" w:rsidRPr="001D2A80" w:rsidRDefault="00710E9D" w:rsidP="00722BBD">
      <w:pPr>
        <w:rPr>
          <w:rFonts w:ascii="Times New Roman" w:hAnsi="Times New Roman" w:cs="Times New Roman"/>
        </w:rPr>
      </w:pPr>
      <w:r w:rsidRPr="001D2A80">
        <w:rPr>
          <w:rFonts w:ascii="Times New Roman" w:hAnsi="Times New Roman" w:cs="Times New Roman"/>
        </w:rPr>
        <w:t xml:space="preserve">In this section I track the distinction </w:t>
      </w:r>
      <w:r w:rsidR="00670D27">
        <w:rPr>
          <w:rFonts w:ascii="Times New Roman" w:hAnsi="Times New Roman" w:cs="Times New Roman"/>
        </w:rPr>
        <w:t xml:space="preserve">between explanatory and non-explanatory understanding </w:t>
      </w:r>
      <w:r w:rsidRPr="001D2A80">
        <w:rPr>
          <w:rFonts w:ascii="Times New Roman" w:hAnsi="Times New Roman" w:cs="Times New Roman"/>
        </w:rPr>
        <w:t xml:space="preserve">as it has been </w:t>
      </w:r>
      <w:r w:rsidR="00F50F67">
        <w:rPr>
          <w:rFonts w:ascii="Times New Roman" w:hAnsi="Times New Roman" w:cs="Times New Roman"/>
        </w:rPr>
        <w:t>suggested,</w:t>
      </w:r>
      <w:r w:rsidR="00F50F67" w:rsidRPr="001D2A80" w:rsidDel="00F50F67">
        <w:rPr>
          <w:rFonts w:ascii="Times New Roman" w:hAnsi="Times New Roman" w:cs="Times New Roman"/>
        </w:rPr>
        <w:t xml:space="preserve"> </w:t>
      </w:r>
      <w:r w:rsidR="00F50F67">
        <w:rPr>
          <w:rFonts w:ascii="Times New Roman" w:hAnsi="Times New Roman" w:cs="Times New Roman"/>
        </w:rPr>
        <w:t xml:space="preserve">but </w:t>
      </w:r>
      <w:r w:rsidRPr="001D2A80">
        <w:rPr>
          <w:rFonts w:ascii="Times New Roman" w:hAnsi="Times New Roman" w:cs="Times New Roman"/>
        </w:rPr>
        <w:t>rarely made explicit</w:t>
      </w:r>
      <w:r w:rsidR="00F50F67">
        <w:rPr>
          <w:rFonts w:ascii="Times New Roman" w:hAnsi="Times New Roman" w:cs="Times New Roman"/>
        </w:rPr>
        <w:t>,</w:t>
      </w:r>
      <w:r w:rsidRPr="001D2A80">
        <w:rPr>
          <w:rFonts w:ascii="Times New Roman" w:hAnsi="Times New Roman" w:cs="Times New Roman"/>
        </w:rPr>
        <w:t xml:space="preserve"> </w:t>
      </w:r>
      <w:r w:rsidR="00F50F67">
        <w:rPr>
          <w:rFonts w:ascii="Times New Roman" w:hAnsi="Times New Roman" w:cs="Times New Roman"/>
        </w:rPr>
        <w:t xml:space="preserve">and </w:t>
      </w:r>
      <w:r w:rsidRPr="001D2A80">
        <w:rPr>
          <w:rFonts w:ascii="Times New Roman" w:hAnsi="Times New Roman" w:cs="Times New Roman"/>
        </w:rPr>
        <w:t>rather overlook</w:t>
      </w:r>
      <w:r w:rsidR="00F50F67">
        <w:rPr>
          <w:rFonts w:ascii="Times New Roman" w:hAnsi="Times New Roman" w:cs="Times New Roman"/>
        </w:rPr>
        <w:t>ed</w:t>
      </w:r>
      <w:r w:rsidRPr="001D2A80">
        <w:rPr>
          <w:rFonts w:ascii="Times New Roman" w:hAnsi="Times New Roman" w:cs="Times New Roman"/>
        </w:rPr>
        <w:t xml:space="preserve"> and </w:t>
      </w:r>
      <w:r w:rsidR="00950CDB" w:rsidRPr="001D2A80">
        <w:rPr>
          <w:rFonts w:ascii="Times New Roman" w:hAnsi="Times New Roman" w:cs="Times New Roman"/>
        </w:rPr>
        <w:t>suppressed</w:t>
      </w:r>
      <w:r w:rsidR="00950CDB">
        <w:rPr>
          <w:rFonts w:ascii="Times New Roman" w:hAnsi="Times New Roman" w:cs="Times New Roman"/>
        </w:rPr>
        <w:t xml:space="preserve"> in</w:t>
      </w:r>
      <w:r w:rsidR="001625E3">
        <w:rPr>
          <w:rFonts w:ascii="Times New Roman" w:hAnsi="Times New Roman" w:cs="Times New Roman"/>
        </w:rPr>
        <w:t xml:space="preserve"> the mainstream debate</w:t>
      </w:r>
      <w:r w:rsidRPr="001D2A80">
        <w:rPr>
          <w:rFonts w:ascii="Times New Roman" w:hAnsi="Times New Roman" w:cs="Times New Roman"/>
        </w:rPr>
        <w:t>. The distinction has a precarious status even today</w:t>
      </w:r>
      <w:r w:rsidR="002A7527">
        <w:rPr>
          <w:rFonts w:ascii="Times New Roman" w:hAnsi="Times New Roman" w:cs="Times New Roman"/>
        </w:rPr>
        <w:t>,</w:t>
      </w:r>
      <w:r w:rsidRPr="001D2A80">
        <w:rPr>
          <w:rFonts w:ascii="Times New Roman" w:hAnsi="Times New Roman" w:cs="Times New Roman"/>
        </w:rPr>
        <w:t xml:space="preserve"> and therefore might give the impression that we have a</w:t>
      </w:r>
      <w:r w:rsidR="00D86B46" w:rsidRPr="001D2A80">
        <w:rPr>
          <w:rFonts w:ascii="Times New Roman" w:hAnsi="Times New Roman" w:cs="Times New Roman"/>
        </w:rPr>
        <w:t>n</w:t>
      </w:r>
      <w:r w:rsidRPr="001D2A80">
        <w:rPr>
          <w:rFonts w:ascii="Times New Roman" w:hAnsi="Times New Roman" w:cs="Times New Roman"/>
        </w:rPr>
        <w:t xml:space="preserve"> almost solved case</w:t>
      </w:r>
      <w:r w:rsidR="0080524F">
        <w:rPr>
          <w:rFonts w:ascii="Times New Roman" w:hAnsi="Times New Roman" w:cs="Times New Roman"/>
        </w:rPr>
        <w:t>,</w:t>
      </w:r>
      <w:r w:rsidRPr="001D2A80">
        <w:rPr>
          <w:rFonts w:ascii="Times New Roman" w:hAnsi="Times New Roman" w:cs="Times New Roman"/>
        </w:rPr>
        <w:t xml:space="preserve"> or</w:t>
      </w:r>
      <w:r w:rsidR="00A72F2F" w:rsidRPr="001D2A80">
        <w:rPr>
          <w:rFonts w:ascii="Times New Roman" w:hAnsi="Times New Roman" w:cs="Times New Roman"/>
        </w:rPr>
        <w:t xml:space="preserve"> at least</w:t>
      </w:r>
      <w:r w:rsidRPr="001D2A80">
        <w:rPr>
          <w:rFonts w:ascii="Times New Roman" w:hAnsi="Times New Roman" w:cs="Times New Roman"/>
        </w:rPr>
        <w:t xml:space="preserve"> not a real issue</w:t>
      </w:r>
      <w:r w:rsidR="00A72F2F" w:rsidRPr="001D2A80">
        <w:rPr>
          <w:rFonts w:ascii="Times New Roman" w:hAnsi="Times New Roman" w:cs="Times New Roman"/>
        </w:rPr>
        <w:t xml:space="preserve"> to be addressed in a proper way</w:t>
      </w:r>
      <w:r w:rsidRPr="001D2A80">
        <w:rPr>
          <w:rFonts w:ascii="Times New Roman" w:hAnsi="Times New Roman" w:cs="Times New Roman"/>
        </w:rPr>
        <w:t>. This is mainly due to the dominance of a reductive view</w:t>
      </w:r>
      <w:r w:rsidR="00AD316E">
        <w:rPr>
          <w:rFonts w:ascii="Times New Roman" w:hAnsi="Times New Roman" w:cs="Times New Roman"/>
        </w:rPr>
        <w:t>, as explained below,</w:t>
      </w:r>
      <w:r w:rsidRPr="001D2A80">
        <w:rPr>
          <w:rFonts w:ascii="Times New Roman" w:hAnsi="Times New Roman" w:cs="Times New Roman"/>
        </w:rPr>
        <w:t xml:space="preserve"> </w:t>
      </w:r>
      <w:r w:rsidR="00A72F2F" w:rsidRPr="001D2A80">
        <w:rPr>
          <w:rFonts w:ascii="Times New Roman" w:hAnsi="Times New Roman" w:cs="Times New Roman"/>
        </w:rPr>
        <w:t>in</w:t>
      </w:r>
      <w:r w:rsidR="00D86B46" w:rsidRPr="001D2A80">
        <w:rPr>
          <w:rFonts w:ascii="Times New Roman" w:hAnsi="Times New Roman" w:cs="Times New Roman"/>
        </w:rPr>
        <w:t xml:space="preserve"> </w:t>
      </w:r>
      <w:r w:rsidR="00A72F2F" w:rsidRPr="001D2A80">
        <w:rPr>
          <w:rFonts w:ascii="Times New Roman" w:hAnsi="Times New Roman" w:cs="Times New Roman"/>
        </w:rPr>
        <w:t>the debate on understanding</w:t>
      </w:r>
      <w:r w:rsidRPr="001D2A80">
        <w:rPr>
          <w:rFonts w:ascii="Times New Roman" w:hAnsi="Times New Roman" w:cs="Times New Roman"/>
        </w:rPr>
        <w:t>. On the other side the mo</w:t>
      </w:r>
      <w:r w:rsidR="00A72F2F" w:rsidRPr="001D2A80">
        <w:rPr>
          <w:rFonts w:ascii="Times New Roman" w:hAnsi="Times New Roman" w:cs="Times New Roman"/>
        </w:rPr>
        <w:t>r</w:t>
      </w:r>
      <w:r w:rsidRPr="001D2A80">
        <w:rPr>
          <w:rFonts w:ascii="Times New Roman" w:hAnsi="Times New Roman" w:cs="Times New Roman"/>
        </w:rPr>
        <w:t xml:space="preserve">e applied investigations of scientific practices could not ignore such a distinction </w:t>
      </w:r>
      <w:r w:rsidR="001D2A80" w:rsidRPr="001D2A80">
        <w:rPr>
          <w:rFonts w:ascii="Times New Roman" w:hAnsi="Times New Roman" w:cs="Times New Roman"/>
        </w:rPr>
        <w:t>but</w:t>
      </w:r>
      <w:r w:rsidR="00A72F2F" w:rsidRPr="001D2A80">
        <w:rPr>
          <w:rFonts w:ascii="Times New Roman" w:hAnsi="Times New Roman" w:cs="Times New Roman"/>
        </w:rPr>
        <w:t xml:space="preserve"> in most cases it</w:t>
      </w:r>
      <w:r w:rsidRPr="001D2A80">
        <w:rPr>
          <w:rFonts w:ascii="Times New Roman" w:hAnsi="Times New Roman" w:cs="Times New Roman"/>
        </w:rPr>
        <w:t xml:space="preserve"> did not either reflect it in an explicit way. The</w:t>
      </w:r>
      <w:r w:rsidR="00A72F2F" w:rsidRPr="001D2A80">
        <w:rPr>
          <w:rFonts w:ascii="Times New Roman" w:hAnsi="Times New Roman" w:cs="Times New Roman"/>
        </w:rPr>
        <w:t>re is an exception in the</w:t>
      </w:r>
      <w:r w:rsidRPr="001D2A80">
        <w:rPr>
          <w:rFonts w:ascii="Times New Roman" w:hAnsi="Times New Roman" w:cs="Times New Roman"/>
        </w:rPr>
        <w:t xml:space="preserve"> </w:t>
      </w:r>
      <w:r w:rsidR="00A72F2F" w:rsidRPr="001D2A80">
        <w:rPr>
          <w:rFonts w:ascii="Times New Roman" w:hAnsi="Times New Roman" w:cs="Times New Roman"/>
        </w:rPr>
        <w:t>proposal adva</w:t>
      </w:r>
      <w:r w:rsidR="00D86B46" w:rsidRPr="001D2A80">
        <w:rPr>
          <w:rFonts w:ascii="Times New Roman" w:hAnsi="Times New Roman" w:cs="Times New Roman"/>
        </w:rPr>
        <w:t>n</w:t>
      </w:r>
      <w:r w:rsidR="00A72F2F" w:rsidRPr="001D2A80">
        <w:rPr>
          <w:rFonts w:ascii="Times New Roman" w:hAnsi="Times New Roman" w:cs="Times New Roman"/>
        </w:rPr>
        <w:t xml:space="preserve">ced by </w:t>
      </w:r>
      <w:r w:rsidRPr="001D2A80">
        <w:rPr>
          <w:rFonts w:ascii="Times New Roman" w:hAnsi="Times New Roman" w:cs="Times New Roman"/>
        </w:rPr>
        <w:t>P</w:t>
      </w:r>
      <w:r w:rsidR="00D86B46" w:rsidRPr="001D2A80">
        <w:rPr>
          <w:rFonts w:ascii="Times New Roman" w:hAnsi="Times New Roman" w:cs="Times New Roman"/>
        </w:rPr>
        <w:t>eter</w:t>
      </w:r>
      <w:r w:rsidRPr="001D2A80">
        <w:rPr>
          <w:rFonts w:ascii="Times New Roman" w:hAnsi="Times New Roman" w:cs="Times New Roman"/>
        </w:rPr>
        <w:t xml:space="preserve"> Lipton</w:t>
      </w:r>
      <w:r w:rsidR="00FE560F" w:rsidRPr="001D2A80">
        <w:rPr>
          <w:rFonts w:ascii="Times New Roman" w:hAnsi="Times New Roman" w:cs="Times New Roman"/>
        </w:rPr>
        <w:t xml:space="preserve"> (2009)</w:t>
      </w:r>
      <w:r w:rsidR="00A72F2F" w:rsidRPr="001D2A80">
        <w:rPr>
          <w:rFonts w:ascii="Times New Roman" w:hAnsi="Times New Roman" w:cs="Times New Roman"/>
        </w:rPr>
        <w:t xml:space="preserve"> that </w:t>
      </w:r>
      <w:r w:rsidR="00D86B46" w:rsidRPr="001D2A80">
        <w:rPr>
          <w:rFonts w:ascii="Times New Roman" w:hAnsi="Times New Roman" w:cs="Times New Roman"/>
        </w:rPr>
        <w:t xml:space="preserve">I </w:t>
      </w:r>
      <w:r w:rsidRPr="001D2A80">
        <w:rPr>
          <w:rFonts w:ascii="Times New Roman" w:hAnsi="Times New Roman" w:cs="Times New Roman"/>
        </w:rPr>
        <w:t>will discuss</w:t>
      </w:r>
      <w:r w:rsidR="00CE5956">
        <w:rPr>
          <w:rFonts w:ascii="Times New Roman" w:hAnsi="Times New Roman" w:cs="Times New Roman"/>
        </w:rPr>
        <w:t xml:space="preserve"> </w:t>
      </w:r>
      <w:r w:rsidR="00631BA4">
        <w:rPr>
          <w:rFonts w:ascii="Times New Roman" w:hAnsi="Times New Roman" w:cs="Times New Roman"/>
        </w:rPr>
        <w:t xml:space="preserve">at </w:t>
      </w:r>
      <w:r w:rsidRPr="001D2A80">
        <w:rPr>
          <w:rFonts w:ascii="Times New Roman" w:hAnsi="Times New Roman" w:cs="Times New Roman"/>
        </w:rPr>
        <w:t xml:space="preserve">the end </w:t>
      </w:r>
      <w:r w:rsidR="00D86B46" w:rsidRPr="001D2A80">
        <w:rPr>
          <w:rFonts w:ascii="Times New Roman" w:hAnsi="Times New Roman" w:cs="Times New Roman"/>
        </w:rPr>
        <w:t xml:space="preserve">of this section </w:t>
      </w:r>
      <w:r w:rsidRPr="001D2A80">
        <w:rPr>
          <w:rFonts w:ascii="Times New Roman" w:hAnsi="Times New Roman" w:cs="Times New Roman"/>
        </w:rPr>
        <w:t xml:space="preserve">and </w:t>
      </w:r>
      <w:r w:rsidR="00D86B46" w:rsidRPr="001D2A80">
        <w:rPr>
          <w:rFonts w:ascii="Times New Roman" w:hAnsi="Times New Roman" w:cs="Times New Roman"/>
        </w:rPr>
        <w:t>defend</w:t>
      </w:r>
      <w:r w:rsidR="00CE5956">
        <w:rPr>
          <w:rFonts w:ascii="Times New Roman" w:hAnsi="Times New Roman" w:cs="Times New Roman"/>
        </w:rPr>
        <w:t xml:space="preserve"> it</w:t>
      </w:r>
      <w:r w:rsidRPr="001D2A80">
        <w:rPr>
          <w:rFonts w:ascii="Times New Roman" w:hAnsi="Times New Roman" w:cs="Times New Roman"/>
        </w:rPr>
        <w:t xml:space="preserve"> in the next section</w:t>
      </w:r>
      <w:r w:rsidR="001D2A80" w:rsidRPr="001D2A80">
        <w:rPr>
          <w:rFonts w:ascii="Times New Roman" w:hAnsi="Times New Roman" w:cs="Times New Roman"/>
        </w:rPr>
        <w:t>.</w:t>
      </w:r>
    </w:p>
    <w:p w14:paraId="73BFB190" w14:textId="39FAFE12" w:rsidR="004935E3" w:rsidRPr="001D2A80" w:rsidRDefault="00670D27" w:rsidP="00AB4920">
      <w:pPr>
        <w:rPr>
          <w:rFonts w:ascii="Times New Roman" w:hAnsi="Times New Roman" w:cs="Times New Roman"/>
        </w:rPr>
      </w:pPr>
      <w:r>
        <w:rPr>
          <w:rFonts w:ascii="Times New Roman" w:hAnsi="Times New Roman" w:cs="Times New Roman"/>
        </w:rPr>
        <w:t>A</w:t>
      </w:r>
      <w:r w:rsidR="007D6FAE" w:rsidRPr="001D2A80">
        <w:rPr>
          <w:rFonts w:ascii="Times New Roman" w:hAnsi="Times New Roman" w:cs="Times New Roman"/>
        </w:rPr>
        <w:t xml:space="preserve">t </w:t>
      </w:r>
      <w:r w:rsidR="00106A25" w:rsidRPr="001D2A80">
        <w:rPr>
          <w:rFonts w:ascii="Times New Roman" w:hAnsi="Times New Roman" w:cs="Times New Roman"/>
        </w:rPr>
        <w:t>first sight</w:t>
      </w:r>
      <w:r w:rsidR="002B732E">
        <w:rPr>
          <w:rFonts w:ascii="Times New Roman" w:hAnsi="Times New Roman" w:cs="Times New Roman"/>
        </w:rPr>
        <w:t>,</w:t>
      </w:r>
      <w:r w:rsidR="00106A25" w:rsidRPr="001D2A80">
        <w:rPr>
          <w:rFonts w:ascii="Times New Roman" w:hAnsi="Times New Roman" w:cs="Times New Roman"/>
        </w:rPr>
        <w:t xml:space="preserve"> the distinction</w:t>
      </w:r>
      <w:r w:rsidR="0002639B" w:rsidRPr="001D2A80">
        <w:rPr>
          <w:rFonts w:ascii="Times New Roman" w:hAnsi="Times New Roman" w:cs="Times New Roman"/>
        </w:rPr>
        <w:t xml:space="preserve"> between explanatory and non-explanatory understanding </w:t>
      </w:r>
      <w:r w:rsidR="00106A25" w:rsidRPr="001D2A80">
        <w:rPr>
          <w:rFonts w:ascii="Times New Roman" w:hAnsi="Times New Roman" w:cs="Times New Roman"/>
        </w:rPr>
        <w:t xml:space="preserve">might </w:t>
      </w:r>
      <w:r w:rsidR="007D6FAE" w:rsidRPr="001D2A80">
        <w:rPr>
          <w:rFonts w:ascii="Times New Roman" w:hAnsi="Times New Roman" w:cs="Times New Roman"/>
        </w:rPr>
        <w:t xml:space="preserve">be </w:t>
      </w:r>
      <w:r w:rsidR="008A7BAB" w:rsidRPr="001D2A80">
        <w:rPr>
          <w:rFonts w:ascii="Times New Roman" w:hAnsi="Times New Roman" w:cs="Times New Roman"/>
        </w:rPr>
        <w:t xml:space="preserve">a bit </w:t>
      </w:r>
      <w:r w:rsidR="00106A25" w:rsidRPr="001D2A80">
        <w:rPr>
          <w:rFonts w:ascii="Times New Roman" w:hAnsi="Times New Roman" w:cs="Times New Roman"/>
        </w:rPr>
        <w:t xml:space="preserve">confusing. </w:t>
      </w:r>
      <w:r w:rsidR="008A7BAB" w:rsidRPr="001D2A80">
        <w:rPr>
          <w:rFonts w:ascii="Times New Roman" w:hAnsi="Times New Roman" w:cs="Times New Roman"/>
        </w:rPr>
        <w:t>This attitude discloses fro</w:t>
      </w:r>
      <w:r w:rsidR="00106A25" w:rsidRPr="001D2A80">
        <w:rPr>
          <w:rFonts w:ascii="Times New Roman" w:hAnsi="Times New Roman" w:cs="Times New Roman"/>
        </w:rPr>
        <w:t>m</w:t>
      </w:r>
      <w:r w:rsidR="008A7BAB" w:rsidRPr="001D2A80">
        <w:rPr>
          <w:rFonts w:ascii="Times New Roman" w:hAnsi="Times New Roman" w:cs="Times New Roman"/>
        </w:rPr>
        <w:t xml:space="preserve"> the beginning a stron</w:t>
      </w:r>
      <w:r w:rsidR="00106A25" w:rsidRPr="001D2A80">
        <w:rPr>
          <w:rFonts w:ascii="Times New Roman" w:hAnsi="Times New Roman" w:cs="Times New Roman"/>
        </w:rPr>
        <w:t>g</w:t>
      </w:r>
      <w:r w:rsidR="008A7BAB" w:rsidRPr="001D2A80">
        <w:rPr>
          <w:rFonts w:ascii="Times New Roman" w:hAnsi="Times New Roman" w:cs="Times New Roman"/>
        </w:rPr>
        <w:t xml:space="preserve"> </w:t>
      </w:r>
      <w:r w:rsidR="00106A25" w:rsidRPr="001D2A80">
        <w:rPr>
          <w:rFonts w:ascii="Times New Roman" w:hAnsi="Times New Roman" w:cs="Times New Roman"/>
        </w:rPr>
        <w:t xml:space="preserve">underlying natural </w:t>
      </w:r>
      <w:r w:rsidR="00E5758B">
        <w:rPr>
          <w:rFonts w:ascii="Times New Roman" w:hAnsi="Times New Roman" w:cs="Times New Roman"/>
        </w:rPr>
        <w:t>trend</w:t>
      </w:r>
      <w:r w:rsidR="00E5758B" w:rsidRPr="001D2A80">
        <w:rPr>
          <w:rFonts w:ascii="Times New Roman" w:hAnsi="Times New Roman" w:cs="Times New Roman"/>
        </w:rPr>
        <w:t xml:space="preserve"> </w:t>
      </w:r>
      <w:r w:rsidR="00106A25" w:rsidRPr="001D2A80">
        <w:rPr>
          <w:rFonts w:ascii="Times New Roman" w:hAnsi="Times New Roman" w:cs="Times New Roman"/>
        </w:rPr>
        <w:t xml:space="preserve">to </w:t>
      </w:r>
      <w:r w:rsidR="00B62E0A" w:rsidRPr="001D2A80">
        <w:rPr>
          <w:rFonts w:ascii="Times New Roman" w:hAnsi="Times New Roman" w:cs="Times New Roman"/>
        </w:rPr>
        <w:t>consider</w:t>
      </w:r>
      <w:r w:rsidR="00106A25" w:rsidRPr="001D2A80">
        <w:rPr>
          <w:rFonts w:ascii="Times New Roman" w:hAnsi="Times New Roman" w:cs="Times New Roman"/>
        </w:rPr>
        <w:t xml:space="preserve"> </w:t>
      </w:r>
      <w:r w:rsidR="001D2A80" w:rsidRPr="001D2A80">
        <w:rPr>
          <w:rFonts w:ascii="Times New Roman" w:hAnsi="Times New Roman" w:cs="Times New Roman"/>
        </w:rPr>
        <w:t>explanation and understanding</w:t>
      </w:r>
      <w:r w:rsidR="00106A25" w:rsidRPr="001D2A80">
        <w:rPr>
          <w:rFonts w:ascii="Times New Roman" w:hAnsi="Times New Roman" w:cs="Times New Roman"/>
        </w:rPr>
        <w:t xml:space="preserve"> together. </w:t>
      </w:r>
      <w:r w:rsidR="007D6FAE" w:rsidRPr="001D2A80">
        <w:rPr>
          <w:rFonts w:ascii="Times New Roman" w:hAnsi="Times New Roman" w:cs="Times New Roman"/>
        </w:rPr>
        <w:t>This</w:t>
      </w:r>
      <w:r w:rsidR="00106A25" w:rsidRPr="001D2A80">
        <w:rPr>
          <w:rFonts w:ascii="Times New Roman" w:hAnsi="Times New Roman" w:cs="Times New Roman"/>
        </w:rPr>
        <w:t xml:space="preserve"> </w:t>
      </w:r>
      <w:r w:rsidR="007D6FAE" w:rsidRPr="001D2A80">
        <w:rPr>
          <w:rFonts w:ascii="Times New Roman" w:hAnsi="Times New Roman" w:cs="Times New Roman"/>
        </w:rPr>
        <w:t>is r</w:t>
      </w:r>
      <w:r w:rsidR="00106A25" w:rsidRPr="001D2A80">
        <w:rPr>
          <w:rFonts w:ascii="Times New Roman" w:hAnsi="Times New Roman" w:cs="Times New Roman"/>
        </w:rPr>
        <w:t>eflect</w:t>
      </w:r>
      <w:r w:rsidR="007D6FAE" w:rsidRPr="001D2A80">
        <w:rPr>
          <w:rFonts w:ascii="Times New Roman" w:hAnsi="Times New Roman" w:cs="Times New Roman"/>
        </w:rPr>
        <w:t>ed</w:t>
      </w:r>
      <w:r w:rsidR="008A7BAB" w:rsidRPr="001D2A80">
        <w:rPr>
          <w:rFonts w:ascii="Times New Roman" w:hAnsi="Times New Roman" w:cs="Times New Roman"/>
        </w:rPr>
        <w:t xml:space="preserve"> in t</w:t>
      </w:r>
      <w:r w:rsidR="00106A25" w:rsidRPr="001D2A80">
        <w:rPr>
          <w:rFonts w:ascii="Times New Roman" w:hAnsi="Times New Roman" w:cs="Times New Roman"/>
        </w:rPr>
        <w:t xml:space="preserve">he debate </w:t>
      </w:r>
      <w:r w:rsidR="003409F8" w:rsidRPr="001D2A80">
        <w:rPr>
          <w:rFonts w:ascii="Times New Roman" w:hAnsi="Times New Roman" w:cs="Times New Roman"/>
        </w:rPr>
        <w:t xml:space="preserve">on explanation </w:t>
      </w:r>
      <w:r w:rsidR="00106A25" w:rsidRPr="001D2A80">
        <w:rPr>
          <w:rFonts w:ascii="Times New Roman" w:hAnsi="Times New Roman" w:cs="Times New Roman"/>
        </w:rPr>
        <w:t>bes</w:t>
      </w:r>
      <w:r w:rsidR="008A7BAB" w:rsidRPr="001D2A80">
        <w:rPr>
          <w:rFonts w:ascii="Times New Roman" w:hAnsi="Times New Roman" w:cs="Times New Roman"/>
        </w:rPr>
        <w:t xml:space="preserve">ides its historical </w:t>
      </w:r>
      <w:r w:rsidR="002937E3" w:rsidRPr="001D2A80">
        <w:rPr>
          <w:rFonts w:ascii="Times New Roman" w:hAnsi="Times New Roman" w:cs="Times New Roman"/>
        </w:rPr>
        <w:t>evolution</w:t>
      </w:r>
      <w:r w:rsidR="008A7BAB" w:rsidRPr="001D2A80">
        <w:rPr>
          <w:rFonts w:ascii="Times New Roman" w:hAnsi="Times New Roman" w:cs="Times New Roman"/>
        </w:rPr>
        <w:t>.</w:t>
      </w:r>
      <w:r w:rsidR="00394B0C" w:rsidRPr="001D2A80">
        <w:rPr>
          <w:rFonts w:ascii="Times New Roman" w:hAnsi="Times New Roman" w:cs="Times New Roman"/>
        </w:rPr>
        <w:t xml:space="preserve"> </w:t>
      </w:r>
      <w:r w:rsidR="00DE0DA7" w:rsidRPr="001D2A80">
        <w:rPr>
          <w:rFonts w:ascii="Times New Roman" w:hAnsi="Times New Roman" w:cs="Times New Roman"/>
        </w:rPr>
        <w:t xml:space="preserve">As </w:t>
      </w:r>
      <w:r w:rsidR="00394B0C" w:rsidRPr="001D2A80">
        <w:rPr>
          <w:rFonts w:ascii="Times New Roman" w:hAnsi="Times New Roman" w:cs="Times New Roman"/>
        </w:rPr>
        <w:t xml:space="preserve">already </w:t>
      </w:r>
      <w:r w:rsidR="00DE0DA7" w:rsidRPr="001D2A80">
        <w:rPr>
          <w:rFonts w:ascii="Times New Roman" w:hAnsi="Times New Roman" w:cs="Times New Roman"/>
        </w:rPr>
        <w:t xml:space="preserve">mentioned </w:t>
      </w:r>
      <w:r w:rsidR="00B673C6" w:rsidRPr="001D2A80">
        <w:rPr>
          <w:rFonts w:ascii="Times New Roman" w:hAnsi="Times New Roman" w:cs="Times New Roman"/>
        </w:rPr>
        <w:t xml:space="preserve">in the </w:t>
      </w:r>
      <w:r w:rsidR="00DE0DA7" w:rsidRPr="001D2A80">
        <w:rPr>
          <w:rFonts w:ascii="Times New Roman" w:hAnsi="Times New Roman" w:cs="Times New Roman"/>
        </w:rPr>
        <w:t>f</w:t>
      </w:r>
      <w:r w:rsidR="00B673C6" w:rsidRPr="001D2A80">
        <w:rPr>
          <w:rFonts w:ascii="Times New Roman" w:hAnsi="Times New Roman" w:cs="Times New Roman"/>
        </w:rPr>
        <w:t>i</w:t>
      </w:r>
      <w:r w:rsidR="00DE0DA7" w:rsidRPr="001D2A80">
        <w:rPr>
          <w:rFonts w:ascii="Times New Roman" w:hAnsi="Times New Roman" w:cs="Times New Roman"/>
        </w:rPr>
        <w:t xml:space="preserve">rst </w:t>
      </w:r>
      <w:r w:rsidR="00B673C6" w:rsidRPr="001D2A80">
        <w:rPr>
          <w:rFonts w:ascii="Times New Roman" w:hAnsi="Times New Roman" w:cs="Times New Roman"/>
        </w:rPr>
        <w:t>s</w:t>
      </w:r>
      <w:r w:rsidR="00DE0DA7" w:rsidRPr="001D2A80">
        <w:rPr>
          <w:rFonts w:ascii="Times New Roman" w:hAnsi="Times New Roman" w:cs="Times New Roman"/>
        </w:rPr>
        <w:t xml:space="preserve">ection Friedman sees any decoupling or prioritization of the inquiry on understanding and explanation as unreasonable. </w:t>
      </w:r>
      <w:r w:rsidR="0064363C" w:rsidRPr="001D2A80">
        <w:rPr>
          <w:rFonts w:ascii="Times New Roman" w:hAnsi="Times New Roman" w:cs="Times New Roman"/>
        </w:rPr>
        <w:t>According to Friedman</w:t>
      </w:r>
      <w:r w:rsidR="00FE560F" w:rsidRPr="001D2A80">
        <w:rPr>
          <w:rFonts w:ascii="Times New Roman" w:hAnsi="Times New Roman" w:cs="Times New Roman"/>
        </w:rPr>
        <w:t xml:space="preserve"> (1974),</w:t>
      </w:r>
      <w:r w:rsidR="0064363C" w:rsidRPr="001D2A80">
        <w:rPr>
          <w:rFonts w:ascii="Times New Roman" w:hAnsi="Times New Roman" w:cs="Times New Roman"/>
        </w:rPr>
        <w:t xml:space="preserve"> w</w:t>
      </w:r>
      <w:r w:rsidR="00DE0DA7" w:rsidRPr="001D2A80">
        <w:rPr>
          <w:rFonts w:ascii="Times New Roman" w:hAnsi="Times New Roman" w:cs="Times New Roman"/>
        </w:rPr>
        <w:t xml:space="preserve">e can find out what understanding is just by </w:t>
      </w:r>
      <w:r w:rsidR="007E39C0" w:rsidRPr="001D2A80">
        <w:rPr>
          <w:rFonts w:ascii="Times New Roman" w:hAnsi="Times New Roman" w:cs="Times New Roman"/>
        </w:rPr>
        <w:t>simultaneously</w:t>
      </w:r>
      <w:r w:rsidR="00DE0DA7" w:rsidRPr="001D2A80">
        <w:rPr>
          <w:rFonts w:ascii="Times New Roman" w:hAnsi="Times New Roman" w:cs="Times New Roman"/>
        </w:rPr>
        <w:t xml:space="preserve"> inquiring what explanation is. The close </w:t>
      </w:r>
      <w:r w:rsidR="002D40F3" w:rsidRPr="001D2A80">
        <w:rPr>
          <w:rFonts w:ascii="Times New Roman" w:hAnsi="Times New Roman" w:cs="Times New Roman"/>
        </w:rPr>
        <w:t>c</w:t>
      </w:r>
      <w:r w:rsidR="00DE0DA7" w:rsidRPr="001D2A80">
        <w:rPr>
          <w:rFonts w:ascii="Times New Roman" w:hAnsi="Times New Roman" w:cs="Times New Roman"/>
        </w:rPr>
        <w:t>onnecti</w:t>
      </w:r>
      <w:r w:rsidR="002D40F3" w:rsidRPr="001D2A80">
        <w:rPr>
          <w:rFonts w:ascii="Times New Roman" w:hAnsi="Times New Roman" w:cs="Times New Roman"/>
        </w:rPr>
        <w:t xml:space="preserve">on </w:t>
      </w:r>
      <w:r w:rsidR="00DE0DA7" w:rsidRPr="001D2A80">
        <w:rPr>
          <w:rFonts w:ascii="Times New Roman" w:hAnsi="Times New Roman" w:cs="Times New Roman"/>
        </w:rPr>
        <w:t>might have a</w:t>
      </w:r>
      <w:r w:rsidR="00481188" w:rsidRPr="001D2A80">
        <w:rPr>
          <w:rFonts w:ascii="Times New Roman" w:hAnsi="Times New Roman" w:cs="Times New Roman"/>
        </w:rPr>
        <w:t>lso a good methodological</w:t>
      </w:r>
      <w:r w:rsidR="00DE0DA7" w:rsidRPr="001D2A80">
        <w:rPr>
          <w:rFonts w:ascii="Times New Roman" w:hAnsi="Times New Roman" w:cs="Times New Roman"/>
        </w:rPr>
        <w:t xml:space="preserve"> reason </w:t>
      </w:r>
      <w:r w:rsidR="00481188" w:rsidRPr="001D2A80">
        <w:rPr>
          <w:rFonts w:ascii="Times New Roman" w:hAnsi="Times New Roman" w:cs="Times New Roman"/>
        </w:rPr>
        <w:t>linked to</w:t>
      </w:r>
      <w:r w:rsidR="00DE0DA7" w:rsidRPr="001D2A80">
        <w:rPr>
          <w:rFonts w:ascii="Times New Roman" w:hAnsi="Times New Roman" w:cs="Times New Roman"/>
        </w:rPr>
        <w:t xml:space="preserve"> the need to secure the objective dimension of understanding. Explanation approaches already did </w:t>
      </w:r>
      <w:r w:rsidR="00481188" w:rsidRPr="001D2A80">
        <w:rPr>
          <w:rFonts w:ascii="Times New Roman" w:hAnsi="Times New Roman" w:cs="Times New Roman"/>
        </w:rPr>
        <w:t>or tried to secure such an objectivity</w:t>
      </w:r>
      <w:r w:rsidR="00DE0DA7" w:rsidRPr="001D2A80">
        <w:rPr>
          <w:rFonts w:ascii="Times New Roman" w:hAnsi="Times New Roman" w:cs="Times New Roman"/>
        </w:rPr>
        <w:t xml:space="preserve"> previously</w:t>
      </w:r>
      <w:r w:rsidR="00481188" w:rsidRPr="001D2A80">
        <w:rPr>
          <w:rFonts w:ascii="Times New Roman" w:hAnsi="Times New Roman" w:cs="Times New Roman"/>
        </w:rPr>
        <w:t>;</w:t>
      </w:r>
      <w:r w:rsidR="00DE0DA7" w:rsidRPr="001D2A80">
        <w:rPr>
          <w:rFonts w:ascii="Times New Roman" w:hAnsi="Times New Roman" w:cs="Times New Roman"/>
        </w:rPr>
        <w:t xml:space="preserve"> </w:t>
      </w:r>
      <w:r w:rsidR="00481188" w:rsidRPr="001D2A80">
        <w:rPr>
          <w:rFonts w:ascii="Times New Roman" w:hAnsi="Times New Roman" w:cs="Times New Roman"/>
        </w:rPr>
        <w:t>by</w:t>
      </w:r>
      <w:r w:rsidR="00DE0DA7" w:rsidRPr="001D2A80">
        <w:rPr>
          <w:rFonts w:ascii="Times New Roman" w:hAnsi="Times New Roman" w:cs="Times New Roman"/>
        </w:rPr>
        <w:t xml:space="preserve"> </w:t>
      </w:r>
      <w:r w:rsidR="00481188" w:rsidRPr="001D2A80">
        <w:rPr>
          <w:rFonts w:ascii="Times New Roman" w:hAnsi="Times New Roman" w:cs="Times New Roman"/>
        </w:rPr>
        <w:t xml:space="preserve">coupling understanding to explanation </w:t>
      </w:r>
      <w:r w:rsidR="00DE0DA7" w:rsidRPr="001D2A80">
        <w:rPr>
          <w:rFonts w:ascii="Times New Roman" w:hAnsi="Times New Roman" w:cs="Times New Roman"/>
        </w:rPr>
        <w:t>together</w:t>
      </w:r>
      <w:r w:rsidR="00481188" w:rsidRPr="001D2A80">
        <w:rPr>
          <w:rFonts w:ascii="Times New Roman" w:hAnsi="Times New Roman" w:cs="Times New Roman"/>
        </w:rPr>
        <w:t xml:space="preserve"> </w:t>
      </w:r>
      <w:r w:rsidR="00732ACA" w:rsidRPr="001D2A80">
        <w:rPr>
          <w:rFonts w:ascii="Times New Roman" w:hAnsi="Times New Roman" w:cs="Times New Roman"/>
        </w:rPr>
        <w:t>w</w:t>
      </w:r>
      <w:r w:rsidR="00481188" w:rsidRPr="001D2A80">
        <w:rPr>
          <w:rFonts w:ascii="Times New Roman" w:hAnsi="Times New Roman" w:cs="Times New Roman"/>
        </w:rPr>
        <w:t>e</w:t>
      </w:r>
      <w:r w:rsidR="00732ACA" w:rsidRPr="001D2A80">
        <w:rPr>
          <w:rFonts w:ascii="Times New Roman" w:hAnsi="Times New Roman" w:cs="Times New Roman"/>
        </w:rPr>
        <w:t xml:space="preserve"> </w:t>
      </w:r>
      <w:r w:rsidR="0064363C" w:rsidRPr="001D2A80">
        <w:rPr>
          <w:rFonts w:ascii="Times New Roman" w:hAnsi="Times New Roman" w:cs="Times New Roman"/>
        </w:rPr>
        <w:t xml:space="preserve">might </w:t>
      </w:r>
      <w:r w:rsidR="00481188" w:rsidRPr="001D2A80">
        <w:rPr>
          <w:rFonts w:ascii="Times New Roman" w:hAnsi="Times New Roman" w:cs="Times New Roman"/>
        </w:rPr>
        <w:t>have a st</w:t>
      </w:r>
      <w:r w:rsidR="00732ACA" w:rsidRPr="001D2A80">
        <w:rPr>
          <w:rFonts w:ascii="Times New Roman" w:hAnsi="Times New Roman" w:cs="Times New Roman"/>
        </w:rPr>
        <w:t>ro</w:t>
      </w:r>
      <w:r w:rsidR="00481188" w:rsidRPr="001D2A80">
        <w:rPr>
          <w:rFonts w:ascii="Times New Roman" w:hAnsi="Times New Roman" w:cs="Times New Roman"/>
        </w:rPr>
        <w:t xml:space="preserve">nger warranty </w:t>
      </w:r>
      <w:r w:rsidR="00732ACA" w:rsidRPr="001D2A80">
        <w:rPr>
          <w:rFonts w:ascii="Times New Roman" w:hAnsi="Times New Roman" w:cs="Times New Roman"/>
        </w:rPr>
        <w:t xml:space="preserve">for </w:t>
      </w:r>
      <w:r w:rsidR="0064363C" w:rsidRPr="001D2A80">
        <w:rPr>
          <w:rFonts w:ascii="Times New Roman" w:hAnsi="Times New Roman" w:cs="Times New Roman"/>
        </w:rPr>
        <w:t>securing</w:t>
      </w:r>
      <w:r w:rsidR="00732ACA" w:rsidRPr="001D2A80">
        <w:rPr>
          <w:rFonts w:ascii="Times New Roman" w:hAnsi="Times New Roman" w:cs="Times New Roman"/>
        </w:rPr>
        <w:t xml:space="preserve"> objectivity o</w:t>
      </w:r>
      <w:r w:rsidR="0064363C" w:rsidRPr="001D2A80">
        <w:rPr>
          <w:rFonts w:ascii="Times New Roman" w:hAnsi="Times New Roman" w:cs="Times New Roman"/>
        </w:rPr>
        <w:t>f</w:t>
      </w:r>
      <w:r w:rsidR="00732ACA" w:rsidRPr="001D2A80">
        <w:rPr>
          <w:rFonts w:ascii="Times New Roman" w:hAnsi="Times New Roman" w:cs="Times New Roman"/>
        </w:rPr>
        <w:t xml:space="preserve"> understanding too</w:t>
      </w:r>
      <w:r w:rsidR="00DE0DA7" w:rsidRPr="001D2A80">
        <w:rPr>
          <w:rFonts w:ascii="Times New Roman" w:hAnsi="Times New Roman" w:cs="Times New Roman"/>
        </w:rPr>
        <w:t xml:space="preserve">. </w:t>
      </w:r>
      <w:r w:rsidR="00732ACA" w:rsidRPr="001D2A80">
        <w:rPr>
          <w:rFonts w:ascii="Times New Roman" w:hAnsi="Times New Roman" w:cs="Times New Roman"/>
        </w:rPr>
        <w:t>I</w:t>
      </w:r>
      <w:r w:rsidR="00B072E9" w:rsidRPr="001D2A80">
        <w:rPr>
          <w:rFonts w:ascii="Times New Roman" w:hAnsi="Times New Roman" w:cs="Times New Roman"/>
        </w:rPr>
        <w:t>n</w:t>
      </w:r>
      <w:r w:rsidR="00732ACA" w:rsidRPr="001D2A80">
        <w:rPr>
          <w:rFonts w:ascii="Times New Roman" w:hAnsi="Times New Roman" w:cs="Times New Roman"/>
        </w:rPr>
        <w:t xml:space="preserve"> this </w:t>
      </w:r>
      <w:r w:rsidR="00DE0DA7" w:rsidRPr="001D2A80">
        <w:rPr>
          <w:rFonts w:ascii="Times New Roman" w:hAnsi="Times New Roman" w:cs="Times New Roman"/>
        </w:rPr>
        <w:t>circumstance there i</w:t>
      </w:r>
      <w:r w:rsidR="00732ACA" w:rsidRPr="001D2A80">
        <w:rPr>
          <w:rFonts w:ascii="Times New Roman" w:hAnsi="Times New Roman" w:cs="Times New Roman"/>
        </w:rPr>
        <w:t xml:space="preserve">s </w:t>
      </w:r>
      <w:r w:rsidR="00DE0DA7" w:rsidRPr="001D2A80">
        <w:rPr>
          <w:rFonts w:ascii="Times New Roman" w:hAnsi="Times New Roman" w:cs="Times New Roman"/>
        </w:rPr>
        <w:t>no place for a non-explanatory form of understanding which seems to be unconceivable.</w:t>
      </w:r>
    </w:p>
    <w:p w14:paraId="626E11E6" w14:textId="23E9BD8B" w:rsidR="000A37E3" w:rsidRPr="001D2A80" w:rsidRDefault="000A37E3" w:rsidP="000A37E3">
      <w:pPr>
        <w:autoSpaceDE w:val="0"/>
        <w:autoSpaceDN w:val="0"/>
        <w:adjustRightInd w:val="0"/>
        <w:rPr>
          <w:rFonts w:ascii="Times New Roman" w:hAnsi="Times New Roman" w:cs="Times New Roman"/>
        </w:rPr>
      </w:pPr>
      <w:r w:rsidRPr="008A0045">
        <w:rPr>
          <w:rFonts w:ascii="Times New Roman" w:hAnsi="Times New Roman" w:cs="Times New Roman"/>
        </w:rPr>
        <w:t xml:space="preserve">The situation changes in recent </w:t>
      </w:r>
      <w:r>
        <w:rPr>
          <w:rFonts w:ascii="Times New Roman" w:hAnsi="Times New Roman" w:cs="Times New Roman"/>
        </w:rPr>
        <w:t>discussions</w:t>
      </w:r>
      <w:r w:rsidRPr="008A0045">
        <w:rPr>
          <w:rFonts w:ascii="Times New Roman" w:hAnsi="Times New Roman" w:cs="Times New Roman"/>
        </w:rPr>
        <w:t xml:space="preserve">. The </w:t>
      </w:r>
      <w:r w:rsidRPr="00E7138F">
        <w:rPr>
          <w:rFonts w:ascii="Times New Roman" w:hAnsi="Times New Roman" w:cs="Times New Roman"/>
        </w:rPr>
        <w:t xml:space="preserve">reductive approach </w:t>
      </w:r>
      <w:r>
        <w:rPr>
          <w:rFonts w:ascii="Times New Roman" w:hAnsi="Times New Roman" w:cs="Times New Roman"/>
        </w:rPr>
        <w:t>to</w:t>
      </w:r>
      <w:r w:rsidRPr="008A0045">
        <w:rPr>
          <w:rFonts w:ascii="Times New Roman" w:hAnsi="Times New Roman" w:cs="Times New Roman"/>
        </w:rPr>
        <w:t xml:space="preserve"> understanding</w:t>
      </w:r>
      <w:r>
        <w:rPr>
          <w:rStyle w:val="FootnoteReference"/>
          <w:rFonts w:ascii="Times New Roman" w:hAnsi="Times New Roman" w:cs="Times New Roman"/>
        </w:rPr>
        <w:footnoteReference w:id="3"/>
      </w:r>
      <w:r w:rsidRPr="008A0045">
        <w:rPr>
          <w:rFonts w:ascii="Times New Roman" w:hAnsi="Times New Roman" w:cs="Times New Roman"/>
        </w:rPr>
        <w:t xml:space="preserve"> in the recent debates on understanding could be seen following broadly the more general </w:t>
      </w:r>
      <w:r>
        <w:rPr>
          <w:rFonts w:ascii="Times New Roman" w:hAnsi="Times New Roman" w:cs="Times New Roman"/>
        </w:rPr>
        <w:t xml:space="preserve">original </w:t>
      </w:r>
      <w:r w:rsidRPr="008A0045">
        <w:rPr>
          <w:rFonts w:ascii="Times New Roman" w:hAnsi="Times New Roman" w:cs="Times New Roman"/>
        </w:rPr>
        <w:t>attitude</w:t>
      </w:r>
      <w:r>
        <w:rPr>
          <w:rStyle w:val="FootnoteReference"/>
          <w:rFonts w:ascii="Times New Roman" w:hAnsi="Times New Roman" w:cs="Times New Roman"/>
        </w:rPr>
        <w:footnoteReference w:id="4"/>
      </w:r>
      <w:r>
        <w:rPr>
          <w:rFonts w:ascii="Times New Roman" w:hAnsi="Times New Roman" w:cs="Times New Roman"/>
        </w:rPr>
        <w:t>.</w:t>
      </w:r>
      <w:r w:rsidRPr="008A0045">
        <w:rPr>
          <w:rFonts w:ascii="Times New Roman" w:hAnsi="Times New Roman" w:cs="Times New Roman"/>
        </w:rPr>
        <w:t xml:space="preserve">  Khalifa (2017) provide</w:t>
      </w:r>
      <w:r>
        <w:rPr>
          <w:rFonts w:ascii="Times New Roman" w:hAnsi="Times New Roman" w:cs="Times New Roman"/>
        </w:rPr>
        <w:t>s</w:t>
      </w:r>
      <w:r w:rsidRPr="008A0045">
        <w:rPr>
          <w:rFonts w:ascii="Times New Roman" w:hAnsi="Times New Roman" w:cs="Times New Roman"/>
        </w:rPr>
        <w:t xml:space="preserve"> </w:t>
      </w:r>
      <w:r>
        <w:rPr>
          <w:rFonts w:ascii="Times New Roman" w:hAnsi="Times New Roman" w:cs="Times New Roman"/>
        </w:rPr>
        <w:t xml:space="preserve">a more </w:t>
      </w:r>
      <w:r w:rsidRPr="008A0045">
        <w:rPr>
          <w:rFonts w:ascii="Times New Roman" w:hAnsi="Times New Roman" w:cs="Times New Roman"/>
        </w:rPr>
        <w:t xml:space="preserve">elaborated view. His view </w:t>
      </w:r>
      <w:r>
        <w:rPr>
          <w:rFonts w:ascii="Times New Roman" w:hAnsi="Times New Roman" w:cs="Times New Roman"/>
        </w:rPr>
        <w:t xml:space="preserve">might be called the ‘redundant view’ since </w:t>
      </w:r>
      <w:r w:rsidRPr="008A0045">
        <w:rPr>
          <w:rFonts w:ascii="Times New Roman" w:hAnsi="Times New Roman" w:cs="Times New Roman"/>
        </w:rPr>
        <w:t>“</w:t>
      </w:r>
      <w:r w:rsidRPr="008A0045">
        <w:rPr>
          <w:rFonts w:ascii="TimesNRMT" w:hAnsi="TimesNRMT" w:cs="TimesNRMT"/>
        </w:rPr>
        <w:t>understanding is redundant given a theory of explanation</w:t>
      </w:r>
      <w:r>
        <w:rPr>
          <w:rFonts w:ascii="TimesNRMT" w:hAnsi="TimesNRMT" w:cs="TimesNRMT"/>
        </w:rPr>
        <w:t>.</w:t>
      </w:r>
      <w:r w:rsidRPr="008A0045">
        <w:rPr>
          <w:rFonts w:ascii="TimesNRMT" w:hAnsi="TimesNRMT" w:cs="TimesNRMT"/>
        </w:rPr>
        <w:t xml:space="preserve">” (Khalifa </w:t>
      </w:r>
      <w:r>
        <w:rPr>
          <w:rFonts w:ascii="TimesNRMT" w:hAnsi="TimesNRMT" w:cs="TimesNRMT"/>
        </w:rPr>
        <w:t>2012: 17</w:t>
      </w:r>
      <w:r w:rsidRPr="008A0045">
        <w:rPr>
          <w:rFonts w:ascii="TimesNRMT" w:hAnsi="TimesNRMT" w:cs="TimesNRMT"/>
        </w:rPr>
        <w:t>)</w:t>
      </w:r>
      <w:r w:rsidRPr="008A0045">
        <w:rPr>
          <w:rFonts w:ascii="Times New Roman" w:hAnsi="Times New Roman" w:cs="Times New Roman"/>
        </w:rPr>
        <w:t xml:space="preserve"> </w:t>
      </w:r>
      <w:r>
        <w:rPr>
          <w:rFonts w:ascii="Times New Roman" w:hAnsi="Times New Roman" w:cs="Times New Roman"/>
        </w:rPr>
        <w:t xml:space="preserve">and </w:t>
      </w:r>
      <w:r w:rsidRPr="008A0045">
        <w:rPr>
          <w:rFonts w:ascii="Times New Roman" w:hAnsi="Times New Roman" w:cs="Times New Roman"/>
        </w:rPr>
        <w:t xml:space="preserve">is made explicit </w:t>
      </w:r>
      <w:r>
        <w:rPr>
          <w:rFonts w:ascii="Times New Roman" w:hAnsi="Times New Roman" w:cs="Times New Roman"/>
        </w:rPr>
        <w:t xml:space="preserve">by the </w:t>
      </w:r>
      <w:r w:rsidRPr="008A0045">
        <w:rPr>
          <w:rFonts w:ascii="Times New Roman" w:hAnsi="Times New Roman" w:cs="Times New Roman"/>
        </w:rPr>
        <w:t xml:space="preserve">EMU </w:t>
      </w:r>
      <w:r w:rsidRPr="001D2A80">
        <w:rPr>
          <w:rFonts w:ascii="Times New Roman" w:hAnsi="Times New Roman" w:cs="Times New Roman"/>
          <w:color w:val="131413"/>
        </w:rPr>
        <w:t>(</w:t>
      </w:r>
      <w:r w:rsidRPr="001D2A80">
        <w:rPr>
          <w:rFonts w:ascii="Times New Roman" w:hAnsi="Times New Roman" w:cs="Times New Roman"/>
        </w:rPr>
        <w:t>Explanatory Model of Understanding</w:t>
      </w:r>
      <w:r w:rsidRPr="001D2A80">
        <w:rPr>
          <w:rFonts w:ascii="Times New Roman" w:hAnsi="Times New Roman" w:cs="Times New Roman"/>
          <w:color w:val="131413"/>
        </w:rPr>
        <w:t xml:space="preserve">) </w:t>
      </w:r>
      <w:r w:rsidRPr="008A0045">
        <w:rPr>
          <w:rFonts w:ascii="Times New Roman" w:hAnsi="Times New Roman" w:cs="Times New Roman"/>
        </w:rPr>
        <w:t>thesis stating that</w:t>
      </w:r>
      <w:r>
        <w:rPr>
          <w:rFonts w:ascii="Times New Roman" w:hAnsi="Times New Roman" w:cs="Times New Roman"/>
        </w:rPr>
        <w:t xml:space="preserve">: </w:t>
      </w:r>
      <w:r w:rsidRPr="008A0045">
        <w:rPr>
          <w:rFonts w:ascii="Times New Roman" w:hAnsi="Times New Roman" w:cs="Times New Roman"/>
        </w:rPr>
        <w:t>“</w:t>
      </w:r>
      <w:r>
        <w:rPr>
          <w:rFonts w:ascii="Times New Roman" w:hAnsi="Times New Roman" w:cs="Times New Roman"/>
        </w:rPr>
        <w:t>a</w:t>
      </w:r>
      <w:r w:rsidRPr="008A0045">
        <w:rPr>
          <w:rFonts w:ascii="Times New Roman" w:hAnsi="Times New Roman" w:cs="Times New Roman"/>
        </w:rPr>
        <w:t xml:space="preserve">ny philosophically relevant ideas about scientific understanding can be captured by philosophical ideas about the epistemology of scientific explanation without loss” (Khalifa 2012: 17). </w:t>
      </w:r>
      <w:r>
        <w:rPr>
          <w:rFonts w:ascii="Times New Roman" w:hAnsi="Times New Roman" w:cs="Times New Roman"/>
        </w:rPr>
        <w:t>It</w:t>
      </w:r>
      <w:r w:rsidRPr="008A0045">
        <w:rPr>
          <w:rFonts w:ascii="Times New Roman" w:hAnsi="Times New Roman" w:cs="Times New Roman"/>
        </w:rPr>
        <w:t xml:space="preserve"> echoes </w:t>
      </w:r>
      <w:r>
        <w:rPr>
          <w:rFonts w:ascii="Times New Roman" w:hAnsi="Times New Roman" w:cs="Times New Roman"/>
        </w:rPr>
        <w:t>the</w:t>
      </w:r>
      <w:r w:rsidRPr="008A0045">
        <w:rPr>
          <w:rFonts w:ascii="Times New Roman" w:hAnsi="Times New Roman" w:cs="Times New Roman"/>
        </w:rPr>
        <w:t xml:space="preserve"> </w:t>
      </w:r>
      <w:r w:rsidR="00570FF8">
        <w:rPr>
          <w:rFonts w:ascii="Times New Roman" w:hAnsi="Times New Roman" w:cs="Times New Roman"/>
        </w:rPr>
        <w:t>classical</w:t>
      </w:r>
      <w:r>
        <w:rPr>
          <w:rFonts w:ascii="Times New Roman" w:hAnsi="Times New Roman" w:cs="Times New Roman"/>
        </w:rPr>
        <w:t xml:space="preserve"> </w:t>
      </w:r>
      <w:r w:rsidRPr="008A0045">
        <w:rPr>
          <w:rFonts w:ascii="Times New Roman" w:hAnsi="Times New Roman" w:cs="Times New Roman"/>
        </w:rPr>
        <w:t xml:space="preserve">attitude </w:t>
      </w:r>
      <w:r>
        <w:rPr>
          <w:rFonts w:ascii="Times New Roman" w:hAnsi="Times New Roman" w:cs="Times New Roman"/>
        </w:rPr>
        <w:t>but</w:t>
      </w:r>
      <w:r w:rsidRPr="008A0045">
        <w:rPr>
          <w:rFonts w:ascii="Times New Roman" w:hAnsi="Times New Roman" w:cs="Times New Roman"/>
        </w:rPr>
        <w:t xml:space="preserve"> does not simply restate Friedman’s view. Like Friedman and the classics, Khalifa is coupling understanding to explanation</w:t>
      </w:r>
      <w:r>
        <w:rPr>
          <w:rFonts w:ascii="Times New Roman" w:hAnsi="Times New Roman" w:cs="Times New Roman"/>
        </w:rPr>
        <w:t>, al</w:t>
      </w:r>
      <w:r w:rsidRPr="008A0045">
        <w:rPr>
          <w:rFonts w:ascii="Times New Roman" w:hAnsi="Times New Roman" w:cs="Times New Roman"/>
        </w:rPr>
        <w:t xml:space="preserve">though for him the possibility of non-explanatory forms of understanding is not anymore unconceivable. In fact, </w:t>
      </w:r>
      <w:r>
        <w:rPr>
          <w:rFonts w:ascii="Times New Roman" w:hAnsi="Times New Roman" w:cs="Times New Roman"/>
        </w:rPr>
        <w:t>Khalifa</w:t>
      </w:r>
      <w:r w:rsidRPr="008A0045">
        <w:rPr>
          <w:rFonts w:ascii="Times New Roman" w:hAnsi="Times New Roman" w:cs="Times New Roman"/>
        </w:rPr>
        <w:t xml:space="preserve"> </w:t>
      </w:r>
      <w:r>
        <w:rPr>
          <w:rFonts w:ascii="Times New Roman" w:hAnsi="Times New Roman" w:cs="Times New Roman"/>
        </w:rPr>
        <w:t>put</w:t>
      </w:r>
      <w:r w:rsidR="00570FF8">
        <w:rPr>
          <w:rFonts w:ascii="Times New Roman" w:hAnsi="Times New Roman" w:cs="Times New Roman"/>
        </w:rPr>
        <w:t>s</w:t>
      </w:r>
      <w:r>
        <w:rPr>
          <w:rFonts w:ascii="Times New Roman" w:hAnsi="Times New Roman" w:cs="Times New Roman"/>
        </w:rPr>
        <w:t xml:space="preserve"> a lot of effort</w:t>
      </w:r>
      <w:r w:rsidRPr="008A0045">
        <w:rPr>
          <w:rFonts w:ascii="Times New Roman" w:hAnsi="Times New Roman" w:cs="Times New Roman"/>
        </w:rPr>
        <w:t xml:space="preserve"> in </w:t>
      </w:r>
      <w:r>
        <w:rPr>
          <w:rFonts w:ascii="Times New Roman" w:hAnsi="Times New Roman" w:cs="Times New Roman"/>
        </w:rPr>
        <w:t xml:space="preserve">rejecting </w:t>
      </w:r>
      <w:r w:rsidRPr="008A0045">
        <w:rPr>
          <w:rFonts w:ascii="Times New Roman" w:hAnsi="Times New Roman" w:cs="Times New Roman"/>
        </w:rPr>
        <w:t>it</w:t>
      </w:r>
      <w:r>
        <w:rPr>
          <w:rFonts w:ascii="Times New Roman" w:hAnsi="Times New Roman" w:cs="Times New Roman"/>
        </w:rPr>
        <w:t>,</w:t>
      </w:r>
      <w:r w:rsidRPr="008A0045">
        <w:rPr>
          <w:rFonts w:ascii="Times New Roman" w:hAnsi="Times New Roman" w:cs="Times New Roman"/>
        </w:rPr>
        <w:t xml:space="preserve"> as </w:t>
      </w:r>
      <w:r>
        <w:rPr>
          <w:rFonts w:ascii="Times New Roman" w:hAnsi="Times New Roman" w:cs="Times New Roman"/>
        </w:rPr>
        <w:t xml:space="preserve">I </w:t>
      </w:r>
      <w:r w:rsidRPr="008A0045">
        <w:rPr>
          <w:rFonts w:ascii="Times New Roman" w:hAnsi="Times New Roman" w:cs="Times New Roman"/>
        </w:rPr>
        <w:t xml:space="preserve">will discuss and reject his critique in a later section. </w:t>
      </w:r>
      <w:r w:rsidRPr="008A0045">
        <w:rPr>
          <w:rFonts w:ascii="Times New Roman" w:hAnsi="Times New Roman" w:cs="Times New Roman"/>
        </w:rPr>
        <w:lastRenderedPageBreak/>
        <w:t xml:space="preserve">Unlike Friedman, Khalifa is not concerned with </w:t>
      </w:r>
      <w:r>
        <w:rPr>
          <w:rFonts w:ascii="Times New Roman" w:hAnsi="Times New Roman" w:cs="Times New Roman"/>
        </w:rPr>
        <w:t xml:space="preserve">recovering </w:t>
      </w:r>
      <w:r w:rsidRPr="008A0045">
        <w:rPr>
          <w:rFonts w:ascii="Times New Roman" w:hAnsi="Times New Roman" w:cs="Times New Roman"/>
        </w:rPr>
        <w:t>understanding in the frame of a theory of explanation</w:t>
      </w:r>
      <w:r>
        <w:rPr>
          <w:rFonts w:ascii="Times New Roman" w:hAnsi="Times New Roman" w:cs="Times New Roman"/>
        </w:rPr>
        <w:t>,</w:t>
      </w:r>
      <w:r w:rsidRPr="008A0045">
        <w:rPr>
          <w:rFonts w:ascii="Times New Roman" w:hAnsi="Times New Roman" w:cs="Times New Roman"/>
        </w:rPr>
        <w:t xml:space="preserve"> </w:t>
      </w:r>
      <w:r>
        <w:rPr>
          <w:rFonts w:ascii="Times New Roman" w:hAnsi="Times New Roman" w:cs="Times New Roman"/>
        </w:rPr>
        <w:t>n</w:t>
      </w:r>
      <w:r w:rsidRPr="008A0045">
        <w:rPr>
          <w:rFonts w:ascii="Times New Roman" w:hAnsi="Times New Roman" w:cs="Times New Roman"/>
        </w:rPr>
        <w:t>or is he interested in providing an articulated theory of explanation</w:t>
      </w:r>
      <w:r>
        <w:rPr>
          <w:rFonts w:ascii="Times New Roman" w:hAnsi="Times New Roman" w:cs="Times New Roman"/>
        </w:rPr>
        <w:t xml:space="preserve">. Nevertheless, </w:t>
      </w:r>
      <w:r w:rsidRPr="008A0045">
        <w:rPr>
          <w:rFonts w:ascii="Times New Roman" w:hAnsi="Times New Roman" w:cs="Times New Roman"/>
        </w:rPr>
        <w:t xml:space="preserve">in the book he is offering </w:t>
      </w:r>
      <w:r>
        <w:rPr>
          <w:rFonts w:ascii="Times New Roman" w:hAnsi="Times New Roman" w:cs="Times New Roman"/>
        </w:rPr>
        <w:t xml:space="preserve">sometimes </w:t>
      </w:r>
      <w:r w:rsidRPr="008A0045">
        <w:rPr>
          <w:rFonts w:ascii="Times New Roman" w:hAnsi="Times New Roman" w:cs="Times New Roman"/>
        </w:rPr>
        <w:t xml:space="preserve">a sketchy explication of what he takes to be an explanation. He pushes </w:t>
      </w:r>
      <w:r w:rsidRPr="001D2A80">
        <w:rPr>
          <w:rFonts w:ascii="Times New Roman" w:hAnsi="Times New Roman" w:cs="Times New Roman"/>
        </w:rPr>
        <w:t>understanding in the epistemological register and offers a theory of explanatory understanding</w:t>
      </w:r>
      <w:r>
        <w:rPr>
          <w:rFonts w:ascii="Times New Roman" w:hAnsi="Times New Roman" w:cs="Times New Roman"/>
        </w:rPr>
        <w:t>.</w:t>
      </w:r>
    </w:p>
    <w:p w14:paraId="4EA6C2D3" w14:textId="3B64E7D9" w:rsidR="00E56E2A" w:rsidRPr="001D2A80" w:rsidRDefault="003C2A45" w:rsidP="003C2A45">
      <w:pPr>
        <w:autoSpaceDE w:val="0"/>
        <w:autoSpaceDN w:val="0"/>
        <w:adjustRightInd w:val="0"/>
        <w:rPr>
          <w:rFonts w:ascii="Times New Roman" w:hAnsi="Times New Roman" w:cs="Times New Roman"/>
        </w:rPr>
      </w:pPr>
      <w:r w:rsidRPr="001D2A80">
        <w:rPr>
          <w:rFonts w:ascii="Times New Roman" w:hAnsi="Times New Roman" w:cs="Times New Roman"/>
        </w:rPr>
        <w:t xml:space="preserve">The other </w:t>
      </w:r>
      <w:r w:rsidR="00C22934">
        <w:rPr>
          <w:rFonts w:ascii="Times New Roman" w:hAnsi="Times New Roman" w:cs="Times New Roman"/>
        </w:rPr>
        <w:t>term</w:t>
      </w:r>
      <w:r w:rsidR="00C22934" w:rsidRPr="001D2A80">
        <w:rPr>
          <w:rFonts w:ascii="Times New Roman" w:hAnsi="Times New Roman" w:cs="Times New Roman"/>
        </w:rPr>
        <w:t xml:space="preserve"> </w:t>
      </w:r>
      <w:r w:rsidRPr="001D2A80">
        <w:rPr>
          <w:rFonts w:ascii="Times New Roman" w:hAnsi="Times New Roman" w:cs="Times New Roman"/>
        </w:rPr>
        <w:t xml:space="preserve">of the distinction, the non-explanatory form of understanding, is harder to be tracked </w:t>
      </w:r>
      <w:r w:rsidR="00320D7D">
        <w:rPr>
          <w:rFonts w:ascii="Times New Roman" w:hAnsi="Times New Roman" w:cs="Times New Roman"/>
        </w:rPr>
        <w:t>within</w:t>
      </w:r>
      <w:r w:rsidR="00320D7D" w:rsidRPr="001D2A80">
        <w:rPr>
          <w:rFonts w:ascii="Times New Roman" w:hAnsi="Times New Roman" w:cs="Times New Roman"/>
        </w:rPr>
        <w:t xml:space="preserve"> </w:t>
      </w:r>
      <w:r w:rsidRPr="001D2A80">
        <w:rPr>
          <w:rFonts w:ascii="Times New Roman" w:hAnsi="Times New Roman" w:cs="Times New Roman"/>
        </w:rPr>
        <w:t xml:space="preserve">the debate on understanding. </w:t>
      </w:r>
      <w:r w:rsidR="00D775B2">
        <w:rPr>
          <w:rFonts w:ascii="Times New Roman" w:hAnsi="Times New Roman" w:cs="Times New Roman"/>
        </w:rPr>
        <w:t xml:space="preserve">Its </w:t>
      </w:r>
      <w:r w:rsidR="007E39C0" w:rsidRPr="001D2A80">
        <w:rPr>
          <w:rFonts w:ascii="Times New Roman" w:hAnsi="Times New Roman" w:cs="Times New Roman"/>
        </w:rPr>
        <w:t>plausibility emerg</w:t>
      </w:r>
      <w:r w:rsidR="00E56E2A" w:rsidRPr="001D2A80">
        <w:rPr>
          <w:rFonts w:ascii="Times New Roman" w:hAnsi="Times New Roman" w:cs="Times New Roman"/>
        </w:rPr>
        <w:t>e</w:t>
      </w:r>
      <w:r w:rsidR="00D775B2">
        <w:rPr>
          <w:rFonts w:ascii="Times New Roman" w:hAnsi="Times New Roman" w:cs="Times New Roman"/>
        </w:rPr>
        <w:t>s</w:t>
      </w:r>
      <w:r w:rsidRPr="001D2A80">
        <w:rPr>
          <w:rFonts w:ascii="Times New Roman" w:hAnsi="Times New Roman" w:cs="Times New Roman"/>
        </w:rPr>
        <w:t xml:space="preserve"> gradually </w:t>
      </w:r>
      <w:r w:rsidR="00D775B2">
        <w:rPr>
          <w:rFonts w:ascii="Times New Roman" w:hAnsi="Times New Roman" w:cs="Times New Roman"/>
        </w:rPr>
        <w:t xml:space="preserve">and </w:t>
      </w:r>
      <w:r w:rsidR="004C5998">
        <w:rPr>
          <w:rFonts w:ascii="Times New Roman" w:hAnsi="Times New Roman" w:cs="Times New Roman"/>
        </w:rPr>
        <w:t>un</w:t>
      </w:r>
      <w:r w:rsidR="009A1E03">
        <w:rPr>
          <w:rFonts w:ascii="Times New Roman" w:hAnsi="Times New Roman" w:cs="Times New Roman"/>
        </w:rPr>
        <w:t>-</w:t>
      </w:r>
      <w:r w:rsidR="004C5998">
        <w:rPr>
          <w:rFonts w:ascii="Times New Roman" w:hAnsi="Times New Roman" w:cs="Times New Roman"/>
        </w:rPr>
        <w:t xml:space="preserve">concisely </w:t>
      </w:r>
      <w:r w:rsidR="00DD77AD" w:rsidRPr="007D760C">
        <w:rPr>
          <w:rFonts w:ascii="Times New Roman" w:hAnsi="Times New Roman" w:cs="Times New Roman"/>
        </w:rPr>
        <w:t xml:space="preserve">i.e. </w:t>
      </w:r>
      <w:r w:rsidR="00663722">
        <w:rPr>
          <w:rFonts w:ascii="Times New Roman" w:hAnsi="Times New Roman" w:cs="Times New Roman"/>
        </w:rPr>
        <w:t xml:space="preserve">more by </w:t>
      </w:r>
      <w:r w:rsidR="00DD77AD" w:rsidRPr="007D760C">
        <w:rPr>
          <w:rFonts w:ascii="Times New Roman" w:hAnsi="Times New Roman" w:cs="Times New Roman"/>
        </w:rPr>
        <w:t>tackling particular cases</w:t>
      </w:r>
      <w:r w:rsidR="00226313">
        <w:rPr>
          <w:rFonts w:ascii="Times New Roman" w:hAnsi="Times New Roman" w:cs="Times New Roman"/>
        </w:rPr>
        <w:t xml:space="preserve"> and specific scientific contexts </w:t>
      </w:r>
      <w:r w:rsidR="00DD77AD" w:rsidRPr="007D760C">
        <w:rPr>
          <w:rFonts w:ascii="Times New Roman" w:hAnsi="Times New Roman" w:cs="Times New Roman"/>
        </w:rPr>
        <w:t xml:space="preserve">and less </w:t>
      </w:r>
      <w:r w:rsidR="00A92DFB">
        <w:rPr>
          <w:rFonts w:ascii="Times New Roman" w:hAnsi="Times New Roman" w:cs="Times New Roman"/>
        </w:rPr>
        <w:t xml:space="preserve">by </w:t>
      </w:r>
      <w:r w:rsidR="00DD77AD" w:rsidRPr="007D760C">
        <w:rPr>
          <w:rFonts w:ascii="Times New Roman" w:hAnsi="Times New Roman" w:cs="Times New Roman"/>
        </w:rPr>
        <w:t>a general characterization</w:t>
      </w:r>
      <w:r w:rsidR="007E39C0" w:rsidRPr="007D760C">
        <w:rPr>
          <w:rFonts w:ascii="Times New Roman" w:hAnsi="Times New Roman" w:cs="Times New Roman"/>
        </w:rPr>
        <w:t xml:space="preserve">. </w:t>
      </w:r>
      <w:r w:rsidR="00E56E2A" w:rsidRPr="001D2A80">
        <w:rPr>
          <w:rFonts w:ascii="Times New Roman" w:hAnsi="Times New Roman" w:cs="Times New Roman"/>
        </w:rPr>
        <w:t>T</w:t>
      </w:r>
      <w:r w:rsidR="007556E0" w:rsidRPr="001D2A80">
        <w:rPr>
          <w:rFonts w:ascii="Times New Roman" w:hAnsi="Times New Roman" w:cs="Times New Roman"/>
        </w:rPr>
        <w:t>his emerge</w:t>
      </w:r>
      <w:r w:rsidR="00F0038E">
        <w:rPr>
          <w:rFonts w:ascii="Times New Roman" w:hAnsi="Times New Roman" w:cs="Times New Roman"/>
        </w:rPr>
        <w:t>nt approach to understanding</w:t>
      </w:r>
      <w:r w:rsidR="00E56E2A" w:rsidRPr="001D2A80">
        <w:rPr>
          <w:rFonts w:ascii="Times New Roman" w:hAnsi="Times New Roman" w:cs="Times New Roman"/>
        </w:rPr>
        <w:t xml:space="preserve"> took place </w:t>
      </w:r>
      <w:r w:rsidR="007556E0" w:rsidRPr="001D2A80">
        <w:rPr>
          <w:rFonts w:ascii="Times New Roman" w:hAnsi="Times New Roman" w:cs="Times New Roman"/>
        </w:rPr>
        <w:t>in the frame of a</w:t>
      </w:r>
      <w:r w:rsidR="00E56E2A" w:rsidRPr="001D2A80">
        <w:rPr>
          <w:rFonts w:ascii="Times New Roman" w:hAnsi="Times New Roman" w:cs="Times New Roman"/>
        </w:rPr>
        <w:t xml:space="preserve"> recent</w:t>
      </w:r>
      <w:r w:rsidR="007556E0" w:rsidRPr="001D2A80">
        <w:rPr>
          <w:rFonts w:ascii="Times New Roman" w:hAnsi="Times New Roman" w:cs="Times New Roman"/>
        </w:rPr>
        <w:t xml:space="preserve"> </w:t>
      </w:r>
      <w:r w:rsidR="00E56E2A" w:rsidRPr="001D2A80">
        <w:rPr>
          <w:rFonts w:ascii="Times New Roman" w:hAnsi="Times New Roman" w:cs="Times New Roman"/>
        </w:rPr>
        <w:t>particular approach</w:t>
      </w:r>
      <w:r w:rsidR="007556E0" w:rsidRPr="001D2A80">
        <w:rPr>
          <w:rFonts w:ascii="Times New Roman" w:hAnsi="Times New Roman" w:cs="Times New Roman"/>
        </w:rPr>
        <w:t xml:space="preserve"> </w:t>
      </w:r>
      <w:r w:rsidR="00E56E2A" w:rsidRPr="001D2A80">
        <w:rPr>
          <w:rFonts w:ascii="Times New Roman" w:hAnsi="Times New Roman" w:cs="Times New Roman"/>
        </w:rPr>
        <w:t>in philosophy of science:</w:t>
      </w:r>
      <w:r w:rsidR="007556E0" w:rsidRPr="001D2A80">
        <w:rPr>
          <w:rFonts w:ascii="Times New Roman" w:hAnsi="Times New Roman" w:cs="Times New Roman"/>
        </w:rPr>
        <w:t xml:space="preserve"> philosophy of science in practice. </w:t>
      </w:r>
      <w:r w:rsidR="00474D61">
        <w:rPr>
          <w:rFonts w:ascii="Times New Roman" w:hAnsi="Times New Roman" w:cs="Times New Roman"/>
        </w:rPr>
        <w:t xml:space="preserve">It </w:t>
      </w:r>
      <w:r w:rsidR="00E56E2A" w:rsidRPr="001D2A80">
        <w:rPr>
          <w:rFonts w:ascii="Times New Roman" w:hAnsi="Times New Roman" w:cs="Times New Roman"/>
        </w:rPr>
        <w:t>aim</w:t>
      </w:r>
      <w:r w:rsidR="00474D61">
        <w:rPr>
          <w:rFonts w:ascii="Times New Roman" w:hAnsi="Times New Roman" w:cs="Times New Roman"/>
        </w:rPr>
        <w:t>s</w:t>
      </w:r>
      <w:r w:rsidR="0017124B" w:rsidRPr="001D2A80">
        <w:rPr>
          <w:rFonts w:ascii="Times New Roman" w:hAnsi="Times New Roman" w:cs="Times New Roman"/>
        </w:rPr>
        <w:t xml:space="preserve"> to reshape the </w:t>
      </w:r>
      <w:r w:rsidR="00E56E2A" w:rsidRPr="001D2A80">
        <w:rPr>
          <w:rFonts w:ascii="Times New Roman" w:hAnsi="Times New Roman" w:cs="Times New Roman"/>
        </w:rPr>
        <w:t xml:space="preserve">philosophical </w:t>
      </w:r>
      <w:r w:rsidR="001F2DF9">
        <w:rPr>
          <w:rFonts w:ascii="Times New Roman" w:hAnsi="Times New Roman" w:cs="Times New Roman"/>
        </w:rPr>
        <w:t xml:space="preserve">approach to </w:t>
      </w:r>
      <w:r w:rsidR="00333DAA">
        <w:rPr>
          <w:rFonts w:ascii="Times New Roman" w:hAnsi="Times New Roman" w:cs="Times New Roman"/>
        </w:rPr>
        <w:t xml:space="preserve">understanding </w:t>
      </w:r>
      <w:r w:rsidR="0017124B" w:rsidRPr="001D2A80">
        <w:rPr>
          <w:rFonts w:ascii="Times New Roman" w:hAnsi="Times New Roman" w:cs="Times New Roman"/>
        </w:rPr>
        <w:t xml:space="preserve">by </w:t>
      </w:r>
      <w:r w:rsidR="00E56E2A" w:rsidRPr="001D2A80">
        <w:rPr>
          <w:rFonts w:ascii="Times New Roman" w:hAnsi="Times New Roman" w:cs="Times New Roman"/>
        </w:rPr>
        <w:t>overcoming the</w:t>
      </w:r>
      <w:r w:rsidR="00FB4CA9">
        <w:rPr>
          <w:rFonts w:ascii="Times New Roman" w:hAnsi="Times New Roman" w:cs="Times New Roman"/>
        </w:rPr>
        <w:t xml:space="preserve"> </w:t>
      </w:r>
      <w:r w:rsidR="00E63E3E">
        <w:rPr>
          <w:rFonts w:ascii="Times New Roman" w:hAnsi="Times New Roman" w:cs="Times New Roman"/>
        </w:rPr>
        <w:t>neopositivist</w:t>
      </w:r>
      <w:r w:rsidR="00E56E2A" w:rsidRPr="001D2A80">
        <w:rPr>
          <w:rFonts w:ascii="Times New Roman" w:hAnsi="Times New Roman" w:cs="Times New Roman"/>
        </w:rPr>
        <w:t xml:space="preserve"> setting that considers</w:t>
      </w:r>
      <w:r w:rsidR="0017124B" w:rsidRPr="001D2A80">
        <w:rPr>
          <w:rFonts w:ascii="Times New Roman" w:hAnsi="Times New Roman" w:cs="Times New Roman"/>
        </w:rPr>
        <w:t xml:space="preserve"> </w:t>
      </w:r>
      <w:r w:rsidR="00E56E2A" w:rsidRPr="001D2A80">
        <w:rPr>
          <w:rFonts w:ascii="Times New Roman" w:hAnsi="Times New Roman" w:cs="Times New Roman"/>
        </w:rPr>
        <w:t xml:space="preserve">mainly </w:t>
      </w:r>
      <w:r w:rsidR="0017124B" w:rsidRPr="001D2A80">
        <w:rPr>
          <w:rFonts w:ascii="Times New Roman" w:hAnsi="Times New Roman" w:cs="Times New Roman"/>
        </w:rPr>
        <w:t xml:space="preserve">the </w:t>
      </w:r>
      <w:r w:rsidR="005C74EF" w:rsidRPr="001D2A80">
        <w:rPr>
          <w:rFonts w:ascii="Times New Roman" w:hAnsi="Times New Roman" w:cs="Times New Roman"/>
        </w:rPr>
        <w:t xml:space="preserve">final </w:t>
      </w:r>
      <w:r w:rsidR="0017124B" w:rsidRPr="001D2A80">
        <w:rPr>
          <w:rFonts w:ascii="Times New Roman" w:hAnsi="Times New Roman" w:cs="Times New Roman"/>
        </w:rPr>
        <w:t>products</w:t>
      </w:r>
      <w:r w:rsidR="005C74EF" w:rsidRPr="001D2A80">
        <w:rPr>
          <w:rFonts w:ascii="Times New Roman" w:hAnsi="Times New Roman" w:cs="Times New Roman"/>
        </w:rPr>
        <w:t xml:space="preserve"> </w:t>
      </w:r>
      <w:r w:rsidR="00E56E2A" w:rsidRPr="001D2A80">
        <w:rPr>
          <w:rFonts w:ascii="Times New Roman" w:hAnsi="Times New Roman" w:cs="Times New Roman"/>
        </w:rPr>
        <w:t>of science</w:t>
      </w:r>
      <w:r w:rsidR="001F2DF9">
        <w:rPr>
          <w:rFonts w:ascii="Times New Roman" w:hAnsi="Times New Roman" w:cs="Times New Roman"/>
        </w:rPr>
        <w:t>,</w:t>
      </w:r>
      <w:r w:rsidR="00E56E2A" w:rsidRPr="001D2A80">
        <w:rPr>
          <w:rFonts w:ascii="Times New Roman" w:hAnsi="Times New Roman" w:cs="Times New Roman"/>
        </w:rPr>
        <w:t xml:space="preserve"> i.e.</w:t>
      </w:r>
      <w:r w:rsidR="005C74EF" w:rsidRPr="001D2A80">
        <w:rPr>
          <w:rFonts w:ascii="Times New Roman" w:hAnsi="Times New Roman" w:cs="Times New Roman"/>
        </w:rPr>
        <w:t xml:space="preserve"> the</w:t>
      </w:r>
      <w:r w:rsidR="0017124B" w:rsidRPr="001D2A80">
        <w:rPr>
          <w:rFonts w:ascii="Times New Roman" w:hAnsi="Times New Roman" w:cs="Times New Roman"/>
        </w:rPr>
        <w:t xml:space="preserve"> th</w:t>
      </w:r>
      <w:r w:rsidR="005C74EF" w:rsidRPr="001D2A80">
        <w:rPr>
          <w:rFonts w:ascii="Times New Roman" w:hAnsi="Times New Roman" w:cs="Times New Roman"/>
        </w:rPr>
        <w:t>eo</w:t>
      </w:r>
      <w:r w:rsidR="0017124B" w:rsidRPr="001D2A80">
        <w:rPr>
          <w:rFonts w:ascii="Times New Roman" w:hAnsi="Times New Roman" w:cs="Times New Roman"/>
        </w:rPr>
        <w:t xml:space="preserve">ries and </w:t>
      </w:r>
      <w:r w:rsidR="005C74EF" w:rsidRPr="001D2A80">
        <w:rPr>
          <w:rFonts w:ascii="Times New Roman" w:hAnsi="Times New Roman" w:cs="Times New Roman"/>
        </w:rPr>
        <w:t>their</w:t>
      </w:r>
      <w:r w:rsidR="0017124B" w:rsidRPr="001D2A80">
        <w:rPr>
          <w:rFonts w:ascii="Times New Roman" w:hAnsi="Times New Roman" w:cs="Times New Roman"/>
        </w:rPr>
        <w:t xml:space="preserve"> relation to the world</w:t>
      </w:r>
      <w:r w:rsidR="00E56E2A" w:rsidRPr="001D2A80">
        <w:rPr>
          <w:rFonts w:ascii="Times New Roman" w:hAnsi="Times New Roman" w:cs="Times New Roman"/>
        </w:rPr>
        <w:t xml:space="preserve">. </w:t>
      </w:r>
      <w:r w:rsidR="00473554" w:rsidRPr="001D2A80">
        <w:rPr>
          <w:rFonts w:ascii="Times New Roman" w:hAnsi="Times New Roman" w:cs="Times New Roman"/>
        </w:rPr>
        <w:t>It</w:t>
      </w:r>
      <w:r w:rsidR="0017124B" w:rsidRPr="001D2A80">
        <w:rPr>
          <w:rFonts w:ascii="Times New Roman" w:hAnsi="Times New Roman" w:cs="Times New Roman"/>
        </w:rPr>
        <w:t xml:space="preserve"> </w:t>
      </w:r>
      <w:r w:rsidR="00473554" w:rsidRPr="001D2A80">
        <w:rPr>
          <w:rFonts w:ascii="Times New Roman" w:hAnsi="Times New Roman" w:cs="Times New Roman"/>
        </w:rPr>
        <w:t>intends</w:t>
      </w:r>
      <w:r w:rsidR="00E56E2A" w:rsidRPr="001D2A80">
        <w:rPr>
          <w:rFonts w:ascii="Times New Roman" w:hAnsi="Times New Roman" w:cs="Times New Roman"/>
        </w:rPr>
        <w:t xml:space="preserve"> to </w:t>
      </w:r>
      <w:r w:rsidR="00745C59">
        <w:rPr>
          <w:rFonts w:ascii="Times New Roman" w:hAnsi="Times New Roman" w:cs="Times New Roman"/>
        </w:rPr>
        <w:t>improve</w:t>
      </w:r>
      <w:r w:rsidR="00745C59" w:rsidRPr="001D2A80">
        <w:rPr>
          <w:rFonts w:ascii="Times New Roman" w:hAnsi="Times New Roman" w:cs="Times New Roman"/>
        </w:rPr>
        <w:t xml:space="preserve"> </w:t>
      </w:r>
      <w:r w:rsidR="00E56E2A" w:rsidRPr="001D2A80">
        <w:rPr>
          <w:rFonts w:ascii="Times New Roman" w:hAnsi="Times New Roman" w:cs="Times New Roman"/>
        </w:rPr>
        <w:t xml:space="preserve">the </w:t>
      </w:r>
      <w:r w:rsidR="00473554" w:rsidRPr="001D2A80">
        <w:rPr>
          <w:rFonts w:ascii="Times New Roman" w:hAnsi="Times New Roman" w:cs="Times New Roman"/>
        </w:rPr>
        <w:t>take</w:t>
      </w:r>
      <w:r w:rsidR="00E56E2A" w:rsidRPr="001D2A80">
        <w:rPr>
          <w:rFonts w:ascii="Times New Roman" w:hAnsi="Times New Roman" w:cs="Times New Roman"/>
        </w:rPr>
        <w:t xml:space="preserve"> on science by </w:t>
      </w:r>
      <w:r w:rsidR="0017124B" w:rsidRPr="001D2A80">
        <w:rPr>
          <w:rFonts w:ascii="Times New Roman" w:hAnsi="Times New Roman" w:cs="Times New Roman"/>
        </w:rPr>
        <w:t>recup</w:t>
      </w:r>
      <w:r w:rsidR="005C74EF" w:rsidRPr="001D2A80">
        <w:rPr>
          <w:rFonts w:ascii="Times New Roman" w:hAnsi="Times New Roman" w:cs="Times New Roman"/>
        </w:rPr>
        <w:t>e</w:t>
      </w:r>
      <w:r w:rsidR="0017124B" w:rsidRPr="001D2A80">
        <w:rPr>
          <w:rFonts w:ascii="Times New Roman" w:hAnsi="Times New Roman" w:cs="Times New Roman"/>
        </w:rPr>
        <w:t>rat</w:t>
      </w:r>
      <w:r w:rsidR="00E56E2A" w:rsidRPr="001D2A80">
        <w:rPr>
          <w:rFonts w:ascii="Times New Roman" w:hAnsi="Times New Roman" w:cs="Times New Roman"/>
        </w:rPr>
        <w:t>ing</w:t>
      </w:r>
      <w:r w:rsidR="0017124B" w:rsidRPr="001D2A80">
        <w:rPr>
          <w:rFonts w:ascii="Times New Roman" w:hAnsi="Times New Roman" w:cs="Times New Roman"/>
        </w:rPr>
        <w:t xml:space="preserve"> </w:t>
      </w:r>
      <w:r w:rsidR="0079011C" w:rsidRPr="001D2A80">
        <w:rPr>
          <w:rFonts w:ascii="Times New Roman" w:hAnsi="Times New Roman" w:cs="Times New Roman"/>
        </w:rPr>
        <w:t xml:space="preserve">the </w:t>
      </w:r>
      <w:r w:rsidR="0079011C">
        <w:rPr>
          <w:rFonts w:ascii="Times New Roman" w:hAnsi="Times New Roman" w:cs="Times New Roman"/>
        </w:rPr>
        <w:t>practice of science and</w:t>
      </w:r>
      <w:r w:rsidR="0079011C" w:rsidRPr="001D2A80">
        <w:rPr>
          <w:rFonts w:ascii="Times New Roman" w:hAnsi="Times New Roman" w:cs="Times New Roman"/>
        </w:rPr>
        <w:t xml:space="preserve"> </w:t>
      </w:r>
      <w:r w:rsidR="0017124B" w:rsidRPr="001D2A80">
        <w:rPr>
          <w:rFonts w:ascii="Times New Roman" w:hAnsi="Times New Roman" w:cs="Times New Roman"/>
        </w:rPr>
        <w:t xml:space="preserve">the processes though which science </w:t>
      </w:r>
      <w:r w:rsidR="00141280">
        <w:rPr>
          <w:rFonts w:ascii="Times New Roman" w:hAnsi="Times New Roman" w:cs="Times New Roman"/>
        </w:rPr>
        <w:t xml:space="preserve">unfolds </w:t>
      </w:r>
      <w:r w:rsidR="0017124B" w:rsidRPr="001D2A80">
        <w:rPr>
          <w:rFonts w:ascii="Times New Roman" w:hAnsi="Times New Roman" w:cs="Times New Roman"/>
        </w:rPr>
        <w:t xml:space="preserve">and scientific </w:t>
      </w:r>
      <w:r w:rsidR="00141280">
        <w:rPr>
          <w:rFonts w:ascii="Times New Roman" w:hAnsi="Times New Roman" w:cs="Times New Roman"/>
        </w:rPr>
        <w:t xml:space="preserve">results </w:t>
      </w:r>
      <w:r w:rsidR="0017124B" w:rsidRPr="001D2A80">
        <w:rPr>
          <w:rFonts w:ascii="Times New Roman" w:hAnsi="Times New Roman" w:cs="Times New Roman"/>
        </w:rPr>
        <w:t>are elaborated</w:t>
      </w:r>
      <w:r w:rsidR="00D96D08" w:rsidRPr="001D2A80">
        <w:rPr>
          <w:rFonts w:ascii="Times New Roman" w:hAnsi="Times New Roman" w:cs="Times New Roman"/>
        </w:rPr>
        <w:t xml:space="preserve"> (Ankeny, Chang, Boumans, Boon 2011).</w:t>
      </w:r>
      <w:r w:rsidR="00274026" w:rsidRPr="001D2A80">
        <w:rPr>
          <w:rFonts w:ascii="Times New Roman" w:hAnsi="Times New Roman" w:cs="Times New Roman"/>
        </w:rPr>
        <w:t xml:space="preserve"> </w:t>
      </w:r>
      <w:r w:rsidR="0017124B" w:rsidRPr="001D2A80">
        <w:rPr>
          <w:rFonts w:ascii="Times New Roman" w:hAnsi="Times New Roman" w:cs="Times New Roman"/>
        </w:rPr>
        <w:t>Th</w:t>
      </w:r>
      <w:r w:rsidR="00E56E2A" w:rsidRPr="001D2A80">
        <w:rPr>
          <w:rFonts w:ascii="Times New Roman" w:hAnsi="Times New Roman" w:cs="Times New Roman"/>
        </w:rPr>
        <w:t xml:space="preserve">is </w:t>
      </w:r>
      <w:r w:rsidR="00F0038E">
        <w:rPr>
          <w:rFonts w:ascii="Times New Roman" w:hAnsi="Times New Roman" w:cs="Times New Roman"/>
        </w:rPr>
        <w:t xml:space="preserve">approach </w:t>
      </w:r>
      <w:r w:rsidR="00E56E2A" w:rsidRPr="001D2A80">
        <w:rPr>
          <w:rFonts w:ascii="Times New Roman" w:hAnsi="Times New Roman" w:cs="Times New Roman"/>
        </w:rPr>
        <w:t>r</w:t>
      </w:r>
      <w:r w:rsidR="0017124B" w:rsidRPr="001D2A80">
        <w:rPr>
          <w:rFonts w:ascii="Times New Roman" w:hAnsi="Times New Roman" w:cs="Times New Roman"/>
        </w:rPr>
        <w:t>eject</w:t>
      </w:r>
      <w:r w:rsidR="00E56E2A" w:rsidRPr="001D2A80">
        <w:rPr>
          <w:rFonts w:ascii="Times New Roman" w:hAnsi="Times New Roman" w:cs="Times New Roman"/>
        </w:rPr>
        <w:t>s</w:t>
      </w:r>
      <w:r w:rsidR="0017124B" w:rsidRPr="001D2A80">
        <w:rPr>
          <w:rFonts w:ascii="Times New Roman" w:hAnsi="Times New Roman" w:cs="Times New Roman"/>
        </w:rPr>
        <w:t xml:space="preserve"> the classical theory-centered approach on science</w:t>
      </w:r>
      <w:r w:rsidR="00F0038E">
        <w:rPr>
          <w:rFonts w:ascii="Times New Roman" w:hAnsi="Times New Roman" w:cs="Times New Roman"/>
        </w:rPr>
        <w:t xml:space="preserve"> by</w:t>
      </w:r>
      <w:r w:rsidR="0017124B" w:rsidRPr="001D2A80">
        <w:rPr>
          <w:rFonts w:ascii="Times New Roman" w:hAnsi="Times New Roman" w:cs="Times New Roman"/>
        </w:rPr>
        <w:t xml:space="preserve"> reevaluating the role and importance of other scientific representations</w:t>
      </w:r>
      <w:r w:rsidR="00BC4CFA">
        <w:rPr>
          <w:rFonts w:ascii="Times New Roman" w:hAnsi="Times New Roman" w:cs="Times New Roman"/>
        </w:rPr>
        <w:t>,</w:t>
      </w:r>
      <w:r w:rsidR="0017124B" w:rsidRPr="001D2A80">
        <w:rPr>
          <w:rFonts w:ascii="Times New Roman" w:hAnsi="Times New Roman" w:cs="Times New Roman"/>
        </w:rPr>
        <w:t xml:space="preserve"> esp. of scientific models. </w:t>
      </w:r>
      <w:r w:rsidR="00E56E2A" w:rsidRPr="001D2A80">
        <w:rPr>
          <w:rFonts w:ascii="Times New Roman" w:hAnsi="Times New Roman" w:cs="Times New Roman"/>
        </w:rPr>
        <w:t>It is</w:t>
      </w:r>
      <w:r w:rsidR="0017124B" w:rsidRPr="001D2A80">
        <w:rPr>
          <w:rFonts w:ascii="Times New Roman" w:hAnsi="Times New Roman" w:cs="Times New Roman"/>
        </w:rPr>
        <w:t xml:space="preserve"> also more pragmatics-friendly oriented by allowing pragmatics to play a major role in scientific practice and explicitly embedding pragmatics in their account.</w:t>
      </w:r>
    </w:p>
    <w:p w14:paraId="6E8CF93B" w14:textId="160491C3" w:rsidR="00FB2DEE" w:rsidRPr="00002224" w:rsidRDefault="00BE19C5" w:rsidP="00473554">
      <w:pPr>
        <w:autoSpaceDE w:val="0"/>
        <w:autoSpaceDN w:val="0"/>
        <w:adjustRightInd w:val="0"/>
        <w:rPr>
          <w:rFonts w:ascii="Times New Roman" w:hAnsi="Times New Roman" w:cs="Times New Roman"/>
        </w:rPr>
      </w:pPr>
      <w:r w:rsidRPr="00002224">
        <w:rPr>
          <w:rFonts w:ascii="Times New Roman" w:hAnsi="Times New Roman" w:cs="Times New Roman"/>
        </w:rPr>
        <w:t>Usually</w:t>
      </w:r>
      <w:r w:rsidR="00274026" w:rsidRPr="00002224">
        <w:rPr>
          <w:rFonts w:ascii="Times New Roman" w:hAnsi="Times New Roman" w:cs="Times New Roman"/>
        </w:rPr>
        <w:t xml:space="preserve"> the philosophers of this </w:t>
      </w:r>
      <w:r w:rsidR="008A5A20" w:rsidRPr="00002224">
        <w:rPr>
          <w:rFonts w:ascii="Times New Roman" w:hAnsi="Times New Roman" w:cs="Times New Roman"/>
        </w:rPr>
        <w:t xml:space="preserve">approach </w:t>
      </w:r>
      <w:r w:rsidR="00274026" w:rsidRPr="00002224">
        <w:rPr>
          <w:rFonts w:ascii="Times New Roman" w:hAnsi="Times New Roman" w:cs="Times New Roman"/>
        </w:rPr>
        <w:t xml:space="preserve">engage into the investigation of particular scientific </w:t>
      </w:r>
      <w:r w:rsidR="00141280">
        <w:rPr>
          <w:rFonts w:ascii="Times New Roman" w:hAnsi="Times New Roman" w:cs="Times New Roman"/>
        </w:rPr>
        <w:t xml:space="preserve">domains and </w:t>
      </w:r>
      <w:r w:rsidR="00274026" w:rsidRPr="00002224">
        <w:rPr>
          <w:rFonts w:ascii="Times New Roman" w:hAnsi="Times New Roman" w:cs="Times New Roman"/>
        </w:rPr>
        <w:t>contexts</w:t>
      </w:r>
      <w:r w:rsidRPr="00002224">
        <w:rPr>
          <w:rFonts w:ascii="Times New Roman" w:hAnsi="Times New Roman" w:cs="Times New Roman"/>
          <w:i/>
          <w:iCs/>
        </w:rPr>
        <w:t xml:space="preserve"> </w:t>
      </w:r>
      <w:r w:rsidR="00473554" w:rsidRPr="00002224">
        <w:rPr>
          <w:rFonts w:ascii="Times New Roman" w:hAnsi="Times New Roman" w:cs="Times New Roman"/>
        </w:rPr>
        <w:t>a</w:t>
      </w:r>
      <w:r w:rsidRPr="00002224">
        <w:rPr>
          <w:rFonts w:ascii="Times New Roman" w:hAnsi="Times New Roman" w:cs="Times New Roman"/>
        </w:rPr>
        <w:t>nd of</w:t>
      </w:r>
      <w:r w:rsidR="00473554" w:rsidRPr="00002224">
        <w:rPr>
          <w:rFonts w:ascii="Times New Roman" w:hAnsi="Times New Roman" w:cs="Times New Roman"/>
        </w:rPr>
        <w:t>ten</w:t>
      </w:r>
      <w:r w:rsidR="00473554" w:rsidRPr="00002224">
        <w:rPr>
          <w:rFonts w:ascii="Times New Roman" w:hAnsi="Times New Roman" w:cs="Times New Roman"/>
          <w:i/>
          <w:iCs/>
        </w:rPr>
        <w:t xml:space="preserve"> </w:t>
      </w:r>
      <w:r w:rsidR="00274026" w:rsidRPr="00002224">
        <w:rPr>
          <w:rFonts w:ascii="Times New Roman" w:hAnsi="Times New Roman" w:cs="Times New Roman"/>
        </w:rPr>
        <w:t xml:space="preserve">their intention </w:t>
      </w:r>
      <w:r w:rsidRPr="00002224">
        <w:rPr>
          <w:rFonts w:ascii="Times New Roman" w:hAnsi="Times New Roman" w:cs="Times New Roman"/>
        </w:rPr>
        <w:t>is</w:t>
      </w:r>
      <w:r w:rsidR="00274026" w:rsidRPr="00002224">
        <w:rPr>
          <w:rFonts w:ascii="Times New Roman" w:hAnsi="Times New Roman" w:cs="Times New Roman"/>
        </w:rPr>
        <w:t xml:space="preserve"> exploratory</w:t>
      </w:r>
      <w:r w:rsidR="007C66E7" w:rsidRPr="00002224">
        <w:rPr>
          <w:rFonts w:ascii="Times New Roman" w:hAnsi="Times New Roman" w:cs="Times New Roman"/>
        </w:rPr>
        <w:t xml:space="preserve"> aiming to provide new ways of looking at the scientific inquiry process and knowledge production</w:t>
      </w:r>
      <w:r w:rsidR="00274026" w:rsidRPr="00002224">
        <w:rPr>
          <w:rFonts w:ascii="Times New Roman" w:hAnsi="Times New Roman" w:cs="Times New Roman"/>
        </w:rPr>
        <w:t>.</w:t>
      </w:r>
      <w:r w:rsidR="00E56E2A" w:rsidRPr="00002224">
        <w:rPr>
          <w:rFonts w:ascii="Times New Roman" w:hAnsi="Times New Roman" w:cs="Times New Roman"/>
        </w:rPr>
        <w:t xml:space="preserve"> </w:t>
      </w:r>
      <w:r w:rsidRPr="00002224">
        <w:rPr>
          <w:rFonts w:ascii="Times New Roman" w:hAnsi="Times New Roman" w:cs="Times New Roman"/>
        </w:rPr>
        <w:t>I</w:t>
      </w:r>
      <w:r w:rsidR="00274026" w:rsidRPr="00002224">
        <w:rPr>
          <w:rFonts w:ascii="Times New Roman" w:hAnsi="Times New Roman" w:cs="Times New Roman"/>
        </w:rPr>
        <w:t>t</w:t>
      </w:r>
      <w:r w:rsidRPr="00002224">
        <w:rPr>
          <w:rFonts w:ascii="Times New Roman" w:hAnsi="Times New Roman" w:cs="Times New Roman"/>
        </w:rPr>
        <w:t xml:space="preserve"> </w:t>
      </w:r>
      <w:r w:rsidR="00274026" w:rsidRPr="00002224">
        <w:rPr>
          <w:rFonts w:ascii="Times New Roman" w:hAnsi="Times New Roman" w:cs="Times New Roman"/>
        </w:rPr>
        <w:t>is in such context</w:t>
      </w:r>
      <w:r w:rsidR="009D4A54" w:rsidRPr="00002224">
        <w:rPr>
          <w:rFonts w:ascii="Times New Roman" w:hAnsi="Times New Roman" w:cs="Times New Roman"/>
        </w:rPr>
        <w:t>s</w:t>
      </w:r>
      <w:r w:rsidR="00274026" w:rsidRPr="00002224">
        <w:rPr>
          <w:rFonts w:ascii="Times New Roman" w:hAnsi="Times New Roman" w:cs="Times New Roman"/>
        </w:rPr>
        <w:t xml:space="preserve"> t</w:t>
      </w:r>
      <w:r w:rsidR="009D4A54" w:rsidRPr="00002224">
        <w:rPr>
          <w:rFonts w:ascii="Times New Roman" w:hAnsi="Times New Roman" w:cs="Times New Roman"/>
        </w:rPr>
        <w:t>h</w:t>
      </w:r>
      <w:r w:rsidR="00274026" w:rsidRPr="00002224">
        <w:rPr>
          <w:rFonts w:ascii="Times New Roman" w:hAnsi="Times New Roman" w:cs="Times New Roman"/>
        </w:rPr>
        <w:t>a</w:t>
      </w:r>
      <w:r w:rsidR="009D4A54" w:rsidRPr="00002224">
        <w:rPr>
          <w:rFonts w:ascii="Times New Roman" w:hAnsi="Times New Roman" w:cs="Times New Roman"/>
        </w:rPr>
        <w:t>t</w:t>
      </w:r>
      <w:r w:rsidR="00274026" w:rsidRPr="00002224">
        <w:rPr>
          <w:rFonts w:ascii="Times New Roman" w:hAnsi="Times New Roman" w:cs="Times New Roman"/>
        </w:rPr>
        <w:t xml:space="preserve"> the distinction between the two kind</w:t>
      </w:r>
      <w:r w:rsidR="00473554" w:rsidRPr="00002224">
        <w:rPr>
          <w:rFonts w:ascii="Times New Roman" w:hAnsi="Times New Roman" w:cs="Times New Roman"/>
        </w:rPr>
        <w:t>s</w:t>
      </w:r>
      <w:r w:rsidR="00274026" w:rsidRPr="00002224">
        <w:rPr>
          <w:rFonts w:ascii="Times New Roman" w:hAnsi="Times New Roman" w:cs="Times New Roman"/>
        </w:rPr>
        <w:t xml:space="preserve"> of understanding became apparent and </w:t>
      </w:r>
      <w:r w:rsidR="009D4A54" w:rsidRPr="00002224">
        <w:rPr>
          <w:rFonts w:ascii="Times New Roman" w:hAnsi="Times New Roman" w:cs="Times New Roman"/>
        </w:rPr>
        <w:t>therefore one</w:t>
      </w:r>
      <w:r w:rsidR="00473554" w:rsidRPr="00002224">
        <w:rPr>
          <w:rFonts w:ascii="Times New Roman" w:hAnsi="Times New Roman" w:cs="Times New Roman"/>
        </w:rPr>
        <w:t xml:space="preserve"> might </w:t>
      </w:r>
      <w:r w:rsidR="00274026" w:rsidRPr="00002224">
        <w:rPr>
          <w:rFonts w:ascii="Times New Roman" w:hAnsi="Times New Roman" w:cs="Times New Roman"/>
        </w:rPr>
        <w:t xml:space="preserve">say </w:t>
      </w:r>
      <w:r w:rsidR="009D4A54" w:rsidRPr="00002224">
        <w:rPr>
          <w:rFonts w:ascii="Times New Roman" w:hAnsi="Times New Roman" w:cs="Times New Roman"/>
        </w:rPr>
        <w:t>that</w:t>
      </w:r>
      <w:r w:rsidR="00274026" w:rsidRPr="00002224">
        <w:rPr>
          <w:rFonts w:ascii="Times New Roman" w:hAnsi="Times New Roman" w:cs="Times New Roman"/>
        </w:rPr>
        <w:t xml:space="preserve"> </w:t>
      </w:r>
      <w:r w:rsidR="00300559" w:rsidRPr="00002224">
        <w:rPr>
          <w:rFonts w:ascii="Times New Roman" w:hAnsi="Times New Roman" w:cs="Times New Roman"/>
        </w:rPr>
        <w:t>i</w:t>
      </w:r>
      <w:r w:rsidR="007E39C0" w:rsidRPr="00002224">
        <w:rPr>
          <w:rFonts w:ascii="Times New Roman" w:hAnsi="Times New Roman" w:cs="Times New Roman"/>
        </w:rPr>
        <w:t xml:space="preserve">t </w:t>
      </w:r>
      <w:r w:rsidR="00784422" w:rsidRPr="00002224">
        <w:rPr>
          <w:rFonts w:ascii="Times New Roman" w:hAnsi="Times New Roman" w:cs="Times New Roman"/>
        </w:rPr>
        <w:t xml:space="preserve">was rather </w:t>
      </w:r>
      <w:r w:rsidR="00C024F2" w:rsidRPr="00002224">
        <w:rPr>
          <w:rFonts w:ascii="Times New Roman" w:hAnsi="Times New Roman" w:cs="Times New Roman"/>
        </w:rPr>
        <w:t xml:space="preserve">picked </w:t>
      </w:r>
      <w:r w:rsidR="00784422" w:rsidRPr="00002224">
        <w:rPr>
          <w:rFonts w:ascii="Times New Roman" w:hAnsi="Times New Roman" w:cs="Times New Roman"/>
        </w:rPr>
        <w:t>from case studies</w:t>
      </w:r>
      <w:r w:rsidR="00CF2751" w:rsidRPr="00002224">
        <w:rPr>
          <w:rFonts w:ascii="Times New Roman" w:hAnsi="Times New Roman" w:cs="Times New Roman"/>
        </w:rPr>
        <w:t xml:space="preserve"> </w:t>
      </w:r>
      <w:r w:rsidR="00274026" w:rsidRPr="00002224">
        <w:rPr>
          <w:rFonts w:ascii="Times New Roman" w:hAnsi="Times New Roman" w:cs="Times New Roman"/>
        </w:rPr>
        <w:t xml:space="preserve">than </w:t>
      </w:r>
      <w:r w:rsidR="009D4A54" w:rsidRPr="00002224">
        <w:rPr>
          <w:rFonts w:ascii="Times New Roman" w:hAnsi="Times New Roman" w:cs="Times New Roman"/>
        </w:rPr>
        <w:t>theor</w:t>
      </w:r>
      <w:r w:rsidR="00DD77AD" w:rsidRPr="00002224">
        <w:rPr>
          <w:rFonts w:ascii="Times New Roman" w:hAnsi="Times New Roman" w:cs="Times New Roman"/>
        </w:rPr>
        <w:t>e</w:t>
      </w:r>
      <w:r w:rsidR="009D4A54" w:rsidRPr="00002224">
        <w:rPr>
          <w:rFonts w:ascii="Times New Roman" w:hAnsi="Times New Roman" w:cs="Times New Roman"/>
        </w:rPr>
        <w:t>tized</w:t>
      </w:r>
      <w:r w:rsidR="00274026" w:rsidRPr="00002224">
        <w:rPr>
          <w:rFonts w:ascii="Times New Roman" w:hAnsi="Times New Roman" w:cs="Times New Roman"/>
        </w:rPr>
        <w:t xml:space="preserve"> distinctly.</w:t>
      </w:r>
      <w:r w:rsidR="00DD77AD" w:rsidRPr="00002224">
        <w:rPr>
          <w:rStyle w:val="FootnoteReference"/>
          <w:rFonts w:ascii="Times New Roman" w:hAnsi="Times New Roman" w:cs="Times New Roman"/>
        </w:rPr>
        <w:t xml:space="preserve"> </w:t>
      </w:r>
      <w:r w:rsidR="00473554" w:rsidRPr="00002224">
        <w:rPr>
          <w:rFonts w:ascii="Times New Roman" w:hAnsi="Times New Roman" w:cs="Times New Roman"/>
        </w:rPr>
        <w:t xml:space="preserve">The volume edited by de Regt </w:t>
      </w:r>
      <w:r w:rsidR="00942982" w:rsidRPr="00002224">
        <w:rPr>
          <w:rFonts w:ascii="Times New Roman" w:hAnsi="Times New Roman" w:cs="Times New Roman"/>
        </w:rPr>
        <w:t>an</w:t>
      </w:r>
      <w:r w:rsidR="00B37CAF" w:rsidRPr="00002224">
        <w:rPr>
          <w:rFonts w:ascii="Times New Roman" w:hAnsi="Times New Roman" w:cs="Times New Roman"/>
        </w:rPr>
        <w:t>d</w:t>
      </w:r>
      <w:r w:rsidR="00473554" w:rsidRPr="00002224">
        <w:rPr>
          <w:rFonts w:ascii="Times New Roman" w:hAnsi="Times New Roman" w:cs="Times New Roman"/>
        </w:rPr>
        <w:t xml:space="preserve"> collab</w:t>
      </w:r>
      <w:r w:rsidR="00942982" w:rsidRPr="00002224">
        <w:rPr>
          <w:rFonts w:ascii="Times New Roman" w:hAnsi="Times New Roman" w:cs="Times New Roman"/>
        </w:rPr>
        <w:t>orators</w:t>
      </w:r>
      <w:r w:rsidR="00FE560F" w:rsidRPr="00002224">
        <w:rPr>
          <w:rFonts w:ascii="Times New Roman" w:hAnsi="Times New Roman" w:cs="Times New Roman"/>
        </w:rPr>
        <w:t xml:space="preserve"> (2009)</w:t>
      </w:r>
      <w:r w:rsidR="00473554" w:rsidRPr="00002224">
        <w:rPr>
          <w:rFonts w:ascii="Times New Roman" w:hAnsi="Times New Roman" w:cs="Times New Roman"/>
        </w:rPr>
        <w:t xml:space="preserve"> is representative</w:t>
      </w:r>
      <w:r w:rsidR="00B37CAF" w:rsidRPr="00002224">
        <w:rPr>
          <w:rFonts w:ascii="Times New Roman" w:hAnsi="Times New Roman" w:cs="Times New Roman"/>
        </w:rPr>
        <w:t>:</w:t>
      </w:r>
      <w:r w:rsidR="000222ED" w:rsidRPr="00002224">
        <w:rPr>
          <w:rFonts w:ascii="Times New Roman" w:hAnsi="Times New Roman" w:cs="Times New Roman"/>
        </w:rPr>
        <w:t xml:space="preserve"> </w:t>
      </w:r>
      <w:r w:rsidR="00B37CAF" w:rsidRPr="00002224">
        <w:rPr>
          <w:rFonts w:ascii="Times New Roman" w:hAnsi="Times New Roman" w:cs="Times New Roman"/>
        </w:rPr>
        <w:t>m</w:t>
      </w:r>
      <w:r w:rsidR="00182B79" w:rsidRPr="00002224">
        <w:rPr>
          <w:rFonts w:ascii="Times New Roman" w:hAnsi="Times New Roman" w:cs="Times New Roman"/>
        </w:rPr>
        <w:t>ost contr</w:t>
      </w:r>
      <w:r w:rsidR="000222ED" w:rsidRPr="00002224">
        <w:rPr>
          <w:rFonts w:ascii="Times New Roman" w:hAnsi="Times New Roman" w:cs="Times New Roman"/>
        </w:rPr>
        <w:t>i</w:t>
      </w:r>
      <w:r w:rsidR="00182B79" w:rsidRPr="00002224">
        <w:rPr>
          <w:rFonts w:ascii="Times New Roman" w:hAnsi="Times New Roman" w:cs="Times New Roman"/>
        </w:rPr>
        <w:t>buti</w:t>
      </w:r>
      <w:r w:rsidR="000222ED" w:rsidRPr="00002224">
        <w:rPr>
          <w:rFonts w:ascii="Times New Roman" w:hAnsi="Times New Roman" w:cs="Times New Roman"/>
        </w:rPr>
        <w:t>o</w:t>
      </w:r>
      <w:r w:rsidR="00182B79" w:rsidRPr="00002224">
        <w:rPr>
          <w:rFonts w:ascii="Times New Roman" w:hAnsi="Times New Roman" w:cs="Times New Roman"/>
        </w:rPr>
        <w:t>ns</w:t>
      </w:r>
      <w:r w:rsidR="000222ED" w:rsidRPr="00002224">
        <w:rPr>
          <w:rFonts w:ascii="Times New Roman" w:hAnsi="Times New Roman" w:cs="Times New Roman"/>
        </w:rPr>
        <w:t xml:space="preserve"> </w:t>
      </w:r>
      <w:r w:rsidRPr="00002224">
        <w:rPr>
          <w:rFonts w:ascii="Times New Roman" w:hAnsi="Times New Roman" w:cs="Times New Roman"/>
        </w:rPr>
        <w:t>do</w:t>
      </w:r>
      <w:r w:rsidR="00C04B41" w:rsidRPr="00002224">
        <w:rPr>
          <w:rFonts w:ascii="Times New Roman" w:hAnsi="Times New Roman" w:cs="Times New Roman"/>
        </w:rPr>
        <w:t xml:space="preserve"> not even </w:t>
      </w:r>
      <w:r w:rsidR="00B37CAF" w:rsidRPr="00002224">
        <w:rPr>
          <w:rFonts w:ascii="Times New Roman" w:hAnsi="Times New Roman" w:cs="Times New Roman"/>
        </w:rPr>
        <w:t xml:space="preserve">mention </w:t>
      </w:r>
      <w:r w:rsidR="00C04B41" w:rsidRPr="00002224">
        <w:rPr>
          <w:rFonts w:ascii="Times New Roman" w:hAnsi="Times New Roman" w:cs="Times New Roman"/>
        </w:rPr>
        <w:t>the distinction between the two forms of understanding</w:t>
      </w:r>
      <w:r w:rsidR="00BC5139" w:rsidRPr="00002224">
        <w:rPr>
          <w:rFonts w:ascii="Times New Roman" w:hAnsi="Times New Roman" w:cs="Times New Roman"/>
        </w:rPr>
        <w:t>,</w:t>
      </w:r>
      <w:r w:rsidRPr="00002224">
        <w:rPr>
          <w:rFonts w:ascii="Times New Roman" w:hAnsi="Times New Roman" w:cs="Times New Roman"/>
        </w:rPr>
        <w:t xml:space="preserve"> leaving it more</w:t>
      </w:r>
      <w:r w:rsidR="00182B79" w:rsidRPr="00002224">
        <w:rPr>
          <w:rFonts w:ascii="Times New Roman" w:hAnsi="Times New Roman" w:cs="Times New Roman"/>
        </w:rPr>
        <w:t xml:space="preserve"> implicit</w:t>
      </w:r>
      <w:r w:rsidR="00C04B41" w:rsidRPr="00002224">
        <w:rPr>
          <w:rFonts w:ascii="Times New Roman" w:hAnsi="Times New Roman" w:cs="Times New Roman"/>
        </w:rPr>
        <w:t xml:space="preserve">. </w:t>
      </w:r>
      <w:r w:rsidR="00BC5139" w:rsidRPr="00002224">
        <w:rPr>
          <w:rFonts w:ascii="Times New Roman" w:hAnsi="Times New Roman" w:cs="Times New Roman"/>
        </w:rPr>
        <w:t xml:space="preserve">Peter Lipton’s contribution (2009) </w:t>
      </w:r>
      <w:r w:rsidR="00C04B41" w:rsidRPr="00002224">
        <w:rPr>
          <w:rFonts w:ascii="Times New Roman" w:hAnsi="Times New Roman" w:cs="Times New Roman"/>
        </w:rPr>
        <w:t xml:space="preserve">is nevertheless an </w:t>
      </w:r>
      <w:r w:rsidR="00BC7373" w:rsidRPr="00002224">
        <w:rPr>
          <w:rFonts w:ascii="Times New Roman" w:hAnsi="Times New Roman" w:cs="Times New Roman"/>
        </w:rPr>
        <w:t>exception</w:t>
      </w:r>
      <w:r w:rsidR="00C04B41" w:rsidRPr="00002224">
        <w:rPr>
          <w:rFonts w:ascii="Times New Roman" w:hAnsi="Times New Roman" w:cs="Times New Roman"/>
        </w:rPr>
        <w:t xml:space="preserve"> </w:t>
      </w:r>
      <w:r w:rsidR="00002224" w:rsidRPr="00002224">
        <w:rPr>
          <w:rFonts w:ascii="Times New Roman" w:hAnsi="Times New Roman" w:cs="Times New Roman"/>
        </w:rPr>
        <w:t xml:space="preserve">which aims to provide </w:t>
      </w:r>
      <w:r w:rsidR="00182B79" w:rsidRPr="00002224">
        <w:rPr>
          <w:rFonts w:ascii="Times New Roman" w:hAnsi="Times New Roman" w:cs="Times New Roman"/>
        </w:rPr>
        <w:t xml:space="preserve">a more general clarification of the distinction </w:t>
      </w:r>
      <w:r w:rsidR="007C66E7" w:rsidRPr="00002224">
        <w:rPr>
          <w:rFonts w:ascii="Times New Roman" w:hAnsi="Times New Roman" w:cs="Times New Roman"/>
        </w:rPr>
        <w:t xml:space="preserve">between the explanatory and non-explanatory understanding </w:t>
      </w:r>
      <w:r w:rsidR="00182B79" w:rsidRPr="00002224">
        <w:rPr>
          <w:rFonts w:ascii="Times New Roman" w:hAnsi="Times New Roman" w:cs="Times New Roman"/>
        </w:rPr>
        <w:t>and adva</w:t>
      </w:r>
      <w:r w:rsidR="00884A24" w:rsidRPr="00002224">
        <w:rPr>
          <w:rFonts w:ascii="Times New Roman" w:hAnsi="Times New Roman" w:cs="Times New Roman"/>
        </w:rPr>
        <w:t>n</w:t>
      </w:r>
      <w:r w:rsidR="00182B79" w:rsidRPr="00002224">
        <w:rPr>
          <w:rFonts w:ascii="Times New Roman" w:hAnsi="Times New Roman" w:cs="Times New Roman"/>
        </w:rPr>
        <w:t xml:space="preserve">ces a bold theory of </w:t>
      </w:r>
      <w:r w:rsidR="000F00B7" w:rsidRPr="00002224">
        <w:rPr>
          <w:rFonts w:ascii="Times New Roman" w:hAnsi="Times New Roman" w:cs="Times New Roman"/>
        </w:rPr>
        <w:t>‘</w:t>
      </w:r>
      <w:r w:rsidR="007C66E7" w:rsidRPr="00002224">
        <w:rPr>
          <w:rFonts w:ascii="Times New Roman" w:hAnsi="Times New Roman" w:cs="Times New Roman"/>
        </w:rPr>
        <w:t>understanding without explanation</w:t>
      </w:r>
      <w:r w:rsidR="000F00B7" w:rsidRPr="00002224">
        <w:rPr>
          <w:rFonts w:ascii="Times New Roman" w:hAnsi="Times New Roman" w:cs="Times New Roman"/>
        </w:rPr>
        <w:t>’</w:t>
      </w:r>
      <w:r w:rsidR="007C66E7" w:rsidRPr="00002224">
        <w:rPr>
          <w:rFonts w:ascii="Times New Roman" w:hAnsi="Times New Roman" w:cs="Times New Roman"/>
        </w:rPr>
        <w:t xml:space="preserve"> (</w:t>
      </w:r>
      <w:r w:rsidR="00182B79" w:rsidRPr="00002224">
        <w:rPr>
          <w:rFonts w:ascii="Times New Roman" w:hAnsi="Times New Roman" w:cs="Times New Roman"/>
        </w:rPr>
        <w:t>UwE</w:t>
      </w:r>
      <w:r w:rsidR="007C66E7" w:rsidRPr="00002224">
        <w:rPr>
          <w:rFonts w:ascii="Times New Roman" w:hAnsi="Times New Roman" w:cs="Times New Roman"/>
        </w:rPr>
        <w:t>)</w:t>
      </w:r>
      <w:r w:rsidR="00182B79" w:rsidRPr="00002224">
        <w:rPr>
          <w:rFonts w:ascii="Times New Roman" w:hAnsi="Times New Roman" w:cs="Times New Roman"/>
        </w:rPr>
        <w:t xml:space="preserve">. I will take his proposal as a reference for my further </w:t>
      </w:r>
      <w:r w:rsidR="00884A24" w:rsidRPr="00002224">
        <w:rPr>
          <w:rFonts w:ascii="Times New Roman" w:hAnsi="Times New Roman" w:cs="Times New Roman"/>
        </w:rPr>
        <w:t>discussion</w:t>
      </w:r>
      <w:r w:rsidR="00182B79" w:rsidRPr="00002224">
        <w:rPr>
          <w:rFonts w:ascii="Times New Roman" w:hAnsi="Times New Roman" w:cs="Times New Roman"/>
        </w:rPr>
        <w:t xml:space="preserve"> and </w:t>
      </w:r>
      <w:r w:rsidR="00884A24" w:rsidRPr="00002224">
        <w:rPr>
          <w:rFonts w:ascii="Times New Roman" w:hAnsi="Times New Roman" w:cs="Times New Roman"/>
        </w:rPr>
        <w:t>defense</w:t>
      </w:r>
      <w:r w:rsidR="00182B79" w:rsidRPr="00002224">
        <w:rPr>
          <w:rFonts w:ascii="Times New Roman" w:hAnsi="Times New Roman" w:cs="Times New Roman"/>
        </w:rPr>
        <w:t xml:space="preserve"> of UwE</w:t>
      </w:r>
      <w:r w:rsidR="00884A24" w:rsidRPr="00002224">
        <w:rPr>
          <w:rFonts w:ascii="Times New Roman" w:hAnsi="Times New Roman" w:cs="Times New Roman"/>
        </w:rPr>
        <w:t>.</w:t>
      </w:r>
    </w:p>
    <w:p w14:paraId="788FEDC2" w14:textId="290905D2" w:rsidR="00820D15" w:rsidRDefault="00820D15" w:rsidP="00EE12C0">
      <w:pPr>
        <w:rPr>
          <w:rFonts w:ascii="Times New Roman" w:hAnsi="Times New Roman" w:cs="Times New Roman"/>
        </w:rPr>
      </w:pPr>
      <w:r>
        <w:rPr>
          <w:rFonts w:ascii="Times New Roman" w:hAnsi="Times New Roman" w:cs="Times New Roman"/>
        </w:rPr>
        <w:t xml:space="preserve">For a starter, </w:t>
      </w:r>
      <w:r w:rsidRPr="001D2A80">
        <w:rPr>
          <w:rFonts w:ascii="Times New Roman" w:hAnsi="Times New Roman" w:cs="Times New Roman"/>
        </w:rPr>
        <w:t xml:space="preserve">I </w:t>
      </w:r>
      <w:r>
        <w:rPr>
          <w:rFonts w:ascii="Times New Roman" w:hAnsi="Times New Roman" w:cs="Times New Roman"/>
        </w:rPr>
        <w:t xml:space="preserve">present </w:t>
      </w:r>
      <w:r w:rsidRPr="001D2A80">
        <w:rPr>
          <w:rFonts w:ascii="Times New Roman" w:hAnsi="Times New Roman" w:cs="Times New Roman"/>
        </w:rPr>
        <w:t xml:space="preserve">briefly the main lines of Lipton’s proposal in order to discuss </w:t>
      </w:r>
      <w:r>
        <w:rPr>
          <w:rFonts w:ascii="Times New Roman" w:hAnsi="Times New Roman" w:cs="Times New Roman"/>
        </w:rPr>
        <w:t xml:space="preserve">later its </w:t>
      </w:r>
      <w:r w:rsidRPr="001D2A80">
        <w:rPr>
          <w:rFonts w:ascii="Times New Roman" w:hAnsi="Times New Roman" w:cs="Times New Roman"/>
        </w:rPr>
        <w:t xml:space="preserve">importance for the issue </w:t>
      </w:r>
      <w:r>
        <w:rPr>
          <w:rFonts w:ascii="Times New Roman" w:hAnsi="Times New Roman" w:cs="Times New Roman"/>
        </w:rPr>
        <w:t>under scrutiny</w:t>
      </w:r>
      <w:r w:rsidRPr="001D2A80">
        <w:rPr>
          <w:rFonts w:ascii="Times New Roman" w:hAnsi="Times New Roman" w:cs="Times New Roman"/>
        </w:rPr>
        <w:t xml:space="preserve">. In his paper </w:t>
      </w:r>
      <w:r w:rsidRPr="001D2A80">
        <w:rPr>
          <w:rFonts w:ascii="Times New Roman" w:eastAsia="Times New Roman" w:hAnsi="Times New Roman" w:cs="Times New Roman"/>
          <w:i/>
          <w:iCs/>
        </w:rPr>
        <w:t xml:space="preserve">Understanding without </w:t>
      </w:r>
      <w:r>
        <w:rPr>
          <w:rFonts w:ascii="Times New Roman" w:eastAsia="Times New Roman" w:hAnsi="Times New Roman" w:cs="Times New Roman"/>
          <w:i/>
          <w:iCs/>
        </w:rPr>
        <w:t>e</w:t>
      </w:r>
      <w:r w:rsidRPr="001D2A80">
        <w:rPr>
          <w:rFonts w:ascii="Times New Roman" w:eastAsia="Times New Roman" w:hAnsi="Times New Roman" w:cs="Times New Roman"/>
          <w:i/>
          <w:iCs/>
        </w:rPr>
        <w:t>xplanation</w:t>
      </w:r>
      <w:r w:rsidRPr="001D2A80">
        <w:rPr>
          <w:rFonts w:ascii="Times New Roman" w:eastAsia="Times New Roman" w:hAnsi="Times New Roman" w:cs="Times New Roman"/>
        </w:rPr>
        <w:t xml:space="preserve">, </w:t>
      </w:r>
      <w:r w:rsidRPr="001D2A80">
        <w:rPr>
          <w:rFonts w:ascii="Times New Roman" w:hAnsi="Times New Roman" w:cs="Times New Roman"/>
        </w:rPr>
        <w:t xml:space="preserve">Peter Lipton argues for the possibility of non-explanatory understanding by suggesting </w:t>
      </w:r>
      <w:r>
        <w:rPr>
          <w:rFonts w:ascii="Times New Roman" w:hAnsi="Times New Roman" w:cs="Times New Roman"/>
        </w:rPr>
        <w:t xml:space="preserve">a </w:t>
      </w:r>
      <w:r w:rsidRPr="001D2A80">
        <w:rPr>
          <w:rFonts w:ascii="Times New Roman" w:hAnsi="Times New Roman" w:cs="Times New Roman"/>
        </w:rPr>
        <w:t>decoupling of understanding from explanation in two steps: first</w:t>
      </w:r>
      <w:r>
        <w:rPr>
          <w:rFonts w:ascii="Times New Roman" w:hAnsi="Times New Roman" w:cs="Times New Roman"/>
        </w:rPr>
        <w:t>,</w:t>
      </w:r>
      <w:r w:rsidRPr="001D2A80">
        <w:rPr>
          <w:rFonts w:ascii="Times New Roman" w:hAnsi="Times New Roman" w:cs="Times New Roman"/>
        </w:rPr>
        <w:t xml:space="preserve"> by identifying the cognitive benefits of an explanation (and not the explanation </w:t>
      </w:r>
      <w:r w:rsidRPr="001D2A80">
        <w:rPr>
          <w:rFonts w:ascii="Times New Roman" w:hAnsi="Times New Roman" w:cs="Times New Roman"/>
          <w:i/>
        </w:rPr>
        <w:t>per se</w:t>
      </w:r>
      <w:r w:rsidRPr="001D2A80">
        <w:rPr>
          <w:rFonts w:ascii="Times New Roman" w:hAnsi="Times New Roman" w:cs="Times New Roman"/>
        </w:rPr>
        <w:t xml:space="preserve">) with understanding and second by suggesting that such benefits could be gained also through other means than explanation. The benefits are identified in terms of knowledge </w:t>
      </w:r>
      <w:r>
        <w:rPr>
          <w:rFonts w:ascii="Times New Roman" w:hAnsi="Times New Roman" w:cs="Times New Roman"/>
        </w:rPr>
        <w:t>such as:</w:t>
      </w:r>
      <w:r w:rsidRPr="001D2A80">
        <w:rPr>
          <w:rFonts w:ascii="Times New Roman" w:hAnsi="Times New Roman" w:cs="Times New Roman"/>
        </w:rPr>
        <w:t xml:space="preserve"> causality, necessity, possibility </w:t>
      </w:r>
      <w:r>
        <w:rPr>
          <w:rFonts w:ascii="Times New Roman" w:hAnsi="Times New Roman" w:cs="Times New Roman"/>
        </w:rPr>
        <w:t>or</w:t>
      </w:r>
      <w:r w:rsidRPr="001D2A80">
        <w:rPr>
          <w:rFonts w:ascii="Times New Roman" w:hAnsi="Times New Roman" w:cs="Times New Roman"/>
        </w:rPr>
        <w:t xml:space="preserve"> unity, through diverse non-explanatory means </w:t>
      </w:r>
      <w:r>
        <w:rPr>
          <w:rFonts w:ascii="Times New Roman" w:hAnsi="Times New Roman" w:cs="Times New Roman"/>
        </w:rPr>
        <w:t xml:space="preserve">such </w:t>
      </w:r>
      <w:r w:rsidRPr="001D2A80">
        <w:rPr>
          <w:rFonts w:ascii="Times New Roman" w:hAnsi="Times New Roman" w:cs="Times New Roman"/>
        </w:rPr>
        <w:t>as</w:t>
      </w:r>
      <w:r>
        <w:rPr>
          <w:rFonts w:ascii="Times New Roman" w:hAnsi="Times New Roman" w:cs="Times New Roman"/>
        </w:rPr>
        <w:t>:</w:t>
      </w:r>
      <w:r w:rsidRPr="001D2A80">
        <w:rPr>
          <w:rFonts w:ascii="Times New Roman" w:hAnsi="Times New Roman" w:cs="Times New Roman"/>
        </w:rPr>
        <w:t xml:space="preserve"> models, visualizations, manipulations, thought experiments</w:t>
      </w:r>
      <w:r>
        <w:rPr>
          <w:rFonts w:ascii="Times New Roman" w:hAnsi="Times New Roman" w:cs="Times New Roman"/>
        </w:rPr>
        <w:t>,</w:t>
      </w:r>
      <w:r w:rsidRPr="001D2A80">
        <w:rPr>
          <w:rFonts w:ascii="Times New Roman" w:hAnsi="Times New Roman" w:cs="Times New Roman"/>
        </w:rPr>
        <w:t xml:space="preserve"> or possible explanations. </w:t>
      </w:r>
      <w:r>
        <w:rPr>
          <w:rFonts w:ascii="Times New Roman" w:hAnsi="Times New Roman" w:cs="Times New Roman"/>
        </w:rPr>
        <w:t>I</w:t>
      </w:r>
      <w:r w:rsidRPr="001D2A80">
        <w:rPr>
          <w:rFonts w:ascii="Times New Roman" w:hAnsi="Times New Roman" w:cs="Times New Roman"/>
        </w:rPr>
        <w:t>n Lipton’s view</w:t>
      </w:r>
      <w:r>
        <w:rPr>
          <w:rFonts w:ascii="Times New Roman" w:hAnsi="Times New Roman" w:cs="Times New Roman"/>
        </w:rPr>
        <w:t>, v</w:t>
      </w:r>
      <w:r w:rsidRPr="001D2A80">
        <w:rPr>
          <w:rFonts w:ascii="Times New Roman" w:hAnsi="Times New Roman" w:cs="Times New Roman"/>
        </w:rPr>
        <w:t xml:space="preserve">isual models and </w:t>
      </w:r>
      <w:r w:rsidRPr="001D2A80">
        <w:rPr>
          <w:rFonts w:ascii="Times New Roman" w:hAnsi="Times New Roman" w:cs="Times New Roman"/>
        </w:rPr>
        <w:lastRenderedPageBreak/>
        <w:t>manipulations of physical systems provide tacit knowledge of causes</w:t>
      </w:r>
      <w:r>
        <w:rPr>
          <w:rFonts w:ascii="Times New Roman" w:hAnsi="Times New Roman" w:cs="Times New Roman"/>
        </w:rPr>
        <w:t>,</w:t>
      </w:r>
      <w:r w:rsidRPr="001D2A80">
        <w:rPr>
          <w:rFonts w:ascii="Times New Roman" w:hAnsi="Times New Roman" w:cs="Times New Roman"/>
        </w:rPr>
        <w:t xml:space="preserve"> </w:t>
      </w:r>
      <w:r>
        <w:rPr>
          <w:rFonts w:ascii="Times New Roman" w:hAnsi="Times New Roman" w:cs="Times New Roman"/>
        </w:rPr>
        <w:t xml:space="preserve">hence </w:t>
      </w:r>
      <w:r w:rsidRPr="001D2A80">
        <w:rPr>
          <w:rFonts w:ascii="Times New Roman" w:hAnsi="Times New Roman" w:cs="Times New Roman"/>
        </w:rPr>
        <w:t xml:space="preserve">causal information without explanation, as in </w:t>
      </w:r>
      <w:r>
        <w:rPr>
          <w:rFonts w:ascii="Times New Roman" w:hAnsi="Times New Roman" w:cs="Times New Roman"/>
        </w:rPr>
        <w:t xml:space="preserve">the </w:t>
      </w:r>
      <w:r w:rsidRPr="001D2A80">
        <w:rPr>
          <w:rFonts w:ascii="Times New Roman" w:hAnsi="Times New Roman" w:cs="Times New Roman"/>
        </w:rPr>
        <w:t xml:space="preserve">case of experiment manipulation </w:t>
      </w:r>
      <w:r>
        <w:rPr>
          <w:rFonts w:ascii="Times New Roman" w:hAnsi="Times New Roman" w:cs="Times New Roman"/>
        </w:rPr>
        <w:t xml:space="preserve">(for example, </w:t>
      </w:r>
      <w:r w:rsidRPr="001D2A80">
        <w:rPr>
          <w:rFonts w:ascii="Times New Roman" w:hAnsi="Times New Roman" w:cs="Times New Roman"/>
        </w:rPr>
        <w:t xml:space="preserve">through visualizing the retrograde motion </w:t>
      </w:r>
      <w:r>
        <w:rPr>
          <w:rFonts w:ascii="Times New Roman" w:hAnsi="Times New Roman" w:cs="Times New Roman"/>
        </w:rPr>
        <w:t xml:space="preserve">of a planet </w:t>
      </w:r>
      <w:r w:rsidRPr="001D2A80">
        <w:rPr>
          <w:rFonts w:ascii="Times New Roman" w:hAnsi="Times New Roman" w:cs="Times New Roman"/>
        </w:rPr>
        <w:t xml:space="preserve">by </w:t>
      </w:r>
      <w:r>
        <w:rPr>
          <w:rFonts w:ascii="Times New Roman" w:hAnsi="Times New Roman" w:cs="Times New Roman"/>
        </w:rPr>
        <w:t xml:space="preserve">looking at </w:t>
      </w:r>
      <w:r w:rsidRPr="001D2A80">
        <w:rPr>
          <w:rFonts w:ascii="Times New Roman" w:hAnsi="Times New Roman" w:cs="Times New Roman"/>
        </w:rPr>
        <w:t>a planetarium</w:t>
      </w:r>
      <w:r>
        <w:rPr>
          <w:rFonts w:ascii="Times New Roman" w:hAnsi="Times New Roman" w:cs="Times New Roman"/>
        </w:rPr>
        <w:t>)</w:t>
      </w:r>
      <w:r w:rsidRPr="001D2A80">
        <w:rPr>
          <w:rFonts w:ascii="Times New Roman" w:hAnsi="Times New Roman" w:cs="Times New Roman"/>
        </w:rPr>
        <w:t xml:space="preserve">. Optimization </w:t>
      </w:r>
      <w:r w:rsidR="00EB5B43">
        <w:rPr>
          <w:rFonts w:ascii="Times New Roman" w:hAnsi="Times New Roman" w:cs="Times New Roman"/>
        </w:rPr>
        <w:t>and</w:t>
      </w:r>
      <w:r w:rsidRPr="001D2A80">
        <w:rPr>
          <w:rFonts w:ascii="Times New Roman" w:hAnsi="Times New Roman" w:cs="Times New Roman"/>
        </w:rPr>
        <w:t xml:space="preserve"> symmetry arguments </w:t>
      </w:r>
      <w:r w:rsidR="00EB5B43">
        <w:rPr>
          <w:rFonts w:ascii="Times New Roman" w:hAnsi="Times New Roman" w:cs="Times New Roman"/>
        </w:rPr>
        <w:t>or</w:t>
      </w:r>
      <w:r w:rsidRPr="001D2A80">
        <w:rPr>
          <w:rFonts w:ascii="Times New Roman" w:hAnsi="Times New Roman" w:cs="Times New Roman"/>
        </w:rPr>
        <w:t xml:space="preserve"> thought experiments constitute examples of non-explanatory deductive inferences that usually provide knowledge of necessity</w:t>
      </w:r>
      <w:r>
        <w:rPr>
          <w:rFonts w:ascii="Times New Roman" w:hAnsi="Times New Roman" w:cs="Times New Roman"/>
        </w:rPr>
        <w:t>,</w:t>
      </w:r>
      <w:r w:rsidRPr="001D2A80">
        <w:rPr>
          <w:rFonts w:ascii="Times New Roman" w:hAnsi="Times New Roman" w:cs="Times New Roman"/>
        </w:rPr>
        <w:t xml:space="preserve"> as i</w:t>
      </w:r>
      <w:r>
        <w:rPr>
          <w:rFonts w:ascii="Times New Roman" w:hAnsi="Times New Roman" w:cs="Times New Roman"/>
        </w:rPr>
        <w:t>s the</w:t>
      </w:r>
      <w:r w:rsidRPr="001D2A80">
        <w:rPr>
          <w:rFonts w:ascii="Times New Roman" w:hAnsi="Times New Roman" w:cs="Times New Roman"/>
        </w:rPr>
        <w:t xml:space="preserve"> case of Galileo’s argument for independence of acceleration and mass. Tacit knowledge of unification could be provided through non-explanatory analogies as illustrated by the exemplars mechanisms that Kuhn emphasize</w:t>
      </w:r>
      <w:r>
        <w:rPr>
          <w:rFonts w:ascii="Times New Roman" w:hAnsi="Times New Roman" w:cs="Times New Roman"/>
        </w:rPr>
        <w:t>d</w:t>
      </w:r>
      <w:r w:rsidRPr="001D2A80">
        <w:rPr>
          <w:rFonts w:ascii="Times New Roman" w:hAnsi="Times New Roman" w:cs="Times New Roman"/>
        </w:rPr>
        <w:t xml:space="preserve">, through the scientists’ abilities to select problems and generate solutions. The last case that I will discuss in more detail in this </w:t>
      </w:r>
      <w:r>
        <w:rPr>
          <w:rFonts w:ascii="Times New Roman" w:hAnsi="Times New Roman" w:cs="Times New Roman"/>
        </w:rPr>
        <w:t>paper</w:t>
      </w:r>
      <w:r w:rsidRPr="001D2A80">
        <w:rPr>
          <w:rFonts w:ascii="Times New Roman" w:hAnsi="Times New Roman" w:cs="Times New Roman"/>
        </w:rPr>
        <w:t xml:space="preserve"> is related to false explanations</w:t>
      </w:r>
      <w:r>
        <w:rPr>
          <w:rFonts w:ascii="Times New Roman" w:hAnsi="Times New Roman" w:cs="Times New Roman"/>
        </w:rPr>
        <w:t>,</w:t>
      </w:r>
      <w:r w:rsidRPr="001D2A80">
        <w:rPr>
          <w:rFonts w:ascii="Times New Roman" w:hAnsi="Times New Roman" w:cs="Times New Roman"/>
        </w:rPr>
        <w:t xml:space="preserve"> </w:t>
      </w:r>
      <w:r w:rsidRPr="008344B7">
        <w:rPr>
          <w:rFonts w:ascii="Times New Roman" w:hAnsi="Times New Roman" w:cs="Times New Roman"/>
          <w:i/>
          <w:iCs/>
        </w:rPr>
        <w:t>i.e.</w:t>
      </w:r>
      <w:r w:rsidRPr="001D2A80">
        <w:rPr>
          <w:rFonts w:ascii="Times New Roman" w:hAnsi="Times New Roman" w:cs="Times New Roman"/>
        </w:rPr>
        <w:t xml:space="preserve"> merely potential explanations which would provide modal information and knowledge of possibilities</w:t>
      </w:r>
      <w:r w:rsidR="00551AE4">
        <w:rPr>
          <w:rFonts w:ascii="Times New Roman" w:hAnsi="Times New Roman" w:cs="Times New Roman"/>
        </w:rPr>
        <w:t>.</w:t>
      </w:r>
    </w:p>
    <w:p w14:paraId="584931F6" w14:textId="77777777" w:rsidR="00F851E3" w:rsidRDefault="00F851E3" w:rsidP="00722BBD">
      <w:pPr>
        <w:rPr>
          <w:rFonts w:ascii="Times New Roman" w:hAnsi="Times New Roman" w:cs="Times New Roman"/>
        </w:rPr>
      </w:pPr>
    </w:p>
    <w:p w14:paraId="0B0E9A50" w14:textId="77777777" w:rsidR="00F15DD2" w:rsidRPr="001D2A80" w:rsidRDefault="00F15DD2" w:rsidP="00722BBD">
      <w:pPr>
        <w:rPr>
          <w:rFonts w:ascii="Times New Roman" w:hAnsi="Times New Roman" w:cs="Times New Roman"/>
        </w:rPr>
      </w:pPr>
    </w:p>
    <w:p w14:paraId="4A42B0C6" w14:textId="77777777" w:rsidR="00F851E3" w:rsidRPr="001D2A80" w:rsidRDefault="00F15DD2" w:rsidP="00F15DD2">
      <w:pPr>
        <w:jc w:val="center"/>
        <w:rPr>
          <w:rFonts w:ascii="Times New Roman" w:hAnsi="Times New Roman" w:cs="Times New Roman"/>
          <w:b/>
        </w:rPr>
      </w:pPr>
      <w:r w:rsidRPr="001D2A80">
        <w:rPr>
          <w:rFonts w:ascii="Times New Roman" w:hAnsi="Times New Roman" w:cs="Times New Roman"/>
          <w:b/>
        </w:rPr>
        <w:t>WHAT DO LIPTON’S PROPOSALS REVEAL?</w:t>
      </w:r>
    </w:p>
    <w:p w14:paraId="7B84813B" w14:textId="77777777" w:rsidR="00F15DD2" w:rsidRDefault="00F15DD2" w:rsidP="00E72159">
      <w:pPr>
        <w:rPr>
          <w:rFonts w:ascii="Times New Roman" w:hAnsi="Times New Roman" w:cs="Times New Roman"/>
          <w:bCs/>
        </w:rPr>
      </w:pPr>
    </w:p>
    <w:p w14:paraId="77F0FA5D" w14:textId="1303EFD6" w:rsidR="00FA0D4E" w:rsidRPr="00163254" w:rsidRDefault="00FA0D4E" w:rsidP="00FA0D4E">
      <w:pPr>
        <w:rPr>
          <w:rFonts w:ascii="Times New Roman" w:hAnsi="Times New Roman" w:cs="Times New Roman"/>
        </w:rPr>
      </w:pPr>
      <w:r w:rsidRPr="00163254">
        <w:rPr>
          <w:rFonts w:ascii="Times New Roman" w:hAnsi="Times New Roman" w:cs="Times New Roman"/>
          <w:bCs/>
        </w:rPr>
        <w:t xml:space="preserve">In this section I will address the question of what is in fact the importance </w:t>
      </w:r>
      <w:r w:rsidR="00A7447D">
        <w:rPr>
          <w:rFonts w:ascii="Times New Roman" w:hAnsi="Times New Roman" w:cs="Times New Roman"/>
          <w:bCs/>
        </w:rPr>
        <w:t xml:space="preserve">of </w:t>
      </w:r>
      <w:r w:rsidRPr="00163254">
        <w:rPr>
          <w:rFonts w:ascii="Times New Roman" w:hAnsi="Times New Roman" w:cs="Times New Roman"/>
          <w:bCs/>
        </w:rPr>
        <w:t xml:space="preserve">Lipton’s proposals </w:t>
      </w:r>
      <w:r>
        <w:rPr>
          <w:rFonts w:ascii="Times New Roman" w:hAnsi="Times New Roman" w:cs="Times New Roman"/>
          <w:bCs/>
        </w:rPr>
        <w:t xml:space="preserve">to approach </w:t>
      </w:r>
      <w:r w:rsidRPr="00163254">
        <w:rPr>
          <w:rFonts w:ascii="Times New Roman" w:hAnsi="Times New Roman" w:cs="Times New Roman"/>
          <w:bCs/>
        </w:rPr>
        <w:t xml:space="preserve">understanding. </w:t>
      </w:r>
      <w:r w:rsidRPr="00163254">
        <w:rPr>
          <w:rFonts w:ascii="Times New Roman" w:hAnsi="Times New Roman" w:cs="Times New Roman"/>
        </w:rPr>
        <w:t xml:space="preserve">If one looks at the reception and </w:t>
      </w:r>
      <w:r>
        <w:rPr>
          <w:rFonts w:ascii="Times New Roman" w:hAnsi="Times New Roman" w:cs="Times New Roman"/>
        </w:rPr>
        <w:t>proliferation</w:t>
      </w:r>
      <w:r w:rsidRPr="00163254" w:rsidDel="00A24D4D">
        <w:rPr>
          <w:rFonts w:ascii="Times New Roman" w:hAnsi="Times New Roman" w:cs="Times New Roman"/>
        </w:rPr>
        <w:t xml:space="preserve"> </w:t>
      </w:r>
      <w:r w:rsidRPr="00163254">
        <w:rPr>
          <w:rFonts w:ascii="Times New Roman" w:hAnsi="Times New Roman" w:cs="Times New Roman"/>
        </w:rPr>
        <w:t>of Lipton’s ideas</w:t>
      </w:r>
      <w:r>
        <w:rPr>
          <w:rFonts w:ascii="Times New Roman" w:hAnsi="Times New Roman" w:cs="Times New Roman"/>
        </w:rPr>
        <w:t>,</w:t>
      </w:r>
      <w:r w:rsidRPr="00163254">
        <w:rPr>
          <w:rFonts w:ascii="Times New Roman" w:hAnsi="Times New Roman" w:cs="Times New Roman"/>
        </w:rPr>
        <w:t xml:space="preserve"> one might s</w:t>
      </w:r>
      <w:r w:rsidR="006B0E89">
        <w:rPr>
          <w:rFonts w:ascii="Times New Roman" w:hAnsi="Times New Roman" w:cs="Times New Roman"/>
        </w:rPr>
        <w:t>ee</w:t>
      </w:r>
      <w:r w:rsidRPr="00163254">
        <w:rPr>
          <w:rFonts w:ascii="Times New Roman" w:hAnsi="Times New Roman" w:cs="Times New Roman"/>
        </w:rPr>
        <w:t xml:space="preserve"> that they </w:t>
      </w:r>
      <w:r w:rsidR="000F0C54">
        <w:rPr>
          <w:rFonts w:ascii="Times New Roman" w:hAnsi="Times New Roman" w:cs="Times New Roman"/>
        </w:rPr>
        <w:t>became</w:t>
      </w:r>
      <w:r>
        <w:rPr>
          <w:rFonts w:ascii="Times New Roman" w:hAnsi="Times New Roman" w:cs="Times New Roman"/>
        </w:rPr>
        <w:t xml:space="preserve"> challenging </w:t>
      </w:r>
      <w:r w:rsidRPr="00163254">
        <w:rPr>
          <w:rFonts w:ascii="Times New Roman" w:hAnsi="Times New Roman" w:cs="Times New Roman"/>
        </w:rPr>
        <w:t xml:space="preserve">for some </w:t>
      </w:r>
      <w:r>
        <w:rPr>
          <w:rFonts w:ascii="Times New Roman" w:hAnsi="Times New Roman" w:cs="Times New Roman"/>
        </w:rPr>
        <w:t>mainstream approaches</w:t>
      </w:r>
      <w:r w:rsidRPr="00163254">
        <w:rPr>
          <w:rFonts w:ascii="Times New Roman" w:hAnsi="Times New Roman" w:cs="Times New Roman"/>
        </w:rPr>
        <w:t xml:space="preserve">. </w:t>
      </w:r>
      <w:r w:rsidR="000F0C54">
        <w:rPr>
          <w:rFonts w:ascii="Times New Roman" w:hAnsi="Times New Roman" w:cs="Times New Roman"/>
        </w:rPr>
        <w:t xml:space="preserve">I will </w:t>
      </w:r>
      <w:r>
        <w:rPr>
          <w:rFonts w:ascii="Times New Roman" w:hAnsi="Times New Roman" w:cs="Times New Roman"/>
        </w:rPr>
        <w:t xml:space="preserve">focus </w:t>
      </w:r>
      <w:r w:rsidR="000F0C54">
        <w:rPr>
          <w:rFonts w:ascii="Times New Roman" w:hAnsi="Times New Roman" w:cs="Times New Roman"/>
        </w:rPr>
        <w:t>next</w:t>
      </w:r>
      <w:r>
        <w:rPr>
          <w:rFonts w:ascii="Times New Roman" w:hAnsi="Times New Roman" w:cs="Times New Roman"/>
        </w:rPr>
        <w:t xml:space="preserve"> on </w:t>
      </w:r>
      <w:r w:rsidRPr="00163254">
        <w:rPr>
          <w:rFonts w:ascii="Times New Roman" w:hAnsi="Times New Roman" w:cs="Times New Roman"/>
        </w:rPr>
        <w:t xml:space="preserve">what this challenge might be and how </w:t>
      </w:r>
      <w:r>
        <w:rPr>
          <w:rFonts w:ascii="Times New Roman" w:hAnsi="Times New Roman" w:cs="Times New Roman"/>
        </w:rPr>
        <w:t>Kelp’s con</w:t>
      </w:r>
      <w:r w:rsidR="00A7447D">
        <w:rPr>
          <w:rFonts w:ascii="Times New Roman" w:hAnsi="Times New Roman" w:cs="Times New Roman"/>
        </w:rPr>
        <w:t>s</w:t>
      </w:r>
      <w:r>
        <w:rPr>
          <w:rFonts w:ascii="Times New Roman" w:hAnsi="Times New Roman" w:cs="Times New Roman"/>
        </w:rPr>
        <w:t xml:space="preserve">trual of </w:t>
      </w:r>
      <w:r w:rsidR="00A7447D">
        <w:rPr>
          <w:rFonts w:ascii="Times New Roman" w:hAnsi="Times New Roman" w:cs="Times New Roman"/>
        </w:rPr>
        <w:t>this challenge</w:t>
      </w:r>
      <w:r>
        <w:rPr>
          <w:rFonts w:ascii="Times New Roman" w:hAnsi="Times New Roman" w:cs="Times New Roman"/>
        </w:rPr>
        <w:t xml:space="preserve"> </w:t>
      </w:r>
      <w:r w:rsidRPr="00163254">
        <w:rPr>
          <w:rFonts w:ascii="Times New Roman" w:hAnsi="Times New Roman" w:cs="Times New Roman"/>
        </w:rPr>
        <w:t xml:space="preserve">does not </w:t>
      </w:r>
      <w:r>
        <w:rPr>
          <w:rFonts w:ascii="Times New Roman" w:hAnsi="Times New Roman" w:cs="Times New Roman"/>
        </w:rPr>
        <w:t xml:space="preserve">settle </w:t>
      </w:r>
      <w:r w:rsidRPr="00163254">
        <w:rPr>
          <w:rFonts w:ascii="Times New Roman" w:hAnsi="Times New Roman" w:cs="Times New Roman"/>
        </w:rPr>
        <w:t>the issue.</w:t>
      </w:r>
    </w:p>
    <w:p w14:paraId="3AD7BEE6" w14:textId="00350FF5" w:rsidR="000E2B3C" w:rsidRDefault="007F32FF" w:rsidP="000E2B3C">
      <w:pPr>
        <w:rPr>
          <w:rFonts w:ascii="Times New Roman" w:hAnsi="Times New Roman" w:cs="Times New Roman"/>
          <w:bCs/>
        </w:rPr>
      </w:pPr>
      <w:r w:rsidRPr="00163254">
        <w:rPr>
          <w:rFonts w:ascii="Times New Roman" w:hAnsi="Times New Roman" w:cs="Times New Roman"/>
        </w:rPr>
        <w:t xml:space="preserve">Lipton’s examples seem </w:t>
      </w:r>
      <w:r w:rsidR="00A81561" w:rsidRPr="00163254">
        <w:rPr>
          <w:rFonts w:ascii="Times New Roman" w:hAnsi="Times New Roman" w:cs="Times New Roman"/>
        </w:rPr>
        <w:t>uncomfortable</w:t>
      </w:r>
      <w:r w:rsidR="00740F17" w:rsidRPr="00163254">
        <w:rPr>
          <w:rFonts w:ascii="Times New Roman" w:hAnsi="Times New Roman" w:cs="Times New Roman"/>
        </w:rPr>
        <w:t xml:space="preserve"> f</w:t>
      </w:r>
      <w:r w:rsidR="00663D65" w:rsidRPr="00163254">
        <w:rPr>
          <w:rFonts w:ascii="Times New Roman" w:hAnsi="Times New Roman" w:cs="Times New Roman"/>
        </w:rPr>
        <w:t>or the</w:t>
      </w:r>
      <w:r w:rsidR="00740F17" w:rsidRPr="00163254">
        <w:rPr>
          <w:rFonts w:ascii="Times New Roman" w:hAnsi="Times New Roman" w:cs="Times New Roman"/>
        </w:rPr>
        <w:t xml:space="preserve"> reductivist </w:t>
      </w:r>
      <w:r w:rsidR="00663D65" w:rsidRPr="00163254">
        <w:rPr>
          <w:rFonts w:ascii="Times New Roman" w:hAnsi="Times New Roman" w:cs="Times New Roman"/>
        </w:rPr>
        <w:t>approaches</w:t>
      </w:r>
      <w:r w:rsidR="005B2AA6">
        <w:rPr>
          <w:rFonts w:ascii="Times New Roman" w:hAnsi="Times New Roman" w:cs="Times New Roman"/>
        </w:rPr>
        <w:t>, but not to all the parties involved</w:t>
      </w:r>
      <w:r w:rsidRPr="00163254">
        <w:rPr>
          <w:rFonts w:ascii="Times New Roman" w:hAnsi="Times New Roman" w:cs="Times New Roman"/>
        </w:rPr>
        <w:t xml:space="preserve">. Some of the </w:t>
      </w:r>
      <w:r w:rsidR="00881448" w:rsidRPr="00163254">
        <w:rPr>
          <w:rFonts w:ascii="Times New Roman" w:hAnsi="Times New Roman" w:cs="Times New Roman"/>
        </w:rPr>
        <w:t xml:space="preserve">adherents of this view </w:t>
      </w:r>
      <w:r w:rsidRPr="00163254">
        <w:rPr>
          <w:rFonts w:ascii="Times New Roman" w:hAnsi="Times New Roman" w:cs="Times New Roman"/>
        </w:rPr>
        <w:t>as Strevens</w:t>
      </w:r>
      <w:r w:rsidR="00881448" w:rsidRPr="00163254">
        <w:rPr>
          <w:rFonts w:ascii="Times New Roman" w:hAnsi="Times New Roman" w:cs="Times New Roman"/>
        </w:rPr>
        <w:t xml:space="preserve"> (2012) </w:t>
      </w:r>
      <w:r w:rsidRPr="00163254">
        <w:rPr>
          <w:rFonts w:ascii="Times New Roman" w:hAnsi="Times New Roman" w:cs="Times New Roman"/>
        </w:rPr>
        <w:t>or Khalifa</w:t>
      </w:r>
      <w:r w:rsidR="00881448" w:rsidRPr="00163254">
        <w:rPr>
          <w:rFonts w:ascii="Times New Roman" w:hAnsi="Times New Roman" w:cs="Times New Roman"/>
        </w:rPr>
        <w:t xml:space="preserve"> (2012, 2013, 2017)</w:t>
      </w:r>
      <w:r w:rsidRPr="00163254">
        <w:rPr>
          <w:rFonts w:ascii="Times New Roman" w:hAnsi="Times New Roman" w:cs="Times New Roman"/>
        </w:rPr>
        <w:t xml:space="preserve"> </w:t>
      </w:r>
      <w:r w:rsidR="00D866DE">
        <w:rPr>
          <w:rFonts w:ascii="Times New Roman" w:hAnsi="Times New Roman" w:cs="Times New Roman"/>
        </w:rPr>
        <w:t xml:space="preserve">admit that </w:t>
      </w:r>
      <w:r w:rsidRPr="00163254">
        <w:rPr>
          <w:rFonts w:ascii="Times New Roman" w:hAnsi="Times New Roman" w:cs="Times New Roman"/>
        </w:rPr>
        <w:t xml:space="preserve">these </w:t>
      </w:r>
      <w:r w:rsidR="000E2B3C" w:rsidRPr="00163254">
        <w:rPr>
          <w:rFonts w:ascii="Times New Roman" w:hAnsi="Times New Roman" w:cs="Times New Roman"/>
        </w:rPr>
        <w:t>examples</w:t>
      </w:r>
      <w:r w:rsidRPr="00163254">
        <w:rPr>
          <w:rFonts w:ascii="Times New Roman" w:hAnsi="Times New Roman" w:cs="Times New Roman"/>
        </w:rPr>
        <w:t xml:space="preserve"> </w:t>
      </w:r>
      <w:r w:rsidR="00D866DE">
        <w:rPr>
          <w:rFonts w:ascii="Times New Roman" w:hAnsi="Times New Roman" w:cs="Times New Roman"/>
        </w:rPr>
        <w:t xml:space="preserve">threaten their approaches </w:t>
      </w:r>
      <w:r w:rsidRPr="00163254">
        <w:rPr>
          <w:rFonts w:ascii="Times New Roman" w:hAnsi="Times New Roman" w:cs="Times New Roman"/>
        </w:rPr>
        <w:t>and</w:t>
      </w:r>
      <w:r w:rsidR="00881448" w:rsidRPr="00163254">
        <w:rPr>
          <w:rFonts w:ascii="Times New Roman" w:hAnsi="Times New Roman" w:cs="Times New Roman"/>
        </w:rPr>
        <w:t xml:space="preserve"> engage </w:t>
      </w:r>
      <w:r w:rsidR="00D866DE">
        <w:rPr>
          <w:rFonts w:ascii="Times New Roman" w:hAnsi="Times New Roman" w:cs="Times New Roman"/>
        </w:rPr>
        <w:t xml:space="preserve">them </w:t>
      </w:r>
      <w:r w:rsidR="00DA5F7E" w:rsidRPr="00163254">
        <w:rPr>
          <w:rFonts w:ascii="Times New Roman" w:hAnsi="Times New Roman" w:cs="Times New Roman"/>
        </w:rPr>
        <w:t>directly</w:t>
      </w:r>
      <w:r w:rsidR="00881448" w:rsidRPr="00163254">
        <w:rPr>
          <w:rFonts w:ascii="Times New Roman" w:hAnsi="Times New Roman" w:cs="Times New Roman"/>
        </w:rPr>
        <w:t>.</w:t>
      </w:r>
      <w:r w:rsidRPr="00163254">
        <w:rPr>
          <w:rFonts w:ascii="Times New Roman" w:hAnsi="Times New Roman" w:cs="Times New Roman"/>
        </w:rPr>
        <w:t xml:space="preserve"> Khalifa takes </w:t>
      </w:r>
      <w:r w:rsidR="00825042">
        <w:rPr>
          <w:rFonts w:ascii="Times New Roman" w:hAnsi="Times New Roman" w:cs="Times New Roman"/>
        </w:rPr>
        <w:t xml:space="preserve">great </w:t>
      </w:r>
      <w:r w:rsidRPr="00163254">
        <w:rPr>
          <w:rFonts w:ascii="Times New Roman" w:hAnsi="Times New Roman" w:cs="Times New Roman"/>
        </w:rPr>
        <w:t>pains in</w:t>
      </w:r>
      <w:r w:rsidR="00881448" w:rsidRPr="00163254">
        <w:rPr>
          <w:rFonts w:ascii="Times New Roman" w:hAnsi="Times New Roman" w:cs="Times New Roman"/>
        </w:rPr>
        <w:t xml:space="preserve"> offering a general argument against Lipton’s proposals and</w:t>
      </w:r>
      <w:r w:rsidRPr="00163254">
        <w:rPr>
          <w:rFonts w:ascii="Times New Roman" w:hAnsi="Times New Roman" w:cs="Times New Roman"/>
        </w:rPr>
        <w:t xml:space="preserve"> reject</w:t>
      </w:r>
      <w:r w:rsidR="00881448" w:rsidRPr="00163254">
        <w:rPr>
          <w:rFonts w:ascii="Times New Roman" w:hAnsi="Times New Roman" w:cs="Times New Roman"/>
        </w:rPr>
        <w:t>s</w:t>
      </w:r>
      <w:r w:rsidRPr="00163254">
        <w:rPr>
          <w:rFonts w:ascii="Times New Roman" w:hAnsi="Times New Roman" w:cs="Times New Roman"/>
        </w:rPr>
        <w:t xml:space="preserve"> them as </w:t>
      </w:r>
      <w:r w:rsidR="00881448" w:rsidRPr="00163254">
        <w:rPr>
          <w:rFonts w:ascii="Times New Roman" w:hAnsi="Times New Roman" w:cs="Times New Roman"/>
        </w:rPr>
        <w:t xml:space="preserve">not </w:t>
      </w:r>
      <w:r w:rsidR="00B03A42" w:rsidRPr="00163254">
        <w:rPr>
          <w:rFonts w:ascii="Times New Roman" w:hAnsi="Times New Roman" w:cs="Times New Roman"/>
        </w:rPr>
        <w:t>providing</w:t>
      </w:r>
      <w:r w:rsidRPr="00163254">
        <w:rPr>
          <w:rFonts w:ascii="Times New Roman" w:hAnsi="Times New Roman" w:cs="Times New Roman"/>
        </w:rPr>
        <w:t xml:space="preserve"> </w:t>
      </w:r>
      <w:r w:rsidR="00A3374B">
        <w:rPr>
          <w:rFonts w:ascii="Times New Roman" w:hAnsi="Times New Roman" w:cs="Times New Roman"/>
        </w:rPr>
        <w:t xml:space="preserve">a </w:t>
      </w:r>
      <w:r w:rsidRPr="00163254">
        <w:rPr>
          <w:rFonts w:ascii="Times New Roman" w:hAnsi="Times New Roman" w:cs="Times New Roman"/>
        </w:rPr>
        <w:t>genuine form of understanding.</w:t>
      </w:r>
      <w:r w:rsidRPr="00163254">
        <w:rPr>
          <w:rStyle w:val="FootnoteReference"/>
          <w:rFonts w:ascii="Times New Roman" w:hAnsi="Times New Roman" w:cs="Times New Roman"/>
        </w:rPr>
        <w:footnoteReference w:id="5"/>
      </w:r>
      <w:r w:rsidRPr="00163254">
        <w:rPr>
          <w:rFonts w:ascii="Times New Roman" w:hAnsi="Times New Roman" w:cs="Times New Roman"/>
        </w:rPr>
        <w:t xml:space="preserve"> </w:t>
      </w:r>
      <w:r w:rsidR="000E2B3C" w:rsidRPr="00163254">
        <w:rPr>
          <w:rFonts w:ascii="Times New Roman" w:hAnsi="Times New Roman" w:cs="Times New Roman"/>
        </w:rPr>
        <w:t>But no author</w:t>
      </w:r>
      <w:r w:rsidR="009C20B2">
        <w:rPr>
          <w:rFonts w:ascii="Times New Roman" w:hAnsi="Times New Roman" w:cs="Times New Roman"/>
        </w:rPr>
        <w:t>,</w:t>
      </w:r>
      <w:r w:rsidR="000E2B3C" w:rsidRPr="00163254">
        <w:rPr>
          <w:rFonts w:ascii="Times New Roman" w:hAnsi="Times New Roman" w:cs="Times New Roman"/>
        </w:rPr>
        <w:t xml:space="preserve"> apart from Kelp</w:t>
      </w:r>
      <w:r w:rsidR="009C20B2">
        <w:rPr>
          <w:rFonts w:ascii="Times New Roman" w:hAnsi="Times New Roman" w:cs="Times New Roman"/>
        </w:rPr>
        <w:t>,</w:t>
      </w:r>
      <w:r w:rsidR="000E2B3C" w:rsidRPr="00163254">
        <w:rPr>
          <w:rFonts w:ascii="Times New Roman" w:hAnsi="Times New Roman" w:cs="Times New Roman"/>
        </w:rPr>
        <w:t xml:space="preserve"> </w:t>
      </w:r>
      <w:r w:rsidR="0063638B">
        <w:rPr>
          <w:rFonts w:ascii="Times New Roman" w:hAnsi="Times New Roman" w:cs="Times New Roman"/>
        </w:rPr>
        <w:t>advances</w:t>
      </w:r>
      <w:r w:rsidR="000E2B3C" w:rsidRPr="00163254">
        <w:rPr>
          <w:rFonts w:ascii="Times New Roman" w:hAnsi="Times New Roman" w:cs="Times New Roman"/>
        </w:rPr>
        <w:t xml:space="preserve"> a </w:t>
      </w:r>
      <w:r w:rsidR="0063638B">
        <w:rPr>
          <w:rFonts w:ascii="Times New Roman" w:hAnsi="Times New Roman" w:cs="Times New Roman"/>
        </w:rPr>
        <w:t>construal</w:t>
      </w:r>
      <w:r w:rsidR="000E2B3C" w:rsidRPr="00163254">
        <w:rPr>
          <w:rFonts w:ascii="Times New Roman" w:hAnsi="Times New Roman" w:cs="Times New Roman"/>
        </w:rPr>
        <w:t xml:space="preserve"> of the challenge that Lipton’s proposals </w:t>
      </w:r>
      <w:r w:rsidR="00B03A42" w:rsidRPr="00163254">
        <w:rPr>
          <w:rFonts w:ascii="Times New Roman" w:hAnsi="Times New Roman" w:cs="Times New Roman"/>
        </w:rPr>
        <w:t>might rise</w:t>
      </w:r>
      <w:r w:rsidR="000E2B3C" w:rsidRPr="00163254">
        <w:rPr>
          <w:rFonts w:ascii="Times New Roman" w:hAnsi="Times New Roman" w:cs="Times New Roman"/>
        </w:rPr>
        <w:t xml:space="preserve">. </w:t>
      </w:r>
      <w:r w:rsidR="000E2B3C" w:rsidRPr="00163254">
        <w:rPr>
          <w:rFonts w:ascii="Times New Roman" w:hAnsi="Times New Roman" w:cs="Times New Roman"/>
          <w:bCs/>
        </w:rPr>
        <w:t xml:space="preserve">I discuss Kelp’s </w:t>
      </w:r>
      <w:r w:rsidR="000F4C6E">
        <w:rPr>
          <w:rFonts w:ascii="Times New Roman" w:hAnsi="Times New Roman" w:cs="Times New Roman"/>
          <w:bCs/>
        </w:rPr>
        <w:t>approach</w:t>
      </w:r>
      <w:r w:rsidR="000E2B3C" w:rsidRPr="00163254">
        <w:rPr>
          <w:rFonts w:ascii="Times New Roman" w:hAnsi="Times New Roman" w:cs="Times New Roman"/>
          <w:bCs/>
        </w:rPr>
        <w:t xml:space="preserve"> and part</w:t>
      </w:r>
      <w:r w:rsidR="009C20B2">
        <w:rPr>
          <w:rFonts w:ascii="Times New Roman" w:hAnsi="Times New Roman" w:cs="Times New Roman"/>
          <w:bCs/>
        </w:rPr>
        <w:t>ial</w:t>
      </w:r>
      <w:r w:rsidR="000E2B3C" w:rsidRPr="00163254">
        <w:rPr>
          <w:rFonts w:ascii="Times New Roman" w:hAnsi="Times New Roman" w:cs="Times New Roman"/>
          <w:bCs/>
        </w:rPr>
        <w:t>ly agree with hi</w:t>
      </w:r>
      <w:r w:rsidR="0063638B">
        <w:rPr>
          <w:rFonts w:ascii="Times New Roman" w:hAnsi="Times New Roman" w:cs="Times New Roman"/>
          <w:bCs/>
        </w:rPr>
        <w:t>s interpretation</w:t>
      </w:r>
      <w:r w:rsidR="000E2B3C" w:rsidRPr="00163254">
        <w:rPr>
          <w:rFonts w:ascii="Times New Roman" w:hAnsi="Times New Roman" w:cs="Times New Roman"/>
          <w:bCs/>
        </w:rPr>
        <w:t xml:space="preserve">. Nevertheless, I will argue that </w:t>
      </w:r>
      <w:r w:rsidR="009C20B2">
        <w:rPr>
          <w:rFonts w:ascii="Times New Roman" w:hAnsi="Times New Roman" w:cs="Times New Roman"/>
          <w:bCs/>
        </w:rPr>
        <w:t xml:space="preserve">his </w:t>
      </w:r>
      <w:r w:rsidR="0063638B">
        <w:rPr>
          <w:rFonts w:ascii="Times New Roman" w:hAnsi="Times New Roman" w:cs="Times New Roman"/>
          <w:bCs/>
        </w:rPr>
        <w:t>theory of understanding</w:t>
      </w:r>
      <w:r w:rsidR="000F4C6E">
        <w:rPr>
          <w:rFonts w:ascii="Times New Roman" w:hAnsi="Times New Roman" w:cs="Times New Roman"/>
          <w:bCs/>
        </w:rPr>
        <w:t>, which was</w:t>
      </w:r>
      <w:r w:rsidR="0063638B">
        <w:rPr>
          <w:rFonts w:ascii="Times New Roman" w:hAnsi="Times New Roman" w:cs="Times New Roman"/>
          <w:bCs/>
        </w:rPr>
        <w:t xml:space="preserve"> intended to meet the challenge, </w:t>
      </w:r>
      <w:r w:rsidR="000E2B3C" w:rsidRPr="00163254">
        <w:rPr>
          <w:rFonts w:ascii="Times New Roman" w:hAnsi="Times New Roman" w:cs="Times New Roman"/>
          <w:bCs/>
        </w:rPr>
        <w:t>is not satisfactory from the perspective of the inquiry into understanding in scientific contexts.</w:t>
      </w:r>
    </w:p>
    <w:p w14:paraId="5E7FE685" w14:textId="6BBB613E" w:rsidR="002E1AEA" w:rsidRPr="00163254" w:rsidRDefault="002E1AEA" w:rsidP="000E2B3C">
      <w:pPr>
        <w:rPr>
          <w:rFonts w:ascii="Times New Roman" w:hAnsi="Times New Roman" w:cs="Times New Roman"/>
        </w:rPr>
      </w:pPr>
      <w:r w:rsidRPr="00163254">
        <w:rPr>
          <w:rFonts w:ascii="Times New Roman" w:hAnsi="Times New Roman" w:cs="Times New Roman"/>
        </w:rPr>
        <w:t>Kelp (2015) tries to make explicit the threat that Lipton’s proposal constitutes for the other accounts. He claims that it exposes the overintellectualisation of the approaches which he divides in two major groups: the explanationist and the manipulationist. The two groups refer to accounts that invoke explanation</w:t>
      </w:r>
      <w:r>
        <w:rPr>
          <w:rFonts w:ascii="Times New Roman" w:hAnsi="Times New Roman" w:cs="Times New Roman"/>
        </w:rPr>
        <w:t xml:space="preserve"> as the key to understanding</w:t>
      </w:r>
      <w:r w:rsidRPr="00163254">
        <w:rPr>
          <w:rFonts w:ascii="Times New Roman" w:hAnsi="Times New Roman" w:cs="Times New Roman"/>
        </w:rPr>
        <w:t xml:space="preserve">, in the first case, or </w:t>
      </w:r>
      <w:r>
        <w:rPr>
          <w:rFonts w:ascii="Times New Roman" w:hAnsi="Times New Roman" w:cs="Times New Roman"/>
        </w:rPr>
        <w:t xml:space="preserve">ability to </w:t>
      </w:r>
      <w:r w:rsidRPr="00163254">
        <w:rPr>
          <w:rFonts w:ascii="Times New Roman" w:hAnsi="Times New Roman" w:cs="Times New Roman"/>
        </w:rPr>
        <w:t>manipulat</w:t>
      </w:r>
      <w:r>
        <w:rPr>
          <w:rFonts w:ascii="Times New Roman" w:hAnsi="Times New Roman" w:cs="Times New Roman"/>
        </w:rPr>
        <w:t>e certain representations</w:t>
      </w:r>
      <w:r w:rsidRPr="00163254">
        <w:rPr>
          <w:rFonts w:ascii="Times New Roman" w:hAnsi="Times New Roman" w:cs="Times New Roman"/>
        </w:rPr>
        <w:t>, in the second</w:t>
      </w:r>
      <w:r>
        <w:rPr>
          <w:rFonts w:ascii="Times New Roman" w:hAnsi="Times New Roman" w:cs="Times New Roman"/>
        </w:rPr>
        <w:t xml:space="preserve"> case</w:t>
      </w:r>
      <w:r w:rsidRPr="00163254">
        <w:rPr>
          <w:rFonts w:ascii="Times New Roman" w:hAnsi="Times New Roman" w:cs="Times New Roman"/>
        </w:rPr>
        <w:t>, as central to characterizing understanding</w:t>
      </w:r>
      <w:r>
        <w:rPr>
          <w:rFonts w:ascii="Times New Roman" w:hAnsi="Times New Roman" w:cs="Times New Roman"/>
        </w:rPr>
        <w:t>.</w:t>
      </w:r>
      <w:r>
        <w:rPr>
          <w:rStyle w:val="FootnoteReference"/>
          <w:rFonts w:ascii="Times New Roman" w:hAnsi="Times New Roman" w:cs="Times New Roman"/>
        </w:rPr>
        <w:footnoteReference w:id="6"/>
      </w:r>
      <w:r w:rsidRPr="00163254">
        <w:rPr>
          <w:rFonts w:ascii="Times New Roman" w:hAnsi="Times New Roman" w:cs="Times New Roman"/>
        </w:rPr>
        <w:t xml:space="preserve"> The overintellectualisation refers to the fact </w:t>
      </w:r>
      <w:r w:rsidRPr="00163254">
        <w:rPr>
          <w:rFonts w:ascii="Times New Roman" w:hAnsi="Times New Roman" w:cs="Times New Roman"/>
        </w:rPr>
        <w:lastRenderedPageBreak/>
        <w:t>that these approaches theorize understanding at an inadequate level asking for more demanding intellectual capabilities than are involved in the act of understanding.  In Kelp’s words: “The intellectual demands they place on understanding - knowledge of an explanation - are unrealistically high. Less sophisticated cognitive achievements can qualify as understanding” (Kelp 2015: 3801). In case of the explanationist accounts this might be clear since the grasping of a full-blown explanation is needed to gain understanding. In case of de Regt’s manipulationist account</w:t>
      </w:r>
      <w:r>
        <w:rPr>
          <w:rFonts w:ascii="Times New Roman" w:hAnsi="Times New Roman" w:cs="Times New Roman"/>
        </w:rPr>
        <w:t>,</w:t>
      </w:r>
      <w:r w:rsidRPr="00163254">
        <w:rPr>
          <w:rFonts w:ascii="Times New Roman" w:hAnsi="Times New Roman" w:cs="Times New Roman"/>
        </w:rPr>
        <w:t xml:space="preserve"> the invocation of a scientific theory and the related skills needed to apply it supports </w:t>
      </w:r>
      <w:r>
        <w:rPr>
          <w:rFonts w:ascii="Times New Roman" w:hAnsi="Times New Roman" w:cs="Times New Roman"/>
        </w:rPr>
        <w:t>Kelp’s criticism</w:t>
      </w:r>
      <w:r w:rsidRPr="00163254">
        <w:rPr>
          <w:rFonts w:ascii="Times New Roman" w:hAnsi="Times New Roman" w:cs="Times New Roman"/>
        </w:rPr>
        <w:t>. It is less clear in Wilkenfeld’s case whose theory construes understanding as manipulation of a representation in a quite broad and unspecified way.</w:t>
      </w:r>
      <w:r w:rsidRPr="00163254">
        <w:rPr>
          <w:rStyle w:val="FootnoteReference"/>
          <w:rFonts w:ascii="Times New Roman" w:hAnsi="Times New Roman" w:cs="Times New Roman"/>
        </w:rPr>
        <w:footnoteReference w:id="7"/>
      </w:r>
    </w:p>
    <w:p w14:paraId="23677618" w14:textId="7B6EA937" w:rsidR="002E1AEA" w:rsidRPr="00163254" w:rsidRDefault="002E1AEA" w:rsidP="002E1AEA">
      <w:pPr>
        <w:autoSpaceDE w:val="0"/>
        <w:autoSpaceDN w:val="0"/>
        <w:adjustRightInd w:val="0"/>
        <w:rPr>
          <w:rFonts w:ascii="Times New Roman" w:hAnsi="Times New Roman" w:cs="Times New Roman"/>
        </w:rPr>
      </w:pPr>
      <w:bookmarkStart w:id="2" w:name="_Hlk62991745"/>
      <w:r w:rsidRPr="00163254">
        <w:rPr>
          <w:rFonts w:ascii="Times New Roman" w:hAnsi="Times New Roman" w:cs="Times New Roman"/>
        </w:rPr>
        <w:t xml:space="preserve">Kelp’s </w:t>
      </w:r>
      <w:r w:rsidR="000F4C6E">
        <w:rPr>
          <w:rFonts w:ascii="Times New Roman" w:hAnsi="Times New Roman" w:cs="Times New Roman"/>
        </w:rPr>
        <w:t xml:space="preserve">theory of understanding </w:t>
      </w:r>
      <w:r w:rsidRPr="00163254">
        <w:rPr>
          <w:rFonts w:ascii="Times New Roman" w:hAnsi="Times New Roman" w:cs="Times New Roman"/>
        </w:rPr>
        <w:t>is intended to overcome the limitations of the other approaches including the one of overintellectualisation. His account is articulated in three main steps defining maximal understanding (MAX-U), degrees of understanding (DEG-U) and outright understanding (OUT-U). Maximal understanding of a phenomenon P is attributed to someone who has “fully comprehensive and maximally well-connected knowledge of a phenomenon P” (Kelp 2015: 3811)</w:t>
      </w:r>
      <w:r w:rsidRPr="00163254">
        <w:rPr>
          <w:rFonts w:ascii="Times New Roman" w:hAnsi="Times New Roman" w:cs="Times New Roman"/>
          <w:sz w:val="20"/>
          <w:szCs w:val="20"/>
        </w:rPr>
        <w:t>.</w:t>
      </w:r>
      <w:r w:rsidRPr="00163254">
        <w:rPr>
          <w:rFonts w:ascii="Times New Roman" w:hAnsi="Times New Roman" w:cs="Times New Roman"/>
          <w:i/>
          <w:iCs/>
        </w:rPr>
        <w:t xml:space="preserve"> </w:t>
      </w:r>
      <w:r w:rsidRPr="00163254">
        <w:rPr>
          <w:rFonts w:ascii="Times New Roman" w:hAnsi="Times New Roman" w:cs="Times New Roman"/>
        </w:rPr>
        <w:t xml:space="preserve">In the next step, different degrees of understanding of P are modeled as a function of distance from this maximal state of knowledge. The last step introduces a contextually variable threshold of distance from maximal understanding and characterizes outright understanding of P in a context c </w:t>
      </w:r>
      <w:r>
        <w:rPr>
          <w:rFonts w:ascii="Times New Roman" w:hAnsi="Times New Roman" w:cs="Times New Roman"/>
        </w:rPr>
        <w:t xml:space="preserve">of a subject S </w:t>
      </w:r>
      <w:r w:rsidRPr="00163254">
        <w:rPr>
          <w:rFonts w:ascii="Times New Roman" w:hAnsi="Times New Roman" w:cs="Times New Roman"/>
        </w:rPr>
        <w:t>if “</w:t>
      </w:r>
      <w:r w:rsidRPr="00163254">
        <w:rPr>
          <w:rFonts w:ascii="Times New Roman" w:hAnsi="Times New Roman" w:cs="Times New Roman"/>
          <w:i/>
          <w:iCs/>
        </w:rPr>
        <w:t xml:space="preserve">S </w:t>
      </w:r>
      <w:r w:rsidRPr="00163254">
        <w:rPr>
          <w:rFonts w:ascii="Times New Roman" w:hAnsi="Times New Roman" w:cs="Times New Roman"/>
        </w:rPr>
        <w:t xml:space="preserve">approximates fully comprehensive and maximally well-connected knowledge of </w:t>
      </w:r>
      <w:r w:rsidRPr="00163254">
        <w:rPr>
          <w:rFonts w:ascii="Times New Roman" w:hAnsi="Times New Roman" w:cs="Times New Roman"/>
          <w:i/>
          <w:iCs/>
        </w:rPr>
        <w:t xml:space="preserve">P </w:t>
      </w:r>
      <w:r w:rsidRPr="00163254">
        <w:rPr>
          <w:rFonts w:ascii="Times New Roman" w:hAnsi="Times New Roman" w:cs="Times New Roman"/>
        </w:rPr>
        <w:t xml:space="preserve">closely enough to be such that </w:t>
      </w:r>
      <w:r w:rsidRPr="00163254">
        <w:rPr>
          <w:rFonts w:ascii="Times New Roman" w:hAnsi="Times New Roman" w:cs="Times New Roman"/>
          <w:i/>
          <w:iCs/>
        </w:rPr>
        <w:t xml:space="preserve">S </w:t>
      </w:r>
      <w:r w:rsidRPr="00163254">
        <w:rPr>
          <w:rFonts w:ascii="Times New Roman" w:hAnsi="Times New Roman" w:cs="Times New Roman"/>
        </w:rPr>
        <w:t xml:space="preserve">would (be sufficiently likely to) successfully perform any task concerning </w:t>
      </w:r>
      <w:r w:rsidRPr="00163254">
        <w:rPr>
          <w:rFonts w:ascii="Times New Roman" w:hAnsi="Times New Roman" w:cs="Times New Roman"/>
          <w:i/>
          <w:iCs/>
        </w:rPr>
        <w:t xml:space="preserve">P </w:t>
      </w:r>
      <w:r w:rsidRPr="00163254">
        <w:rPr>
          <w:rFonts w:ascii="Times New Roman" w:hAnsi="Times New Roman" w:cs="Times New Roman"/>
        </w:rPr>
        <w:t xml:space="preserve">determined by </w:t>
      </w:r>
      <w:r w:rsidRPr="00163254">
        <w:rPr>
          <w:rFonts w:ascii="Times New Roman" w:hAnsi="Times New Roman" w:cs="Times New Roman"/>
          <w:i/>
          <w:iCs/>
        </w:rPr>
        <w:t>c</w:t>
      </w:r>
      <w:r w:rsidRPr="00163254">
        <w:rPr>
          <w:rFonts w:ascii="Times New Roman" w:hAnsi="Times New Roman" w:cs="Times New Roman"/>
        </w:rPr>
        <w:t xml:space="preserve">, if, in addition, </w:t>
      </w:r>
      <w:r w:rsidRPr="00163254">
        <w:rPr>
          <w:rFonts w:ascii="Times New Roman" w:hAnsi="Times New Roman" w:cs="Times New Roman"/>
          <w:i/>
          <w:iCs/>
        </w:rPr>
        <w:t xml:space="preserve">S </w:t>
      </w:r>
      <w:r w:rsidRPr="00163254">
        <w:rPr>
          <w:rFonts w:ascii="Times New Roman" w:hAnsi="Times New Roman" w:cs="Times New Roman"/>
        </w:rPr>
        <w:t>were to have the skills needed to do so and to exercise them in suitably favorable conditions”</w:t>
      </w:r>
      <w:r>
        <w:rPr>
          <w:rFonts w:ascii="Times New Roman" w:hAnsi="Times New Roman" w:cs="Times New Roman"/>
        </w:rPr>
        <w:t xml:space="preserve"> </w:t>
      </w:r>
      <w:r w:rsidRPr="00163254">
        <w:rPr>
          <w:rFonts w:ascii="Times New Roman" w:hAnsi="Times New Roman" w:cs="Times New Roman"/>
        </w:rPr>
        <w:t xml:space="preserve">(Kelp 2015: 3813). </w:t>
      </w:r>
    </w:p>
    <w:p w14:paraId="66B1BB88" w14:textId="7A204FDD" w:rsidR="006A2575" w:rsidRDefault="006A2575" w:rsidP="00F302DD">
      <w:pPr>
        <w:autoSpaceDE w:val="0"/>
        <w:autoSpaceDN w:val="0"/>
        <w:adjustRightInd w:val="0"/>
        <w:rPr>
          <w:rFonts w:ascii="Times New Roman" w:hAnsi="Times New Roman" w:cs="Times New Roman"/>
        </w:rPr>
      </w:pPr>
      <w:r w:rsidRPr="00163254">
        <w:rPr>
          <w:rFonts w:ascii="Times New Roman" w:hAnsi="Times New Roman" w:cs="Times New Roman"/>
        </w:rPr>
        <w:t>I argue that Kelp’s account is reaching its intended goal only to a certain degree and fails to provide a</w:t>
      </w:r>
      <w:r>
        <w:rPr>
          <w:rFonts w:ascii="Times New Roman" w:hAnsi="Times New Roman" w:cs="Times New Roman"/>
        </w:rPr>
        <w:t xml:space="preserve"> final</w:t>
      </w:r>
      <w:r w:rsidRPr="00163254">
        <w:rPr>
          <w:rFonts w:ascii="Times New Roman" w:hAnsi="Times New Roman" w:cs="Times New Roman"/>
        </w:rPr>
        <w:t xml:space="preserve"> answer to Lipton’s challenges. His theory escapes the shortcoming he identifies in the other approaches: the overintellectualisation, the reference to an ‘all inclusive’ notion of representation as in Winkelfeld’s theory </w:t>
      </w:r>
      <w:r w:rsidR="00BA3AEC">
        <w:rPr>
          <w:rFonts w:ascii="Times New Roman" w:hAnsi="Times New Roman" w:cs="Times New Roman"/>
        </w:rPr>
        <w:t>or</w:t>
      </w:r>
      <w:r w:rsidRPr="00163254">
        <w:rPr>
          <w:rFonts w:ascii="Times New Roman" w:hAnsi="Times New Roman" w:cs="Times New Roman"/>
        </w:rPr>
        <w:t xml:space="preserve"> Khalifa’s wrong choice </w:t>
      </w:r>
      <w:r>
        <w:rPr>
          <w:rFonts w:ascii="Times New Roman" w:hAnsi="Times New Roman" w:cs="Times New Roman"/>
        </w:rPr>
        <w:t>for</w:t>
      </w:r>
      <w:r w:rsidRPr="00163254">
        <w:rPr>
          <w:rFonts w:ascii="Times New Roman" w:hAnsi="Times New Roman" w:cs="Times New Roman"/>
        </w:rPr>
        <w:t xml:space="preserve"> the ideal standard for understanding. </w:t>
      </w:r>
      <w:r w:rsidR="00AF6824" w:rsidRPr="00163254">
        <w:rPr>
          <w:rFonts w:ascii="Times New Roman" w:hAnsi="Times New Roman" w:cs="Times New Roman"/>
        </w:rPr>
        <w:t>Therefore,</w:t>
      </w:r>
      <w:r w:rsidRPr="00163254">
        <w:rPr>
          <w:rFonts w:ascii="Times New Roman" w:hAnsi="Times New Roman" w:cs="Times New Roman"/>
        </w:rPr>
        <w:t xml:space="preserve"> one might see his account as providing a viable epistemological solution where all the other failed. Nevertheless</w:t>
      </w:r>
      <w:r>
        <w:rPr>
          <w:rFonts w:ascii="Times New Roman" w:hAnsi="Times New Roman" w:cs="Times New Roman"/>
        </w:rPr>
        <w:t>,</w:t>
      </w:r>
      <w:r w:rsidRPr="00163254">
        <w:rPr>
          <w:rFonts w:ascii="Times New Roman" w:hAnsi="Times New Roman" w:cs="Times New Roman"/>
        </w:rPr>
        <w:t xml:space="preserve"> regarding the challenges that Lipton’s example rise it fails short to meet them as </w:t>
      </w:r>
      <w:r>
        <w:rPr>
          <w:rFonts w:ascii="Times New Roman" w:hAnsi="Times New Roman" w:cs="Times New Roman"/>
        </w:rPr>
        <w:t>my argument goes</w:t>
      </w:r>
      <w:r w:rsidRPr="00163254">
        <w:rPr>
          <w:rFonts w:ascii="Times New Roman" w:hAnsi="Times New Roman" w:cs="Times New Roman"/>
        </w:rPr>
        <w:t>.</w:t>
      </w:r>
    </w:p>
    <w:p w14:paraId="13A69C9B" w14:textId="39B04845" w:rsidR="006A2575" w:rsidRPr="00163254" w:rsidRDefault="006A2575" w:rsidP="006A2575">
      <w:pPr>
        <w:autoSpaceDE w:val="0"/>
        <w:autoSpaceDN w:val="0"/>
        <w:adjustRightInd w:val="0"/>
        <w:rPr>
          <w:rFonts w:ascii="Times New Roman" w:hAnsi="Times New Roman" w:cs="Times New Roman"/>
        </w:rPr>
      </w:pPr>
      <w:r w:rsidRPr="00163254">
        <w:rPr>
          <w:rFonts w:ascii="Times New Roman" w:hAnsi="Times New Roman" w:cs="Times New Roman"/>
        </w:rPr>
        <w:t xml:space="preserve">His theory is intended to accommodate Lipton’s examples, but this is done in a too general and unfruitful way. Through DEG-U he avoids the overintellectualisation making room for lower non- demanding forms of understanding as instantiated in Lipton’s examples and through the OUT-U step it should capture the variety of these UwE, seen as instances of ‘outright understanding’. But </w:t>
      </w:r>
      <w:r>
        <w:rPr>
          <w:rFonts w:ascii="Times New Roman" w:hAnsi="Times New Roman" w:cs="Times New Roman"/>
        </w:rPr>
        <w:t xml:space="preserve">applying </w:t>
      </w:r>
      <w:r w:rsidRPr="00163254">
        <w:rPr>
          <w:rFonts w:ascii="Times New Roman" w:hAnsi="Times New Roman" w:cs="Times New Roman"/>
        </w:rPr>
        <w:t xml:space="preserve">the OUT-U </w:t>
      </w:r>
      <w:r>
        <w:rPr>
          <w:rFonts w:ascii="Times New Roman" w:hAnsi="Times New Roman" w:cs="Times New Roman"/>
        </w:rPr>
        <w:t>to</w:t>
      </w:r>
      <w:r w:rsidRPr="00163254">
        <w:rPr>
          <w:rFonts w:ascii="Times New Roman" w:hAnsi="Times New Roman" w:cs="Times New Roman"/>
        </w:rPr>
        <w:t xml:space="preserve"> Lipton’s examples </w:t>
      </w:r>
      <w:r>
        <w:rPr>
          <w:rFonts w:ascii="Times New Roman" w:hAnsi="Times New Roman" w:cs="Times New Roman"/>
        </w:rPr>
        <w:t xml:space="preserve">does not clarify further </w:t>
      </w:r>
      <w:r w:rsidRPr="00163254">
        <w:rPr>
          <w:rFonts w:ascii="Times New Roman" w:hAnsi="Times New Roman" w:cs="Times New Roman"/>
        </w:rPr>
        <w:t xml:space="preserve">UwE. For example, the UwE gained through implicit causal knowledge might identify the successful performance with the successful manipulation of the system; but the other cases of UwE as the one through visual means or the one through the possible </w:t>
      </w:r>
      <w:r w:rsidRPr="00163254">
        <w:rPr>
          <w:rFonts w:ascii="Times New Roman" w:hAnsi="Times New Roman" w:cs="Times New Roman"/>
        </w:rPr>
        <w:lastRenderedPageBreak/>
        <w:t>explanations are opaque through OUT-U</w:t>
      </w:r>
      <w:r w:rsidRPr="00163254">
        <w:rPr>
          <w:rStyle w:val="FootnoteReference"/>
          <w:rFonts w:ascii="Times New Roman" w:hAnsi="Times New Roman" w:cs="Times New Roman"/>
        </w:rPr>
        <w:footnoteReference w:id="8"/>
      </w:r>
      <w:r w:rsidRPr="00163254">
        <w:rPr>
          <w:rFonts w:ascii="Times New Roman" w:hAnsi="Times New Roman" w:cs="Times New Roman"/>
        </w:rPr>
        <w:t>. It does not give us a clue of what could be the tasks successful performed in the different contexts</w:t>
      </w:r>
      <w:r w:rsidR="00BA3AEC">
        <w:rPr>
          <w:rFonts w:ascii="Times New Roman" w:hAnsi="Times New Roman" w:cs="Times New Roman"/>
        </w:rPr>
        <w:t>.</w:t>
      </w:r>
      <w:r w:rsidRPr="00163254">
        <w:rPr>
          <w:rFonts w:ascii="Times New Roman" w:hAnsi="Times New Roman" w:cs="Times New Roman"/>
        </w:rPr>
        <w:t xml:space="preserve"> It fails therefore to discriminate </w:t>
      </w:r>
      <w:r w:rsidR="00BA3AEC">
        <w:rPr>
          <w:rFonts w:ascii="Times New Roman" w:hAnsi="Times New Roman" w:cs="Times New Roman"/>
        </w:rPr>
        <w:t>and</w:t>
      </w:r>
      <w:r w:rsidRPr="00163254">
        <w:rPr>
          <w:rFonts w:ascii="Times New Roman" w:hAnsi="Times New Roman" w:cs="Times New Roman"/>
        </w:rPr>
        <w:t xml:space="preserve"> characterize these forms in a way that should provide insights in their particularity. Therefore, from the perspective of an inquirer in philosophy of science it fails to provide a satisfactory tool for inquiry on understanding in scientific contexts.</w:t>
      </w:r>
    </w:p>
    <w:bookmarkEnd w:id="2"/>
    <w:p w14:paraId="10FC4EE5" w14:textId="43AD9182" w:rsidR="006A2575" w:rsidRDefault="006A2575" w:rsidP="00A86657">
      <w:pPr>
        <w:autoSpaceDE w:val="0"/>
        <w:autoSpaceDN w:val="0"/>
        <w:adjustRightInd w:val="0"/>
        <w:rPr>
          <w:rFonts w:ascii="Times New Roman" w:hAnsi="Times New Roman" w:cs="Times New Roman"/>
        </w:rPr>
      </w:pPr>
      <w:r>
        <w:rPr>
          <w:rFonts w:ascii="Times New Roman" w:hAnsi="Times New Roman" w:cs="Times New Roman"/>
        </w:rPr>
        <w:t xml:space="preserve">On the one hand, </w:t>
      </w:r>
      <w:r w:rsidRPr="00163254">
        <w:rPr>
          <w:rFonts w:ascii="Times New Roman" w:hAnsi="Times New Roman" w:cs="Times New Roman"/>
        </w:rPr>
        <w:t xml:space="preserve">Kelp’s overintellectualisation </w:t>
      </w:r>
      <w:r w:rsidR="002F6D53">
        <w:rPr>
          <w:rFonts w:ascii="Times New Roman" w:hAnsi="Times New Roman" w:cs="Times New Roman"/>
        </w:rPr>
        <w:t xml:space="preserve">interpretation </w:t>
      </w:r>
      <w:r w:rsidRPr="00163254">
        <w:rPr>
          <w:rFonts w:ascii="Times New Roman" w:hAnsi="Times New Roman" w:cs="Times New Roman"/>
        </w:rPr>
        <w:t xml:space="preserve">and his request for allowing “less sophisticated cognitive achievements’ to provide understanding </w:t>
      </w:r>
      <w:r>
        <w:rPr>
          <w:rFonts w:ascii="Times New Roman" w:hAnsi="Times New Roman" w:cs="Times New Roman"/>
        </w:rPr>
        <w:t xml:space="preserve">widely </w:t>
      </w:r>
      <w:r w:rsidRPr="00163254">
        <w:rPr>
          <w:rFonts w:ascii="Times New Roman" w:hAnsi="Times New Roman" w:cs="Times New Roman"/>
        </w:rPr>
        <w:t xml:space="preserve">opens the possibility </w:t>
      </w:r>
      <w:r>
        <w:rPr>
          <w:rFonts w:ascii="Times New Roman" w:hAnsi="Times New Roman" w:cs="Times New Roman"/>
        </w:rPr>
        <w:t xml:space="preserve">of distancing ourselves </w:t>
      </w:r>
      <w:r w:rsidRPr="00163254">
        <w:rPr>
          <w:rFonts w:ascii="Times New Roman" w:hAnsi="Times New Roman" w:cs="Times New Roman"/>
        </w:rPr>
        <w:t>from an explanation-centered approach on understanding. In fact</w:t>
      </w:r>
      <w:r>
        <w:rPr>
          <w:rFonts w:ascii="Times New Roman" w:hAnsi="Times New Roman" w:cs="Times New Roman"/>
        </w:rPr>
        <w:t>,</w:t>
      </w:r>
      <w:r w:rsidRPr="00163254">
        <w:rPr>
          <w:rFonts w:ascii="Times New Roman" w:hAnsi="Times New Roman" w:cs="Times New Roman"/>
        </w:rPr>
        <w:t xml:space="preserve"> the threat </w:t>
      </w:r>
      <w:r>
        <w:rPr>
          <w:rFonts w:ascii="Times New Roman" w:hAnsi="Times New Roman" w:cs="Times New Roman"/>
        </w:rPr>
        <w:t>to</w:t>
      </w:r>
      <w:r w:rsidRPr="00163254">
        <w:rPr>
          <w:rFonts w:ascii="Times New Roman" w:hAnsi="Times New Roman" w:cs="Times New Roman"/>
        </w:rPr>
        <w:t xml:space="preserve"> </w:t>
      </w:r>
      <w:r>
        <w:rPr>
          <w:rFonts w:ascii="Times New Roman" w:hAnsi="Times New Roman" w:cs="Times New Roman"/>
        </w:rPr>
        <w:t xml:space="preserve">explanationism </w:t>
      </w:r>
      <w:r w:rsidRPr="00163254">
        <w:rPr>
          <w:rFonts w:ascii="Times New Roman" w:hAnsi="Times New Roman" w:cs="Times New Roman"/>
        </w:rPr>
        <w:t xml:space="preserve">relies exactly in this move that </w:t>
      </w:r>
      <w:r w:rsidRPr="00FE24B4">
        <w:rPr>
          <w:rFonts w:ascii="Times New Roman" w:hAnsi="Times New Roman" w:cs="Times New Roman"/>
        </w:rPr>
        <w:t xml:space="preserve">undercuts </w:t>
      </w:r>
      <w:r w:rsidR="002F6D53">
        <w:rPr>
          <w:rFonts w:ascii="Times New Roman" w:hAnsi="Times New Roman" w:cs="Times New Roman"/>
        </w:rPr>
        <w:t>the</w:t>
      </w:r>
      <w:r w:rsidRPr="00FE24B4">
        <w:rPr>
          <w:rFonts w:ascii="Times New Roman" w:hAnsi="Times New Roman" w:cs="Times New Roman"/>
        </w:rPr>
        <w:t xml:space="preserve"> inquiry from the ‘safety’ way of unfolding in the shadow of the explanation.</w:t>
      </w:r>
      <w:r w:rsidRPr="00163254">
        <w:rPr>
          <w:rFonts w:ascii="Times New Roman" w:hAnsi="Times New Roman" w:cs="Times New Roman"/>
          <w:i/>
          <w:iCs/>
        </w:rPr>
        <w:t xml:space="preserve"> </w:t>
      </w:r>
      <w:r>
        <w:rPr>
          <w:rFonts w:ascii="Times New Roman" w:hAnsi="Times New Roman" w:cs="Times New Roman"/>
        </w:rPr>
        <w:t>O</w:t>
      </w:r>
      <w:r w:rsidRPr="00163254">
        <w:rPr>
          <w:rFonts w:ascii="Times New Roman" w:hAnsi="Times New Roman" w:cs="Times New Roman"/>
        </w:rPr>
        <w:t xml:space="preserve">n the other </w:t>
      </w:r>
      <w:r>
        <w:rPr>
          <w:rFonts w:ascii="Times New Roman" w:hAnsi="Times New Roman" w:cs="Times New Roman"/>
        </w:rPr>
        <w:t>hand,</w:t>
      </w:r>
      <w:r w:rsidRPr="00163254">
        <w:rPr>
          <w:rFonts w:ascii="Times New Roman" w:hAnsi="Times New Roman" w:cs="Times New Roman"/>
        </w:rPr>
        <w:t xml:space="preserve"> Kelp’s account does n</w:t>
      </w:r>
      <w:r>
        <w:rPr>
          <w:rFonts w:ascii="Times New Roman" w:hAnsi="Times New Roman" w:cs="Times New Roman"/>
        </w:rPr>
        <w:t>o</w:t>
      </w:r>
      <w:r w:rsidRPr="00163254">
        <w:rPr>
          <w:rFonts w:ascii="Times New Roman" w:hAnsi="Times New Roman" w:cs="Times New Roman"/>
        </w:rPr>
        <w:t xml:space="preserve">t give us either any clue </w:t>
      </w:r>
      <w:r>
        <w:rPr>
          <w:rFonts w:ascii="Times New Roman" w:hAnsi="Times New Roman" w:cs="Times New Roman"/>
        </w:rPr>
        <w:t xml:space="preserve">on </w:t>
      </w:r>
      <w:r w:rsidRPr="00163254">
        <w:rPr>
          <w:rFonts w:ascii="Times New Roman" w:hAnsi="Times New Roman" w:cs="Times New Roman"/>
        </w:rPr>
        <w:t xml:space="preserve">how to approach </w:t>
      </w:r>
      <w:r>
        <w:rPr>
          <w:rFonts w:ascii="Times New Roman" w:hAnsi="Times New Roman" w:cs="Times New Roman"/>
        </w:rPr>
        <w:t xml:space="preserve">Lipton’s </w:t>
      </w:r>
      <w:r w:rsidRPr="00163254">
        <w:rPr>
          <w:rFonts w:ascii="Times New Roman" w:hAnsi="Times New Roman" w:cs="Times New Roman"/>
        </w:rPr>
        <w:t xml:space="preserve">examples and does not provide the necessary power and resolution of getting useful insights in concrete scientific knowledge building contexts. This inability to provide proper resources to deal with concrete cases in scientific activity might be due </w:t>
      </w:r>
      <w:r>
        <w:rPr>
          <w:rFonts w:ascii="Times New Roman" w:hAnsi="Times New Roman" w:cs="Times New Roman"/>
        </w:rPr>
        <w:t xml:space="preserve">to </w:t>
      </w:r>
      <w:r w:rsidRPr="00163254">
        <w:rPr>
          <w:rFonts w:ascii="Times New Roman" w:hAnsi="Times New Roman" w:cs="Times New Roman"/>
        </w:rPr>
        <w:t>a wrong methodological take</w:t>
      </w:r>
      <w:r>
        <w:rPr>
          <w:rFonts w:ascii="Times New Roman" w:hAnsi="Times New Roman" w:cs="Times New Roman"/>
        </w:rPr>
        <w:t>,</w:t>
      </w:r>
      <w:r w:rsidRPr="00163254">
        <w:rPr>
          <w:rFonts w:ascii="Times New Roman" w:hAnsi="Times New Roman" w:cs="Times New Roman"/>
        </w:rPr>
        <w:t xml:space="preserve"> as suggested further.</w:t>
      </w:r>
    </w:p>
    <w:p w14:paraId="62086DD8" w14:textId="40DF7BF0" w:rsidR="00B466DD" w:rsidRPr="00163254" w:rsidRDefault="006A2575" w:rsidP="00A86657">
      <w:pPr>
        <w:autoSpaceDE w:val="0"/>
        <w:autoSpaceDN w:val="0"/>
        <w:adjustRightInd w:val="0"/>
        <w:rPr>
          <w:rFonts w:ascii="Times New Roman" w:hAnsi="Times New Roman" w:cs="Times New Roman"/>
        </w:rPr>
      </w:pPr>
      <w:r w:rsidRPr="00163254">
        <w:rPr>
          <w:rFonts w:ascii="Times New Roman" w:hAnsi="Times New Roman" w:cs="Times New Roman"/>
        </w:rPr>
        <w:t xml:space="preserve">In order to substantiate the last suspicion and support my early claim, I will recall some recent remarks provided by Dellsen (2018) in a review-analysis of the recent volume </w:t>
      </w:r>
      <w:r w:rsidRPr="00163254">
        <w:rPr>
          <w:rFonts w:ascii="Times New Roman" w:eastAsia="Times New Roman" w:hAnsi="Times New Roman" w:cs="Times New Roman"/>
          <w:i/>
          <w:iCs/>
        </w:rPr>
        <w:t>Explaining Understanding: New Perspectives from Epistemology and Philosophy of Science</w:t>
      </w:r>
      <w:r w:rsidRPr="00163254">
        <w:rPr>
          <w:rFonts w:ascii="Times New Roman" w:hAnsi="Times New Roman" w:cs="Times New Roman"/>
        </w:rPr>
        <w:t xml:space="preserve"> edited by Grimm, Baumberger and Ammon</w:t>
      </w:r>
      <w:r>
        <w:rPr>
          <w:rFonts w:ascii="Times New Roman" w:hAnsi="Times New Roman" w:cs="Times New Roman"/>
        </w:rPr>
        <w:t xml:space="preserve"> (2017)</w:t>
      </w:r>
      <w:r w:rsidRPr="00163254">
        <w:rPr>
          <w:rFonts w:ascii="Times New Roman" w:hAnsi="Times New Roman" w:cs="Times New Roman"/>
        </w:rPr>
        <w:t xml:space="preserve">. Dellsen exposes the failure of the </w:t>
      </w:r>
      <w:r>
        <w:rPr>
          <w:rFonts w:ascii="Times New Roman" w:hAnsi="Times New Roman" w:cs="Times New Roman"/>
        </w:rPr>
        <w:t>volume</w:t>
      </w:r>
      <w:r w:rsidRPr="00163254">
        <w:rPr>
          <w:rFonts w:ascii="Times New Roman" w:hAnsi="Times New Roman" w:cs="Times New Roman"/>
        </w:rPr>
        <w:t xml:space="preserve"> to fulfill its main intention</w:t>
      </w:r>
      <w:r>
        <w:rPr>
          <w:rFonts w:ascii="Times New Roman" w:hAnsi="Times New Roman" w:cs="Times New Roman"/>
        </w:rPr>
        <w:t>:</w:t>
      </w:r>
      <w:r w:rsidRPr="00163254">
        <w:rPr>
          <w:rFonts w:ascii="Times New Roman" w:hAnsi="Times New Roman" w:cs="Times New Roman"/>
        </w:rPr>
        <w:t xml:space="preserve"> bringing together the two main </w:t>
      </w:r>
      <w:r>
        <w:rPr>
          <w:rFonts w:ascii="Times New Roman" w:hAnsi="Times New Roman" w:cs="Times New Roman"/>
        </w:rPr>
        <w:t>approaches</w:t>
      </w:r>
      <w:r w:rsidRPr="00163254">
        <w:rPr>
          <w:rFonts w:ascii="Times New Roman" w:hAnsi="Times New Roman" w:cs="Times New Roman"/>
        </w:rPr>
        <w:t xml:space="preserve">: epistemology </w:t>
      </w:r>
      <w:r>
        <w:rPr>
          <w:rFonts w:ascii="Times New Roman" w:hAnsi="Times New Roman" w:cs="Times New Roman"/>
        </w:rPr>
        <w:t xml:space="preserve">and </w:t>
      </w:r>
      <w:r w:rsidRPr="00163254">
        <w:rPr>
          <w:rFonts w:ascii="Times New Roman" w:hAnsi="Times New Roman" w:cs="Times New Roman"/>
        </w:rPr>
        <w:t>philosophy of science. The gap is identified in the difference between the two methodologies. While philosophers of science develop ideas by appealing to specific aspects of scientific practice, epistemologists proceed by analyzing pre-theoretical epistemological concepts, as the one of understanding. The first will try to capture a concept suited for scientific practice meanwhile the last are targeting the ordinary concept of understanding. So</w:t>
      </w:r>
      <w:r>
        <w:rPr>
          <w:rFonts w:ascii="Times New Roman" w:hAnsi="Times New Roman" w:cs="Times New Roman"/>
        </w:rPr>
        <w:t xml:space="preserve">, </w:t>
      </w:r>
      <w:r w:rsidRPr="00163254">
        <w:rPr>
          <w:rFonts w:ascii="Times New Roman" w:hAnsi="Times New Roman" w:cs="Times New Roman"/>
        </w:rPr>
        <w:t xml:space="preserve">the danger raises by applying results to fit our pre-theoretical intuitions to explaining scientific practice. In fact, Dellsen </w:t>
      </w:r>
      <w:r>
        <w:rPr>
          <w:rFonts w:ascii="Times New Roman" w:hAnsi="Times New Roman" w:cs="Times New Roman"/>
        </w:rPr>
        <w:t xml:space="preserve">suspects that </w:t>
      </w:r>
      <w:r w:rsidRPr="00163254">
        <w:rPr>
          <w:rFonts w:ascii="Times New Roman" w:hAnsi="Times New Roman" w:cs="Times New Roman"/>
        </w:rPr>
        <w:t xml:space="preserve">Kelp’s contribution </w:t>
      </w:r>
      <w:r w:rsidR="002F6D53">
        <w:rPr>
          <w:rFonts w:ascii="Times New Roman" w:hAnsi="Times New Roman" w:cs="Times New Roman"/>
        </w:rPr>
        <w:t>in</w:t>
      </w:r>
      <w:r>
        <w:rPr>
          <w:rFonts w:ascii="Times New Roman" w:hAnsi="Times New Roman" w:cs="Times New Roman"/>
        </w:rPr>
        <w:t xml:space="preserve"> </w:t>
      </w:r>
      <w:r w:rsidRPr="00163254">
        <w:rPr>
          <w:rFonts w:ascii="Times New Roman" w:hAnsi="Times New Roman" w:cs="Times New Roman"/>
        </w:rPr>
        <w:t xml:space="preserve">the volume </w:t>
      </w:r>
      <w:r>
        <w:rPr>
          <w:rFonts w:ascii="Times New Roman" w:hAnsi="Times New Roman" w:cs="Times New Roman"/>
        </w:rPr>
        <w:t xml:space="preserve">does exactly this: he appeals to </w:t>
      </w:r>
      <w:r w:rsidRPr="00163254">
        <w:rPr>
          <w:rFonts w:ascii="Times New Roman" w:hAnsi="Times New Roman" w:cs="Times New Roman"/>
        </w:rPr>
        <w:t>a number of intuitive results about people showing a better understanding of a subject than others.</w:t>
      </w:r>
    </w:p>
    <w:p w14:paraId="4307E510" w14:textId="5793E100" w:rsidR="006A2575" w:rsidRDefault="006A2575" w:rsidP="00141B2C">
      <w:pPr>
        <w:autoSpaceDE w:val="0"/>
        <w:autoSpaceDN w:val="0"/>
        <w:adjustRightInd w:val="0"/>
        <w:rPr>
          <w:rFonts w:ascii="Times New Roman" w:hAnsi="Times New Roman" w:cs="Times New Roman"/>
        </w:rPr>
      </w:pPr>
      <w:r w:rsidRPr="00163254">
        <w:rPr>
          <w:rFonts w:ascii="Times New Roman" w:hAnsi="Times New Roman" w:cs="Times New Roman"/>
          <w:iCs/>
        </w:rPr>
        <w:t>I</w:t>
      </w:r>
      <w:r>
        <w:rPr>
          <w:rFonts w:ascii="Times New Roman" w:hAnsi="Times New Roman" w:cs="Times New Roman"/>
          <w:iCs/>
        </w:rPr>
        <w:t xml:space="preserve"> concur with Dellsen that </w:t>
      </w:r>
      <w:r w:rsidRPr="00163254">
        <w:rPr>
          <w:rFonts w:ascii="Times New Roman" w:hAnsi="Times New Roman" w:cs="Times New Roman"/>
          <w:iCs/>
        </w:rPr>
        <w:t xml:space="preserve">Kelp’s </w:t>
      </w:r>
      <w:r>
        <w:rPr>
          <w:rFonts w:ascii="Times New Roman" w:hAnsi="Times New Roman" w:cs="Times New Roman"/>
          <w:iCs/>
        </w:rPr>
        <w:t xml:space="preserve">solution is not </w:t>
      </w:r>
      <w:r w:rsidRPr="00163254">
        <w:rPr>
          <w:rFonts w:ascii="Times New Roman" w:hAnsi="Times New Roman" w:cs="Times New Roman"/>
          <w:iCs/>
        </w:rPr>
        <w:t xml:space="preserve">relevant </w:t>
      </w:r>
      <w:r>
        <w:rPr>
          <w:rFonts w:ascii="Times New Roman" w:hAnsi="Times New Roman" w:cs="Times New Roman"/>
          <w:iCs/>
        </w:rPr>
        <w:t xml:space="preserve">to </w:t>
      </w:r>
      <w:r w:rsidRPr="00163254">
        <w:rPr>
          <w:rFonts w:ascii="Times New Roman" w:hAnsi="Times New Roman" w:cs="Times New Roman"/>
          <w:iCs/>
        </w:rPr>
        <w:t xml:space="preserve">an investigation of understanding </w:t>
      </w:r>
      <w:r w:rsidRPr="00320178">
        <w:rPr>
          <w:rFonts w:ascii="Times New Roman" w:hAnsi="Times New Roman" w:cs="Times New Roman"/>
          <w:iCs/>
        </w:rPr>
        <w:t>in scientific contexts</w:t>
      </w:r>
      <w:r w:rsidRPr="00163254">
        <w:rPr>
          <w:rFonts w:ascii="Times New Roman" w:hAnsi="Times New Roman" w:cs="Times New Roman"/>
          <w:iCs/>
        </w:rPr>
        <w:t xml:space="preserve">. </w:t>
      </w:r>
      <w:r>
        <w:rPr>
          <w:rFonts w:ascii="Times New Roman" w:hAnsi="Times New Roman" w:cs="Times New Roman"/>
          <w:iCs/>
        </w:rPr>
        <w:t xml:space="preserve">I think it </w:t>
      </w:r>
      <w:r w:rsidRPr="00163254">
        <w:rPr>
          <w:rFonts w:ascii="Times New Roman" w:hAnsi="Times New Roman" w:cs="Times New Roman"/>
          <w:iCs/>
        </w:rPr>
        <w:t xml:space="preserve">fails to provide the necessary resolution to dissociate the diverse aspects of understanding in a scientific context and to be a starting point for </w:t>
      </w:r>
      <w:r>
        <w:rPr>
          <w:rFonts w:ascii="Times New Roman" w:hAnsi="Times New Roman" w:cs="Times New Roman"/>
          <w:iCs/>
        </w:rPr>
        <w:t xml:space="preserve">characterizing </w:t>
      </w:r>
      <w:r w:rsidRPr="00163254">
        <w:rPr>
          <w:rFonts w:ascii="Times New Roman" w:hAnsi="Times New Roman" w:cs="Times New Roman"/>
          <w:iCs/>
        </w:rPr>
        <w:t>different species of understanding at work in scientific practice.</w:t>
      </w:r>
      <w:r>
        <w:rPr>
          <w:rFonts w:ascii="Times New Roman" w:hAnsi="Times New Roman" w:cs="Times New Roman"/>
          <w:iCs/>
        </w:rPr>
        <w:t xml:space="preserve"> On the contrary, Lipton’s examples instantiate or are similar enough to such type of understanding. The challenge posed by Lipton’s examples are only partially rendered through the ‘overintellectualisation’</w:t>
      </w:r>
      <w:r w:rsidR="002F6D53">
        <w:rPr>
          <w:rFonts w:ascii="Times New Roman" w:hAnsi="Times New Roman" w:cs="Times New Roman"/>
          <w:iCs/>
        </w:rPr>
        <w:t xml:space="preserve"> avoidance</w:t>
      </w:r>
      <w:r>
        <w:rPr>
          <w:rFonts w:ascii="Times New Roman" w:hAnsi="Times New Roman" w:cs="Times New Roman"/>
          <w:iCs/>
        </w:rPr>
        <w:t xml:space="preserve"> request that Kelp claims to have met by his theory. The more demanding part and hard core of the challenge is to account for the species of understanding that </w:t>
      </w:r>
      <w:r>
        <w:rPr>
          <w:rFonts w:ascii="Times New Roman" w:hAnsi="Times New Roman" w:cs="Times New Roman"/>
          <w:iCs/>
        </w:rPr>
        <w:lastRenderedPageBreak/>
        <w:t xml:space="preserve">the examples instantiate. The </w:t>
      </w:r>
      <w:r w:rsidRPr="00163254">
        <w:rPr>
          <w:rFonts w:ascii="Times New Roman" w:hAnsi="Times New Roman" w:cs="Times New Roman"/>
          <w:iCs/>
        </w:rPr>
        <w:t>‘high-level’ approaches</w:t>
      </w:r>
      <w:r>
        <w:rPr>
          <w:rFonts w:ascii="Times New Roman" w:hAnsi="Times New Roman" w:cs="Times New Roman"/>
          <w:iCs/>
        </w:rPr>
        <w:t xml:space="preserve"> </w:t>
      </w:r>
      <w:r w:rsidR="002F6D53">
        <w:rPr>
          <w:rFonts w:ascii="Times New Roman" w:hAnsi="Times New Roman" w:cs="Times New Roman"/>
          <w:iCs/>
        </w:rPr>
        <w:t>to</w:t>
      </w:r>
      <w:r w:rsidRPr="00163254">
        <w:rPr>
          <w:rFonts w:ascii="Times New Roman" w:hAnsi="Times New Roman" w:cs="Times New Roman"/>
          <w:iCs/>
        </w:rPr>
        <w:t xml:space="preserve"> understanding </w:t>
      </w:r>
      <w:r>
        <w:rPr>
          <w:rFonts w:ascii="Times New Roman" w:hAnsi="Times New Roman" w:cs="Times New Roman"/>
          <w:iCs/>
        </w:rPr>
        <w:t xml:space="preserve">proffered </w:t>
      </w:r>
      <w:r w:rsidRPr="00163254">
        <w:rPr>
          <w:rFonts w:ascii="Times New Roman" w:hAnsi="Times New Roman" w:cs="Times New Roman"/>
          <w:iCs/>
        </w:rPr>
        <w:t xml:space="preserve">in philosophy of science </w:t>
      </w:r>
      <w:r>
        <w:rPr>
          <w:rFonts w:ascii="Times New Roman" w:hAnsi="Times New Roman" w:cs="Times New Roman"/>
          <w:iCs/>
        </w:rPr>
        <w:t xml:space="preserve">are </w:t>
      </w:r>
      <w:r w:rsidRPr="00163254">
        <w:rPr>
          <w:rFonts w:ascii="Times New Roman" w:hAnsi="Times New Roman" w:cs="Times New Roman"/>
          <w:iCs/>
        </w:rPr>
        <w:t xml:space="preserve">explanation-centered </w:t>
      </w:r>
      <w:r>
        <w:rPr>
          <w:rFonts w:ascii="Times New Roman" w:hAnsi="Times New Roman" w:cs="Times New Roman"/>
          <w:iCs/>
        </w:rPr>
        <w:t>and</w:t>
      </w:r>
      <w:r w:rsidRPr="00163254">
        <w:rPr>
          <w:rFonts w:ascii="Times New Roman" w:hAnsi="Times New Roman" w:cs="Times New Roman"/>
          <w:iCs/>
        </w:rPr>
        <w:t xml:space="preserve"> fail to do justice to the full-range of </w:t>
      </w:r>
      <w:r>
        <w:rPr>
          <w:rFonts w:ascii="Times New Roman" w:hAnsi="Times New Roman" w:cs="Times New Roman"/>
          <w:iCs/>
        </w:rPr>
        <w:t xml:space="preserve">types </w:t>
      </w:r>
      <w:r w:rsidRPr="00163254">
        <w:rPr>
          <w:rFonts w:ascii="Times New Roman" w:hAnsi="Times New Roman" w:cs="Times New Roman"/>
          <w:iCs/>
        </w:rPr>
        <w:t xml:space="preserve">of understanding. </w:t>
      </w:r>
      <w:r w:rsidRPr="00FF7C43">
        <w:rPr>
          <w:rFonts w:ascii="Times New Roman" w:hAnsi="Times New Roman" w:cs="Times New Roman"/>
        </w:rPr>
        <w:t>Therefore</w:t>
      </w:r>
      <w:r>
        <w:rPr>
          <w:rFonts w:ascii="Times New Roman" w:hAnsi="Times New Roman" w:cs="Times New Roman"/>
        </w:rPr>
        <w:t>,</w:t>
      </w:r>
      <w:r w:rsidRPr="00FF7C43">
        <w:rPr>
          <w:rFonts w:ascii="Times New Roman" w:hAnsi="Times New Roman" w:cs="Times New Roman"/>
        </w:rPr>
        <w:t xml:space="preserve"> the hard core of Lipton’s challenge remains open</w:t>
      </w:r>
      <w:r w:rsidR="002F6D53">
        <w:rPr>
          <w:rFonts w:ascii="Times New Roman" w:hAnsi="Times New Roman" w:cs="Times New Roman"/>
        </w:rPr>
        <w:t>.</w:t>
      </w:r>
    </w:p>
    <w:p w14:paraId="0BF14B0D" w14:textId="77777777" w:rsidR="006A2575" w:rsidRPr="00163254" w:rsidRDefault="006A2575" w:rsidP="006A2575">
      <w:pPr>
        <w:autoSpaceDE w:val="0"/>
        <w:autoSpaceDN w:val="0"/>
        <w:adjustRightInd w:val="0"/>
        <w:rPr>
          <w:rFonts w:ascii="Times New Roman" w:hAnsi="Times New Roman" w:cs="Times New Roman"/>
          <w:b/>
        </w:rPr>
      </w:pPr>
      <w:r w:rsidRPr="00163254">
        <w:rPr>
          <w:rFonts w:ascii="Times New Roman" w:hAnsi="Times New Roman" w:cs="Times New Roman"/>
          <w:iCs/>
        </w:rPr>
        <w:t xml:space="preserve">The above </w:t>
      </w:r>
      <w:r>
        <w:rPr>
          <w:rFonts w:ascii="Times New Roman" w:hAnsi="Times New Roman" w:cs="Times New Roman"/>
          <w:iCs/>
        </w:rPr>
        <w:t xml:space="preserve">view </w:t>
      </w:r>
      <w:r w:rsidRPr="00163254">
        <w:rPr>
          <w:rFonts w:ascii="Times New Roman" w:hAnsi="Times New Roman" w:cs="Times New Roman"/>
          <w:iCs/>
        </w:rPr>
        <w:t xml:space="preserve">will not be complete without a close </w:t>
      </w:r>
      <w:r>
        <w:rPr>
          <w:rFonts w:ascii="Times New Roman" w:hAnsi="Times New Roman" w:cs="Times New Roman"/>
          <w:iCs/>
        </w:rPr>
        <w:t>encounter</w:t>
      </w:r>
      <w:r w:rsidRPr="00163254">
        <w:rPr>
          <w:rFonts w:ascii="Times New Roman" w:hAnsi="Times New Roman" w:cs="Times New Roman"/>
          <w:iCs/>
        </w:rPr>
        <w:t xml:space="preserve"> with </w:t>
      </w:r>
      <w:r>
        <w:rPr>
          <w:rFonts w:ascii="Times New Roman" w:hAnsi="Times New Roman" w:cs="Times New Roman"/>
          <w:iCs/>
        </w:rPr>
        <w:t>the</w:t>
      </w:r>
      <w:r w:rsidRPr="00163254">
        <w:rPr>
          <w:rFonts w:ascii="Times New Roman" w:hAnsi="Times New Roman" w:cs="Times New Roman"/>
          <w:iCs/>
        </w:rPr>
        <w:t xml:space="preserve"> full</w:t>
      </w:r>
      <w:r>
        <w:rPr>
          <w:rFonts w:ascii="Times New Roman" w:hAnsi="Times New Roman" w:cs="Times New Roman"/>
          <w:iCs/>
        </w:rPr>
        <w:t>y</w:t>
      </w:r>
      <w:r w:rsidRPr="00163254">
        <w:rPr>
          <w:rFonts w:ascii="Times New Roman" w:hAnsi="Times New Roman" w:cs="Times New Roman"/>
          <w:iCs/>
        </w:rPr>
        <w:t xml:space="preserve">-articulated </w:t>
      </w:r>
      <w:r>
        <w:rPr>
          <w:rFonts w:ascii="Times New Roman" w:hAnsi="Times New Roman" w:cs="Times New Roman"/>
          <w:iCs/>
        </w:rPr>
        <w:t xml:space="preserve">explanation-centered </w:t>
      </w:r>
      <w:r w:rsidRPr="00163254">
        <w:rPr>
          <w:rFonts w:ascii="Times New Roman" w:hAnsi="Times New Roman" w:cs="Times New Roman"/>
          <w:iCs/>
        </w:rPr>
        <w:t xml:space="preserve">account </w:t>
      </w:r>
      <w:r>
        <w:rPr>
          <w:rFonts w:ascii="Times New Roman" w:hAnsi="Times New Roman" w:cs="Times New Roman"/>
          <w:iCs/>
        </w:rPr>
        <w:t xml:space="preserve">of understanding, the one which rebuts </w:t>
      </w:r>
      <w:r w:rsidRPr="00163254">
        <w:rPr>
          <w:rFonts w:ascii="Times New Roman" w:hAnsi="Times New Roman" w:cs="Times New Roman"/>
          <w:iCs/>
        </w:rPr>
        <w:t xml:space="preserve">the non-explanatory </w:t>
      </w:r>
      <w:r>
        <w:rPr>
          <w:rFonts w:ascii="Times New Roman" w:hAnsi="Times New Roman" w:cs="Times New Roman"/>
          <w:iCs/>
        </w:rPr>
        <w:t xml:space="preserve">type of understanding </w:t>
      </w:r>
      <w:r w:rsidRPr="00163254">
        <w:rPr>
          <w:rFonts w:ascii="Times New Roman" w:hAnsi="Times New Roman" w:cs="Times New Roman"/>
          <w:iCs/>
        </w:rPr>
        <w:t xml:space="preserve">and subsumes </w:t>
      </w:r>
      <w:r>
        <w:rPr>
          <w:rFonts w:ascii="Times New Roman" w:hAnsi="Times New Roman" w:cs="Times New Roman"/>
          <w:iCs/>
        </w:rPr>
        <w:t xml:space="preserve">any understanding to </w:t>
      </w:r>
      <w:r w:rsidRPr="00163254">
        <w:rPr>
          <w:rFonts w:ascii="Times New Roman" w:hAnsi="Times New Roman" w:cs="Times New Roman"/>
          <w:iCs/>
        </w:rPr>
        <w:t>explanation-centered approach</w:t>
      </w:r>
      <w:r>
        <w:rPr>
          <w:rFonts w:ascii="Times New Roman" w:hAnsi="Times New Roman" w:cs="Times New Roman"/>
          <w:iCs/>
        </w:rPr>
        <w:t>, and this is the plan of the following section</w:t>
      </w:r>
      <w:r w:rsidRPr="00163254">
        <w:rPr>
          <w:rFonts w:ascii="Times New Roman" w:hAnsi="Times New Roman" w:cs="Times New Roman"/>
          <w:iCs/>
        </w:rPr>
        <w:t>.</w:t>
      </w:r>
    </w:p>
    <w:p w14:paraId="08B29538" w14:textId="77777777" w:rsidR="00F15DD2" w:rsidRPr="001D2A80" w:rsidRDefault="00F15DD2" w:rsidP="008D1539">
      <w:pPr>
        <w:tabs>
          <w:tab w:val="center" w:pos="5040"/>
        </w:tabs>
        <w:autoSpaceDE w:val="0"/>
        <w:autoSpaceDN w:val="0"/>
        <w:adjustRightInd w:val="0"/>
        <w:rPr>
          <w:rFonts w:ascii="Times New Roman" w:hAnsi="Times New Roman" w:cs="Times New Roman"/>
          <w:b/>
          <w:color w:val="131413"/>
        </w:rPr>
      </w:pPr>
    </w:p>
    <w:p w14:paraId="46132869" w14:textId="77777777" w:rsidR="008D1539" w:rsidRPr="001D2A80" w:rsidRDefault="00F15DD2" w:rsidP="00F15DD2">
      <w:pPr>
        <w:tabs>
          <w:tab w:val="center" w:pos="5040"/>
        </w:tabs>
        <w:autoSpaceDE w:val="0"/>
        <w:autoSpaceDN w:val="0"/>
        <w:adjustRightInd w:val="0"/>
        <w:jc w:val="center"/>
        <w:rPr>
          <w:rFonts w:ascii="Times New Roman" w:hAnsi="Times New Roman" w:cs="Times New Roman"/>
          <w:b/>
          <w:color w:val="131413"/>
        </w:rPr>
      </w:pPr>
      <w:r w:rsidRPr="001D2A80">
        <w:rPr>
          <w:rFonts w:ascii="Times New Roman" w:hAnsi="Times New Roman" w:cs="Times New Roman"/>
          <w:b/>
          <w:color w:val="131413"/>
        </w:rPr>
        <w:t>REJECTING AN EXPLICIT CRITIQUE</w:t>
      </w:r>
    </w:p>
    <w:p w14:paraId="68021E48" w14:textId="77777777" w:rsidR="00F15DD2" w:rsidRDefault="00F15DD2" w:rsidP="00A86657">
      <w:pPr>
        <w:autoSpaceDE w:val="0"/>
        <w:autoSpaceDN w:val="0"/>
        <w:adjustRightInd w:val="0"/>
        <w:rPr>
          <w:rFonts w:ascii="Times New Roman" w:hAnsi="Times New Roman" w:cs="Times New Roman"/>
          <w:color w:val="131413"/>
        </w:rPr>
      </w:pPr>
    </w:p>
    <w:p w14:paraId="34509DB4" w14:textId="2FA3D4B2" w:rsidR="008D1539" w:rsidRPr="001D2A80" w:rsidRDefault="00AF6824" w:rsidP="00A86657">
      <w:pPr>
        <w:autoSpaceDE w:val="0"/>
        <w:autoSpaceDN w:val="0"/>
        <w:adjustRightInd w:val="0"/>
        <w:rPr>
          <w:rFonts w:ascii="Times New Roman" w:hAnsi="Times New Roman" w:cs="Times New Roman"/>
          <w:color w:val="131413"/>
        </w:rPr>
      </w:pPr>
      <w:r w:rsidRPr="001D2A80">
        <w:rPr>
          <w:rFonts w:ascii="Times New Roman" w:hAnsi="Times New Roman" w:cs="Times New Roman"/>
          <w:color w:val="131413"/>
        </w:rPr>
        <w:t xml:space="preserve">I will now turn to an explicit bold critique of Lipton’s position advanced by Khalifa. It is probably the most extensive articulated critique of Lipton’s proposal. I </w:t>
      </w:r>
      <w:r w:rsidR="004D6435">
        <w:rPr>
          <w:rFonts w:ascii="Times New Roman" w:hAnsi="Times New Roman" w:cs="Times New Roman"/>
          <w:color w:val="131413"/>
        </w:rPr>
        <w:t xml:space="preserve">will </w:t>
      </w:r>
      <w:r w:rsidRPr="001D2A80">
        <w:rPr>
          <w:rFonts w:ascii="Times New Roman" w:hAnsi="Times New Roman" w:cs="Times New Roman"/>
          <w:color w:val="131413"/>
        </w:rPr>
        <w:t xml:space="preserve">sketch a rejection of this critique, showing that Khalifa’s </w:t>
      </w:r>
      <w:r>
        <w:rPr>
          <w:rFonts w:ascii="Times New Roman" w:hAnsi="Times New Roman" w:cs="Times New Roman"/>
          <w:color w:val="131413"/>
        </w:rPr>
        <w:t>argument</w:t>
      </w:r>
      <w:r w:rsidRPr="001D2A80">
        <w:rPr>
          <w:rFonts w:ascii="Times New Roman" w:hAnsi="Times New Roman" w:cs="Times New Roman"/>
          <w:color w:val="131413"/>
        </w:rPr>
        <w:t xml:space="preserve"> </w:t>
      </w:r>
      <w:r>
        <w:rPr>
          <w:rFonts w:ascii="Times New Roman" w:hAnsi="Times New Roman" w:cs="Times New Roman"/>
          <w:color w:val="131413"/>
        </w:rPr>
        <w:t xml:space="preserve">misses the point </w:t>
      </w:r>
      <w:r w:rsidRPr="001D2A80">
        <w:rPr>
          <w:rFonts w:ascii="Times New Roman" w:hAnsi="Times New Roman" w:cs="Times New Roman"/>
          <w:color w:val="131413"/>
        </w:rPr>
        <w:t>and is not fulfilling its promise.</w:t>
      </w:r>
    </w:p>
    <w:p w14:paraId="22389147" w14:textId="70FC2F2A" w:rsidR="00AF6824" w:rsidRPr="001D2A80" w:rsidRDefault="00AF6824" w:rsidP="00AF6824">
      <w:pPr>
        <w:autoSpaceDE w:val="0"/>
        <w:autoSpaceDN w:val="0"/>
        <w:adjustRightInd w:val="0"/>
        <w:rPr>
          <w:rFonts w:ascii="Times New Roman" w:hAnsi="Times New Roman" w:cs="Times New Roman"/>
        </w:rPr>
      </w:pPr>
      <w:r w:rsidRPr="001D2A80">
        <w:rPr>
          <w:rFonts w:ascii="Times New Roman" w:hAnsi="Times New Roman" w:cs="Times New Roman"/>
          <w:color w:val="131413"/>
        </w:rPr>
        <w:t xml:space="preserve">Khalifa articulated his critique on non-explanatory understanding in his paper </w:t>
      </w:r>
      <w:r w:rsidRPr="001D2A80">
        <w:rPr>
          <w:rFonts w:ascii="Times New Roman" w:eastAsia="Times New Roman" w:hAnsi="Times New Roman" w:cs="Times New Roman"/>
          <w:i/>
          <w:iCs/>
        </w:rPr>
        <w:t xml:space="preserve">The Role of Explanation in Understanding </w:t>
      </w:r>
      <w:r w:rsidRPr="001D2A80">
        <w:rPr>
          <w:rFonts w:ascii="Times New Roman" w:eastAsia="Times New Roman" w:hAnsi="Times New Roman" w:cs="Times New Roman"/>
        </w:rPr>
        <w:t>(Khalifa 2013)</w:t>
      </w:r>
      <w:r w:rsidRPr="001D2A80">
        <w:rPr>
          <w:rFonts w:ascii="Times New Roman" w:hAnsi="Times New Roman" w:cs="Times New Roman"/>
          <w:color w:val="131413"/>
        </w:rPr>
        <w:t xml:space="preserve"> and reiterated it with some modifications in his 2017 book </w:t>
      </w:r>
      <w:r w:rsidRPr="001D2A80">
        <w:rPr>
          <w:rFonts w:ascii="Times New Roman" w:eastAsia="Times New Roman" w:hAnsi="Times New Roman" w:cs="Times New Roman"/>
          <w:i/>
          <w:iCs/>
        </w:rPr>
        <w:t xml:space="preserve">Understanding, Explanation, and Scientific Knowledge </w:t>
      </w:r>
      <w:r w:rsidRPr="001D2A80">
        <w:rPr>
          <w:rFonts w:ascii="Times New Roman" w:eastAsia="Times New Roman" w:hAnsi="Times New Roman" w:cs="Times New Roman"/>
        </w:rPr>
        <w:t>(Khalifa 2017)</w:t>
      </w:r>
      <w:r w:rsidRPr="001D2A80">
        <w:rPr>
          <w:rFonts w:ascii="Times New Roman" w:hAnsi="Times New Roman" w:cs="Times New Roman"/>
          <w:color w:val="131413"/>
        </w:rPr>
        <w:t>. His position is clear</w:t>
      </w:r>
      <w:r>
        <w:rPr>
          <w:rFonts w:ascii="Times New Roman" w:hAnsi="Times New Roman" w:cs="Times New Roman"/>
          <w:color w:val="131413"/>
        </w:rPr>
        <w:t>ly a</w:t>
      </w:r>
      <w:r w:rsidRPr="001D2A80">
        <w:rPr>
          <w:rFonts w:ascii="Times New Roman" w:hAnsi="Times New Roman" w:cs="Times New Roman"/>
          <w:color w:val="131413"/>
        </w:rPr>
        <w:t xml:space="preserve"> reductionist one</w:t>
      </w:r>
      <w:r>
        <w:rPr>
          <w:rFonts w:ascii="Times New Roman" w:hAnsi="Times New Roman" w:cs="Times New Roman"/>
          <w:color w:val="131413"/>
        </w:rPr>
        <w:t>,</w:t>
      </w:r>
      <w:r w:rsidRPr="001D2A80">
        <w:rPr>
          <w:rFonts w:ascii="Times New Roman" w:hAnsi="Times New Roman" w:cs="Times New Roman"/>
          <w:color w:val="131413"/>
        </w:rPr>
        <w:t xml:space="preserve"> denying any philosophical value to an approach to understanding decoupled from explanation. This is boldly formulated in his EMU thesis which states that “</w:t>
      </w:r>
      <w:r w:rsidRPr="001D2A80">
        <w:rPr>
          <w:rFonts w:ascii="Times New Roman" w:hAnsi="Times New Roman" w:cs="Times New Roman"/>
        </w:rPr>
        <w:t>Any philosophically relevant ideas about scientific understanding can be captured by philosophical ideas about the epistemology of scientific explanation without loss” (Khalifa 2012</w:t>
      </w:r>
      <w:r>
        <w:rPr>
          <w:rFonts w:ascii="Times New Roman" w:hAnsi="Times New Roman" w:cs="Times New Roman"/>
        </w:rPr>
        <w:t>,</w:t>
      </w:r>
      <w:r w:rsidRPr="001D2A80">
        <w:rPr>
          <w:rFonts w:ascii="Times New Roman" w:hAnsi="Times New Roman" w:cs="Times New Roman"/>
        </w:rPr>
        <w:t xml:space="preserve"> 17).</w:t>
      </w:r>
      <w:r w:rsidRPr="001D2A80">
        <w:rPr>
          <w:rFonts w:ascii="Times New Roman" w:hAnsi="Times New Roman" w:cs="Times New Roman"/>
          <w:color w:val="131413"/>
        </w:rPr>
        <w:t xml:space="preserve"> In his paper </w:t>
      </w:r>
      <w:r w:rsidRPr="001D2A80">
        <w:rPr>
          <w:rFonts w:ascii="Times New Roman" w:eastAsia="Times New Roman" w:hAnsi="Times New Roman" w:cs="Times New Roman"/>
          <w:i/>
          <w:iCs/>
        </w:rPr>
        <w:t>The Role of Explanation in Understanding</w:t>
      </w:r>
      <w:r w:rsidRPr="001D2A80">
        <w:rPr>
          <w:rFonts w:ascii="Times New Roman" w:hAnsi="Times New Roman" w:cs="Times New Roman"/>
          <w:color w:val="131413"/>
        </w:rPr>
        <w:t xml:space="preserve"> </w:t>
      </w:r>
      <w:r w:rsidRPr="001D2A80">
        <w:rPr>
          <w:rFonts w:ascii="Times New Roman" w:eastAsia="Times New Roman" w:hAnsi="Times New Roman" w:cs="Times New Roman"/>
        </w:rPr>
        <w:t>(Khalifa 2013)</w:t>
      </w:r>
      <w:r w:rsidRPr="001D2A80">
        <w:rPr>
          <w:rFonts w:ascii="Times New Roman" w:hAnsi="Times New Roman" w:cs="Times New Roman"/>
          <w:color w:val="131413"/>
        </w:rPr>
        <w:t xml:space="preserve"> he </w:t>
      </w:r>
      <w:r>
        <w:rPr>
          <w:rFonts w:ascii="Times New Roman" w:hAnsi="Times New Roman" w:cs="Times New Roman"/>
          <w:color w:val="131413"/>
        </w:rPr>
        <w:t xml:space="preserve">scrutinizes </w:t>
      </w:r>
      <w:r w:rsidRPr="001D2A80">
        <w:rPr>
          <w:rFonts w:ascii="Times New Roman" w:hAnsi="Times New Roman" w:cs="Times New Roman"/>
          <w:color w:val="131413"/>
        </w:rPr>
        <w:t>Lipton’s proposal by grounding his critique in what the calls ‘explanatory idealism’ which claims that “</w:t>
      </w:r>
      <w:r w:rsidRPr="001D2A80">
        <w:rPr>
          <w:rFonts w:ascii="Times New Roman" w:hAnsi="Times New Roman" w:cs="Times New Roman"/>
        </w:rPr>
        <w:t>other modes of understanding ought to be assessed by how well they replicate the understanding provided by knowledge of a good and correct explanation</w:t>
      </w:r>
      <w:r w:rsidRPr="001D2A80">
        <w:rPr>
          <w:rFonts w:ascii="Times New Roman" w:hAnsi="Times New Roman" w:cs="Times New Roman"/>
          <w:color w:val="131413"/>
        </w:rPr>
        <w:t xml:space="preserve">” </w:t>
      </w:r>
      <w:r w:rsidRPr="001D2A80">
        <w:rPr>
          <w:rFonts w:ascii="Times New Roman" w:eastAsia="Times New Roman" w:hAnsi="Times New Roman" w:cs="Times New Roman"/>
        </w:rPr>
        <w:t>(Khalifa 2013</w:t>
      </w:r>
      <w:r>
        <w:rPr>
          <w:rFonts w:ascii="Times New Roman" w:eastAsia="Times New Roman" w:hAnsi="Times New Roman" w:cs="Times New Roman"/>
        </w:rPr>
        <w:t>,</w:t>
      </w:r>
      <w:r w:rsidRPr="001D2A80">
        <w:rPr>
          <w:rFonts w:ascii="Times New Roman" w:eastAsia="Times New Roman" w:hAnsi="Times New Roman" w:cs="Times New Roman"/>
        </w:rPr>
        <w:t xml:space="preserve"> 2)</w:t>
      </w:r>
      <w:r w:rsidRPr="001D2A80">
        <w:rPr>
          <w:rFonts w:ascii="Times New Roman" w:hAnsi="Times New Roman" w:cs="Times New Roman"/>
          <w:color w:val="131413"/>
        </w:rPr>
        <w:t xml:space="preserve">. In the synthetic view articulated </w:t>
      </w:r>
      <w:r>
        <w:rPr>
          <w:rFonts w:ascii="Times New Roman" w:hAnsi="Times New Roman" w:cs="Times New Roman"/>
          <w:color w:val="131413"/>
        </w:rPr>
        <w:t xml:space="preserve">later </w:t>
      </w:r>
      <w:r w:rsidRPr="001D2A80">
        <w:rPr>
          <w:rFonts w:ascii="Times New Roman" w:hAnsi="Times New Roman" w:cs="Times New Roman"/>
          <w:color w:val="131413"/>
        </w:rPr>
        <w:t>in his book</w:t>
      </w:r>
      <w:r>
        <w:rPr>
          <w:rFonts w:ascii="Times New Roman" w:hAnsi="Times New Roman" w:cs="Times New Roman"/>
          <w:color w:val="131413"/>
        </w:rPr>
        <w:t xml:space="preserve"> (Khalifa 2017)</w:t>
      </w:r>
      <w:r w:rsidRPr="001D2A80">
        <w:rPr>
          <w:rFonts w:ascii="Times New Roman" w:hAnsi="Times New Roman" w:cs="Times New Roman"/>
          <w:color w:val="131413"/>
        </w:rPr>
        <w:t xml:space="preserve">, he re-centers the critique in the frame of his more </w:t>
      </w:r>
      <w:r>
        <w:rPr>
          <w:rFonts w:ascii="Times New Roman" w:hAnsi="Times New Roman" w:cs="Times New Roman"/>
          <w:color w:val="131413"/>
        </w:rPr>
        <w:t xml:space="preserve">complete </w:t>
      </w:r>
      <w:r w:rsidRPr="001D2A80">
        <w:rPr>
          <w:rFonts w:ascii="Times New Roman" w:hAnsi="Times New Roman" w:cs="Times New Roman"/>
          <w:color w:val="131413"/>
        </w:rPr>
        <w:t>account of scientific understanding</w:t>
      </w:r>
      <w:r>
        <w:rPr>
          <w:rFonts w:ascii="Times New Roman" w:hAnsi="Times New Roman" w:cs="Times New Roman"/>
          <w:color w:val="131413"/>
        </w:rPr>
        <w:t>,</w:t>
      </w:r>
      <w:r w:rsidRPr="001D2A80">
        <w:rPr>
          <w:rFonts w:ascii="Times New Roman" w:hAnsi="Times New Roman" w:cs="Times New Roman"/>
          <w:color w:val="131413"/>
        </w:rPr>
        <w:t xml:space="preserve"> called the EKS-model</w:t>
      </w:r>
      <w:r>
        <w:rPr>
          <w:rFonts w:ascii="Times New Roman" w:hAnsi="Times New Roman" w:cs="Times New Roman"/>
          <w:color w:val="131413"/>
        </w:rPr>
        <w:t xml:space="preserve"> </w:t>
      </w:r>
      <w:r w:rsidRPr="00945E8A">
        <w:rPr>
          <w:rFonts w:ascii="Times New Roman" w:hAnsi="Times New Roman" w:cs="Times New Roman"/>
          <w:color w:val="131413"/>
        </w:rPr>
        <w:t>(</w:t>
      </w:r>
      <w:r w:rsidRPr="00945E8A">
        <w:rPr>
          <w:rFonts w:ascii="Times New Roman" w:hAnsi="Times New Roman" w:cs="Times New Roman"/>
        </w:rPr>
        <w:t>Explanation-Knowledge-Science model</w:t>
      </w:r>
      <w:r w:rsidRPr="00945E8A">
        <w:rPr>
          <w:rFonts w:ascii="Times New Roman" w:hAnsi="Times New Roman" w:cs="Times New Roman"/>
          <w:color w:val="131413"/>
        </w:rPr>
        <w:t>)</w:t>
      </w:r>
      <w:r w:rsidRPr="001D2A80">
        <w:rPr>
          <w:rFonts w:ascii="Times New Roman" w:hAnsi="Times New Roman" w:cs="Times New Roman"/>
          <w:color w:val="131413"/>
        </w:rPr>
        <w:t xml:space="preserve">. This approach is based on two major principles: the Nexus Principle and the Scientific Knowledge Principle. His view takes a similar starting point as Kelp’s </w:t>
      </w:r>
      <w:r w:rsidR="002A1381">
        <w:rPr>
          <w:rFonts w:ascii="Times New Roman" w:hAnsi="Times New Roman" w:cs="Times New Roman"/>
          <w:color w:val="131413"/>
        </w:rPr>
        <w:t>account</w:t>
      </w:r>
      <w:r w:rsidRPr="001D2A80">
        <w:rPr>
          <w:rFonts w:ascii="Times New Roman" w:hAnsi="Times New Roman" w:cs="Times New Roman"/>
          <w:color w:val="131413"/>
        </w:rPr>
        <w:t xml:space="preserve"> (Kelp 20</w:t>
      </w:r>
      <w:r>
        <w:rPr>
          <w:rFonts w:ascii="Times New Roman" w:hAnsi="Times New Roman" w:cs="Times New Roman"/>
          <w:color w:val="131413"/>
        </w:rPr>
        <w:t>15</w:t>
      </w:r>
      <w:r w:rsidRPr="001D2A80">
        <w:rPr>
          <w:rFonts w:ascii="Times New Roman" w:hAnsi="Times New Roman" w:cs="Times New Roman"/>
          <w:color w:val="131413"/>
        </w:rPr>
        <w:t xml:space="preserve">) by emphasizing a comparative perspective on understanding and </w:t>
      </w:r>
      <w:r>
        <w:rPr>
          <w:rFonts w:ascii="Times New Roman" w:hAnsi="Times New Roman" w:cs="Times New Roman"/>
          <w:color w:val="131413"/>
        </w:rPr>
        <w:t>purporting</w:t>
      </w:r>
      <w:r w:rsidRPr="001D2A80">
        <w:rPr>
          <w:rFonts w:ascii="Times New Roman" w:hAnsi="Times New Roman" w:cs="Times New Roman"/>
          <w:color w:val="131413"/>
        </w:rPr>
        <w:t xml:space="preserve"> </w:t>
      </w:r>
      <w:r>
        <w:rPr>
          <w:rFonts w:ascii="Times New Roman" w:hAnsi="Times New Roman" w:cs="Times New Roman"/>
          <w:color w:val="131413"/>
        </w:rPr>
        <w:t xml:space="preserve">that </w:t>
      </w:r>
      <w:r w:rsidRPr="001D2A80">
        <w:rPr>
          <w:rFonts w:ascii="Times New Roman" w:hAnsi="Times New Roman" w:cs="Times New Roman"/>
          <w:color w:val="131413"/>
        </w:rPr>
        <w:t xml:space="preserve">degrees of understanding </w:t>
      </w:r>
      <w:r>
        <w:rPr>
          <w:rFonts w:ascii="Times New Roman" w:hAnsi="Times New Roman" w:cs="Times New Roman"/>
          <w:color w:val="131413"/>
        </w:rPr>
        <w:t>are</w:t>
      </w:r>
      <w:r w:rsidRPr="001D2A80">
        <w:rPr>
          <w:rFonts w:ascii="Times New Roman" w:hAnsi="Times New Roman" w:cs="Times New Roman"/>
          <w:color w:val="131413"/>
        </w:rPr>
        <w:t xml:space="preserve"> the central </w:t>
      </w:r>
      <w:r w:rsidR="002A1381">
        <w:rPr>
          <w:rFonts w:ascii="Times New Roman" w:hAnsi="Times New Roman" w:cs="Times New Roman"/>
          <w:color w:val="131413"/>
        </w:rPr>
        <w:t>aspect</w:t>
      </w:r>
      <w:r w:rsidRPr="001D2A80">
        <w:rPr>
          <w:rFonts w:ascii="Times New Roman" w:hAnsi="Times New Roman" w:cs="Times New Roman"/>
          <w:color w:val="131413"/>
        </w:rPr>
        <w:t xml:space="preserve"> of the </w:t>
      </w:r>
      <w:r w:rsidR="002A1381">
        <w:rPr>
          <w:rFonts w:ascii="Times New Roman" w:hAnsi="Times New Roman" w:cs="Times New Roman"/>
          <w:color w:val="131413"/>
        </w:rPr>
        <w:t>approach</w:t>
      </w:r>
      <w:r w:rsidRPr="001D2A80">
        <w:rPr>
          <w:rFonts w:ascii="Times New Roman" w:hAnsi="Times New Roman" w:cs="Times New Roman"/>
          <w:color w:val="131413"/>
        </w:rPr>
        <w:t>. In this sense</w:t>
      </w:r>
      <w:r>
        <w:rPr>
          <w:rFonts w:ascii="Times New Roman" w:hAnsi="Times New Roman" w:cs="Times New Roman"/>
          <w:color w:val="131413"/>
        </w:rPr>
        <w:t>,</w:t>
      </w:r>
      <w:r w:rsidRPr="001D2A80">
        <w:rPr>
          <w:rFonts w:ascii="Times New Roman" w:hAnsi="Times New Roman" w:cs="Times New Roman"/>
          <w:color w:val="131413"/>
        </w:rPr>
        <w:t xml:space="preserve"> the Nexus Principle states that a subject has better understanding than another </w:t>
      </w:r>
      <w:r>
        <w:rPr>
          <w:rFonts w:ascii="Times New Roman" w:hAnsi="Times New Roman" w:cs="Times New Roman"/>
          <w:color w:val="131413"/>
        </w:rPr>
        <w:t xml:space="preserve">subject </w:t>
      </w:r>
      <w:r w:rsidRPr="001D2A80">
        <w:rPr>
          <w:rFonts w:ascii="Times New Roman" w:hAnsi="Times New Roman" w:cs="Times New Roman"/>
          <w:color w:val="131413"/>
        </w:rPr>
        <w:t xml:space="preserve">by grasping more of the complete explanatory nexus. </w:t>
      </w:r>
      <w:r>
        <w:rPr>
          <w:rFonts w:ascii="Times New Roman" w:hAnsi="Times New Roman" w:cs="Times New Roman"/>
          <w:color w:val="131413"/>
        </w:rPr>
        <w:t>A</w:t>
      </w:r>
      <w:r w:rsidRPr="001D2A80">
        <w:rPr>
          <w:rFonts w:ascii="Times New Roman" w:hAnsi="Times New Roman" w:cs="Times New Roman"/>
          <w:color w:val="131413"/>
        </w:rPr>
        <w:t>ccording to the second principle</w:t>
      </w:r>
      <w:r>
        <w:rPr>
          <w:rFonts w:ascii="Times New Roman" w:hAnsi="Times New Roman" w:cs="Times New Roman"/>
          <w:color w:val="131413"/>
        </w:rPr>
        <w:t xml:space="preserve"> </w:t>
      </w:r>
      <w:r w:rsidRPr="001D2A80">
        <w:rPr>
          <w:rFonts w:ascii="Times New Roman" w:hAnsi="Times New Roman" w:cs="Times New Roman"/>
          <w:color w:val="131413"/>
        </w:rPr>
        <w:t xml:space="preserve">a better understanding involves a greater resemblance of this nexus to scientific knowledge. </w:t>
      </w:r>
    </w:p>
    <w:p w14:paraId="73E633DB" w14:textId="5F8519FC" w:rsidR="00FD47FC" w:rsidRDefault="00FD47FC" w:rsidP="00067D55">
      <w:pPr>
        <w:autoSpaceDE w:val="0"/>
        <w:autoSpaceDN w:val="0"/>
        <w:adjustRightInd w:val="0"/>
        <w:rPr>
          <w:rFonts w:ascii="Times New Roman" w:hAnsi="Times New Roman" w:cs="Times New Roman"/>
          <w:color w:val="131413"/>
        </w:rPr>
      </w:pPr>
      <w:r>
        <w:rPr>
          <w:rFonts w:ascii="Times New Roman" w:hAnsi="Times New Roman" w:cs="Times New Roman"/>
          <w:color w:val="131413"/>
        </w:rPr>
        <w:t>In both</w:t>
      </w:r>
      <w:r w:rsidR="002A1381">
        <w:rPr>
          <w:rFonts w:ascii="Times New Roman" w:hAnsi="Times New Roman" w:cs="Times New Roman"/>
          <w:color w:val="131413"/>
        </w:rPr>
        <w:t xml:space="preserve">, the paper and the book version, </w:t>
      </w:r>
      <w:r w:rsidRPr="001D2A80">
        <w:rPr>
          <w:rFonts w:ascii="Times New Roman" w:hAnsi="Times New Roman" w:cs="Times New Roman"/>
          <w:color w:val="131413"/>
        </w:rPr>
        <w:t xml:space="preserve">his critique of non-explanatory understanding </w:t>
      </w:r>
      <w:r>
        <w:rPr>
          <w:rFonts w:ascii="Times New Roman" w:hAnsi="Times New Roman" w:cs="Times New Roman"/>
          <w:color w:val="131413"/>
        </w:rPr>
        <w:t xml:space="preserve">might be seen as </w:t>
      </w:r>
      <w:r w:rsidRPr="001D2A80">
        <w:rPr>
          <w:rFonts w:ascii="Times New Roman" w:hAnsi="Times New Roman" w:cs="Times New Roman"/>
          <w:color w:val="131413"/>
        </w:rPr>
        <w:t>unfold</w:t>
      </w:r>
      <w:r>
        <w:rPr>
          <w:rFonts w:ascii="Times New Roman" w:hAnsi="Times New Roman" w:cs="Times New Roman"/>
          <w:color w:val="131413"/>
        </w:rPr>
        <w:t>ing</w:t>
      </w:r>
      <w:r w:rsidRPr="001D2A80">
        <w:rPr>
          <w:rFonts w:ascii="Times New Roman" w:hAnsi="Times New Roman" w:cs="Times New Roman"/>
          <w:color w:val="131413"/>
        </w:rPr>
        <w:t xml:space="preserve"> </w:t>
      </w:r>
      <w:r>
        <w:rPr>
          <w:rFonts w:ascii="Times New Roman" w:hAnsi="Times New Roman" w:cs="Times New Roman"/>
          <w:color w:val="131413"/>
        </w:rPr>
        <w:t xml:space="preserve">in </w:t>
      </w:r>
      <w:r w:rsidRPr="001D2A80">
        <w:rPr>
          <w:rFonts w:ascii="Times New Roman" w:hAnsi="Times New Roman" w:cs="Times New Roman"/>
          <w:color w:val="131413"/>
        </w:rPr>
        <w:t xml:space="preserve">two major </w:t>
      </w:r>
      <w:r>
        <w:rPr>
          <w:rFonts w:ascii="Times New Roman" w:hAnsi="Times New Roman" w:cs="Times New Roman"/>
          <w:color w:val="131413"/>
        </w:rPr>
        <w:t>steps. The first</w:t>
      </w:r>
      <w:r w:rsidRPr="001D2A80">
        <w:rPr>
          <w:rFonts w:ascii="Times New Roman" w:hAnsi="Times New Roman" w:cs="Times New Roman"/>
          <w:color w:val="131413"/>
        </w:rPr>
        <w:t xml:space="preserve"> one </w:t>
      </w:r>
      <w:r>
        <w:rPr>
          <w:rFonts w:ascii="Times New Roman" w:hAnsi="Times New Roman" w:cs="Times New Roman"/>
          <w:color w:val="131413"/>
        </w:rPr>
        <w:t>is</w:t>
      </w:r>
      <w:r w:rsidRPr="001D2A80">
        <w:rPr>
          <w:rFonts w:ascii="Times New Roman" w:hAnsi="Times New Roman" w:cs="Times New Roman"/>
          <w:color w:val="131413"/>
        </w:rPr>
        <w:t xml:space="preserve"> a reconstruction of Lipton’s </w:t>
      </w:r>
      <w:r>
        <w:rPr>
          <w:rFonts w:ascii="Times New Roman" w:hAnsi="Times New Roman" w:cs="Times New Roman"/>
          <w:color w:val="131413"/>
        </w:rPr>
        <w:t>framework exposing its main assumptions with a focus on the one called Lipton’s A</w:t>
      </w:r>
      <w:r w:rsidRPr="001D2A80">
        <w:rPr>
          <w:rFonts w:ascii="Times New Roman" w:hAnsi="Times New Roman" w:cs="Times New Roman"/>
          <w:color w:val="131413"/>
        </w:rPr>
        <w:t>ssumption (LA)</w:t>
      </w:r>
      <w:r>
        <w:rPr>
          <w:rFonts w:ascii="Times New Roman" w:hAnsi="Times New Roman" w:cs="Times New Roman"/>
          <w:color w:val="131413"/>
        </w:rPr>
        <w:t>.</w:t>
      </w:r>
      <w:r w:rsidRPr="001D2A80">
        <w:rPr>
          <w:rFonts w:ascii="Times New Roman" w:hAnsi="Times New Roman" w:cs="Times New Roman"/>
          <w:color w:val="131413"/>
        </w:rPr>
        <w:t xml:space="preserve"> </w:t>
      </w:r>
      <w:r>
        <w:rPr>
          <w:rFonts w:ascii="Times New Roman" w:hAnsi="Times New Roman" w:cs="Times New Roman"/>
          <w:color w:val="131413"/>
        </w:rPr>
        <w:t xml:space="preserve">The second step </w:t>
      </w:r>
      <w:r w:rsidRPr="001D2A80">
        <w:rPr>
          <w:rFonts w:ascii="Times New Roman" w:hAnsi="Times New Roman" w:cs="Times New Roman"/>
          <w:color w:val="131413"/>
        </w:rPr>
        <w:t xml:space="preserve">seeks to show </w:t>
      </w:r>
      <w:r w:rsidRPr="001D2A80">
        <w:rPr>
          <w:rFonts w:ascii="Times New Roman" w:hAnsi="Times New Roman" w:cs="Times New Roman"/>
          <w:color w:val="131413"/>
        </w:rPr>
        <w:lastRenderedPageBreak/>
        <w:t>that the explanatory sort of understanding is greater</w:t>
      </w:r>
      <w:r>
        <w:rPr>
          <w:rStyle w:val="FootnoteReference"/>
          <w:rFonts w:ascii="Times New Roman" w:hAnsi="Times New Roman" w:cs="Times New Roman"/>
          <w:color w:val="131413"/>
        </w:rPr>
        <w:footnoteReference w:id="9"/>
      </w:r>
      <w:r w:rsidRPr="001D2A80">
        <w:rPr>
          <w:rFonts w:ascii="Times New Roman" w:hAnsi="Times New Roman" w:cs="Times New Roman"/>
          <w:color w:val="131413"/>
        </w:rPr>
        <w:t xml:space="preserve"> than </w:t>
      </w:r>
      <w:r>
        <w:rPr>
          <w:rFonts w:ascii="Times New Roman" w:hAnsi="Times New Roman" w:cs="Times New Roman"/>
          <w:color w:val="131413"/>
        </w:rPr>
        <w:t>the</w:t>
      </w:r>
      <w:r w:rsidRPr="001D2A80">
        <w:rPr>
          <w:rFonts w:ascii="Times New Roman" w:hAnsi="Times New Roman" w:cs="Times New Roman"/>
          <w:color w:val="131413"/>
        </w:rPr>
        <w:t xml:space="preserve"> non-explanatory one</w:t>
      </w:r>
      <w:r>
        <w:rPr>
          <w:rFonts w:ascii="Times New Roman" w:hAnsi="Times New Roman" w:cs="Times New Roman"/>
          <w:color w:val="131413"/>
        </w:rPr>
        <w:t xml:space="preserve"> as instantiated in Lipton’s examples</w:t>
      </w:r>
      <w:r w:rsidRPr="001D2A80">
        <w:rPr>
          <w:rFonts w:ascii="Times New Roman" w:hAnsi="Times New Roman" w:cs="Times New Roman"/>
          <w:color w:val="131413"/>
        </w:rPr>
        <w:t xml:space="preserve">. </w:t>
      </w:r>
      <w:r>
        <w:rPr>
          <w:rFonts w:ascii="Times New Roman" w:hAnsi="Times New Roman" w:cs="Times New Roman"/>
          <w:color w:val="131413"/>
        </w:rPr>
        <w:t xml:space="preserve">In </w:t>
      </w:r>
      <w:r w:rsidRPr="001D2A80">
        <w:rPr>
          <w:rFonts w:ascii="Times New Roman" w:hAnsi="Times New Roman" w:cs="Times New Roman"/>
          <w:color w:val="131413"/>
        </w:rPr>
        <w:t xml:space="preserve">the </w:t>
      </w:r>
      <w:r>
        <w:rPr>
          <w:rFonts w:ascii="Times New Roman" w:hAnsi="Times New Roman" w:cs="Times New Roman"/>
          <w:color w:val="131413"/>
        </w:rPr>
        <w:t xml:space="preserve">paper version this step gets implemented through a General Argumentative Strategy that measures the degrees of understanding while in the </w:t>
      </w:r>
      <w:r w:rsidRPr="001D2A80">
        <w:rPr>
          <w:rFonts w:ascii="Times New Roman" w:hAnsi="Times New Roman" w:cs="Times New Roman"/>
          <w:color w:val="131413"/>
        </w:rPr>
        <w:t xml:space="preserve">book version </w:t>
      </w:r>
      <w:r>
        <w:rPr>
          <w:rFonts w:ascii="Times New Roman" w:hAnsi="Times New Roman" w:cs="Times New Roman"/>
          <w:color w:val="131413"/>
        </w:rPr>
        <w:t xml:space="preserve">the critique is articulated through the formulation of three major objections. I will concentrate on the </w:t>
      </w:r>
      <w:r w:rsidR="002A1381">
        <w:rPr>
          <w:rFonts w:ascii="Times New Roman" w:hAnsi="Times New Roman" w:cs="Times New Roman"/>
          <w:color w:val="131413"/>
        </w:rPr>
        <w:t xml:space="preserve">most </w:t>
      </w:r>
      <w:r>
        <w:rPr>
          <w:rFonts w:ascii="Times New Roman" w:hAnsi="Times New Roman" w:cs="Times New Roman"/>
          <w:color w:val="131413"/>
        </w:rPr>
        <w:t>sensible points of his critique.</w:t>
      </w:r>
    </w:p>
    <w:p w14:paraId="3A7EC2AE" w14:textId="230AE1C8" w:rsidR="000303F9" w:rsidRDefault="000303F9" w:rsidP="000303F9">
      <w:pPr>
        <w:autoSpaceDE w:val="0"/>
        <w:autoSpaceDN w:val="0"/>
        <w:adjustRightInd w:val="0"/>
        <w:rPr>
          <w:rFonts w:ascii="Times New Roman" w:hAnsi="Times New Roman" w:cs="Times New Roman"/>
        </w:rPr>
      </w:pPr>
      <w:r>
        <w:rPr>
          <w:rFonts w:ascii="Times New Roman" w:hAnsi="Times New Roman" w:cs="Times New Roman"/>
          <w:color w:val="131413"/>
        </w:rPr>
        <w:t>Lipton</w:t>
      </w:r>
      <w:r w:rsidR="002A1381">
        <w:rPr>
          <w:rFonts w:ascii="Times New Roman" w:hAnsi="Times New Roman" w:cs="Times New Roman"/>
          <w:color w:val="131413"/>
        </w:rPr>
        <w:t>’</w:t>
      </w:r>
      <w:r>
        <w:rPr>
          <w:rFonts w:ascii="Times New Roman" w:hAnsi="Times New Roman" w:cs="Times New Roman"/>
          <w:color w:val="131413"/>
        </w:rPr>
        <w:t xml:space="preserve">s Assumption or </w:t>
      </w:r>
      <w:r w:rsidRPr="001D2A80">
        <w:rPr>
          <w:rFonts w:ascii="Times New Roman" w:hAnsi="Times New Roman" w:cs="Times New Roman"/>
          <w:color w:val="131413"/>
        </w:rPr>
        <w:t xml:space="preserve">LA refers to Lipton’s claim </w:t>
      </w:r>
      <w:r w:rsidRPr="001D2A80">
        <w:rPr>
          <w:rFonts w:ascii="Times New Roman" w:hAnsi="Times New Roman" w:cs="Times New Roman"/>
          <w:color w:val="000000"/>
        </w:rPr>
        <w:t>that “it is more natural to identify understanding with the cognitive benefits that an explanation provides rather than with the explanation itself” (Lipton 2009</w:t>
      </w:r>
      <w:r>
        <w:rPr>
          <w:rFonts w:ascii="Times New Roman" w:hAnsi="Times New Roman" w:cs="Times New Roman"/>
          <w:color w:val="000000"/>
        </w:rPr>
        <w:t>,</w:t>
      </w:r>
      <w:r w:rsidRPr="001D2A80">
        <w:rPr>
          <w:rFonts w:ascii="Times New Roman" w:hAnsi="Times New Roman" w:cs="Times New Roman"/>
          <w:color w:val="000000"/>
        </w:rPr>
        <w:t xml:space="preserve"> 43). In his attempt to clarify the assumption, Khalifa’s ‘friendly’ (as he puts it) reconstruction of LA states that: “</w:t>
      </w:r>
      <w:r w:rsidRPr="001D2A80">
        <w:rPr>
          <w:rFonts w:ascii="Times New Roman" w:hAnsi="Times New Roman" w:cs="Times New Roman"/>
        </w:rPr>
        <w:t xml:space="preserve">If knowing that b constitutes understanding of p, then </w:t>
      </w:r>
      <w:r w:rsidRPr="001D2A80">
        <w:rPr>
          <w:rFonts w:ascii="Times New Roman" w:hAnsi="Times New Roman" w:cs="Times New Roman"/>
          <w:b/>
          <w:i/>
        </w:rPr>
        <w:t>there exists</w:t>
      </w:r>
      <w:r w:rsidRPr="001D2A80">
        <w:rPr>
          <w:rStyle w:val="FootnoteReference"/>
          <w:rFonts w:ascii="Times New Roman" w:hAnsi="Times New Roman" w:cs="Times New Roman"/>
          <w:b/>
          <w:i/>
        </w:rPr>
        <w:footnoteReference w:id="10"/>
      </w:r>
      <w:r w:rsidRPr="001D2A80">
        <w:rPr>
          <w:rFonts w:ascii="Times New Roman" w:hAnsi="Times New Roman" w:cs="Times New Roman"/>
        </w:rPr>
        <w:t xml:space="preserve"> a correct explanation e of p such that knowing that e explains p entails knowing that b” (Khalifa 2013: 2). The emphasize on ‘there exist’ is meant to mark the particularity of the reading </w:t>
      </w:r>
      <w:r w:rsidR="00CB5A67">
        <w:rPr>
          <w:rFonts w:ascii="Times New Roman" w:hAnsi="Times New Roman" w:cs="Times New Roman"/>
        </w:rPr>
        <w:t>Khalifa</w:t>
      </w:r>
      <w:r w:rsidRPr="001D2A80">
        <w:rPr>
          <w:rFonts w:ascii="Times New Roman" w:hAnsi="Times New Roman" w:cs="Times New Roman"/>
        </w:rPr>
        <w:t xml:space="preserve"> is proposing</w:t>
      </w:r>
      <w:r>
        <w:rPr>
          <w:rFonts w:ascii="Times New Roman" w:hAnsi="Times New Roman" w:cs="Times New Roman"/>
        </w:rPr>
        <w:t xml:space="preserve">, </w:t>
      </w:r>
      <w:r w:rsidRPr="001D2A80">
        <w:rPr>
          <w:rFonts w:ascii="Times New Roman" w:hAnsi="Times New Roman" w:cs="Times New Roman"/>
        </w:rPr>
        <w:t xml:space="preserve">i.e. a strong </w:t>
      </w:r>
      <w:r>
        <w:rPr>
          <w:rFonts w:ascii="Times New Roman" w:hAnsi="Times New Roman" w:cs="Times New Roman"/>
        </w:rPr>
        <w:t xml:space="preserve">ontological </w:t>
      </w:r>
      <w:r w:rsidRPr="001D2A80">
        <w:rPr>
          <w:rFonts w:ascii="Times New Roman" w:hAnsi="Times New Roman" w:cs="Times New Roman"/>
        </w:rPr>
        <w:t xml:space="preserve">sort of reading. </w:t>
      </w:r>
      <w:r>
        <w:rPr>
          <w:rFonts w:ascii="Times New Roman" w:hAnsi="Times New Roman" w:cs="Times New Roman"/>
        </w:rPr>
        <w:t>W</w:t>
      </w:r>
      <w:r w:rsidRPr="001D2A80">
        <w:rPr>
          <w:rFonts w:ascii="Times New Roman" w:hAnsi="Times New Roman" w:cs="Times New Roman"/>
        </w:rPr>
        <w:t xml:space="preserve">e could </w:t>
      </w:r>
      <w:r>
        <w:rPr>
          <w:rFonts w:ascii="Times New Roman" w:hAnsi="Times New Roman" w:cs="Times New Roman"/>
        </w:rPr>
        <w:t xml:space="preserve">therefore </w:t>
      </w:r>
      <w:r w:rsidRPr="001D2A80">
        <w:rPr>
          <w:rFonts w:ascii="Times New Roman" w:hAnsi="Times New Roman" w:cs="Times New Roman"/>
        </w:rPr>
        <w:t xml:space="preserve">claim that there is always a correct explanation behind any non-explanatory form of understanding provided through a specific benefit. Khalifa’s reading pushes this </w:t>
      </w:r>
      <w:r>
        <w:rPr>
          <w:rFonts w:ascii="Times New Roman" w:hAnsi="Times New Roman" w:cs="Times New Roman"/>
        </w:rPr>
        <w:t xml:space="preserve">ontological </w:t>
      </w:r>
      <w:r w:rsidRPr="001D2A80">
        <w:rPr>
          <w:rFonts w:ascii="Times New Roman" w:hAnsi="Times New Roman" w:cs="Times New Roman"/>
        </w:rPr>
        <w:t>claim as the unique one, ignoring other variants. From the fact that a benefit could be provided through an explanation it does not necessary follow that such an explanation always exists, less a correct one. Moreover, it contradicts Lipton’s main intention to open a gap between explanation and understanding reorienting the entire inquiry exactly in the opposite direction as initial intended. In fact, it could be said that once one buys this interpretation, the entire subsequent critique is just an easy ride. But Khalifa might have realized this weak point since in the book version of the critique</w:t>
      </w:r>
      <w:r>
        <w:rPr>
          <w:rFonts w:ascii="Times New Roman" w:hAnsi="Times New Roman" w:cs="Times New Roman"/>
        </w:rPr>
        <w:t>,</w:t>
      </w:r>
      <w:r w:rsidRPr="001D2A80">
        <w:rPr>
          <w:rFonts w:ascii="Times New Roman" w:hAnsi="Times New Roman" w:cs="Times New Roman"/>
        </w:rPr>
        <w:t xml:space="preserve"> the strong </w:t>
      </w:r>
      <w:r w:rsidR="00BF7FB8">
        <w:rPr>
          <w:rFonts w:ascii="Times New Roman" w:hAnsi="Times New Roman" w:cs="Times New Roman"/>
        </w:rPr>
        <w:t>ontological</w:t>
      </w:r>
      <w:r w:rsidRPr="001D2A80">
        <w:rPr>
          <w:rFonts w:ascii="Times New Roman" w:hAnsi="Times New Roman" w:cs="Times New Roman"/>
        </w:rPr>
        <w:t xml:space="preserve"> reading is dropped for the following more neutral interpretation: “If an explanation of p provides a kind of knowledge about p, then that kind of knowledge amounts to understanding why p” (Khalifa 2017: 127). Moreover, LA also becomes just a premise in a larger reconstruction of Lipton’s entire argument for the existence of UWE.</w:t>
      </w:r>
    </w:p>
    <w:p w14:paraId="329BBF14" w14:textId="6EE2719E" w:rsidR="000303F9" w:rsidRPr="001D2A80" w:rsidRDefault="00E63816" w:rsidP="000303F9">
      <w:pPr>
        <w:autoSpaceDE w:val="0"/>
        <w:autoSpaceDN w:val="0"/>
        <w:adjustRightInd w:val="0"/>
        <w:rPr>
          <w:rFonts w:ascii="Times New Roman" w:hAnsi="Times New Roman" w:cs="Times New Roman"/>
        </w:rPr>
      </w:pPr>
      <w:r>
        <w:rPr>
          <w:rFonts w:ascii="Times New Roman" w:hAnsi="Times New Roman" w:cs="Times New Roman"/>
        </w:rPr>
        <w:t>In the chapter dedicated to UwE from</w:t>
      </w:r>
      <w:r w:rsidR="000303F9">
        <w:rPr>
          <w:rFonts w:ascii="Times New Roman" w:hAnsi="Times New Roman" w:cs="Times New Roman"/>
        </w:rPr>
        <w:t xml:space="preserve"> his </w:t>
      </w:r>
      <w:r w:rsidR="000303F9" w:rsidRPr="00530025">
        <w:rPr>
          <w:rFonts w:ascii="Times New Roman" w:hAnsi="Times New Roman" w:cs="Times New Roman"/>
        </w:rPr>
        <w:t>book</w:t>
      </w:r>
      <w:r>
        <w:rPr>
          <w:rFonts w:ascii="Times New Roman" w:hAnsi="Times New Roman" w:cs="Times New Roman"/>
        </w:rPr>
        <w:t>,</w:t>
      </w:r>
      <w:r w:rsidR="000303F9" w:rsidRPr="00530025">
        <w:rPr>
          <w:rFonts w:ascii="Times New Roman" w:hAnsi="Times New Roman" w:cs="Times New Roman"/>
        </w:rPr>
        <w:t xml:space="preserve"> </w:t>
      </w:r>
      <w:r w:rsidR="000303F9">
        <w:rPr>
          <w:rFonts w:ascii="Times New Roman" w:hAnsi="Times New Roman" w:cs="Times New Roman"/>
        </w:rPr>
        <w:t xml:space="preserve">Khalifa </w:t>
      </w:r>
      <w:r w:rsidR="000303F9" w:rsidRPr="00530025">
        <w:rPr>
          <w:rFonts w:ascii="Times New Roman" w:hAnsi="Times New Roman" w:cs="Times New Roman"/>
        </w:rPr>
        <w:t>formulate</w:t>
      </w:r>
      <w:r w:rsidR="000303F9">
        <w:rPr>
          <w:rFonts w:ascii="Times New Roman" w:hAnsi="Times New Roman" w:cs="Times New Roman"/>
        </w:rPr>
        <w:t>s</w:t>
      </w:r>
      <w:r w:rsidR="000303F9" w:rsidRPr="00530025">
        <w:rPr>
          <w:rFonts w:ascii="Times New Roman" w:hAnsi="Times New Roman" w:cs="Times New Roman"/>
        </w:rPr>
        <w:t xml:space="preserve"> three </w:t>
      </w:r>
      <w:r w:rsidR="000303F9">
        <w:rPr>
          <w:rFonts w:ascii="Times New Roman" w:hAnsi="Times New Roman" w:cs="Times New Roman"/>
        </w:rPr>
        <w:t xml:space="preserve">main </w:t>
      </w:r>
      <w:r w:rsidR="000303F9" w:rsidRPr="00530025">
        <w:rPr>
          <w:rFonts w:ascii="Times New Roman" w:hAnsi="Times New Roman" w:cs="Times New Roman"/>
        </w:rPr>
        <w:t>objections</w:t>
      </w:r>
      <w:r>
        <w:rPr>
          <w:rFonts w:ascii="Times New Roman" w:hAnsi="Times New Roman" w:cs="Times New Roman"/>
        </w:rPr>
        <w:t xml:space="preserve"> which he calls:</w:t>
      </w:r>
      <w:r w:rsidR="000303F9" w:rsidRPr="00530025">
        <w:rPr>
          <w:rFonts w:ascii="Times New Roman" w:hAnsi="Times New Roman" w:cs="Times New Roman"/>
        </w:rPr>
        <w:t xml:space="preserve"> the Right Track Objection (RTO), the Wrong Benefit Objection (WBO) and the Explanatory Objection (EO) (Khalifa 2017, 127-130). The RTO objection claims that the sort of understanding gained through Lipton’s examples might be a just a provisional sort of understanding - “</w:t>
      </w:r>
      <w:r w:rsidR="000303F9" w:rsidRPr="00D763FD">
        <w:rPr>
          <w:rFonts w:ascii="Times New Roman" w:hAnsi="Times New Roman" w:cs="Times New Roman"/>
        </w:rPr>
        <w:t>merely a way station for understanding with explanation” (Khalifa 2017: 129). The second objection WBO</w:t>
      </w:r>
      <w:r w:rsidR="000303F9" w:rsidRPr="00530025">
        <w:rPr>
          <w:rFonts w:ascii="Times New Roman" w:hAnsi="Times New Roman" w:cs="Times New Roman"/>
        </w:rPr>
        <w:t xml:space="preserve"> </w:t>
      </w:r>
      <w:r w:rsidR="000303F9" w:rsidRPr="003C3420">
        <w:rPr>
          <w:rFonts w:ascii="Times New Roman" w:hAnsi="Times New Roman" w:cs="Times New Roman"/>
        </w:rPr>
        <w:t>cashes on</w:t>
      </w:r>
      <w:r w:rsidR="000303F9" w:rsidRPr="00514F22">
        <w:rPr>
          <w:rFonts w:ascii="Times New Roman" w:hAnsi="Times New Roman" w:cs="Times New Roman"/>
        </w:rPr>
        <w:t xml:space="preserve"> the issue of the possible different natures of the benefits </w:t>
      </w:r>
      <w:r w:rsidR="000303F9" w:rsidRPr="0043456A">
        <w:rPr>
          <w:rFonts w:ascii="Times New Roman" w:hAnsi="Times New Roman" w:cs="Times New Roman"/>
        </w:rPr>
        <w:t>provided via an explanati</w:t>
      </w:r>
      <w:r w:rsidR="000303F9" w:rsidRPr="00530025">
        <w:rPr>
          <w:rFonts w:ascii="Times New Roman" w:hAnsi="Times New Roman" w:cs="Times New Roman"/>
        </w:rPr>
        <w:t xml:space="preserve">on versus a non-explanatory way. The </w:t>
      </w:r>
      <w:r w:rsidR="000303F9">
        <w:rPr>
          <w:rFonts w:ascii="Times New Roman" w:hAnsi="Times New Roman" w:cs="Times New Roman"/>
        </w:rPr>
        <w:t xml:space="preserve">EO </w:t>
      </w:r>
      <w:r w:rsidR="000303F9" w:rsidRPr="00D54F69">
        <w:rPr>
          <w:rFonts w:ascii="Times New Roman" w:hAnsi="Times New Roman" w:cs="Times New Roman"/>
        </w:rPr>
        <w:t>objection claims that in fact the agents in Lipton’s’ examples might</w:t>
      </w:r>
      <w:r w:rsidR="000303F9" w:rsidRPr="00D763FD">
        <w:rPr>
          <w:rFonts w:ascii="Times New Roman" w:hAnsi="Times New Roman" w:cs="Times New Roman"/>
        </w:rPr>
        <w:t xml:space="preserve"> “actually grasp a correct </w:t>
      </w:r>
      <w:r w:rsidR="000303F9" w:rsidRPr="00D763FD">
        <w:rPr>
          <w:rFonts w:ascii="Times New Roman" w:hAnsi="Times New Roman" w:cs="Times New Roman"/>
        </w:rPr>
        <w:lastRenderedPageBreak/>
        <w:t>explanation’ (Khalifa 2017: 130).</w:t>
      </w:r>
      <w:r w:rsidR="000303F9">
        <w:rPr>
          <w:rFonts w:ascii="Times New Roman" w:hAnsi="Times New Roman" w:cs="Times New Roman"/>
        </w:rPr>
        <w:t xml:space="preserve"> </w:t>
      </w:r>
      <w:r w:rsidR="000303F9" w:rsidRPr="001D2A80">
        <w:rPr>
          <w:rFonts w:ascii="Times New Roman" w:hAnsi="Times New Roman" w:cs="Times New Roman"/>
        </w:rPr>
        <w:t xml:space="preserve">From these three just the last one reiterates openly the previous </w:t>
      </w:r>
      <w:r w:rsidR="00102692">
        <w:rPr>
          <w:rFonts w:ascii="Times New Roman" w:hAnsi="Times New Roman" w:cs="Times New Roman"/>
        </w:rPr>
        <w:t>ontological</w:t>
      </w:r>
      <w:r w:rsidR="000303F9" w:rsidRPr="001D2A80">
        <w:rPr>
          <w:rFonts w:ascii="Times New Roman" w:hAnsi="Times New Roman" w:cs="Times New Roman"/>
        </w:rPr>
        <w:t xml:space="preserve"> claim. Nevertheless, the RTO </w:t>
      </w:r>
      <w:r>
        <w:rPr>
          <w:rFonts w:ascii="Times New Roman" w:hAnsi="Times New Roman" w:cs="Times New Roman"/>
        </w:rPr>
        <w:t>objection,</w:t>
      </w:r>
      <w:r w:rsidR="000303F9" w:rsidRPr="001D2A80">
        <w:rPr>
          <w:rFonts w:ascii="Times New Roman" w:hAnsi="Times New Roman" w:cs="Times New Roman"/>
        </w:rPr>
        <w:t xml:space="preserve"> which </w:t>
      </w:r>
      <w:r w:rsidR="00102692">
        <w:rPr>
          <w:rFonts w:ascii="Times New Roman" w:hAnsi="Times New Roman" w:cs="Times New Roman"/>
        </w:rPr>
        <w:t>could be</w:t>
      </w:r>
      <w:r w:rsidR="000303F9" w:rsidRPr="001D2A80">
        <w:rPr>
          <w:rFonts w:ascii="Times New Roman" w:hAnsi="Times New Roman" w:cs="Times New Roman"/>
        </w:rPr>
        <w:t xml:space="preserve"> claimed to be the most </w:t>
      </w:r>
      <w:r>
        <w:rPr>
          <w:rFonts w:ascii="Times New Roman" w:hAnsi="Times New Roman" w:cs="Times New Roman"/>
        </w:rPr>
        <w:t xml:space="preserve">complete one </w:t>
      </w:r>
      <w:r w:rsidR="000303F9" w:rsidRPr="001D2A80">
        <w:rPr>
          <w:rFonts w:ascii="Times New Roman" w:hAnsi="Times New Roman" w:cs="Times New Roman"/>
        </w:rPr>
        <w:t xml:space="preserve">under which all of Lipton’s examples might </w:t>
      </w:r>
      <w:r>
        <w:rPr>
          <w:rFonts w:ascii="Times New Roman" w:hAnsi="Times New Roman" w:cs="Times New Roman"/>
        </w:rPr>
        <w:t>succumb,</w:t>
      </w:r>
      <w:r w:rsidR="000303F9" w:rsidRPr="001D2A80">
        <w:rPr>
          <w:rFonts w:ascii="Times New Roman" w:hAnsi="Times New Roman" w:cs="Times New Roman"/>
        </w:rPr>
        <w:t xml:space="preserve"> does also include this assumption, even if less explicit. RTO in fact reiterates in a more condensed way the entire paper version of the critique without stating the </w:t>
      </w:r>
      <w:r w:rsidR="00102692">
        <w:rPr>
          <w:rFonts w:ascii="Times New Roman" w:hAnsi="Times New Roman" w:cs="Times New Roman"/>
        </w:rPr>
        <w:t xml:space="preserve">ontological </w:t>
      </w:r>
      <w:r w:rsidR="000303F9" w:rsidRPr="001D2A80">
        <w:rPr>
          <w:rFonts w:ascii="Times New Roman" w:hAnsi="Times New Roman" w:cs="Times New Roman"/>
        </w:rPr>
        <w:t xml:space="preserve">claim explicit but </w:t>
      </w:r>
      <w:r>
        <w:rPr>
          <w:rFonts w:ascii="Times New Roman" w:hAnsi="Times New Roman" w:cs="Times New Roman"/>
        </w:rPr>
        <w:t>comprising</w:t>
      </w:r>
      <w:r w:rsidR="000303F9" w:rsidRPr="001D2A80">
        <w:rPr>
          <w:rFonts w:ascii="Times New Roman" w:hAnsi="Times New Roman" w:cs="Times New Roman"/>
        </w:rPr>
        <w:t xml:space="preserve"> the second major move of the critique. This second move is concerned with unfolding </w:t>
      </w:r>
      <w:r w:rsidR="000303F9">
        <w:rPr>
          <w:rFonts w:ascii="Times New Roman" w:hAnsi="Times New Roman" w:cs="Times New Roman"/>
        </w:rPr>
        <w:t>the General A</w:t>
      </w:r>
      <w:r w:rsidR="000303F9" w:rsidRPr="001D2A80">
        <w:rPr>
          <w:rFonts w:ascii="Times New Roman" w:hAnsi="Times New Roman" w:cs="Times New Roman"/>
        </w:rPr>
        <w:t xml:space="preserve">rgumentative </w:t>
      </w:r>
      <w:r w:rsidR="000303F9">
        <w:rPr>
          <w:rFonts w:ascii="Times New Roman" w:hAnsi="Times New Roman" w:cs="Times New Roman"/>
        </w:rPr>
        <w:t>S</w:t>
      </w:r>
      <w:r w:rsidR="000303F9" w:rsidRPr="001D2A80">
        <w:rPr>
          <w:rFonts w:ascii="Times New Roman" w:hAnsi="Times New Roman" w:cs="Times New Roman"/>
        </w:rPr>
        <w:t>trategy in supporting the claim that any non-explanatory form of understanding is a diminished one in comparison to the explanatory form - or in Khalifa’s word the last one is always ‘greater’ than the non-explanatory form. I’m calling this the ‘bigger than” strategy and I discuss it in more detail below.</w:t>
      </w:r>
    </w:p>
    <w:p w14:paraId="2B37CAA0" w14:textId="046EBCEC" w:rsidR="003575B1" w:rsidRPr="001D2A80" w:rsidRDefault="00DA14C8" w:rsidP="0069639C">
      <w:pPr>
        <w:autoSpaceDE w:val="0"/>
        <w:autoSpaceDN w:val="0"/>
        <w:adjustRightInd w:val="0"/>
        <w:rPr>
          <w:rFonts w:ascii="Times New Roman" w:hAnsi="Times New Roman" w:cs="Times New Roman"/>
        </w:rPr>
      </w:pPr>
      <w:r w:rsidRPr="001D2A80">
        <w:rPr>
          <w:rFonts w:ascii="Times New Roman" w:hAnsi="Times New Roman" w:cs="Times New Roman"/>
        </w:rPr>
        <w:t xml:space="preserve">In </w:t>
      </w:r>
      <w:r w:rsidR="00365536">
        <w:rPr>
          <w:rFonts w:ascii="Times New Roman" w:hAnsi="Times New Roman" w:cs="Times New Roman"/>
        </w:rPr>
        <w:t xml:space="preserve">the paper version of </w:t>
      </w:r>
      <w:r w:rsidR="00DF4F82">
        <w:rPr>
          <w:rFonts w:ascii="Times New Roman" w:hAnsi="Times New Roman" w:cs="Times New Roman"/>
        </w:rPr>
        <w:t>his</w:t>
      </w:r>
      <w:r w:rsidR="00365536">
        <w:rPr>
          <w:rFonts w:ascii="Times New Roman" w:hAnsi="Times New Roman" w:cs="Times New Roman"/>
        </w:rPr>
        <w:t xml:space="preserve"> critique</w:t>
      </w:r>
      <w:r w:rsidRPr="001D2A80">
        <w:rPr>
          <w:rFonts w:ascii="Times New Roman" w:hAnsi="Times New Roman" w:cs="Times New Roman"/>
        </w:rPr>
        <w:t xml:space="preserve">, Khalifa appeals to a quantitative measuring of understanding as presented in the Superior Explanation Thesis (SET). SET states that: “For any non-explanatory way, w, to understand p, there exists a correct and reasonably good explanation, e, such that the understanding of p provided by w is a proper subset of the understanding of p provided by knowing that e” (Khalifa 2013: 9). He </w:t>
      </w:r>
      <w:r>
        <w:rPr>
          <w:rFonts w:ascii="Times New Roman" w:hAnsi="Times New Roman" w:cs="Times New Roman"/>
        </w:rPr>
        <w:t xml:space="preserve">implements </w:t>
      </w:r>
      <w:r w:rsidRPr="001D2A80">
        <w:rPr>
          <w:rFonts w:ascii="Times New Roman" w:hAnsi="Times New Roman" w:cs="Times New Roman"/>
        </w:rPr>
        <w:t xml:space="preserve">SET </w:t>
      </w:r>
      <w:r>
        <w:rPr>
          <w:rFonts w:ascii="Times New Roman" w:hAnsi="Times New Roman" w:cs="Times New Roman"/>
        </w:rPr>
        <w:t>through the</w:t>
      </w:r>
      <w:r w:rsidRPr="001D2A80">
        <w:rPr>
          <w:rFonts w:ascii="Times New Roman" w:hAnsi="Times New Roman" w:cs="Times New Roman"/>
        </w:rPr>
        <w:t xml:space="preserve"> </w:t>
      </w:r>
      <w:r>
        <w:rPr>
          <w:rFonts w:ascii="Times New Roman" w:hAnsi="Times New Roman" w:cs="Times New Roman"/>
        </w:rPr>
        <w:t>General A</w:t>
      </w:r>
      <w:r w:rsidRPr="001D2A80">
        <w:rPr>
          <w:rFonts w:ascii="Times New Roman" w:hAnsi="Times New Roman" w:cs="Times New Roman"/>
        </w:rPr>
        <w:t xml:space="preserve">rgumentative </w:t>
      </w:r>
      <w:r>
        <w:rPr>
          <w:rFonts w:ascii="Times New Roman" w:hAnsi="Times New Roman" w:cs="Times New Roman"/>
        </w:rPr>
        <w:t>S</w:t>
      </w:r>
      <w:r w:rsidRPr="001D2A80">
        <w:rPr>
          <w:rFonts w:ascii="Times New Roman" w:hAnsi="Times New Roman" w:cs="Times New Roman"/>
        </w:rPr>
        <w:t xml:space="preserve">trategy intended to ‘measure’ the degrees of understanding and </w:t>
      </w:r>
      <w:r>
        <w:rPr>
          <w:rFonts w:ascii="Times New Roman" w:hAnsi="Times New Roman" w:cs="Times New Roman"/>
        </w:rPr>
        <w:t xml:space="preserve">applying it </w:t>
      </w:r>
      <w:r w:rsidRPr="001D2A80">
        <w:rPr>
          <w:rFonts w:ascii="Times New Roman" w:hAnsi="Times New Roman" w:cs="Times New Roman"/>
        </w:rPr>
        <w:t xml:space="preserve">to each of Lipton’s examples. I </w:t>
      </w:r>
      <w:r>
        <w:rPr>
          <w:rFonts w:ascii="Times New Roman" w:hAnsi="Times New Roman" w:cs="Times New Roman"/>
        </w:rPr>
        <w:t xml:space="preserve">focus </w:t>
      </w:r>
      <w:r w:rsidRPr="001D2A80">
        <w:rPr>
          <w:rFonts w:ascii="Times New Roman" w:hAnsi="Times New Roman" w:cs="Times New Roman"/>
        </w:rPr>
        <w:t xml:space="preserve">just </w:t>
      </w:r>
      <w:r>
        <w:rPr>
          <w:rFonts w:ascii="Times New Roman" w:hAnsi="Times New Roman" w:cs="Times New Roman"/>
        </w:rPr>
        <w:t xml:space="preserve">on </w:t>
      </w:r>
      <w:r w:rsidRPr="001D2A80">
        <w:rPr>
          <w:rFonts w:ascii="Times New Roman" w:hAnsi="Times New Roman" w:cs="Times New Roman"/>
        </w:rPr>
        <w:t>the example of the benefit that provides modal knowledge through possible explanations. Rejecting this specific critique will be enough to show that Khalifa</w:t>
      </w:r>
      <w:r>
        <w:rPr>
          <w:rFonts w:ascii="Times New Roman" w:hAnsi="Times New Roman" w:cs="Times New Roman"/>
        </w:rPr>
        <w:t xml:space="preserve">’s </w:t>
      </w:r>
      <w:r w:rsidRPr="001D2A80">
        <w:rPr>
          <w:rFonts w:ascii="Times New Roman" w:hAnsi="Times New Roman" w:cs="Times New Roman"/>
        </w:rPr>
        <w:t xml:space="preserve">strategy does not work, failing this way to </w:t>
      </w:r>
      <w:r>
        <w:rPr>
          <w:rFonts w:ascii="Times New Roman" w:hAnsi="Times New Roman" w:cs="Times New Roman"/>
        </w:rPr>
        <w:t xml:space="preserve">rebut Lipton’s </w:t>
      </w:r>
      <w:r w:rsidRPr="001D2A80">
        <w:rPr>
          <w:rFonts w:ascii="Times New Roman" w:hAnsi="Times New Roman" w:cs="Times New Roman"/>
        </w:rPr>
        <w:t>challenge.</w:t>
      </w:r>
      <w:r w:rsidR="00522B9F" w:rsidRPr="001D2A80">
        <w:rPr>
          <w:rFonts w:ascii="Times New Roman" w:hAnsi="Times New Roman" w:cs="Times New Roman"/>
        </w:rPr>
        <w:t xml:space="preserve"> </w:t>
      </w:r>
    </w:p>
    <w:p w14:paraId="53074BE5" w14:textId="75C215A9" w:rsidR="00DA14C8" w:rsidRPr="0057349C" w:rsidRDefault="005B2CA8" w:rsidP="0069639C">
      <w:pPr>
        <w:autoSpaceDE w:val="0"/>
        <w:autoSpaceDN w:val="0"/>
        <w:adjustRightInd w:val="0"/>
        <w:rPr>
          <w:rFonts w:ascii="Times New Roman" w:hAnsi="Times New Roman" w:cs="Times New Roman"/>
        </w:rPr>
      </w:pPr>
      <w:r w:rsidRPr="0057349C">
        <w:rPr>
          <w:rFonts w:ascii="Times New Roman" w:hAnsi="Times New Roman" w:cs="Times New Roman"/>
        </w:rPr>
        <w:t>For Lipton p</w:t>
      </w:r>
      <w:r w:rsidR="00DA14C8" w:rsidRPr="0057349C">
        <w:rPr>
          <w:rFonts w:ascii="Times New Roman" w:hAnsi="Times New Roman" w:cs="Times New Roman"/>
        </w:rPr>
        <w:t>ossible explanations, even false ones,</w:t>
      </w:r>
      <w:r w:rsidRPr="0057349C">
        <w:rPr>
          <w:rFonts w:ascii="Times New Roman" w:hAnsi="Times New Roman" w:cs="Times New Roman"/>
        </w:rPr>
        <w:t xml:space="preserve"> </w:t>
      </w:r>
      <w:r w:rsidR="00DA14C8" w:rsidRPr="0057349C">
        <w:rPr>
          <w:rFonts w:ascii="Times New Roman" w:hAnsi="Times New Roman" w:cs="Times New Roman"/>
        </w:rPr>
        <w:t>could provide understanding through the modal information of the actual mechanism; they tell us something either about the contingency, or the necessity of the mechanism. In this sense they would offer understanding not only of possible worlds, but understanding of the actual world, too. Such a scientific example mentioned by Lipton is Darwin’s explanation of natural selection through artificial selection which illuminates the mechanism of natural selection. Other more fictional examples are discussed in more detail. One of this involves a rigged boxing match between two boxers A &amp; B, the second far more experienced as the first, who agrees to take a dive in the 10th round and let A win. By chance A knock-outs B in the 5</w:t>
      </w:r>
      <w:r w:rsidR="00DA14C8" w:rsidRPr="0057349C">
        <w:rPr>
          <w:rFonts w:ascii="Times New Roman" w:hAnsi="Times New Roman" w:cs="Times New Roman"/>
          <w:vertAlign w:val="superscript"/>
        </w:rPr>
        <w:t>th</w:t>
      </w:r>
      <w:r w:rsidR="00DA14C8" w:rsidRPr="0057349C">
        <w:rPr>
          <w:rFonts w:ascii="Times New Roman" w:hAnsi="Times New Roman" w:cs="Times New Roman"/>
        </w:rPr>
        <w:t xml:space="preserve"> round through a lucky upper-cut. The explanation invoking the rigging fact becomes this way a possible explanation, which is in fact false, but provides us understanding, pace Lipton, through the modal knowledge on the actual mechanism.</w:t>
      </w:r>
      <w:r w:rsidR="00DA14C8" w:rsidRPr="0057349C">
        <w:rPr>
          <w:rStyle w:val="FootnoteReference"/>
          <w:rFonts w:ascii="Times New Roman" w:hAnsi="Times New Roman" w:cs="Times New Roman"/>
        </w:rPr>
        <w:footnoteReference w:id="11"/>
      </w:r>
      <w:r w:rsidR="00DA14C8" w:rsidRPr="0057349C">
        <w:rPr>
          <w:rFonts w:ascii="Times New Roman" w:hAnsi="Times New Roman" w:cs="Times New Roman"/>
        </w:rPr>
        <w:t xml:space="preserve"> For Khalifa, this could not offer any genuine understanding. This has to be gained just if the explainer knows the actual cause - the existence of the lucky uppercut.</w:t>
      </w:r>
    </w:p>
    <w:p w14:paraId="1F462E86" w14:textId="77777777" w:rsidR="006369A7" w:rsidRPr="001D2A80" w:rsidRDefault="006369A7" w:rsidP="006369A7">
      <w:pPr>
        <w:autoSpaceDE w:val="0"/>
        <w:autoSpaceDN w:val="0"/>
        <w:adjustRightInd w:val="0"/>
        <w:rPr>
          <w:rFonts w:ascii="Times New Roman" w:hAnsi="Times New Roman" w:cs="Times New Roman"/>
        </w:rPr>
      </w:pPr>
      <w:r w:rsidRPr="001D2A80">
        <w:rPr>
          <w:rFonts w:ascii="Times New Roman" w:hAnsi="Times New Roman" w:cs="Times New Roman"/>
        </w:rPr>
        <w:lastRenderedPageBreak/>
        <w:t>In the above case of modal understanding</w:t>
      </w:r>
      <w:r>
        <w:rPr>
          <w:rFonts w:ascii="Times New Roman" w:hAnsi="Times New Roman" w:cs="Times New Roman"/>
        </w:rPr>
        <w:t>,</w:t>
      </w:r>
      <w:r w:rsidRPr="001D2A80">
        <w:rPr>
          <w:rFonts w:ascii="Times New Roman" w:hAnsi="Times New Roman" w:cs="Times New Roman"/>
        </w:rPr>
        <w:t xml:space="preserve"> Khalifa specifies further the ‘subset’ relation mentioned in SET as involving the sets of w-answers that an explanation should always provide. According to Woodward</w:t>
      </w:r>
      <w:r>
        <w:rPr>
          <w:rFonts w:ascii="Times New Roman" w:hAnsi="Times New Roman" w:cs="Times New Roman"/>
        </w:rPr>
        <w:t>’s account</w:t>
      </w:r>
      <w:r w:rsidRPr="001D2A80">
        <w:rPr>
          <w:rFonts w:ascii="Times New Roman" w:hAnsi="Times New Roman" w:cs="Times New Roman"/>
        </w:rPr>
        <w:t xml:space="preserve"> (2003) widely accepted nowadays, an explanation should provide w-answers, i.e. answers to counterfactual questions of the form ‘what-if-things-would-have-been-different’. The explainer would answer such questions by varying the conditions in the </w:t>
      </w:r>
      <w:r w:rsidRPr="00DA1789">
        <w:rPr>
          <w:rFonts w:ascii="Times New Roman" w:hAnsi="Times New Roman" w:cs="Times New Roman"/>
          <w:i/>
          <w:iCs/>
        </w:rPr>
        <w:t>explanans</w:t>
      </w:r>
      <w:r w:rsidRPr="001D2A80">
        <w:rPr>
          <w:rFonts w:ascii="Times New Roman" w:hAnsi="Times New Roman" w:cs="Times New Roman"/>
        </w:rPr>
        <w:t xml:space="preserve"> and see the corresponding variation in the </w:t>
      </w:r>
      <w:r w:rsidRPr="00DA1789">
        <w:rPr>
          <w:rFonts w:ascii="Times New Roman" w:hAnsi="Times New Roman" w:cs="Times New Roman"/>
          <w:i/>
          <w:iCs/>
        </w:rPr>
        <w:t>explanandum</w:t>
      </w:r>
      <w:r w:rsidRPr="001D2A80">
        <w:rPr>
          <w:rFonts w:ascii="Times New Roman" w:hAnsi="Times New Roman" w:cs="Times New Roman"/>
        </w:rPr>
        <w:t xml:space="preserve">. The explanatory relation would define the set of w-questions and w-answers, </w:t>
      </w:r>
      <w:r>
        <w:rPr>
          <w:rFonts w:ascii="Times New Roman" w:hAnsi="Times New Roman" w:cs="Times New Roman"/>
        </w:rPr>
        <w:t>such</w:t>
      </w:r>
      <w:r w:rsidRPr="001D2A80">
        <w:rPr>
          <w:rFonts w:ascii="Times New Roman" w:hAnsi="Times New Roman" w:cs="Times New Roman"/>
        </w:rPr>
        <w:t xml:space="preserve"> that the set will be relative to the specific explanans. The inclusion relation</w:t>
      </w:r>
      <w:r>
        <w:rPr>
          <w:rFonts w:ascii="Times New Roman" w:hAnsi="Times New Roman" w:cs="Times New Roman"/>
        </w:rPr>
        <w:t xml:space="preserve"> </w:t>
      </w:r>
      <w:bookmarkStart w:id="3" w:name="_Hlk64917156"/>
      <w:r>
        <w:rPr>
          <w:rFonts w:ascii="Times New Roman" w:hAnsi="Times New Roman" w:cs="Times New Roman"/>
        </w:rPr>
        <w:t>between the sets of answers to w-questions</w:t>
      </w:r>
      <w:r w:rsidRPr="001D2A80">
        <w:rPr>
          <w:rFonts w:ascii="Times New Roman" w:hAnsi="Times New Roman" w:cs="Times New Roman"/>
        </w:rPr>
        <w:t xml:space="preserve"> </w:t>
      </w:r>
      <w:bookmarkEnd w:id="3"/>
      <w:r w:rsidRPr="001D2A80">
        <w:rPr>
          <w:rFonts w:ascii="Times New Roman" w:hAnsi="Times New Roman" w:cs="Times New Roman"/>
        </w:rPr>
        <w:t>could therefore not be defined in a proper way; the sets would intersect but not include each-other. In fact, to obtain such a strict inclusion relation one need</w:t>
      </w:r>
      <w:r>
        <w:rPr>
          <w:rFonts w:ascii="Times New Roman" w:hAnsi="Times New Roman" w:cs="Times New Roman"/>
        </w:rPr>
        <w:t>s</w:t>
      </w:r>
      <w:r w:rsidRPr="001D2A80">
        <w:rPr>
          <w:rFonts w:ascii="Times New Roman" w:hAnsi="Times New Roman" w:cs="Times New Roman"/>
        </w:rPr>
        <w:t xml:space="preserve"> to make an assumption that is totally implausible. This would claim that knowledge of the actual explanation implies knowledge of all possible explanations. There were also other voices to expose this tacit assumption in Khalifa’s argument since he feels the need to mention it. Nevertheless, his answer remains unconvicting since it relies on the same initial strong </w:t>
      </w:r>
      <w:r>
        <w:rPr>
          <w:rFonts w:ascii="Times New Roman" w:hAnsi="Times New Roman" w:cs="Times New Roman"/>
        </w:rPr>
        <w:t xml:space="preserve">ontological </w:t>
      </w:r>
      <w:r w:rsidRPr="001D2A80">
        <w:rPr>
          <w:rFonts w:ascii="Times New Roman" w:hAnsi="Times New Roman" w:cs="Times New Roman"/>
        </w:rPr>
        <w:t xml:space="preserve">reading - the existence of a correct explanation which he invokes.   </w:t>
      </w:r>
    </w:p>
    <w:p w14:paraId="64D3FFF6" w14:textId="359956D7" w:rsidR="006332A8" w:rsidRPr="001D2A80" w:rsidRDefault="006332A8" w:rsidP="006332A8">
      <w:pPr>
        <w:autoSpaceDE w:val="0"/>
        <w:autoSpaceDN w:val="0"/>
        <w:adjustRightInd w:val="0"/>
        <w:rPr>
          <w:rFonts w:ascii="Times New Roman" w:hAnsi="Times New Roman" w:cs="Times New Roman"/>
        </w:rPr>
      </w:pPr>
      <w:r w:rsidRPr="001D2A80">
        <w:rPr>
          <w:rFonts w:ascii="Times New Roman" w:hAnsi="Times New Roman" w:cs="Times New Roman"/>
        </w:rPr>
        <w:t>In case of the above-mentioned exemplification</w:t>
      </w:r>
      <w:r>
        <w:rPr>
          <w:rFonts w:ascii="Times New Roman" w:hAnsi="Times New Roman" w:cs="Times New Roman"/>
        </w:rPr>
        <w:t>,</w:t>
      </w:r>
      <w:r w:rsidRPr="001D2A80">
        <w:rPr>
          <w:rFonts w:ascii="Times New Roman" w:hAnsi="Times New Roman" w:cs="Times New Roman"/>
        </w:rPr>
        <w:t xml:space="preserve"> we could see how the inclusion relations between these sets fail. By asking a subject </w:t>
      </w:r>
      <w:r w:rsidR="0057349C">
        <w:rPr>
          <w:rFonts w:ascii="Times New Roman" w:hAnsi="Times New Roman" w:cs="Times New Roman"/>
        </w:rPr>
        <w:t>who</w:t>
      </w:r>
      <w:r w:rsidRPr="001D2A80">
        <w:rPr>
          <w:rFonts w:ascii="Times New Roman" w:hAnsi="Times New Roman" w:cs="Times New Roman"/>
        </w:rPr>
        <w:t xml:space="preserve"> knows the actual explanation what would have happened if A would have missed the lucky uppercut, the normal answer would be that he would not have won. So, we could not get the right answer provided by the one who would know the possible explanation that the match was rigged and A would have won anyway. Unless one assumes that the subject knows also the answers to the possible explanation and by extension to all possible explanations justifying this way the inclusion relation between w-answers. This </w:t>
      </w:r>
      <w:r w:rsidR="0057349C">
        <w:rPr>
          <w:rFonts w:ascii="Times New Roman" w:hAnsi="Times New Roman" w:cs="Times New Roman"/>
        </w:rPr>
        <w:t xml:space="preserve">assumption </w:t>
      </w:r>
      <w:r w:rsidRPr="001D2A80">
        <w:rPr>
          <w:rFonts w:ascii="Times New Roman" w:hAnsi="Times New Roman" w:cs="Times New Roman"/>
        </w:rPr>
        <w:t>vitiates the argumentation.</w:t>
      </w:r>
    </w:p>
    <w:p w14:paraId="42E14719" w14:textId="77777777" w:rsidR="006332A8" w:rsidRPr="001D2A80" w:rsidRDefault="006332A8" w:rsidP="006332A8">
      <w:pPr>
        <w:autoSpaceDE w:val="0"/>
        <w:autoSpaceDN w:val="0"/>
        <w:adjustRightInd w:val="0"/>
        <w:rPr>
          <w:rFonts w:ascii="Times New Roman" w:hAnsi="Times New Roman" w:cs="Times New Roman"/>
        </w:rPr>
      </w:pPr>
      <w:r w:rsidRPr="001D2A80">
        <w:rPr>
          <w:rFonts w:ascii="Times New Roman" w:hAnsi="Times New Roman" w:cs="Times New Roman"/>
        </w:rPr>
        <w:t>Moreover we might further claim that the subject who believes just the possible explanation - that the match was rigged - engages on a further investigation track which proves to be much fruitful for expanding our knowledge Under a special construal as the one proposed by de Regt and Gij</w:t>
      </w:r>
      <w:r>
        <w:rPr>
          <w:rFonts w:ascii="Times New Roman" w:hAnsi="Times New Roman" w:cs="Times New Roman"/>
        </w:rPr>
        <w:t>s</w:t>
      </w:r>
      <w:r w:rsidRPr="001D2A80">
        <w:rPr>
          <w:rFonts w:ascii="Times New Roman" w:hAnsi="Times New Roman" w:cs="Times New Roman"/>
        </w:rPr>
        <w:t>bers (de</w:t>
      </w:r>
      <w:r>
        <w:rPr>
          <w:rFonts w:ascii="Times New Roman" w:hAnsi="Times New Roman" w:cs="Times New Roman"/>
        </w:rPr>
        <w:t xml:space="preserve"> </w:t>
      </w:r>
      <w:r w:rsidRPr="001D2A80">
        <w:rPr>
          <w:rFonts w:ascii="Times New Roman" w:hAnsi="Times New Roman" w:cs="Times New Roman"/>
        </w:rPr>
        <w:t>Regt, Gij</w:t>
      </w:r>
      <w:r>
        <w:rPr>
          <w:rFonts w:ascii="Times New Roman" w:hAnsi="Times New Roman" w:cs="Times New Roman"/>
        </w:rPr>
        <w:t>s</w:t>
      </w:r>
      <w:r w:rsidRPr="001D2A80">
        <w:rPr>
          <w:rFonts w:ascii="Times New Roman" w:hAnsi="Times New Roman" w:cs="Times New Roman"/>
        </w:rPr>
        <w:t xml:space="preserve">bers 2016) who argued for considering an </w:t>
      </w:r>
      <w:r w:rsidRPr="00F57605">
        <w:rPr>
          <w:rFonts w:ascii="Times New Roman" w:hAnsi="Times New Roman" w:cs="Times New Roman"/>
        </w:rPr>
        <w:t>effectiveness</w:t>
      </w:r>
      <w:r w:rsidRPr="001D2A80">
        <w:rPr>
          <w:rFonts w:ascii="Times New Roman" w:hAnsi="Times New Roman" w:cs="Times New Roman"/>
        </w:rPr>
        <w:t xml:space="preserve"> requirement for understanding i.e. taking into account the </w:t>
      </w:r>
      <w:r w:rsidRPr="00F57605">
        <w:rPr>
          <w:rFonts w:ascii="Times New Roman" w:hAnsi="Times New Roman" w:cs="Times New Roman"/>
        </w:rPr>
        <w:t>effectiveness</w:t>
      </w:r>
      <w:r w:rsidRPr="001D2A80">
        <w:rPr>
          <w:rFonts w:ascii="Times New Roman" w:hAnsi="Times New Roman" w:cs="Times New Roman"/>
        </w:rPr>
        <w:t xml:space="preserve"> in further expanding our knowledge, in acquiring new results, better methodologies etc., one could rightly claim a greater understanding from the possible explanation than from the actual one in our case. The understanding gained from the possible explanation would further direct our investigation towards the rigging practices and expand our knowledge more than by simply accepting that the match was won by simple chance.</w:t>
      </w:r>
    </w:p>
    <w:p w14:paraId="43C34C1A" w14:textId="7FF28145" w:rsidR="006332A8" w:rsidRPr="001D2A80" w:rsidRDefault="006332A8" w:rsidP="006332A8">
      <w:pPr>
        <w:autoSpaceDE w:val="0"/>
        <w:autoSpaceDN w:val="0"/>
        <w:adjustRightInd w:val="0"/>
        <w:rPr>
          <w:rFonts w:ascii="Times New Roman" w:hAnsi="Times New Roman" w:cs="Times New Roman"/>
          <w:iCs/>
        </w:rPr>
      </w:pPr>
      <w:r w:rsidRPr="001D2A80">
        <w:rPr>
          <w:rFonts w:ascii="Times New Roman" w:hAnsi="Times New Roman" w:cs="Times New Roman"/>
        </w:rPr>
        <w:t>In the book version of the critique</w:t>
      </w:r>
      <w:r>
        <w:rPr>
          <w:rFonts w:ascii="Times New Roman" w:hAnsi="Times New Roman" w:cs="Times New Roman"/>
        </w:rPr>
        <w:t>,</w:t>
      </w:r>
      <w:r w:rsidRPr="001D2A80">
        <w:rPr>
          <w:rFonts w:ascii="Times New Roman" w:hAnsi="Times New Roman" w:cs="Times New Roman"/>
        </w:rPr>
        <w:t xml:space="preserve"> Khalifa takes another path </w:t>
      </w:r>
      <w:r w:rsidR="00876C75">
        <w:rPr>
          <w:rFonts w:ascii="Times New Roman" w:hAnsi="Times New Roman" w:cs="Times New Roman"/>
        </w:rPr>
        <w:t xml:space="preserve">invoking </w:t>
      </w:r>
      <w:r w:rsidRPr="001D2A80">
        <w:rPr>
          <w:rFonts w:ascii="Times New Roman" w:hAnsi="Times New Roman" w:cs="Times New Roman"/>
        </w:rPr>
        <w:t>the R</w:t>
      </w:r>
      <w:r>
        <w:rPr>
          <w:rFonts w:ascii="Times New Roman" w:hAnsi="Times New Roman" w:cs="Times New Roman"/>
        </w:rPr>
        <w:t xml:space="preserve">ight </w:t>
      </w:r>
      <w:r w:rsidRPr="001D2A80">
        <w:rPr>
          <w:rFonts w:ascii="Times New Roman" w:hAnsi="Times New Roman" w:cs="Times New Roman"/>
        </w:rPr>
        <w:t>T</w:t>
      </w:r>
      <w:r>
        <w:rPr>
          <w:rFonts w:ascii="Times New Roman" w:hAnsi="Times New Roman" w:cs="Times New Roman"/>
        </w:rPr>
        <w:t xml:space="preserve">rack </w:t>
      </w:r>
      <w:r w:rsidRPr="001D2A80">
        <w:rPr>
          <w:rFonts w:ascii="Times New Roman" w:hAnsi="Times New Roman" w:cs="Times New Roman"/>
        </w:rPr>
        <w:t>O</w:t>
      </w:r>
      <w:r>
        <w:rPr>
          <w:rFonts w:ascii="Times New Roman" w:hAnsi="Times New Roman" w:cs="Times New Roman"/>
        </w:rPr>
        <w:t>bjection</w:t>
      </w:r>
      <w:r w:rsidRPr="001D2A80">
        <w:rPr>
          <w:rFonts w:ascii="Times New Roman" w:hAnsi="Times New Roman" w:cs="Times New Roman"/>
        </w:rPr>
        <w:t>. He characterizes Lipton’s cases as a sort of preliminary and incomplete forms of understanding, or proto-understanding as he calls them. Such forms are ‘merely a way station for understanding with explanation’</w:t>
      </w:r>
      <w:r>
        <w:rPr>
          <w:rFonts w:ascii="Times New Roman" w:hAnsi="Times New Roman" w:cs="Times New Roman"/>
        </w:rPr>
        <w:t xml:space="preserve"> </w:t>
      </w:r>
      <w:r w:rsidRPr="001D2A80">
        <w:rPr>
          <w:rFonts w:ascii="Times New Roman" w:hAnsi="Times New Roman" w:cs="Times New Roman"/>
        </w:rPr>
        <w:t>(Khalifa 2017: 129)</w:t>
      </w:r>
      <w:r>
        <w:rPr>
          <w:rFonts w:ascii="Times New Roman" w:hAnsi="Times New Roman" w:cs="Times New Roman"/>
        </w:rPr>
        <w:t xml:space="preserve"> </w:t>
      </w:r>
      <w:r w:rsidR="00876C75">
        <w:rPr>
          <w:rFonts w:ascii="Times New Roman" w:hAnsi="Times New Roman" w:cs="Times New Roman"/>
        </w:rPr>
        <w:t>i.e.</w:t>
      </w:r>
      <w:r w:rsidRPr="001D2A80">
        <w:rPr>
          <w:rFonts w:ascii="Times New Roman" w:hAnsi="Times New Roman" w:cs="Times New Roman"/>
        </w:rPr>
        <w:t xml:space="preserve"> they are on the right track. Being on the right track mean</w:t>
      </w:r>
      <w:r w:rsidR="00876C75">
        <w:rPr>
          <w:rFonts w:ascii="Times New Roman" w:hAnsi="Times New Roman" w:cs="Times New Roman"/>
        </w:rPr>
        <w:t>s according to Khalifa</w:t>
      </w:r>
      <w:r w:rsidRPr="001D2A80">
        <w:rPr>
          <w:rFonts w:ascii="Times New Roman" w:hAnsi="Times New Roman" w:cs="Times New Roman"/>
        </w:rPr>
        <w:t xml:space="preserve"> that one does not know the proper answer to a relevant explanation-seeking question</w:t>
      </w:r>
      <w:r w:rsidRPr="006332A8">
        <w:rPr>
          <w:rFonts w:ascii="Times New Roman" w:hAnsi="Times New Roman" w:cs="Times New Roman"/>
        </w:rPr>
        <w:t xml:space="preserve"> </w:t>
      </w:r>
      <w:r w:rsidRPr="001D2A80">
        <w:rPr>
          <w:rFonts w:ascii="Times New Roman" w:hAnsi="Times New Roman" w:cs="Times New Roman"/>
        </w:rPr>
        <w:t xml:space="preserve">but has information that </w:t>
      </w:r>
      <w:r w:rsidRPr="001D2A80">
        <w:rPr>
          <w:rFonts w:ascii="Times New Roman" w:hAnsi="Times New Roman" w:cs="Times New Roman"/>
        </w:rPr>
        <w:lastRenderedPageBreak/>
        <w:t>would be useful in acquiring such knowledge</w:t>
      </w:r>
      <w:r w:rsidRPr="001D2A80">
        <w:rPr>
          <w:rFonts w:ascii="Times New Roman" w:hAnsi="Times New Roman" w:cs="Times New Roman"/>
          <w:i/>
          <w:iCs/>
        </w:rPr>
        <w:t xml:space="preserve">. </w:t>
      </w:r>
      <w:r w:rsidRPr="001D2A80">
        <w:rPr>
          <w:rFonts w:ascii="Times New Roman" w:hAnsi="Times New Roman" w:cs="Times New Roman"/>
          <w:iCs/>
        </w:rPr>
        <w:t xml:space="preserve">This characterization is </w:t>
      </w:r>
      <w:r>
        <w:rPr>
          <w:rFonts w:ascii="Times New Roman" w:hAnsi="Times New Roman" w:cs="Times New Roman"/>
          <w:iCs/>
        </w:rPr>
        <w:t xml:space="preserve">on the one hand </w:t>
      </w:r>
      <w:r w:rsidRPr="001D2A80">
        <w:rPr>
          <w:rFonts w:ascii="Times New Roman" w:hAnsi="Times New Roman" w:cs="Times New Roman"/>
          <w:iCs/>
        </w:rPr>
        <w:t>too inclusive</w:t>
      </w:r>
      <w:r>
        <w:rPr>
          <w:rFonts w:ascii="Times New Roman" w:hAnsi="Times New Roman" w:cs="Times New Roman"/>
          <w:iCs/>
        </w:rPr>
        <w:t>,</w:t>
      </w:r>
      <w:r w:rsidRPr="001D2A80">
        <w:rPr>
          <w:rFonts w:ascii="Times New Roman" w:hAnsi="Times New Roman" w:cs="Times New Roman"/>
          <w:iCs/>
        </w:rPr>
        <w:t xml:space="preserve"> since in an inquiry context there are plenty pieces of information of this kind; and on </w:t>
      </w:r>
      <w:r>
        <w:rPr>
          <w:rFonts w:ascii="Times New Roman" w:hAnsi="Times New Roman" w:cs="Times New Roman"/>
          <w:iCs/>
        </w:rPr>
        <w:t>the other hand</w:t>
      </w:r>
      <w:r w:rsidRPr="001D2A80">
        <w:rPr>
          <w:rFonts w:ascii="Times New Roman" w:hAnsi="Times New Roman" w:cs="Times New Roman"/>
          <w:iCs/>
        </w:rPr>
        <w:t xml:space="preserve"> it ignores the fact that possible explanations are also involved in changing tracks and reorienting inquiry towards a better track. As in case of our example</w:t>
      </w:r>
      <w:r>
        <w:rPr>
          <w:rFonts w:ascii="Times New Roman" w:hAnsi="Times New Roman" w:cs="Times New Roman"/>
          <w:iCs/>
        </w:rPr>
        <w:t>,</w:t>
      </w:r>
      <w:r w:rsidRPr="001D2A80">
        <w:rPr>
          <w:rFonts w:ascii="Times New Roman" w:hAnsi="Times New Roman" w:cs="Times New Roman"/>
          <w:iCs/>
        </w:rPr>
        <w:t xml:space="preserve"> the track of the correct explanation might be meager and irrelevant for the knowledge-expansion in comparison to the one of the possible explanation.</w:t>
      </w:r>
    </w:p>
    <w:p w14:paraId="08565FBD" w14:textId="10D1E685" w:rsidR="00C21D32" w:rsidRPr="001D2A80" w:rsidRDefault="00C21D32" w:rsidP="00C21D32">
      <w:pPr>
        <w:autoSpaceDE w:val="0"/>
        <w:autoSpaceDN w:val="0"/>
        <w:adjustRightInd w:val="0"/>
        <w:rPr>
          <w:rFonts w:ascii="Times New Roman" w:hAnsi="Times New Roman" w:cs="Times New Roman"/>
        </w:rPr>
      </w:pPr>
      <w:r w:rsidRPr="001D2A80">
        <w:rPr>
          <w:rFonts w:ascii="Times New Roman" w:hAnsi="Times New Roman" w:cs="Times New Roman"/>
        </w:rPr>
        <w:t xml:space="preserve">Another characterization of non-explanatory understanding in Khalifa’s reconstruction is the one of proto-understanding </w:t>
      </w:r>
      <w:r w:rsidR="00876C75">
        <w:rPr>
          <w:rFonts w:ascii="Times New Roman" w:hAnsi="Times New Roman" w:cs="Times New Roman"/>
        </w:rPr>
        <w:t xml:space="preserve">referring to </w:t>
      </w:r>
      <w:r w:rsidRPr="001D2A80">
        <w:rPr>
          <w:rFonts w:ascii="Times New Roman" w:hAnsi="Times New Roman" w:cs="Times New Roman"/>
        </w:rPr>
        <w:t>a</w:t>
      </w:r>
      <w:r w:rsidR="00876C75">
        <w:rPr>
          <w:rFonts w:ascii="Times New Roman" w:hAnsi="Times New Roman" w:cs="Times New Roman"/>
        </w:rPr>
        <w:t xml:space="preserve"> sort of</w:t>
      </w:r>
      <w:r w:rsidRPr="001D2A80">
        <w:rPr>
          <w:rFonts w:ascii="Times New Roman" w:hAnsi="Times New Roman" w:cs="Times New Roman"/>
        </w:rPr>
        <w:t xml:space="preserve"> understanding provided by grasping just the explanatory roles of some propositions and not the full-explanation (Khalifa 2017: 129). </w:t>
      </w:r>
      <w:r w:rsidR="00876C75">
        <w:rPr>
          <w:rFonts w:ascii="Times New Roman" w:hAnsi="Times New Roman" w:cs="Times New Roman"/>
        </w:rPr>
        <w:t>Grasping d</w:t>
      </w:r>
      <w:r w:rsidRPr="001D2A80">
        <w:rPr>
          <w:rFonts w:ascii="Times New Roman" w:hAnsi="Times New Roman" w:cs="Times New Roman"/>
        </w:rPr>
        <w:t xml:space="preserve">irect </w:t>
      </w:r>
      <w:r w:rsidR="00876C75">
        <w:rPr>
          <w:rFonts w:ascii="Times New Roman" w:hAnsi="Times New Roman" w:cs="Times New Roman"/>
        </w:rPr>
        <w:t xml:space="preserve">explanatory </w:t>
      </w:r>
      <w:r w:rsidRPr="001D2A80">
        <w:rPr>
          <w:rFonts w:ascii="Times New Roman" w:hAnsi="Times New Roman" w:cs="Times New Roman"/>
        </w:rPr>
        <w:t xml:space="preserve">roles involve grasping the explanans or explanandum </w:t>
      </w:r>
      <w:r w:rsidR="00876C75">
        <w:rPr>
          <w:rFonts w:ascii="Times New Roman" w:hAnsi="Times New Roman" w:cs="Times New Roman"/>
        </w:rPr>
        <w:t>while</w:t>
      </w:r>
      <w:r w:rsidRPr="001D2A80">
        <w:rPr>
          <w:rFonts w:ascii="Times New Roman" w:hAnsi="Times New Roman" w:cs="Times New Roman"/>
        </w:rPr>
        <w:t xml:space="preserve"> indirect </w:t>
      </w:r>
      <w:r w:rsidR="00876C75">
        <w:rPr>
          <w:rFonts w:ascii="Times New Roman" w:hAnsi="Times New Roman" w:cs="Times New Roman"/>
        </w:rPr>
        <w:t xml:space="preserve">roles is attributed to </w:t>
      </w:r>
      <w:r w:rsidRPr="001D2A80">
        <w:rPr>
          <w:rFonts w:ascii="Times New Roman" w:hAnsi="Times New Roman" w:cs="Times New Roman"/>
        </w:rPr>
        <w:t>other background information. Proto-understanding refers to this later case and we could quite well accuse in this case an underdetermination since many different explanations might appeal to the same pieces of information in the background</w:t>
      </w:r>
      <w:r w:rsidR="00876C75">
        <w:rPr>
          <w:rFonts w:ascii="Times New Roman" w:hAnsi="Times New Roman" w:cs="Times New Roman"/>
        </w:rPr>
        <w:t xml:space="preserve"> involving indirect explanatory roles</w:t>
      </w:r>
      <w:r w:rsidRPr="001D2A80">
        <w:rPr>
          <w:rFonts w:ascii="Times New Roman" w:hAnsi="Times New Roman" w:cs="Times New Roman"/>
        </w:rPr>
        <w:t>. So, grasping them does not warrant the uniqueness of the explanatory track i.e. the right track.</w:t>
      </w:r>
    </w:p>
    <w:p w14:paraId="275FAB7A" w14:textId="0DC71DED" w:rsidR="00C21D32" w:rsidRPr="001D2A80" w:rsidRDefault="00C21D32" w:rsidP="00C21D32">
      <w:pPr>
        <w:autoSpaceDE w:val="0"/>
        <w:autoSpaceDN w:val="0"/>
        <w:adjustRightInd w:val="0"/>
        <w:rPr>
          <w:rFonts w:ascii="Times New Roman" w:hAnsi="Times New Roman" w:cs="Times New Roman"/>
        </w:rPr>
      </w:pPr>
      <w:r w:rsidRPr="001D2A80">
        <w:rPr>
          <w:rFonts w:ascii="Times New Roman" w:hAnsi="Times New Roman" w:cs="Times New Roman"/>
        </w:rPr>
        <w:t>To conclude the discussion o</w:t>
      </w:r>
      <w:r>
        <w:rPr>
          <w:rFonts w:ascii="Times New Roman" w:hAnsi="Times New Roman" w:cs="Times New Roman"/>
        </w:rPr>
        <w:t>n</w:t>
      </w:r>
      <w:r w:rsidRPr="001D2A80">
        <w:rPr>
          <w:rFonts w:ascii="Times New Roman" w:hAnsi="Times New Roman" w:cs="Times New Roman"/>
        </w:rPr>
        <w:t xml:space="preserve"> Khalifa’s </w:t>
      </w:r>
      <w:r>
        <w:rPr>
          <w:rFonts w:ascii="Times New Roman" w:hAnsi="Times New Roman" w:cs="Times New Roman"/>
        </w:rPr>
        <w:t>criticism,</w:t>
      </w:r>
      <w:r w:rsidRPr="001D2A80">
        <w:rPr>
          <w:rFonts w:ascii="Times New Roman" w:hAnsi="Times New Roman" w:cs="Times New Roman"/>
        </w:rPr>
        <w:t xml:space="preserve"> we could say that </w:t>
      </w:r>
      <w:r>
        <w:rPr>
          <w:rFonts w:ascii="Times New Roman" w:hAnsi="Times New Roman" w:cs="Times New Roman"/>
        </w:rPr>
        <w:t xml:space="preserve">in order to bolster his argument, he </w:t>
      </w:r>
      <w:r w:rsidRPr="001D2A80">
        <w:rPr>
          <w:rFonts w:ascii="Times New Roman" w:hAnsi="Times New Roman" w:cs="Times New Roman"/>
        </w:rPr>
        <w:t>overlook</w:t>
      </w:r>
      <w:r>
        <w:rPr>
          <w:rFonts w:ascii="Times New Roman" w:hAnsi="Times New Roman" w:cs="Times New Roman"/>
        </w:rPr>
        <w:t xml:space="preserve">s </w:t>
      </w:r>
      <w:r w:rsidRPr="001D2A80">
        <w:rPr>
          <w:rFonts w:ascii="Times New Roman" w:hAnsi="Times New Roman" w:cs="Times New Roman"/>
        </w:rPr>
        <w:t>and ignor</w:t>
      </w:r>
      <w:r>
        <w:rPr>
          <w:rFonts w:ascii="Times New Roman" w:hAnsi="Times New Roman" w:cs="Times New Roman"/>
        </w:rPr>
        <w:t>es</w:t>
      </w:r>
      <w:r w:rsidRPr="001D2A80">
        <w:rPr>
          <w:rFonts w:ascii="Times New Roman" w:hAnsi="Times New Roman" w:cs="Times New Roman"/>
        </w:rPr>
        <w:t xml:space="preserve"> important aspects of non-explanatory understanding. These forms are presented in the first </w:t>
      </w:r>
      <w:r>
        <w:rPr>
          <w:rFonts w:ascii="Times New Roman" w:hAnsi="Times New Roman" w:cs="Times New Roman"/>
        </w:rPr>
        <w:t>criticism</w:t>
      </w:r>
      <w:r w:rsidRPr="001D2A80">
        <w:rPr>
          <w:rFonts w:ascii="Times New Roman" w:hAnsi="Times New Roman" w:cs="Times New Roman"/>
        </w:rPr>
        <w:t xml:space="preserve"> as diminished forms that can be retrieved from the full explanatory one. As we saw in case of possible explanation the </w:t>
      </w:r>
      <w:r>
        <w:rPr>
          <w:rFonts w:ascii="Times New Roman" w:hAnsi="Times New Roman" w:cs="Times New Roman"/>
        </w:rPr>
        <w:t>argument</w:t>
      </w:r>
      <w:r w:rsidRPr="001D2A80">
        <w:rPr>
          <w:rFonts w:ascii="Times New Roman" w:hAnsi="Times New Roman" w:cs="Times New Roman"/>
        </w:rPr>
        <w:t xml:space="preserve"> fails to establish the inclusion relation. In the other attempt</w:t>
      </w:r>
      <w:r>
        <w:rPr>
          <w:rFonts w:ascii="Times New Roman" w:hAnsi="Times New Roman" w:cs="Times New Roman"/>
        </w:rPr>
        <w:t>,</w:t>
      </w:r>
      <w:r w:rsidRPr="001D2A80">
        <w:rPr>
          <w:rFonts w:ascii="Times New Roman" w:hAnsi="Times New Roman" w:cs="Times New Roman"/>
        </w:rPr>
        <w:t xml:space="preserve"> they are presented just as stations, i.e. provisory stages on the track towards the full explanation. This view proves to be a narrow one raising a series of unsolved questions.</w:t>
      </w:r>
    </w:p>
    <w:p w14:paraId="352CFE6D" w14:textId="77777777" w:rsidR="004C58B2" w:rsidRDefault="004C58B2" w:rsidP="00A86657">
      <w:pPr>
        <w:autoSpaceDE w:val="0"/>
        <w:autoSpaceDN w:val="0"/>
        <w:adjustRightInd w:val="0"/>
        <w:rPr>
          <w:rFonts w:ascii="Times New Roman" w:hAnsi="Times New Roman" w:cs="Times New Roman"/>
          <w:b/>
          <w:color w:val="131413"/>
        </w:rPr>
      </w:pPr>
    </w:p>
    <w:p w14:paraId="1A297657" w14:textId="77777777" w:rsidR="00F15DD2" w:rsidRDefault="00F15DD2" w:rsidP="00A86657">
      <w:pPr>
        <w:autoSpaceDE w:val="0"/>
        <w:autoSpaceDN w:val="0"/>
        <w:adjustRightInd w:val="0"/>
        <w:rPr>
          <w:rFonts w:ascii="Times New Roman" w:hAnsi="Times New Roman" w:cs="Times New Roman"/>
          <w:b/>
          <w:color w:val="131413"/>
        </w:rPr>
      </w:pPr>
    </w:p>
    <w:p w14:paraId="43AD99CF" w14:textId="77777777" w:rsidR="008564F7" w:rsidRDefault="00F15DD2" w:rsidP="00F15DD2">
      <w:pPr>
        <w:autoSpaceDE w:val="0"/>
        <w:autoSpaceDN w:val="0"/>
        <w:adjustRightInd w:val="0"/>
        <w:jc w:val="center"/>
        <w:rPr>
          <w:rFonts w:ascii="Times New Roman" w:hAnsi="Times New Roman" w:cs="Times New Roman"/>
          <w:b/>
          <w:color w:val="131413"/>
        </w:rPr>
      </w:pPr>
      <w:r w:rsidRPr="001D2A80">
        <w:rPr>
          <w:rFonts w:ascii="Times New Roman" w:hAnsi="Times New Roman" w:cs="Times New Roman"/>
          <w:b/>
          <w:color w:val="131413"/>
        </w:rPr>
        <w:t>SOME POSITIVE REASONS AND PERSPECTIVES</w:t>
      </w:r>
    </w:p>
    <w:p w14:paraId="75F2687F" w14:textId="77777777" w:rsidR="00F15DD2" w:rsidRPr="001D2A80" w:rsidRDefault="00F15DD2" w:rsidP="00F15DD2">
      <w:pPr>
        <w:autoSpaceDE w:val="0"/>
        <w:autoSpaceDN w:val="0"/>
        <w:adjustRightInd w:val="0"/>
        <w:jc w:val="center"/>
        <w:rPr>
          <w:rFonts w:ascii="Times New Roman" w:hAnsi="Times New Roman" w:cs="Times New Roman"/>
          <w:b/>
          <w:color w:val="131413"/>
        </w:rPr>
      </w:pPr>
    </w:p>
    <w:p w14:paraId="5EDA7A55" w14:textId="77777777" w:rsidR="00671A7F" w:rsidRPr="001D2A80" w:rsidRDefault="00671A7F" w:rsidP="00671A7F">
      <w:pPr>
        <w:autoSpaceDE w:val="0"/>
        <w:autoSpaceDN w:val="0"/>
        <w:adjustRightInd w:val="0"/>
        <w:rPr>
          <w:rFonts w:ascii="Times New Roman" w:hAnsi="Times New Roman" w:cs="Times New Roman"/>
          <w:color w:val="131413"/>
        </w:rPr>
      </w:pPr>
      <w:r w:rsidRPr="001D2A80">
        <w:rPr>
          <w:rFonts w:ascii="Times New Roman" w:hAnsi="Times New Roman" w:cs="Times New Roman"/>
          <w:color w:val="131413"/>
        </w:rPr>
        <w:t>I</w:t>
      </w:r>
      <w:r>
        <w:rPr>
          <w:rFonts w:ascii="Times New Roman" w:hAnsi="Times New Roman" w:cs="Times New Roman"/>
          <w:color w:val="131413"/>
        </w:rPr>
        <w:t>’ve</w:t>
      </w:r>
      <w:r w:rsidRPr="001D2A80">
        <w:rPr>
          <w:rFonts w:ascii="Times New Roman" w:hAnsi="Times New Roman" w:cs="Times New Roman"/>
          <w:color w:val="131413"/>
        </w:rPr>
        <w:t xml:space="preserve"> showed that there are no good reasons to reject the non-explanatory understanding and that the </w:t>
      </w:r>
      <w:r>
        <w:rPr>
          <w:rFonts w:ascii="Times New Roman" w:hAnsi="Times New Roman" w:cs="Times New Roman"/>
          <w:color w:val="131413"/>
        </w:rPr>
        <w:t xml:space="preserve">criticism </w:t>
      </w:r>
      <w:r w:rsidRPr="001D2A80">
        <w:rPr>
          <w:rFonts w:ascii="Times New Roman" w:hAnsi="Times New Roman" w:cs="Times New Roman"/>
          <w:color w:val="131413"/>
        </w:rPr>
        <w:t xml:space="preserve">raised </w:t>
      </w:r>
      <w:r>
        <w:rPr>
          <w:rFonts w:ascii="Times New Roman" w:hAnsi="Times New Roman" w:cs="Times New Roman"/>
          <w:color w:val="131413"/>
        </w:rPr>
        <w:t xml:space="preserve">by Khalifa </w:t>
      </w:r>
      <w:r w:rsidRPr="001D2A80">
        <w:rPr>
          <w:rFonts w:ascii="Times New Roman" w:hAnsi="Times New Roman" w:cs="Times New Roman"/>
          <w:color w:val="131413"/>
        </w:rPr>
        <w:t xml:space="preserve">- at least one of them, i.e. the most complete one – fails to achieve its aim. But there are also positive reasons why we should keep investigating these </w:t>
      </w:r>
      <w:r>
        <w:rPr>
          <w:rFonts w:ascii="Times New Roman" w:hAnsi="Times New Roman" w:cs="Times New Roman"/>
          <w:color w:val="131413"/>
        </w:rPr>
        <w:t xml:space="preserve">non-explanatory </w:t>
      </w:r>
      <w:r w:rsidRPr="001D2A80">
        <w:rPr>
          <w:rFonts w:ascii="Times New Roman" w:hAnsi="Times New Roman" w:cs="Times New Roman"/>
          <w:color w:val="131413"/>
        </w:rPr>
        <w:t>forms of understanding. In this section I</w:t>
      </w:r>
      <w:r>
        <w:rPr>
          <w:rFonts w:ascii="Times New Roman" w:hAnsi="Times New Roman" w:cs="Times New Roman"/>
          <w:color w:val="131413"/>
        </w:rPr>
        <w:t xml:space="preserve"> briefly </w:t>
      </w:r>
      <w:r w:rsidRPr="001D2A80">
        <w:rPr>
          <w:rFonts w:ascii="Times New Roman" w:hAnsi="Times New Roman" w:cs="Times New Roman"/>
          <w:color w:val="131413"/>
        </w:rPr>
        <w:t xml:space="preserve">point to </w:t>
      </w:r>
      <w:r w:rsidRPr="001D2A80">
        <w:rPr>
          <w:rFonts w:ascii="Times New Roman" w:hAnsi="Times New Roman" w:cs="Times New Roman"/>
          <w:iCs/>
          <w:color w:val="131413"/>
        </w:rPr>
        <w:t xml:space="preserve">some of the main reasons that support the fact that </w:t>
      </w:r>
      <w:r>
        <w:rPr>
          <w:rFonts w:ascii="Times New Roman" w:hAnsi="Times New Roman" w:cs="Times New Roman"/>
          <w:iCs/>
          <w:color w:val="131413"/>
        </w:rPr>
        <w:t xml:space="preserve">in the case of </w:t>
      </w:r>
      <w:r w:rsidRPr="001D2A80">
        <w:rPr>
          <w:rFonts w:ascii="Times New Roman" w:hAnsi="Times New Roman" w:cs="Times New Roman"/>
          <w:iCs/>
          <w:color w:val="131413"/>
        </w:rPr>
        <w:t xml:space="preserve">non-explanatory understanding </w:t>
      </w:r>
      <w:r>
        <w:rPr>
          <w:rFonts w:ascii="Times New Roman" w:hAnsi="Times New Roman" w:cs="Times New Roman"/>
          <w:iCs/>
          <w:color w:val="131413"/>
        </w:rPr>
        <w:t>the jury is still out</w:t>
      </w:r>
      <w:r w:rsidRPr="001D2A80">
        <w:rPr>
          <w:rFonts w:ascii="Times New Roman" w:hAnsi="Times New Roman" w:cs="Times New Roman"/>
          <w:iCs/>
          <w:color w:val="131413"/>
        </w:rPr>
        <w:t>.</w:t>
      </w:r>
    </w:p>
    <w:p w14:paraId="47B51DDA" w14:textId="77777777" w:rsidR="00671A7F" w:rsidRPr="001D2A80" w:rsidRDefault="00671A7F" w:rsidP="00671A7F">
      <w:pPr>
        <w:autoSpaceDE w:val="0"/>
        <w:autoSpaceDN w:val="0"/>
        <w:adjustRightInd w:val="0"/>
        <w:rPr>
          <w:rFonts w:ascii="Times New Roman" w:hAnsi="Times New Roman" w:cs="Times New Roman"/>
          <w:color w:val="131413"/>
        </w:rPr>
      </w:pPr>
      <w:r w:rsidRPr="001D2A80">
        <w:rPr>
          <w:rFonts w:ascii="Times New Roman" w:hAnsi="Times New Roman" w:cs="Times New Roman"/>
          <w:color w:val="131413"/>
        </w:rPr>
        <w:t xml:space="preserve">A first reason </w:t>
      </w:r>
      <w:r>
        <w:rPr>
          <w:rFonts w:ascii="Times New Roman" w:hAnsi="Times New Roman" w:cs="Times New Roman"/>
          <w:color w:val="131413"/>
        </w:rPr>
        <w:t xml:space="preserve">which </w:t>
      </w:r>
      <w:r w:rsidRPr="001D2A80">
        <w:rPr>
          <w:rFonts w:ascii="Times New Roman" w:hAnsi="Times New Roman" w:cs="Times New Roman"/>
          <w:color w:val="131413"/>
        </w:rPr>
        <w:t xml:space="preserve">supports my claim points to the initial driving force of the research on understanding and the motivation of the pro-understanding camp. As already mentioned at the beginning the initial main intention was to liberate it from the subordinated position </w:t>
      </w:r>
      <w:r>
        <w:rPr>
          <w:rFonts w:ascii="Times New Roman" w:hAnsi="Times New Roman" w:cs="Times New Roman"/>
          <w:color w:val="131413"/>
        </w:rPr>
        <w:t xml:space="preserve">relative to </w:t>
      </w:r>
      <w:r w:rsidRPr="001D2A80">
        <w:rPr>
          <w:rFonts w:ascii="Times New Roman" w:hAnsi="Times New Roman" w:cs="Times New Roman"/>
          <w:color w:val="131413"/>
        </w:rPr>
        <w:t xml:space="preserve">explanation. The non-explanatory forms of </w:t>
      </w:r>
      <w:r>
        <w:rPr>
          <w:rFonts w:ascii="Times New Roman" w:hAnsi="Times New Roman" w:cs="Times New Roman"/>
          <w:color w:val="131413"/>
        </w:rPr>
        <w:t xml:space="preserve">scientific </w:t>
      </w:r>
      <w:r w:rsidRPr="001D2A80">
        <w:rPr>
          <w:rFonts w:ascii="Times New Roman" w:hAnsi="Times New Roman" w:cs="Times New Roman"/>
          <w:color w:val="131413"/>
        </w:rPr>
        <w:t xml:space="preserve">understanding fulfill this desideratum in the most direct way and brings it to its ultimate consequences. It has good chances to make the investigation totally independent from any inquiry on </w:t>
      </w:r>
      <w:r>
        <w:rPr>
          <w:rFonts w:ascii="Times New Roman" w:hAnsi="Times New Roman" w:cs="Times New Roman"/>
          <w:color w:val="131413"/>
        </w:rPr>
        <w:t xml:space="preserve">scientific </w:t>
      </w:r>
      <w:r w:rsidRPr="001D2A80">
        <w:rPr>
          <w:rFonts w:ascii="Times New Roman" w:hAnsi="Times New Roman" w:cs="Times New Roman"/>
          <w:color w:val="131413"/>
        </w:rPr>
        <w:t xml:space="preserve">explanation since it needs to focus on the other sort of means than explanation. Lipton’s </w:t>
      </w:r>
      <w:r w:rsidRPr="001D2A80">
        <w:rPr>
          <w:rFonts w:ascii="Times New Roman" w:hAnsi="Times New Roman" w:cs="Times New Roman"/>
          <w:color w:val="131413"/>
        </w:rPr>
        <w:lastRenderedPageBreak/>
        <w:t>suggestions discussed in the previous sections are a good starting point in this sense. Nevertheless, focusing on such non-explanatory means should not imply dropping any reference to explanation. On the contrary</w:t>
      </w:r>
      <w:r>
        <w:rPr>
          <w:rFonts w:ascii="Times New Roman" w:hAnsi="Times New Roman" w:cs="Times New Roman"/>
          <w:color w:val="131413"/>
        </w:rPr>
        <w:t>,</w:t>
      </w:r>
      <w:r w:rsidRPr="001D2A80">
        <w:rPr>
          <w:rFonts w:ascii="Times New Roman" w:hAnsi="Times New Roman" w:cs="Times New Roman"/>
          <w:color w:val="131413"/>
        </w:rPr>
        <w:t xml:space="preserve"> investigations as Lipton’s, have to be completed by a reference to explanatory understanding, by an explication of the relations and role such non-explanatory means have to explanation and the process of building them and providing the explanatory form of understanding.</w:t>
      </w:r>
    </w:p>
    <w:p w14:paraId="2802143B" w14:textId="22250C23" w:rsidR="00671A7F" w:rsidRPr="001D2A80" w:rsidRDefault="00671A7F" w:rsidP="00671A7F">
      <w:pPr>
        <w:autoSpaceDE w:val="0"/>
        <w:autoSpaceDN w:val="0"/>
        <w:adjustRightInd w:val="0"/>
        <w:rPr>
          <w:rFonts w:ascii="Times New Roman" w:hAnsi="Times New Roman" w:cs="Times New Roman"/>
          <w:iCs/>
          <w:color w:val="131413"/>
        </w:rPr>
      </w:pPr>
      <w:r w:rsidRPr="001D2A80">
        <w:rPr>
          <w:rFonts w:ascii="Times New Roman" w:hAnsi="Times New Roman" w:cs="Times New Roman"/>
          <w:color w:val="131413"/>
        </w:rPr>
        <w:t>Another important reason invokes the philosophical research on scientific practice</w:t>
      </w:r>
      <w:r>
        <w:rPr>
          <w:rFonts w:ascii="Times New Roman" w:hAnsi="Times New Roman" w:cs="Times New Roman"/>
          <w:color w:val="131413"/>
        </w:rPr>
        <w:t>,</w:t>
      </w:r>
      <w:r w:rsidRPr="001D2A80">
        <w:rPr>
          <w:rStyle w:val="FootnoteReference"/>
          <w:rFonts w:ascii="Times New Roman" w:hAnsi="Times New Roman" w:cs="Times New Roman"/>
          <w:color w:val="131413"/>
        </w:rPr>
        <w:footnoteReference w:id="12"/>
      </w:r>
      <w:r w:rsidRPr="001D2A80">
        <w:rPr>
          <w:rFonts w:ascii="Times New Roman" w:hAnsi="Times New Roman" w:cs="Times New Roman"/>
          <w:color w:val="131413"/>
        </w:rPr>
        <w:t xml:space="preserve"> rather than its end-products as the main focus of investigation in philosophy of science. The main assumptions under which this orientation unfolds </w:t>
      </w:r>
      <w:r w:rsidR="00C47D5F">
        <w:rPr>
          <w:rFonts w:ascii="Times New Roman" w:hAnsi="Times New Roman" w:cs="Times New Roman"/>
          <w:color w:val="131413"/>
        </w:rPr>
        <w:t>consider</w:t>
      </w:r>
      <w:r w:rsidRPr="001D2A80">
        <w:rPr>
          <w:rFonts w:ascii="Times New Roman" w:hAnsi="Times New Roman" w:cs="Times New Roman"/>
          <w:color w:val="131413"/>
        </w:rPr>
        <w:t xml:space="preserve"> that scientific practice would </w:t>
      </w:r>
      <w:r>
        <w:rPr>
          <w:rFonts w:ascii="Times New Roman" w:hAnsi="Times New Roman" w:cs="Times New Roman"/>
          <w:color w:val="131413"/>
        </w:rPr>
        <w:t xml:space="preserve">unveil </w:t>
      </w:r>
      <w:r w:rsidR="00C47D5F">
        <w:rPr>
          <w:rFonts w:ascii="Times New Roman" w:hAnsi="Times New Roman" w:cs="Times New Roman"/>
          <w:color w:val="131413"/>
        </w:rPr>
        <w:t xml:space="preserve">more </w:t>
      </w:r>
      <w:r w:rsidRPr="001D2A80">
        <w:rPr>
          <w:rFonts w:ascii="Times New Roman" w:hAnsi="Times New Roman" w:cs="Times New Roman"/>
          <w:color w:val="131413"/>
        </w:rPr>
        <w:t xml:space="preserve">interesting philosophical insights into scientific knowledge than just </w:t>
      </w:r>
      <w:r w:rsidR="00C47D5F">
        <w:rPr>
          <w:rFonts w:ascii="Times New Roman" w:hAnsi="Times New Roman" w:cs="Times New Roman"/>
          <w:color w:val="131413"/>
        </w:rPr>
        <w:t xml:space="preserve">by focusing on </w:t>
      </w:r>
      <w:r w:rsidRPr="001D2A80">
        <w:rPr>
          <w:rFonts w:ascii="Times New Roman" w:hAnsi="Times New Roman" w:cs="Times New Roman"/>
          <w:color w:val="131413"/>
        </w:rPr>
        <w:t>the finished product</w:t>
      </w:r>
      <w:r w:rsidR="00C47D5F">
        <w:rPr>
          <w:rFonts w:ascii="Times New Roman" w:hAnsi="Times New Roman" w:cs="Times New Roman"/>
          <w:color w:val="131413"/>
        </w:rPr>
        <w:t>s</w:t>
      </w:r>
      <w:r w:rsidRPr="001D2A80">
        <w:rPr>
          <w:rFonts w:ascii="Times New Roman" w:hAnsi="Times New Roman" w:cs="Times New Roman"/>
          <w:color w:val="131413"/>
        </w:rPr>
        <w:t xml:space="preserve"> presented usually in textbook format. </w:t>
      </w:r>
      <w:r w:rsidRPr="001D2A80">
        <w:rPr>
          <w:rFonts w:ascii="Times New Roman" w:hAnsi="Times New Roman" w:cs="Times New Roman"/>
          <w:iCs/>
          <w:color w:val="131413"/>
        </w:rPr>
        <w:t xml:space="preserve">The philosophical investigation will avoid this way the artificial reconstructions that characterized the classical approaches. It enhances the contact between the scientific and the philosophical </w:t>
      </w:r>
      <w:r>
        <w:rPr>
          <w:rFonts w:ascii="Times New Roman" w:hAnsi="Times New Roman" w:cs="Times New Roman"/>
          <w:iCs/>
          <w:color w:val="131413"/>
        </w:rPr>
        <w:t xml:space="preserve">communities, </w:t>
      </w:r>
      <w:r w:rsidRPr="001D2A80">
        <w:rPr>
          <w:rFonts w:ascii="Times New Roman" w:hAnsi="Times New Roman" w:cs="Times New Roman"/>
          <w:iCs/>
          <w:color w:val="131413"/>
        </w:rPr>
        <w:t xml:space="preserve">making the </w:t>
      </w:r>
      <w:r>
        <w:rPr>
          <w:rFonts w:ascii="Times New Roman" w:hAnsi="Times New Roman" w:cs="Times New Roman"/>
          <w:iCs/>
          <w:color w:val="131413"/>
        </w:rPr>
        <w:t xml:space="preserve">work of philosophers </w:t>
      </w:r>
      <w:r w:rsidRPr="001D2A80">
        <w:rPr>
          <w:rFonts w:ascii="Times New Roman" w:hAnsi="Times New Roman" w:cs="Times New Roman"/>
          <w:iCs/>
          <w:color w:val="131413"/>
        </w:rPr>
        <w:t>more relevant to the scientists.</w:t>
      </w:r>
    </w:p>
    <w:p w14:paraId="7B19CC09" w14:textId="0744EC28" w:rsidR="00DF65C6" w:rsidRPr="001D2A80" w:rsidRDefault="00DF65C6" w:rsidP="00DF65C6">
      <w:pPr>
        <w:autoSpaceDE w:val="0"/>
        <w:autoSpaceDN w:val="0"/>
        <w:adjustRightInd w:val="0"/>
        <w:rPr>
          <w:rFonts w:ascii="Times New Roman" w:hAnsi="Times New Roman" w:cs="Times New Roman"/>
          <w:color w:val="131413"/>
        </w:rPr>
      </w:pPr>
      <w:r w:rsidRPr="001D2A80">
        <w:rPr>
          <w:rFonts w:ascii="Times New Roman" w:hAnsi="Times New Roman" w:cs="Times New Roman"/>
          <w:iCs/>
          <w:color w:val="131413"/>
        </w:rPr>
        <w:t>Under this perspective</w:t>
      </w:r>
      <w:r>
        <w:rPr>
          <w:rFonts w:ascii="Times New Roman" w:hAnsi="Times New Roman" w:cs="Times New Roman"/>
          <w:iCs/>
          <w:color w:val="131413"/>
        </w:rPr>
        <w:t>,</w:t>
      </w:r>
      <w:r w:rsidRPr="001D2A80">
        <w:rPr>
          <w:rFonts w:ascii="Times New Roman" w:hAnsi="Times New Roman" w:cs="Times New Roman"/>
          <w:i/>
          <w:color w:val="131413"/>
        </w:rPr>
        <w:t xml:space="preserve"> </w:t>
      </w:r>
      <w:r w:rsidRPr="001D2A80">
        <w:rPr>
          <w:rFonts w:ascii="Times New Roman" w:hAnsi="Times New Roman" w:cs="Times New Roman"/>
          <w:color w:val="131413"/>
        </w:rPr>
        <w:t xml:space="preserve">the non-explanatory forms of understanding might hardly be ignored since they are so pervasive. One might mention here esp. the exploratory aspects of scientific practice which were situated by the neopositivists in the realm of context of discovery and considered </w:t>
      </w:r>
      <w:r w:rsidR="00C47D5F">
        <w:rPr>
          <w:rFonts w:ascii="Times New Roman" w:hAnsi="Times New Roman" w:cs="Times New Roman"/>
          <w:color w:val="131413"/>
        </w:rPr>
        <w:t xml:space="preserve">therefore </w:t>
      </w:r>
      <w:r w:rsidRPr="001D2A80">
        <w:rPr>
          <w:rFonts w:ascii="Times New Roman" w:hAnsi="Times New Roman" w:cs="Times New Roman"/>
          <w:color w:val="131413"/>
        </w:rPr>
        <w:t xml:space="preserve">unsuited for a philosophical analysis. The non-explanatory forms of understanding might be driving such episodes in which achieving a sort of understanding on the inquired situation is the main goal of the investigative process. Nevertheless, this might not be the only episode that involves these forms of understanding. As already widely accepted the distinction of the two contexts is unattainable. One might see an intermingled set of distinctions as </w:t>
      </w:r>
      <w:r w:rsidRPr="001D2A80">
        <w:rPr>
          <w:rFonts w:ascii="Times New Roman" w:hAnsi="Times New Roman" w:cs="Times New Roman"/>
        </w:rPr>
        <w:t>Hoyningen-Huene (1987)</w:t>
      </w:r>
      <w:r w:rsidRPr="001D2A80">
        <w:rPr>
          <w:rFonts w:ascii="Times New Roman" w:hAnsi="Times New Roman" w:cs="Times New Roman"/>
          <w:color w:val="131413"/>
        </w:rPr>
        <w:t xml:space="preserve"> or might propose other more situated ones as </w:t>
      </w:r>
      <w:r w:rsidRPr="001D2A80">
        <w:rPr>
          <w:rFonts w:ascii="Times New Roman" w:hAnsi="Times New Roman" w:cs="Times New Roman"/>
        </w:rPr>
        <w:t>Echeverria (Echeverria 1995)</w:t>
      </w:r>
      <w:r w:rsidRPr="001D2A80">
        <w:rPr>
          <w:rFonts w:ascii="Times New Roman" w:hAnsi="Times New Roman" w:cs="Times New Roman"/>
          <w:color w:val="131413"/>
        </w:rPr>
        <w:t xml:space="preserve"> does. If we are to take such a specific analysis as the last one, in which four such more particular contexts are identified </w:t>
      </w:r>
      <w:r w:rsidRPr="001D2A80">
        <w:rPr>
          <w:rFonts w:ascii="Times New Roman" w:hAnsi="Times New Roman" w:cs="Times New Roman"/>
        </w:rPr>
        <w:t>the contexts of education, of innovation, of evaluation and of application</w:t>
      </w:r>
      <w:r w:rsidRPr="001D2A80">
        <w:rPr>
          <w:rFonts w:ascii="Times New Roman" w:hAnsi="Times New Roman" w:cs="Times New Roman"/>
          <w:color w:val="131413"/>
        </w:rPr>
        <w:t xml:space="preserve"> (</w:t>
      </w:r>
      <w:r w:rsidRPr="001D2A80">
        <w:rPr>
          <w:rFonts w:ascii="Times New Roman" w:hAnsi="Times New Roman" w:cs="Times New Roman"/>
        </w:rPr>
        <w:t>Echeverria 1995</w:t>
      </w:r>
      <w:r w:rsidRPr="001D2A80">
        <w:rPr>
          <w:rFonts w:ascii="Times New Roman" w:hAnsi="Times New Roman" w:cs="Times New Roman"/>
          <w:color w:val="131413"/>
        </w:rPr>
        <w:t xml:space="preserve">) we can find in each of them the presence of </w:t>
      </w:r>
      <w:r>
        <w:rPr>
          <w:rFonts w:ascii="Times New Roman" w:hAnsi="Times New Roman" w:cs="Times New Roman"/>
          <w:color w:val="131413"/>
        </w:rPr>
        <w:t>non-</w:t>
      </w:r>
      <w:r w:rsidRPr="001D2A80">
        <w:rPr>
          <w:rFonts w:ascii="Times New Roman" w:hAnsi="Times New Roman" w:cs="Times New Roman"/>
          <w:color w:val="131413"/>
        </w:rPr>
        <w:t xml:space="preserve">explanatory forms of understanding as indispensable ingredients of these scientific episodes an artificial move. </w:t>
      </w:r>
    </w:p>
    <w:p w14:paraId="6D36C07E" w14:textId="20EF9C55" w:rsidR="00DF65C6" w:rsidRPr="001D2A80" w:rsidRDefault="00DF65C6" w:rsidP="00DF65C6">
      <w:pPr>
        <w:autoSpaceDE w:val="0"/>
        <w:autoSpaceDN w:val="0"/>
        <w:adjustRightInd w:val="0"/>
        <w:rPr>
          <w:rFonts w:ascii="Times New Roman" w:hAnsi="Times New Roman" w:cs="Times New Roman"/>
          <w:color w:val="131413"/>
        </w:rPr>
      </w:pPr>
      <w:r w:rsidRPr="001D2A80">
        <w:rPr>
          <w:rFonts w:ascii="Times New Roman" w:hAnsi="Times New Roman" w:cs="Times New Roman"/>
          <w:color w:val="131413"/>
        </w:rPr>
        <w:t xml:space="preserve">One might invoke also an optimism regarding the newly opened areas of research. Letting aside the </w:t>
      </w:r>
      <w:r w:rsidRPr="001D2A80">
        <w:rPr>
          <w:rFonts w:ascii="Times New Roman" w:hAnsi="Times New Roman" w:cs="Times New Roman"/>
          <w:i/>
          <w:color w:val="131413"/>
        </w:rPr>
        <w:t>Angst</w:t>
      </w:r>
      <w:r w:rsidRPr="001D2A80">
        <w:rPr>
          <w:rFonts w:ascii="Times New Roman" w:hAnsi="Times New Roman" w:cs="Times New Roman"/>
          <w:color w:val="131413"/>
        </w:rPr>
        <w:t xml:space="preserve"> of stepping outside the known routes, the novelty of the items of research should be an incentive to advance in the exploration of such forms of understanding.  Lipton’s examples are not to be seen just as challenges to the classical position but also as starting options for an agenda of further research. This will require the more investigation of each non-explanatory form </w:t>
      </w:r>
      <w:r w:rsidRPr="001D2A80">
        <w:rPr>
          <w:rFonts w:ascii="Times New Roman" w:hAnsi="Times New Roman" w:cs="Times New Roman"/>
          <w:i/>
          <w:iCs/>
          <w:color w:val="131413"/>
        </w:rPr>
        <w:t>per se.</w:t>
      </w:r>
      <w:r w:rsidRPr="001D2A80">
        <w:rPr>
          <w:rFonts w:ascii="Times New Roman" w:hAnsi="Times New Roman" w:cs="Times New Roman"/>
          <w:color w:val="4472C4" w:themeColor="accent1"/>
        </w:rPr>
        <w:t xml:space="preserve"> </w:t>
      </w:r>
      <w:r w:rsidRPr="00145A7A">
        <w:rPr>
          <w:rFonts w:ascii="Times New Roman" w:hAnsi="Times New Roman" w:cs="Times New Roman"/>
        </w:rPr>
        <w:t xml:space="preserve">One important direction of the investigation needs to target their conditions of validation in order to distinguish them from ungenuine forms of understanding or to put it in Khalifa’s words “misunderstandings without explanation” (Khalifa 2013: 167). The positive contributions to the inquiry and the productive dimension of the acquired </w:t>
      </w:r>
      <w:r w:rsidRPr="00145A7A">
        <w:rPr>
          <w:rFonts w:ascii="Times New Roman" w:hAnsi="Times New Roman" w:cs="Times New Roman"/>
        </w:rPr>
        <w:lastRenderedPageBreak/>
        <w:t>understanding has to be closely considered as a central criteri</w:t>
      </w:r>
      <w:r>
        <w:rPr>
          <w:rFonts w:ascii="Times New Roman" w:hAnsi="Times New Roman" w:cs="Times New Roman"/>
        </w:rPr>
        <w:t>on</w:t>
      </w:r>
      <w:r w:rsidRPr="00145A7A">
        <w:rPr>
          <w:rFonts w:ascii="Times New Roman" w:hAnsi="Times New Roman" w:cs="Times New Roman"/>
        </w:rPr>
        <w:t xml:space="preserve"> of validation.</w:t>
      </w:r>
      <w:r w:rsidRPr="001D2A80">
        <w:rPr>
          <w:rFonts w:ascii="Times New Roman" w:hAnsi="Times New Roman" w:cs="Times New Roman"/>
          <w:color w:val="4472C4" w:themeColor="accent1"/>
        </w:rPr>
        <w:t xml:space="preserve"> </w:t>
      </w:r>
      <w:r w:rsidR="00562660" w:rsidRPr="001D2A80">
        <w:rPr>
          <w:rFonts w:ascii="Times New Roman" w:hAnsi="Times New Roman" w:cs="Times New Roman"/>
          <w:color w:val="131413"/>
        </w:rPr>
        <w:t>Furthermore,</w:t>
      </w:r>
      <w:r w:rsidRPr="001D2A80">
        <w:rPr>
          <w:rFonts w:ascii="Times New Roman" w:hAnsi="Times New Roman" w:cs="Times New Roman"/>
          <w:color w:val="131413"/>
        </w:rPr>
        <w:t xml:space="preserve"> the investigation will not be limited to such inquiry but will have to look at the relation between these forms and the explanatory one as </w:t>
      </w:r>
      <w:bookmarkStart w:id="4" w:name="_Hlk64919697"/>
      <w:r>
        <w:rPr>
          <w:rFonts w:ascii="Times New Roman" w:hAnsi="Times New Roman" w:cs="Times New Roman"/>
          <w:color w:val="131413"/>
        </w:rPr>
        <w:t xml:space="preserve">already </w:t>
      </w:r>
      <w:r w:rsidRPr="001D2A80">
        <w:rPr>
          <w:rFonts w:ascii="Times New Roman" w:hAnsi="Times New Roman" w:cs="Times New Roman"/>
          <w:color w:val="131413"/>
        </w:rPr>
        <w:t>mentioned previous</w:t>
      </w:r>
      <w:r>
        <w:rPr>
          <w:rFonts w:ascii="Times New Roman" w:hAnsi="Times New Roman" w:cs="Times New Roman"/>
          <w:color w:val="131413"/>
        </w:rPr>
        <w:t>ly</w:t>
      </w:r>
      <w:bookmarkEnd w:id="4"/>
      <w:r>
        <w:rPr>
          <w:rFonts w:ascii="Times New Roman" w:hAnsi="Times New Roman" w:cs="Times New Roman"/>
          <w:color w:val="131413"/>
        </w:rPr>
        <w:t>.</w:t>
      </w:r>
      <w:r w:rsidRPr="001D2A80">
        <w:rPr>
          <w:rFonts w:ascii="Times New Roman" w:hAnsi="Times New Roman" w:cs="Times New Roman"/>
          <w:color w:val="131413"/>
        </w:rPr>
        <w:t xml:space="preserve">  </w:t>
      </w:r>
      <w:r w:rsidR="00562660" w:rsidRPr="001D2A80">
        <w:rPr>
          <w:rFonts w:ascii="Times New Roman" w:hAnsi="Times New Roman" w:cs="Times New Roman"/>
          <w:color w:val="131413"/>
        </w:rPr>
        <w:t>Moreover,</w:t>
      </w:r>
      <w:r w:rsidRPr="001D2A80">
        <w:rPr>
          <w:rFonts w:ascii="Times New Roman" w:hAnsi="Times New Roman" w:cs="Times New Roman"/>
          <w:color w:val="131413"/>
        </w:rPr>
        <w:t xml:space="preserve"> we have to take into account the possible relations among these different sorts of non-explanatory understanding in the more comprising dynamic frame of scientific inquiry. I cannot see a better strategy for the mentioned goals as one unfolding in a particular</w:t>
      </w:r>
      <w:r>
        <w:rPr>
          <w:rFonts w:ascii="Times New Roman" w:hAnsi="Times New Roman" w:cs="Times New Roman"/>
          <w:color w:val="131413"/>
        </w:rPr>
        <w:t xml:space="preserve"> </w:t>
      </w:r>
      <w:r w:rsidRPr="001D2A80">
        <w:rPr>
          <w:rFonts w:ascii="Times New Roman" w:hAnsi="Times New Roman" w:cs="Times New Roman"/>
          <w:color w:val="131413"/>
        </w:rPr>
        <w:t>scientific context considering the particularity of a scientific domain and a specific methodology.</w:t>
      </w:r>
    </w:p>
    <w:p w14:paraId="7BDB54CE" w14:textId="77777777" w:rsidR="00DF65C6" w:rsidRDefault="00DF65C6" w:rsidP="00DF65C6">
      <w:pPr>
        <w:autoSpaceDE w:val="0"/>
        <w:autoSpaceDN w:val="0"/>
        <w:adjustRightInd w:val="0"/>
        <w:rPr>
          <w:rFonts w:ascii="Times New Roman" w:hAnsi="Times New Roman" w:cs="Times New Roman"/>
        </w:rPr>
      </w:pPr>
      <w:r w:rsidRPr="00C50F62">
        <w:rPr>
          <w:rFonts w:ascii="Times New Roman" w:hAnsi="Times New Roman" w:cs="Times New Roman"/>
        </w:rPr>
        <w:t xml:space="preserve">A quite novel perspective of research opens </w:t>
      </w:r>
      <w:r>
        <w:rPr>
          <w:rFonts w:ascii="Times New Roman" w:hAnsi="Times New Roman" w:cs="Times New Roman"/>
        </w:rPr>
        <w:t xml:space="preserve">up </w:t>
      </w:r>
      <w:r w:rsidRPr="00C50F62">
        <w:rPr>
          <w:rFonts w:ascii="Times New Roman" w:hAnsi="Times New Roman" w:cs="Times New Roman"/>
        </w:rPr>
        <w:t xml:space="preserve">another issue discussed in philosophy of science: the methodological differences between different major scientific </w:t>
      </w:r>
      <w:r>
        <w:rPr>
          <w:rFonts w:ascii="Times New Roman" w:hAnsi="Times New Roman" w:cs="Times New Roman"/>
        </w:rPr>
        <w:t xml:space="preserve">outlooks: that of </w:t>
      </w:r>
      <w:r w:rsidRPr="00C50F62">
        <w:rPr>
          <w:rFonts w:ascii="Times New Roman" w:hAnsi="Times New Roman" w:cs="Times New Roman"/>
        </w:rPr>
        <w:t xml:space="preserve">natural science and the </w:t>
      </w:r>
      <w:r>
        <w:rPr>
          <w:rFonts w:ascii="Times New Roman" w:hAnsi="Times New Roman" w:cs="Times New Roman"/>
        </w:rPr>
        <w:t xml:space="preserve">one of </w:t>
      </w:r>
      <w:r w:rsidRPr="00C50F62">
        <w:rPr>
          <w:rFonts w:ascii="Times New Roman" w:hAnsi="Times New Roman" w:cs="Times New Roman"/>
        </w:rPr>
        <w:t>social &amp; human science. Notwithstanding the classical separation of explanation and understanding casted as explanation belonging just to natural sciences and understanding assigned to the other, the distinction between the two registers might reveal the existence of different sorts of such non-explanatory understanding. The methodological specificity of the human and social realm invoked by some authors was linked to such forms of understanding as the one of intentions or the presence of empathy or the more theoretized methodology of ‘participant observation’ as in anthropological research. These could be recast in the form of species of non-explanatory understanding which could either per se or as a provisional format contribute to the furthering of the explanatory inquiry. A working agenda ope</w:t>
      </w:r>
      <w:r>
        <w:rPr>
          <w:rFonts w:ascii="Times New Roman" w:hAnsi="Times New Roman" w:cs="Times New Roman"/>
        </w:rPr>
        <w:t>ns up</w:t>
      </w:r>
      <w:r w:rsidRPr="00C50F62">
        <w:rPr>
          <w:rFonts w:ascii="Times New Roman" w:hAnsi="Times New Roman" w:cs="Times New Roman"/>
        </w:rPr>
        <w:t xml:space="preserve"> this way.</w:t>
      </w:r>
    </w:p>
    <w:p w14:paraId="647CFCB3" w14:textId="0C7C6847" w:rsidR="00112E5B" w:rsidRDefault="00112E5B" w:rsidP="00151329">
      <w:pPr>
        <w:autoSpaceDE w:val="0"/>
        <w:autoSpaceDN w:val="0"/>
        <w:adjustRightInd w:val="0"/>
        <w:rPr>
          <w:rFonts w:ascii="Times New Roman" w:hAnsi="Times New Roman" w:cs="Times New Roman"/>
          <w:color w:val="131413"/>
        </w:rPr>
      </w:pPr>
    </w:p>
    <w:p w14:paraId="1BB9203F" w14:textId="77777777" w:rsidR="00551AE4" w:rsidRPr="00DF65C6" w:rsidRDefault="00551AE4" w:rsidP="00151329">
      <w:pPr>
        <w:autoSpaceDE w:val="0"/>
        <w:autoSpaceDN w:val="0"/>
        <w:adjustRightInd w:val="0"/>
        <w:rPr>
          <w:rFonts w:ascii="Times New Roman" w:hAnsi="Times New Roman" w:cs="Times New Roman"/>
          <w:color w:val="131413"/>
        </w:rPr>
      </w:pPr>
    </w:p>
    <w:p w14:paraId="29F75A49" w14:textId="3A3BEC31" w:rsidR="00151329" w:rsidRDefault="00F15DD2" w:rsidP="00F15DD2">
      <w:pPr>
        <w:autoSpaceDE w:val="0"/>
        <w:autoSpaceDN w:val="0"/>
        <w:adjustRightInd w:val="0"/>
        <w:jc w:val="center"/>
        <w:rPr>
          <w:rFonts w:ascii="Times New Roman" w:hAnsi="Times New Roman" w:cs="Times New Roman"/>
          <w:b/>
          <w:color w:val="131413"/>
        </w:rPr>
      </w:pPr>
      <w:r w:rsidRPr="001D2A80">
        <w:rPr>
          <w:rFonts w:ascii="Times New Roman" w:hAnsi="Times New Roman" w:cs="Times New Roman"/>
          <w:b/>
          <w:color w:val="131413"/>
        </w:rPr>
        <w:t>CONCLU</w:t>
      </w:r>
      <w:r>
        <w:rPr>
          <w:rFonts w:ascii="Times New Roman" w:hAnsi="Times New Roman" w:cs="Times New Roman"/>
          <w:b/>
          <w:color w:val="131413"/>
        </w:rPr>
        <w:t>SION</w:t>
      </w:r>
      <w:r w:rsidR="00DF65C6">
        <w:rPr>
          <w:rFonts w:ascii="Times New Roman" w:hAnsi="Times New Roman" w:cs="Times New Roman"/>
          <w:b/>
          <w:color w:val="131413"/>
        </w:rPr>
        <w:t>S</w:t>
      </w:r>
    </w:p>
    <w:p w14:paraId="114F74A5" w14:textId="77777777" w:rsidR="00F15DD2" w:rsidRPr="001D2A80" w:rsidRDefault="00F15DD2" w:rsidP="00F15DD2">
      <w:pPr>
        <w:autoSpaceDE w:val="0"/>
        <w:autoSpaceDN w:val="0"/>
        <w:adjustRightInd w:val="0"/>
        <w:jc w:val="center"/>
        <w:rPr>
          <w:rFonts w:ascii="Times New Roman" w:hAnsi="Times New Roman" w:cs="Times New Roman"/>
          <w:b/>
          <w:color w:val="131413"/>
        </w:rPr>
      </w:pPr>
    </w:p>
    <w:p w14:paraId="77C7EE13" w14:textId="77777777" w:rsidR="00551AE4" w:rsidRDefault="00551AE4" w:rsidP="00151329">
      <w:pPr>
        <w:autoSpaceDE w:val="0"/>
        <w:autoSpaceDN w:val="0"/>
        <w:adjustRightInd w:val="0"/>
        <w:rPr>
          <w:rFonts w:ascii="Times New Roman" w:hAnsi="Times New Roman" w:cs="Times New Roman"/>
        </w:rPr>
      </w:pPr>
      <w:r w:rsidRPr="001D2A80">
        <w:rPr>
          <w:rFonts w:ascii="Times New Roman" w:hAnsi="Times New Roman" w:cs="Times New Roman"/>
          <w:color w:val="131413"/>
        </w:rPr>
        <w:t xml:space="preserve">The present contribution </w:t>
      </w:r>
      <w:r>
        <w:rPr>
          <w:rFonts w:ascii="Times New Roman" w:hAnsi="Times New Roman" w:cs="Times New Roman"/>
          <w:color w:val="131413"/>
        </w:rPr>
        <w:t>calls for a reconsideration of a</w:t>
      </w:r>
      <w:r w:rsidRPr="001D2A80">
        <w:rPr>
          <w:rFonts w:ascii="Times New Roman" w:hAnsi="Times New Roman" w:cs="Times New Roman"/>
          <w:color w:val="131413"/>
        </w:rPr>
        <w:t xml:space="preserve"> neglected form of </w:t>
      </w:r>
      <w:r>
        <w:rPr>
          <w:rFonts w:ascii="Times New Roman" w:hAnsi="Times New Roman" w:cs="Times New Roman"/>
          <w:color w:val="131413"/>
        </w:rPr>
        <w:t xml:space="preserve">scientific </w:t>
      </w:r>
      <w:r w:rsidRPr="001D2A80">
        <w:rPr>
          <w:rFonts w:ascii="Times New Roman" w:hAnsi="Times New Roman" w:cs="Times New Roman"/>
          <w:color w:val="131413"/>
        </w:rPr>
        <w:t xml:space="preserve">understanding. </w:t>
      </w:r>
      <w:r w:rsidRPr="00FB466E">
        <w:rPr>
          <w:rFonts w:ascii="Times New Roman" w:hAnsi="Times New Roman" w:cs="Times New Roman"/>
        </w:rPr>
        <w:t>My argument show</w:t>
      </w:r>
      <w:r>
        <w:rPr>
          <w:rFonts w:ascii="Times New Roman" w:hAnsi="Times New Roman" w:cs="Times New Roman"/>
        </w:rPr>
        <w:t>s</w:t>
      </w:r>
      <w:r w:rsidRPr="00FB466E">
        <w:rPr>
          <w:rFonts w:ascii="Times New Roman" w:hAnsi="Times New Roman" w:cs="Times New Roman"/>
        </w:rPr>
        <w:t xml:space="preserve"> that there are no good reasons to ignore this form of understanding: the understanding without explanation, either by dismissing it as an unimportant issue or by rejecting it through an articulated critique from the perspective of a reductivist account on understanding</w:t>
      </w:r>
    </w:p>
    <w:p w14:paraId="618EC381" w14:textId="77777777" w:rsidR="00551AE4" w:rsidRDefault="00551AE4" w:rsidP="00551AE4">
      <w:pPr>
        <w:autoSpaceDE w:val="0"/>
        <w:autoSpaceDN w:val="0"/>
        <w:adjustRightInd w:val="0"/>
        <w:rPr>
          <w:rFonts w:ascii="Times New Roman" w:hAnsi="Times New Roman" w:cs="Times New Roman"/>
          <w:color w:val="131413"/>
        </w:rPr>
      </w:pPr>
      <w:r>
        <w:rPr>
          <w:rFonts w:ascii="Times New Roman" w:hAnsi="Times New Roman" w:cs="Times New Roman"/>
          <w:color w:val="131413"/>
        </w:rPr>
        <w:t xml:space="preserve">I began by a brief introduction to the subject of scientific understanding after it reached a more independent status in philosophy of science than being strongly linked to explanation. The second section tracks the dichotomy between explanatory and non-explanatory understanding which is an implicit sort during the development of the subject of understanding. I wrapped up the second section by presenting Lipton’s analysis who is the first and the only author offering an explicit account of non-explanatory forms of understanding. I looked to the possible challenges that his proposal raises for other theories of understanding and discussed Kelp’s interpretation. I argued that Kelp’s construal does not exhaust the core of the challenge, neither does his theory offer a satisfactory answer to it. The core challenge is to account for these forms of understanding that are so pervasive in the scientific practice doing justice to their </w:t>
      </w:r>
      <w:r>
        <w:rPr>
          <w:rFonts w:ascii="Times New Roman" w:hAnsi="Times New Roman" w:cs="Times New Roman"/>
          <w:color w:val="131413"/>
        </w:rPr>
        <w:lastRenderedPageBreak/>
        <w:t>particularities. The explanation-centered approach on understanding fails in this sense and I offer a rejection of Khalifa’s reductive critique of Lipton’s examples. My argument intends to prove that the jury on UwE is still out. In the last section I suggest that one can find some positive reasons that open a rich working agenda centered on this subject.</w:t>
      </w:r>
    </w:p>
    <w:p w14:paraId="42024483" w14:textId="77777777" w:rsidR="0065427C" w:rsidRDefault="0065427C" w:rsidP="00151329">
      <w:pPr>
        <w:autoSpaceDE w:val="0"/>
        <w:autoSpaceDN w:val="0"/>
        <w:adjustRightInd w:val="0"/>
        <w:rPr>
          <w:rFonts w:ascii="Times New Roman" w:hAnsi="Times New Roman" w:cs="Times New Roman"/>
          <w:color w:val="131413"/>
        </w:rPr>
      </w:pPr>
    </w:p>
    <w:p w14:paraId="6C0B32CC" w14:textId="77777777" w:rsidR="003104D0" w:rsidRDefault="003104D0">
      <w:pPr>
        <w:rPr>
          <w:rFonts w:ascii="Times New Roman" w:hAnsi="Times New Roman" w:cs="Times New Roman"/>
          <w:b/>
          <w:bCs/>
        </w:rPr>
      </w:pPr>
    </w:p>
    <w:p w14:paraId="11584D90" w14:textId="77777777" w:rsidR="00551AE4" w:rsidRPr="001D2A80" w:rsidRDefault="00551AE4" w:rsidP="00551AE4">
      <w:pPr>
        <w:jc w:val="center"/>
        <w:rPr>
          <w:rFonts w:ascii="Times New Roman" w:hAnsi="Times New Roman" w:cs="Times New Roman"/>
          <w:b/>
          <w:bCs/>
        </w:rPr>
      </w:pPr>
      <w:r w:rsidRPr="001D2A80">
        <w:rPr>
          <w:rFonts w:ascii="Times New Roman" w:hAnsi="Times New Roman" w:cs="Times New Roman"/>
          <w:b/>
          <w:bCs/>
        </w:rPr>
        <w:t>BIBLIOGRAPHY</w:t>
      </w:r>
    </w:p>
    <w:p w14:paraId="03A44729" w14:textId="77777777" w:rsidR="00551AE4" w:rsidRPr="001D2A80" w:rsidRDefault="00551AE4" w:rsidP="00551AE4">
      <w:pPr>
        <w:ind w:left="720" w:hanging="720"/>
        <w:jc w:val="left"/>
        <w:rPr>
          <w:rFonts w:ascii="Times New Roman" w:hAnsi="Times New Roman" w:cs="Times New Roman"/>
        </w:rPr>
      </w:pPr>
    </w:p>
    <w:p w14:paraId="504AAC10" w14:textId="77777777" w:rsidR="00551AE4" w:rsidRPr="001D2A80" w:rsidRDefault="00551AE4" w:rsidP="00551AE4">
      <w:pPr>
        <w:autoSpaceDE w:val="0"/>
        <w:autoSpaceDN w:val="0"/>
        <w:adjustRightInd w:val="0"/>
        <w:ind w:left="720" w:hanging="720"/>
        <w:rPr>
          <w:rFonts w:ascii="Times New Roman" w:eastAsia="Times New Roman" w:hAnsi="Times New Roman" w:cs="Times New Roman"/>
        </w:rPr>
      </w:pPr>
      <w:r w:rsidRPr="001D2A80">
        <w:rPr>
          <w:rFonts w:ascii="Times New Roman" w:hAnsi="Times New Roman" w:cs="Times New Roman"/>
        </w:rPr>
        <w:t xml:space="preserve">Ankeny, R., Chang, H., Boumans, M., Boon, M. (ed.) (2011). </w:t>
      </w:r>
      <w:r w:rsidRPr="001D2A80">
        <w:rPr>
          <w:rFonts w:ascii="Times New Roman" w:hAnsi="Times New Roman" w:cs="Times New Roman"/>
          <w:i/>
          <w:iCs/>
        </w:rPr>
        <w:t>Introduction: philosophy of science in practice</w:t>
      </w:r>
      <w:r w:rsidRPr="001D2A80">
        <w:rPr>
          <w:rFonts w:ascii="Times New Roman" w:hAnsi="Times New Roman" w:cs="Times New Roman"/>
        </w:rPr>
        <w:t xml:space="preserve">, “European journal for philosophy of science”, </w:t>
      </w:r>
      <w:r w:rsidRPr="001D2A80">
        <w:rPr>
          <w:rFonts w:ascii="Times New Roman" w:hAnsi="Times New Roman" w:cs="Times New Roman"/>
          <w:i/>
          <w:iCs/>
        </w:rPr>
        <w:t>1</w:t>
      </w:r>
      <w:r w:rsidRPr="001D2A80">
        <w:rPr>
          <w:rFonts w:ascii="Times New Roman" w:hAnsi="Times New Roman" w:cs="Times New Roman"/>
        </w:rPr>
        <w:t xml:space="preserve">(3), 303-307. </w:t>
      </w:r>
      <w:r w:rsidRPr="005E17B0">
        <w:rPr>
          <w:rFonts w:ascii="Times New Roman" w:hAnsi="Times New Roman" w:cs="Times New Roman"/>
          <w:shd w:val="clear" w:color="auto" w:fill="FCFCFC"/>
        </w:rPr>
        <w:t>https://doi.org/10.1007/s13194-011-0036-4</w:t>
      </w:r>
    </w:p>
    <w:p w14:paraId="5BB7B62E" w14:textId="77777777" w:rsidR="00551AE4" w:rsidRPr="001D2A80" w:rsidRDefault="00551AE4" w:rsidP="00551AE4">
      <w:pPr>
        <w:autoSpaceDE w:val="0"/>
        <w:autoSpaceDN w:val="0"/>
        <w:adjustRightInd w:val="0"/>
        <w:ind w:left="720" w:hanging="720"/>
        <w:rPr>
          <w:rFonts w:ascii="Times New Roman" w:eastAsia="Times New Roman" w:hAnsi="Times New Roman" w:cs="Times New Roman"/>
        </w:rPr>
      </w:pPr>
      <w:r w:rsidRPr="001D2A80">
        <w:rPr>
          <w:rFonts w:ascii="Times New Roman" w:eastAsia="Times New Roman" w:hAnsi="Times New Roman" w:cs="Times New Roman"/>
        </w:rPr>
        <w:t xml:space="preserve">de Regt H.W., Dieks D. (2005), </w:t>
      </w:r>
      <w:r w:rsidRPr="001D2A80">
        <w:rPr>
          <w:rFonts w:ascii="Times New Roman" w:eastAsia="Times New Roman" w:hAnsi="Times New Roman" w:cs="Times New Roman"/>
          <w:i/>
          <w:iCs/>
        </w:rPr>
        <w:t>A Contextual Approach to Scientific Understanding</w:t>
      </w:r>
      <w:r w:rsidRPr="001D2A80">
        <w:rPr>
          <w:rFonts w:ascii="Times New Roman" w:eastAsia="Times New Roman" w:hAnsi="Times New Roman" w:cs="Times New Roman"/>
        </w:rPr>
        <w:t>, “Synthese” 144 (1), 137 - 170.</w:t>
      </w:r>
      <w:r>
        <w:rPr>
          <w:rFonts w:ascii="Times New Roman" w:eastAsia="Times New Roman" w:hAnsi="Times New Roman" w:cs="Times New Roman"/>
        </w:rPr>
        <w:t xml:space="preserve"> </w:t>
      </w:r>
      <w:r w:rsidRPr="00CF5E73">
        <w:rPr>
          <w:rFonts w:ascii="Times New Roman" w:eastAsia="Times New Roman" w:hAnsi="Times New Roman" w:cs="Times New Roman"/>
        </w:rPr>
        <w:t>https://doi.org/10.1007/s11229-005-5000-4</w:t>
      </w:r>
    </w:p>
    <w:p w14:paraId="31D4F0C8" w14:textId="77777777" w:rsidR="00551AE4" w:rsidRPr="001D2A80" w:rsidRDefault="00551AE4" w:rsidP="00551AE4">
      <w:pPr>
        <w:autoSpaceDE w:val="0"/>
        <w:autoSpaceDN w:val="0"/>
        <w:adjustRightInd w:val="0"/>
        <w:ind w:left="720" w:hanging="720"/>
        <w:rPr>
          <w:rFonts w:ascii="Times New Roman" w:hAnsi="Times New Roman" w:cs="Times New Roman"/>
        </w:rPr>
      </w:pPr>
      <w:r w:rsidRPr="001D2A80">
        <w:rPr>
          <w:rFonts w:ascii="Times New Roman" w:hAnsi="Times New Roman" w:cs="Times New Roman"/>
        </w:rPr>
        <w:t xml:space="preserve">de Regt H.W., Leonelli S., Eigner K (2009), </w:t>
      </w:r>
      <w:r w:rsidRPr="001D2A80">
        <w:rPr>
          <w:rFonts w:ascii="Times New Roman" w:hAnsi="Times New Roman" w:cs="Times New Roman"/>
          <w:i/>
          <w:iCs/>
        </w:rPr>
        <w:t>Scientific Understanding: Philosophical Perspectives</w:t>
      </w:r>
      <w:r w:rsidRPr="001D2A80">
        <w:rPr>
          <w:rFonts w:ascii="Times New Roman" w:hAnsi="Times New Roman" w:cs="Times New Roman"/>
        </w:rPr>
        <w:t>, Pittsburgh: University of Pittsburgh Press.</w:t>
      </w:r>
    </w:p>
    <w:p w14:paraId="5125FBFA" w14:textId="5E11A33D" w:rsidR="00551AE4" w:rsidRPr="001D2A80" w:rsidRDefault="00551AE4" w:rsidP="00551AE4">
      <w:pPr>
        <w:autoSpaceDE w:val="0"/>
        <w:autoSpaceDN w:val="0"/>
        <w:adjustRightInd w:val="0"/>
        <w:ind w:left="720" w:hanging="720"/>
        <w:rPr>
          <w:rFonts w:ascii="Times New Roman" w:hAnsi="Times New Roman" w:cs="Times New Roman"/>
        </w:rPr>
      </w:pPr>
      <w:r w:rsidRPr="001D2A80">
        <w:rPr>
          <w:rFonts w:ascii="Times New Roman" w:eastAsia="Times New Roman" w:hAnsi="Times New Roman" w:cs="Times New Roman"/>
        </w:rPr>
        <w:t>de Regt H.W.,</w:t>
      </w:r>
      <w:r w:rsidRPr="001D2A80">
        <w:rPr>
          <w:rFonts w:ascii="Times New Roman" w:eastAsia="Times New Roman" w:hAnsi="Times New Roman" w:cs="Times New Roman"/>
          <w:i/>
          <w:iCs/>
        </w:rPr>
        <w:t xml:space="preserve"> </w:t>
      </w:r>
      <w:r w:rsidRPr="001D2A80">
        <w:rPr>
          <w:rFonts w:ascii="Times New Roman" w:eastAsia="Times New Roman" w:hAnsi="Times New Roman" w:cs="Times New Roman"/>
        </w:rPr>
        <w:t>Gijsbers</w:t>
      </w:r>
      <w:r w:rsidRPr="001D2A80">
        <w:rPr>
          <w:rFonts w:ascii="Times New Roman" w:eastAsia="Times New Roman" w:hAnsi="Times New Roman" w:cs="Times New Roman"/>
          <w:i/>
          <w:iCs/>
        </w:rPr>
        <w:t xml:space="preserve"> </w:t>
      </w:r>
      <w:r w:rsidRPr="001D2A80">
        <w:rPr>
          <w:rFonts w:ascii="Times New Roman" w:eastAsia="Times New Roman" w:hAnsi="Times New Roman" w:cs="Times New Roman"/>
        </w:rPr>
        <w:t>V. (</w:t>
      </w:r>
      <w:r w:rsidRPr="00F42FD1">
        <w:rPr>
          <w:rFonts w:ascii="Times New Roman" w:eastAsia="Times New Roman" w:hAnsi="Times New Roman" w:cs="Times New Roman"/>
          <w:highlight w:val="yellow"/>
        </w:rPr>
        <w:t>201</w:t>
      </w:r>
      <w:r w:rsidR="00B64457" w:rsidRPr="00F42FD1">
        <w:rPr>
          <w:rFonts w:ascii="Times New Roman" w:eastAsia="Times New Roman" w:hAnsi="Times New Roman" w:cs="Times New Roman"/>
          <w:highlight w:val="yellow"/>
        </w:rPr>
        <w:t>7</w:t>
      </w:r>
      <w:bookmarkStart w:id="5" w:name="_GoBack"/>
      <w:bookmarkEnd w:id="5"/>
      <w:r w:rsidRPr="001D2A80">
        <w:rPr>
          <w:rFonts w:ascii="Times New Roman" w:eastAsia="Times New Roman" w:hAnsi="Times New Roman" w:cs="Times New Roman"/>
        </w:rPr>
        <w:t>),</w:t>
      </w:r>
      <w:r w:rsidRPr="001D2A80">
        <w:rPr>
          <w:rFonts w:ascii="Times New Roman" w:eastAsia="Times New Roman" w:hAnsi="Times New Roman" w:cs="Times New Roman"/>
          <w:i/>
          <w:iCs/>
        </w:rPr>
        <w:t xml:space="preserve"> How False Theories Can Yield Genuine Understanding</w:t>
      </w:r>
      <w:r w:rsidRPr="001D2A80">
        <w:rPr>
          <w:rFonts w:ascii="Times New Roman" w:eastAsia="Times New Roman" w:hAnsi="Times New Roman" w:cs="Times New Roman"/>
        </w:rPr>
        <w:t xml:space="preserve"> [in:] </w:t>
      </w:r>
      <w:r w:rsidRPr="001D2A80">
        <w:rPr>
          <w:rFonts w:ascii="Times New Roman" w:eastAsia="Times New Roman" w:hAnsi="Times New Roman" w:cs="Times New Roman"/>
          <w:i/>
          <w:iCs/>
        </w:rPr>
        <w:t xml:space="preserve">Explaining Understanding: New Perspectives from Epistemology and Philosophy of Science, </w:t>
      </w:r>
      <w:r w:rsidRPr="001D2A80">
        <w:rPr>
          <w:rFonts w:ascii="Times New Roman" w:eastAsia="Times New Roman" w:hAnsi="Times New Roman" w:cs="Times New Roman"/>
        </w:rPr>
        <w:t>St Grimm, C. Baumberger, S. Ammon (eds.), New York and London: Routledge, 50-76.</w:t>
      </w:r>
    </w:p>
    <w:p w14:paraId="39407F10" w14:textId="77777777" w:rsidR="00551AE4" w:rsidRPr="001D2A80" w:rsidRDefault="00551AE4" w:rsidP="00551AE4">
      <w:pPr>
        <w:autoSpaceDE w:val="0"/>
        <w:autoSpaceDN w:val="0"/>
        <w:adjustRightInd w:val="0"/>
        <w:ind w:left="720" w:hanging="720"/>
        <w:rPr>
          <w:rFonts w:ascii="Times New Roman" w:hAnsi="Times New Roman" w:cs="Times New Roman"/>
        </w:rPr>
      </w:pPr>
      <w:r w:rsidRPr="001D2A80">
        <w:rPr>
          <w:rFonts w:ascii="Times New Roman" w:eastAsia="Times New Roman" w:hAnsi="Times New Roman" w:cs="Times New Roman"/>
        </w:rPr>
        <w:t xml:space="preserve">Dellsen F. (2018), </w:t>
      </w:r>
      <w:r w:rsidRPr="001D2A80">
        <w:rPr>
          <w:rFonts w:ascii="Times New Roman" w:eastAsia="Times New Roman" w:hAnsi="Times New Roman" w:cs="Times New Roman"/>
          <w:i/>
          <w:iCs/>
        </w:rPr>
        <w:t>Understanding in Epistemology and Philosophy of Science: A Complicated Relationship</w:t>
      </w:r>
      <w:r w:rsidRPr="001D2A80">
        <w:rPr>
          <w:rFonts w:ascii="Times New Roman" w:eastAsia="Times New Roman" w:hAnsi="Times New Roman" w:cs="Times New Roman"/>
        </w:rPr>
        <w:t>, “</w:t>
      </w:r>
      <w:r w:rsidRPr="001D2A80">
        <w:rPr>
          <w:rFonts w:ascii="Times New Roman" w:hAnsi="Times New Roman" w:cs="Times New Roman"/>
        </w:rPr>
        <w:t>Metascience” 27, 195–198</w:t>
      </w:r>
      <w:r w:rsidRPr="001D2A80">
        <w:rPr>
          <w:rFonts w:ascii="Times New Roman" w:eastAsia="Times New Roman" w:hAnsi="Times New Roman" w:cs="Times New Roman"/>
        </w:rPr>
        <w:t>.</w:t>
      </w:r>
      <w:r>
        <w:rPr>
          <w:rFonts w:ascii="Times New Roman" w:eastAsia="Times New Roman" w:hAnsi="Times New Roman" w:cs="Times New Roman"/>
        </w:rPr>
        <w:t xml:space="preserve"> </w:t>
      </w:r>
      <w:r w:rsidRPr="00C33C18">
        <w:rPr>
          <w:rFonts w:ascii="Times New Roman" w:eastAsia="Times New Roman" w:hAnsi="Times New Roman" w:cs="Times New Roman"/>
        </w:rPr>
        <w:t>https://doi.org/10.1007/s11016-018-0293-3</w:t>
      </w:r>
    </w:p>
    <w:p w14:paraId="7A574919" w14:textId="77777777" w:rsidR="00551AE4" w:rsidRPr="001D2A80" w:rsidRDefault="00551AE4" w:rsidP="00551AE4">
      <w:pPr>
        <w:autoSpaceDE w:val="0"/>
        <w:autoSpaceDN w:val="0"/>
        <w:adjustRightInd w:val="0"/>
        <w:ind w:left="720" w:hanging="720"/>
        <w:jc w:val="left"/>
        <w:rPr>
          <w:rFonts w:ascii="Times New Roman" w:hAnsi="Times New Roman" w:cs="Times New Roman"/>
        </w:rPr>
      </w:pPr>
      <w:r w:rsidRPr="001D2A80">
        <w:rPr>
          <w:rFonts w:ascii="Times New Roman" w:hAnsi="Times New Roman" w:cs="Times New Roman"/>
        </w:rPr>
        <w:t xml:space="preserve">Echeverria J. (1995), </w:t>
      </w:r>
      <w:r w:rsidRPr="001D2A80">
        <w:rPr>
          <w:rFonts w:ascii="Times New Roman" w:hAnsi="Times New Roman" w:cs="Times New Roman"/>
          <w:i/>
          <w:iCs/>
        </w:rPr>
        <w:t>The Four Contexts of Scientific Activity</w:t>
      </w:r>
      <w:r w:rsidRPr="001D2A80">
        <w:rPr>
          <w:rFonts w:ascii="Times New Roman" w:hAnsi="Times New Roman" w:cs="Times New Roman"/>
        </w:rPr>
        <w:t xml:space="preserve"> [in:] W. Herfel William, W. Krajewski, I. Niiniluoto, R. Wojcicki (eds), </w:t>
      </w:r>
      <w:r w:rsidRPr="001D2A80">
        <w:rPr>
          <w:rFonts w:ascii="Times New Roman" w:hAnsi="Times New Roman" w:cs="Times New Roman"/>
          <w:i/>
          <w:iCs/>
        </w:rPr>
        <w:t>Theories and Models in Scientific Processes, “</w:t>
      </w:r>
      <w:r w:rsidRPr="001D2A80">
        <w:rPr>
          <w:rFonts w:ascii="Times New Roman" w:hAnsi="Times New Roman" w:cs="Times New Roman"/>
        </w:rPr>
        <w:t>Poznan Studies in the Philosophy of Sciences and Humanities” 44, 151-167.</w:t>
      </w:r>
    </w:p>
    <w:p w14:paraId="019C3E72" w14:textId="77777777" w:rsidR="00551AE4" w:rsidRPr="001D2A80" w:rsidRDefault="00551AE4" w:rsidP="00551AE4">
      <w:pPr>
        <w:autoSpaceDE w:val="0"/>
        <w:autoSpaceDN w:val="0"/>
        <w:adjustRightInd w:val="0"/>
        <w:ind w:left="720" w:hanging="720"/>
        <w:rPr>
          <w:rFonts w:ascii="Times New Roman" w:hAnsi="Times New Roman" w:cs="Times New Roman"/>
        </w:rPr>
      </w:pPr>
      <w:r w:rsidRPr="001D2A80">
        <w:rPr>
          <w:rFonts w:ascii="Times New Roman" w:hAnsi="Times New Roman" w:cs="Times New Roman"/>
        </w:rPr>
        <w:t xml:space="preserve">Friedman M. (1974), </w:t>
      </w:r>
      <w:r w:rsidRPr="001D2A80">
        <w:rPr>
          <w:rFonts w:ascii="Times New Roman" w:hAnsi="Times New Roman" w:cs="Times New Roman"/>
          <w:i/>
          <w:iCs/>
        </w:rPr>
        <w:t>Explanation and Scientific Understanding</w:t>
      </w:r>
      <w:r w:rsidRPr="001D2A80">
        <w:rPr>
          <w:rFonts w:ascii="Times New Roman" w:hAnsi="Times New Roman" w:cs="Times New Roman"/>
        </w:rPr>
        <w:t>, “Journal of Philosophy”</w:t>
      </w:r>
      <w:r w:rsidRPr="001D2A80">
        <w:rPr>
          <w:rFonts w:ascii="Times New Roman" w:hAnsi="Times New Roman" w:cs="Times New Roman"/>
          <w:i/>
          <w:iCs/>
        </w:rPr>
        <w:t xml:space="preserve"> </w:t>
      </w:r>
      <w:r w:rsidRPr="001D2A80">
        <w:rPr>
          <w:rFonts w:ascii="Times New Roman" w:hAnsi="Times New Roman" w:cs="Times New Roman"/>
        </w:rPr>
        <w:t>71, 5-19.</w:t>
      </w:r>
      <w:r>
        <w:rPr>
          <w:rFonts w:ascii="Times New Roman" w:hAnsi="Times New Roman" w:cs="Times New Roman"/>
        </w:rPr>
        <w:t xml:space="preserve"> </w:t>
      </w:r>
      <w:r w:rsidRPr="00C33C18">
        <w:rPr>
          <w:rFonts w:ascii="Times New Roman" w:hAnsi="Times New Roman" w:cs="Times New Roman"/>
        </w:rPr>
        <w:t>https://doi.org/10.2307/2024924</w:t>
      </w:r>
    </w:p>
    <w:p w14:paraId="6214405A" w14:textId="77777777" w:rsidR="00551AE4" w:rsidRPr="001D2A80" w:rsidRDefault="00551AE4" w:rsidP="00551AE4">
      <w:pPr>
        <w:autoSpaceDE w:val="0"/>
        <w:autoSpaceDN w:val="0"/>
        <w:adjustRightInd w:val="0"/>
        <w:ind w:left="720" w:hanging="720"/>
        <w:rPr>
          <w:rFonts w:ascii="Times New Roman" w:hAnsi="Times New Roman" w:cs="Times New Roman"/>
        </w:rPr>
      </w:pPr>
      <w:r w:rsidRPr="001D2A80">
        <w:rPr>
          <w:rFonts w:ascii="Times New Roman" w:eastAsia="Times New Roman" w:hAnsi="Times New Roman" w:cs="Times New Roman"/>
        </w:rPr>
        <w:t>Grimm St. R., Baumberger C., Ammon S. (201</w:t>
      </w:r>
      <w:r>
        <w:rPr>
          <w:rFonts w:ascii="Times New Roman" w:eastAsia="Times New Roman" w:hAnsi="Times New Roman" w:cs="Times New Roman"/>
        </w:rPr>
        <w:t>7</w:t>
      </w:r>
      <w:r w:rsidRPr="001D2A80">
        <w:rPr>
          <w:rFonts w:ascii="Times New Roman" w:eastAsia="Times New Roman" w:hAnsi="Times New Roman" w:cs="Times New Roman"/>
        </w:rPr>
        <w:t xml:space="preserve">), </w:t>
      </w:r>
      <w:r w:rsidRPr="001D2A80">
        <w:rPr>
          <w:rFonts w:ascii="Times New Roman" w:eastAsia="Times New Roman" w:hAnsi="Times New Roman" w:cs="Times New Roman"/>
          <w:i/>
          <w:iCs/>
        </w:rPr>
        <w:t>Explaining Understanding: New Perspectives from Epistemology and Philosophy of Science</w:t>
      </w:r>
      <w:r w:rsidRPr="001D2A80">
        <w:rPr>
          <w:rFonts w:ascii="Times New Roman" w:eastAsia="Times New Roman" w:hAnsi="Times New Roman" w:cs="Times New Roman"/>
        </w:rPr>
        <w:t>. New York and London: Routledge.</w:t>
      </w:r>
    </w:p>
    <w:p w14:paraId="3DF5AB97" w14:textId="5B61E590" w:rsidR="00551AE4" w:rsidRPr="001D2A80" w:rsidRDefault="00551AE4" w:rsidP="00551AE4">
      <w:pPr>
        <w:autoSpaceDE w:val="0"/>
        <w:autoSpaceDN w:val="0"/>
        <w:adjustRightInd w:val="0"/>
        <w:ind w:left="720" w:hanging="720"/>
        <w:rPr>
          <w:rFonts w:ascii="Times New Roman" w:hAnsi="Times New Roman" w:cs="Times New Roman"/>
        </w:rPr>
      </w:pPr>
      <w:r w:rsidRPr="001D2A80">
        <w:rPr>
          <w:rFonts w:ascii="Times New Roman" w:hAnsi="Times New Roman" w:cs="Times New Roman"/>
        </w:rPr>
        <w:t>Hempel C. G., Oppenheim P.</w:t>
      </w:r>
      <w:r w:rsidR="002819BD">
        <w:rPr>
          <w:rFonts w:ascii="Times New Roman" w:hAnsi="Times New Roman" w:cs="Times New Roman"/>
        </w:rPr>
        <w:t xml:space="preserve"> (1948)</w:t>
      </w:r>
      <w:r w:rsidRPr="001D2A80">
        <w:rPr>
          <w:rFonts w:ascii="Times New Roman" w:hAnsi="Times New Roman" w:cs="Times New Roman"/>
        </w:rPr>
        <w:t xml:space="preserve">, </w:t>
      </w:r>
      <w:r w:rsidRPr="001D2A80">
        <w:rPr>
          <w:rFonts w:ascii="Times New Roman" w:hAnsi="Times New Roman" w:cs="Times New Roman"/>
          <w:i/>
          <w:iCs/>
        </w:rPr>
        <w:t>Studies in the Logic of Explanation, “</w:t>
      </w:r>
      <w:r w:rsidRPr="001D2A80">
        <w:rPr>
          <w:rFonts w:ascii="Times New Roman" w:hAnsi="Times New Roman" w:cs="Times New Roman"/>
        </w:rPr>
        <w:t>Philosophy of Science”</w:t>
      </w:r>
      <w:r w:rsidRPr="001D2A80">
        <w:rPr>
          <w:rFonts w:ascii="Times New Roman" w:hAnsi="Times New Roman" w:cs="Times New Roman"/>
          <w:i/>
          <w:iCs/>
        </w:rPr>
        <w:t xml:space="preserve"> </w:t>
      </w:r>
      <w:r w:rsidRPr="001D2A80">
        <w:rPr>
          <w:rFonts w:ascii="Times New Roman" w:hAnsi="Times New Roman" w:cs="Times New Roman"/>
        </w:rPr>
        <w:t>15(2), 135–175.</w:t>
      </w:r>
      <w:r>
        <w:rPr>
          <w:rFonts w:ascii="Times New Roman" w:hAnsi="Times New Roman" w:cs="Times New Roman"/>
        </w:rPr>
        <w:t xml:space="preserve"> </w:t>
      </w:r>
      <w:r w:rsidRPr="00C33C18">
        <w:rPr>
          <w:rFonts w:ascii="Times New Roman" w:hAnsi="Times New Roman" w:cs="Times New Roman"/>
        </w:rPr>
        <w:t>https://www.journals.uchicago.edu/doi/10.1086/286983</w:t>
      </w:r>
    </w:p>
    <w:p w14:paraId="14C49E91" w14:textId="77777777" w:rsidR="00551AE4" w:rsidRPr="001D2A80" w:rsidRDefault="00551AE4" w:rsidP="00551AE4">
      <w:pPr>
        <w:autoSpaceDE w:val="0"/>
        <w:autoSpaceDN w:val="0"/>
        <w:adjustRightInd w:val="0"/>
        <w:ind w:left="720" w:hanging="720"/>
        <w:rPr>
          <w:rFonts w:ascii="Times New Roman" w:hAnsi="Times New Roman" w:cs="Times New Roman"/>
          <w:shd w:val="clear" w:color="auto" w:fill="FFFFFF"/>
        </w:rPr>
      </w:pPr>
      <w:r w:rsidRPr="001D2A80">
        <w:rPr>
          <w:rFonts w:ascii="Times New Roman" w:hAnsi="Times New Roman" w:cs="Times New Roman"/>
        </w:rPr>
        <w:t xml:space="preserve">Hempel C. G. (1965), </w:t>
      </w:r>
      <w:r w:rsidRPr="001D2A80">
        <w:rPr>
          <w:rFonts w:ascii="Times New Roman" w:hAnsi="Times New Roman" w:cs="Times New Roman"/>
          <w:i/>
        </w:rPr>
        <w:t>Aspects of Scientific Explanation and other Essays in the Philosophy of Science</w:t>
      </w:r>
      <w:r w:rsidRPr="001D2A80">
        <w:rPr>
          <w:rFonts w:ascii="Times New Roman" w:hAnsi="Times New Roman" w:cs="Times New Roman"/>
        </w:rPr>
        <w:t xml:space="preserve">, </w:t>
      </w:r>
      <w:r w:rsidRPr="001D2A80">
        <w:rPr>
          <w:rFonts w:ascii="Times New Roman" w:hAnsi="Times New Roman" w:cs="Times New Roman"/>
          <w:shd w:val="clear" w:color="auto" w:fill="FFFFFF"/>
        </w:rPr>
        <w:t>New York—London: The Free Press &amp; Collier-Macmillan Ltd.</w:t>
      </w:r>
    </w:p>
    <w:p w14:paraId="5603EAEE" w14:textId="77777777" w:rsidR="00551AE4" w:rsidRPr="001D2A80" w:rsidRDefault="00551AE4" w:rsidP="00551AE4">
      <w:pPr>
        <w:autoSpaceDE w:val="0"/>
        <w:autoSpaceDN w:val="0"/>
        <w:adjustRightInd w:val="0"/>
        <w:ind w:left="720" w:hanging="720"/>
        <w:jc w:val="left"/>
        <w:rPr>
          <w:rFonts w:ascii="Times New Roman" w:hAnsi="Times New Roman" w:cs="Times New Roman"/>
          <w:shd w:val="clear" w:color="auto" w:fill="FFFFFF"/>
        </w:rPr>
      </w:pPr>
      <w:r w:rsidRPr="001D2A80">
        <w:rPr>
          <w:rFonts w:ascii="Times New Roman" w:hAnsi="Times New Roman" w:cs="Times New Roman"/>
        </w:rPr>
        <w:t xml:space="preserve">Hoyningen-Huene, P. (1987), </w:t>
      </w:r>
      <w:r w:rsidRPr="001D2A80">
        <w:rPr>
          <w:rFonts w:ascii="Times New Roman" w:hAnsi="Times New Roman" w:cs="Times New Roman"/>
          <w:i/>
          <w:iCs/>
        </w:rPr>
        <w:t>Context of Discovery and Context of Justification</w:t>
      </w:r>
      <w:r w:rsidRPr="001D2A80">
        <w:rPr>
          <w:rFonts w:ascii="Times New Roman" w:hAnsi="Times New Roman" w:cs="Times New Roman"/>
        </w:rPr>
        <w:t>, “Studies in History and Philosophy of Science Part A”</w:t>
      </w:r>
      <w:r w:rsidRPr="001D2A80">
        <w:rPr>
          <w:rFonts w:ascii="Times New Roman" w:hAnsi="Times New Roman" w:cs="Times New Roman"/>
          <w:i/>
          <w:iCs/>
        </w:rPr>
        <w:t xml:space="preserve"> </w:t>
      </w:r>
      <w:r w:rsidRPr="001D2A80">
        <w:rPr>
          <w:rFonts w:ascii="Times New Roman" w:hAnsi="Times New Roman" w:cs="Times New Roman"/>
        </w:rPr>
        <w:t>18(4), 501–515.</w:t>
      </w:r>
      <w:r>
        <w:rPr>
          <w:rFonts w:ascii="Times New Roman" w:hAnsi="Times New Roman" w:cs="Times New Roman"/>
        </w:rPr>
        <w:t xml:space="preserve"> </w:t>
      </w:r>
      <w:r w:rsidRPr="00C33C18">
        <w:rPr>
          <w:rFonts w:ascii="Times New Roman" w:hAnsi="Times New Roman" w:cs="Times New Roman"/>
        </w:rPr>
        <w:t>https://doi.org/10.1016/0039-3681(87)90005-7</w:t>
      </w:r>
    </w:p>
    <w:p w14:paraId="6F588686" w14:textId="77777777" w:rsidR="00551AE4" w:rsidRPr="001D2A80" w:rsidRDefault="00551AE4" w:rsidP="00551AE4">
      <w:pPr>
        <w:autoSpaceDE w:val="0"/>
        <w:autoSpaceDN w:val="0"/>
        <w:adjustRightInd w:val="0"/>
        <w:ind w:left="720" w:hanging="720"/>
        <w:rPr>
          <w:rFonts w:ascii="Times New Roman" w:hAnsi="Times New Roman" w:cs="Times New Roman"/>
          <w:shd w:val="clear" w:color="auto" w:fill="FFFFFF"/>
        </w:rPr>
      </w:pPr>
      <w:r w:rsidRPr="001D2A80">
        <w:rPr>
          <w:rFonts w:ascii="Times New Roman" w:eastAsia="Times New Roman" w:hAnsi="Times New Roman" w:cs="Times New Roman"/>
        </w:rPr>
        <w:lastRenderedPageBreak/>
        <w:t xml:space="preserve">Kelp C. (2015), </w:t>
      </w:r>
      <w:r w:rsidRPr="001D2A80">
        <w:rPr>
          <w:rFonts w:ascii="Times New Roman" w:eastAsia="Times New Roman" w:hAnsi="Times New Roman" w:cs="Times New Roman"/>
          <w:i/>
          <w:iCs/>
        </w:rPr>
        <w:t>Understanding Phenomena</w:t>
      </w:r>
      <w:r w:rsidRPr="001D2A80">
        <w:rPr>
          <w:rFonts w:ascii="Times New Roman" w:eastAsia="Times New Roman" w:hAnsi="Times New Roman" w:cs="Times New Roman"/>
        </w:rPr>
        <w:t>, “Synthese” 192(12): 3799–3816.</w:t>
      </w:r>
      <w:r>
        <w:rPr>
          <w:rFonts w:ascii="Times New Roman" w:eastAsia="Times New Roman" w:hAnsi="Times New Roman" w:cs="Times New Roman"/>
        </w:rPr>
        <w:t xml:space="preserve"> </w:t>
      </w:r>
      <w:r w:rsidRPr="00C33C18">
        <w:rPr>
          <w:rFonts w:ascii="Times New Roman" w:eastAsia="Times New Roman" w:hAnsi="Times New Roman" w:cs="Times New Roman"/>
        </w:rPr>
        <w:t>https://doi.org/10.1007/s11229-014-0616-x</w:t>
      </w:r>
    </w:p>
    <w:p w14:paraId="322DA942" w14:textId="77777777" w:rsidR="00551AE4" w:rsidRPr="001D2A80" w:rsidRDefault="00551AE4" w:rsidP="00551AE4">
      <w:pPr>
        <w:autoSpaceDE w:val="0"/>
        <w:autoSpaceDN w:val="0"/>
        <w:adjustRightInd w:val="0"/>
        <w:ind w:left="720" w:hanging="720"/>
        <w:rPr>
          <w:rFonts w:ascii="Times New Roman" w:hAnsi="Times New Roman" w:cs="Times New Roman"/>
        </w:rPr>
      </w:pPr>
      <w:r w:rsidRPr="001D2A80">
        <w:rPr>
          <w:rFonts w:ascii="Times New Roman" w:eastAsia="Times New Roman" w:hAnsi="Times New Roman" w:cs="Times New Roman"/>
        </w:rPr>
        <w:t xml:space="preserve">Khalifa K. (2012), </w:t>
      </w:r>
      <w:r w:rsidRPr="001D2A80">
        <w:rPr>
          <w:rFonts w:ascii="Times New Roman" w:eastAsia="Times New Roman" w:hAnsi="Times New Roman" w:cs="Times New Roman"/>
          <w:i/>
          <w:iCs/>
        </w:rPr>
        <w:t>Inaugurating Understanding or Repackaging Explanation?,</w:t>
      </w:r>
      <w:r w:rsidRPr="001D2A80">
        <w:rPr>
          <w:rFonts w:ascii="Times New Roman" w:eastAsia="Times New Roman" w:hAnsi="Times New Roman" w:cs="Times New Roman"/>
        </w:rPr>
        <w:t xml:space="preserve"> “Philosophy of Science”, </w:t>
      </w:r>
      <w:r w:rsidRPr="001D2A80">
        <w:rPr>
          <w:rFonts w:ascii="Times New Roman" w:eastAsia="Times New Roman" w:hAnsi="Times New Roman" w:cs="Times New Roman"/>
          <w:i/>
          <w:iCs/>
        </w:rPr>
        <w:t>79</w:t>
      </w:r>
      <w:r w:rsidRPr="001D2A80">
        <w:rPr>
          <w:rFonts w:ascii="Times New Roman" w:eastAsia="Times New Roman" w:hAnsi="Times New Roman" w:cs="Times New Roman"/>
        </w:rPr>
        <w:t>(1),</w:t>
      </w:r>
      <w:r w:rsidRPr="001D2A80">
        <w:rPr>
          <w:rFonts w:ascii="Times New Roman" w:hAnsi="Times New Roman" w:cs="Times New Roman"/>
        </w:rPr>
        <w:t xml:space="preserve"> 15–37.</w:t>
      </w:r>
      <w:r>
        <w:rPr>
          <w:rFonts w:ascii="Times New Roman" w:hAnsi="Times New Roman" w:cs="Times New Roman"/>
        </w:rPr>
        <w:t xml:space="preserve"> </w:t>
      </w:r>
      <w:r w:rsidRPr="005E17B0">
        <w:rPr>
          <w:rFonts w:ascii="Times New Roman" w:hAnsi="Times New Roman" w:cs="Times New Roman"/>
        </w:rPr>
        <w:t>https://www.journals.uchicago.edu/doi/10.1086/663235</w:t>
      </w:r>
    </w:p>
    <w:p w14:paraId="1CC31615" w14:textId="77777777" w:rsidR="00551AE4" w:rsidRPr="001D2A80" w:rsidRDefault="00551AE4" w:rsidP="00551AE4">
      <w:pPr>
        <w:autoSpaceDE w:val="0"/>
        <w:autoSpaceDN w:val="0"/>
        <w:adjustRightInd w:val="0"/>
        <w:ind w:left="720" w:hanging="720"/>
        <w:rPr>
          <w:rFonts w:ascii="Times New Roman" w:eastAsia="Times New Roman" w:hAnsi="Times New Roman" w:cs="Times New Roman"/>
        </w:rPr>
      </w:pPr>
      <w:r w:rsidRPr="001D2A80">
        <w:rPr>
          <w:rFonts w:ascii="Times New Roman" w:eastAsia="Times New Roman" w:hAnsi="Times New Roman" w:cs="Times New Roman"/>
        </w:rPr>
        <w:t xml:space="preserve">Khalifa K. (2013), </w:t>
      </w:r>
      <w:r w:rsidRPr="001D2A80">
        <w:rPr>
          <w:rFonts w:ascii="Times New Roman" w:eastAsia="Times New Roman" w:hAnsi="Times New Roman" w:cs="Times New Roman"/>
          <w:i/>
          <w:iCs/>
        </w:rPr>
        <w:t>The Role of Explanation in Understanding</w:t>
      </w:r>
      <w:r w:rsidRPr="001D2A80">
        <w:rPr>
          <w:rFonts w:ascii="Times New Roman" w:eastAsia="Times New Roman" w:hAnsi="Times New Roman" w:cs="Times New Roman"/>
        </w:rPr>
        <w:t xml:space="preserve">, “British Journal for the Philosophy of Science” 64 (1), 161–187. </w:t>
      </w:r>
      <w:r w:rsidRPr="00A3207E">
        <w:rPr>
          <w:rFonts w:ascii="Times New Roman" w:eastAsia="Times New Roman" w:hAnsi="Times New Roman" w:cs="Times New Roman"/>
        </w:rPr>
        <w:t>https://doi.org/10.1093/bjps/axr057</w:t>
      </w:r>
    </w:p>
    <w:p w14:paraId="0332D396" w14:textId="77777777" w:rsidR="00551AE4" w:rsidRPr="001D2A80" w:rsidRDefault="00551AE4" w:rsidP="00551AE4">
      <w:pPr>
        <w:autoSpaceDE w:val="0"/>
        <w:autoSpaceDN w:val="0"/>
        <w:adjustRightInd w:val="0"/>
        <w:ind w:left="720" w:hanging="720"/>
        <w:rPr>
          <w:rFonts w:ascii="Times New Roman" w:hAnsi="Times New Roman" w:cs="Times New Roman"/>
        </w:rPr>
      </w:pPr>
      <w:r w:rsidRPr="001D2A80">
        <w:rPr>
          <w:rFonts w:ascii="Times New Roman" w:eastAsia="Times New Roman" w:hAnsi="Times New Roman" w:cs="Times New Roman"/>
        </w:rPr>
        <w:t xml:space="preserve">Khalifa K. (2017), </w:t>
      </w:r>
      <w:r w:rsidRPr="001D2A80">
        <w:rPr>
          <w:rFonts w:ascii="Times New Roman" w:eastAsia="Times New Roman" w:hAnsi="Times New Roman" w:cs="Times New Roman"/>
          <w:i/>
          <w:iCs/>
        </w:rPr>
        <w:t>Understanding, Explanation, and Scientific Knowledge</w:t>
      </w:r>
      <w:r w:rsidRPr="001D2A80">
        <w:rPr>
          <w:rFonts w:ascii="Times New Roman" w:eastAsia="Times New Roman" w:hAnsi="Times New Roman" w:cs="Times New Roman"/>
        </w:rPr>
        <w:t>, Cambridge: Cambridge University Press.</w:t>
      </w:r>
    </w:p>
    <w:p w14:paraId="4FEBDE8F" w14:textId="77777777" w:rsidR="00551AE4" w:rsidRPr="001D2A80" w:rsidRDefault="00551AE4" w:rsidP="00551AE4">
      <w:pPr>
        <w:autoSpaceDE w:val="0"/>
        <w:autoSpaceDN w:val="0"/>
        <w:adjustRightInd w:val="0"/>
        <w:ind w:left="720" w:hanging="720"/>
        <w:rPr>
          <w:rFonts w:ascii="Times New Roman" w:hAnsi="Times New Roman" w:cs="Times New Roman"/>
        </w:rPr>
      </w:pPr>
      <w:r w:rsidRPr="001D2A80">
        <w:rPr>
          <w:rFonts w:ascii="Times New Roman" w:hAnsi="Times New Roman" w:cs="Times New Roman"/>
        </w:rPr>
        <w:t xml:space="preserve">Kitcher P. (1981), </w:t>
      </w:r>
      <w:r w:rsidRPr="001D2A80">
        <w:rPr>
          <w:rFonts w:ascii="Times New Roman" w:hAnsi="Times New Roman" w:cs="Times New Roman"/>
          <w:i/>
          <w:iCs/>
        </w:rPr>
        <w:t>Explanatory Unification</w:t>
      </w:r>
      <w:r w:rsidRPr="001D2A80">
        <w:rPr>
          <w:rFonts w:ascii="Times New Roman" w:hAnsi="Times New Roman" w:cs="Times New Roman"/>
        </w:rPr>
        <w:t>, “Philosophy of Science”</w:t>
      </w:r>
      <w:r w:rsidRPr="001D2A80">
        <w:rPr>
          <w:rFonts w:ascii="Times New Roman" w:hAnsi="Times New Roman" w:cs="Times New Roman"/>
          <w:i/>
          <w:iCs/>
        </w:rPr>
        <w:t xml:space="preserve"> </w:t>
      </w:r>
      <w:r w:rsidRPr="001D2A80">
        <w:rPr>
          <w:rFonts w:ascii="Times New Roman" w:hAnsi="Times New Roman" w:cs="Times New Roman"/>
        </w:rPr>
        <w:t>48(4), 507-531.</w:t>
      </w:r>
      <w:r>
        <w:rPr>
          <w:rFonts w:ascii="Times New Roman" w:hAnsi="Times New Roman" w:cs="Times New Roman"/>
        </w:rPr>
        <w:t xml:space="preserve"> </w:t>
      </w:r>
      <w:r w:rsidRPr="005E17B0">
        <w:rPr>
          <w:rFonts w:ascii="Times New Roman" w:hAnsi="Times New Roman" w:cs="Times New Roman"/>
        </w:rPr>
        <w:t>https://www.journals.uchicago.edu/doi/10.1086/289019</w:t>
      </w:r>
    </w:p>
    <w:p w14:paraId="26C5EF37" w14:textId="77777777" w:rsidR="00551AE4" w:rsidRPr="001D2A80" w:rsidRDefault="00551AE4" w:rsidP="00551AE4">
      <w:pPr>
        <w:autoSpaceDE w:val="0"/>
        <w:autoSpaceDN w:val="0"/>
        <w:adjustRightInd w:val="0"/>
        <w:ind w:left="720" w:hanging="720"/>
        <w:rPr>
          <w:rFonts w:ascii="Times New Roman" w:eastAsia="Times New Roman" w:hAnsi="Times New Roman" w:cs="Times New Roman"/>
        </w:rPr>
      </w:pPr>
      <w:r w:rsidRPr="001D2A80">
        <w:rPr>
          <w:rFonts w:ascii="Times New Roman" w:eastAsia="Times New Roman" w:hAnsi="Times New Roman" w:cs="Times New Roman"/>
        </w:rPr>
        <w:t xml:space="preserve">Kvanvig J. (2003), </w:t>
      </w:r>
      <w:r w:rsidRPr="001D2A80">
        <w:rPr>
          <w:rFonts w:ascii="Times New Roman" w:eastAsia="Times New Roman" w:hAnsi="Times New Roman" w:cs="Times New Roman"/>
          <w:i/>
          <w:iCs/>
        </w:rPr>
        <w:t>The Value of Knowledge and the Pursuit of Understanding</w:t>
      </w:r>
      <w:r w:rsidRPr="001D2A80">
        <w:rPr>
          <w:rFonts w:ascii="Times New Roman" w:eastAsia="Times New Roman" w:hAnsi="Times New Roman" w:cs="Times New Roman"/>
        </w:rPr>
        <w:t>, Cambridge: Cambridge University Press.</w:t>
      </w:r>
    </w:p>
    <w:p w14:paraId="1276E49B" w14:textId="77777777" w:rsidR="00551AE4" w:rsidRPr="001D2A80" w:rsidRDefault="00551AE4" w:rsidP="00551AE4">
      <w:pPr>
        <w:autoSpaceDE w:val="0"/>
        <w:autoSpaceDN w:val="0"/>
        <w:adjustRightInd w:val="0"/>
        <w:ind w:left="720" w:hanging="720"/>
        <w:rPr>
          <w:rFonts w:ascii="Times New Roman" w:eastAsia="Times New Roman" w:hAnsi="Times New Roman" w:cs="Times New Roman"/>
        </w:rPr>
      </w:pPr>
      <w:r w:rsidRPr="001D2A80">
        <w:rPr>
          <w:rFonts w:ascii="Times New Roman" w:eastAsia="Times New Roman" w:hAnsi="Times New Roman" w:cs="Times New Roman"/>
        </w:rPr>
        <w:t xml:space="preserve">Lipton P. (2009), </w:t>
      </w:r>
      <w:r w:rsidRPr="001D2A80">
        <w:rPr>
          <w:rFonts w:ascii="Times New Roman" w:eastAsia="Times New Roman" w:hAnsi="Times New Roman" w:cs="Times New Roman"/>
          <w:i/>
          <w:iCs/>
        </w:rPr>
        <w:t>Understanding without Explanation</w:t>
      </w:r>
      <w:r w:rsidRPr="001D2A80">
        <w:rPr>
          <w:rFonts w:ascii="Times New Roman" w:eastAsia="Times New Roman" w:hAnsi="Times New Roman" w:cs="Times New Roman"/>
        </w:rPr>
        <w:t xml:space="preserve"> [in:] </w:t>
      </w:r>
      <w:r w:rsidRPr="001D2A80">
        <w:rPr>
          <w:rFonts w:ascii="Times New Roman" w:eastAsia="Times New Roman" w:hAnsi="Times New Roman" w:cs="Times New Roman"/>
          <w:i/>
          <w:iCs/>
        </w:rPr>
        <w:t>Scientific Understanding: Philosophical Perspectives</w:t>
      </w:r>
      <w:r w:rsidRPr="001D2A80">
        <w:rPr>
          <w:rFonts w:ascii="Times New Roman" w:eastAsia="Times New Roman" w:hAnsi="Times New Roman" w:cs="Times New Roman"/>
        </w:rPr>
        <w:t>, H. W. de Regt, S. Leonelli, K. Eigner (eds.), Pittsburgh: University of Pittsburgh Press, 43–63.</w:t>
      </w:r>
    </w:p>
    <w:p w14:paraId="762CB6B1" w14:textId="77777777" w:rsidR="00551AE4" w:rsidRPr="001D2A80" w:rsidRDefault="00551AE4" w:rsidP="00551AE4">
      <w:pPr>
        <w:autoSpaceDE w:val="0"/>
        <w:autoSpaceDN w:val="0"/>
        <w:adjustRightInd w:val="0"/>
        <w:ind w:left="720" w:hanging="720"/>
        <w:rPr>
          <w:rFonts w:ascii="Times New Roman" w:hAnsi="Times New Roman" w:cs="Times New Roman"/>
        </w:rPr>
      </w:pPr>
      <w:r w:rsidRPr="001D2A80">
        <w:rPr>
          <w:rFonts w:ascii="Times New Roman" w:hAnsi="Times New Roman" w:cs="Times New Roman"/>
        </w:rPr>
        <w:t xml:space="preserve">Riggs, W. (2003), </w:t>
      </w:r>
      <w:r w:rsidRPr="001D2A80">
        <w:rPr>
          <w:rFonts w:ascii="Times New Roman" w:hAnsi="Times New Roman" w:cs="Times New Roman"/>
          <w:i/>
          <w:iCs/>
        </w:rPr>
        <w:t>Understanding Virtue and the Virtue of Understanding</w:t>
      </w:r>
      <w:r w:rsidRPr="001D2A80">
        <w:rPr>
          <w:rFonts w:ascii="Times New Roman" w:hAnsi="Times New Roman" w:cs="Times New Roman"/>
        </w:rPr>
        <w:t xml:space="preserve"> [in:] </w:t>
      </w:r>
      <w:r w:rsidRPr="001D2A80">
        <w:rPr>
          <w:rFonts w:ascii="Times New Roman" w:hAnsi="Times New Roman" w:cs="Times New Roman"/>
          <w:i/>
        </w:rPr>
        <w:t xml:space="preserve">Intellectual Virtue: Perspectives from Ethics and Epistemology, </w:t>
      </w:r>
      <w:r w:rsidRPr="001D2A80">
        <w:rPr>
          <w:rStyle w:val="ln2"/>
          <w:rFonts w:ascii="Times New Roman" w:hAnsi="Times New Roman" w:cs="Times New Roman"/>
        </w:rPr>
        <w:t xml:space="preserve">M. DePaul, L. T. Zagzebski (eds.) Oxford – New York: </w:t>
      </w:r>
      <w:r w:rsidRPr="001D2A80">
        <w:rPr>
          <w:rFonts w:ascii="Times New Roman" w:hAnsi="Times New Roman" w:cs="Times New Roman"/>
        </w:rPr>
        <w:t>Clarendon Press, 203-226.</w:t>
      </w:r>
    </w:p>
    <w:p w14:paraId="2C69A0D5" w14:textId="77777777" w:rsidR="00551AE4" w:rsidRPr="001D2A80" w:rsidRDefault="00551AE4" w:rsidP="00551AE4">
      <w:pPr>
        <w:shd w:val="clear" w:color="auto" w:fill="FFFFFF"/>
        <w:ind w:left="720" w:hanging="720"/>
        <w:rPr>
          <w:rFonts w:ascii="Times New Roman" w:eastAsia="Times New Roman" w:hAnsi="Times New Roman" w:cs="Times New Roman"/>
        </w:rPr>
      </w:pPr>
      <w:r w:rsidRPr="001D2A80">
        <w:rPr>
          <w:rFonts w:ascii="Times New Roman" w:eastAsia="Times New Roman" w:hAnsi="Times New Roman" w:cs="Times New Roman"/>
        </w:rPr>
        <w:t xml:space="preserve">Salmon W. (1984), </w:t>
      </w:r>
      <w:r w:rsidRPr="001D2A80">
        <w:rPr>
          <w:rFonts w:ascii="Times New Roman" w:eastAsia="Times New Roman" w:hAnsi="Times New Roman" w:cs="Times New Roman"/>
          <w:i/>
          <w:iCs/>
        </w:rPr>
        <w:t>Scientific Explanation and the Causal Structure of the World,</w:t>
      </w:r>
      <w:r w:rsidRPr="001D2A80">
        <w:rPr>
          <w:rFonts w:ascii="Times New Roman" w:eastAsia="Times New Roman" w:hAnsi="Times New Roman" w:cs="Times New Roman"/>
        </w:rPr>
        <w:t xml:space="preserve"> Princeton: Princeton University Press.</w:t>
      </w:r>
    </w:p>
    <w:p w14:paraId="6B4BE105" w14:textId="77777777" w:rsidR="00551AE4" w:rsidRPr="001D2A80" w:rsidRDefault="00551AE4" w:rsidP="00551AE4">
      <w:pPr>
        <w:shd w:val="clear" w:color="auto" w:fill="FFFFFF"/>
        <w:ind w:left="720" w:hanging="720"/>
        <w:rPr>
          <w:rFonts w:ascii="Times New Roman" w:eastAsia="Times New Roman" w:hAnsi="Times New Roman" w:cs="Times New Roman"/>
        </w:rPr>
      </w:pPr>
      <w:r w:rsidRPr="001D2A80">
        <w:rPr>
          <w:rFonts w:ascii="Times New Roman" w:hAnsi="Times New Roman" w:cs="Times New Roman"/>
        </w:rPr>
        <w:t xml:space="preserve">Salmon W. (2006), </w:t>
      </w:r>
      <w:r w:rsidRPr="001D2A80">
        <w:rPr>
          <w:rFonts w:ascii="Times New Roman" w:hAnsi="Times New Roman" w:cs="Times New Roman"/>
          <w:i/>
        </w:rPr>
        <w:t xml:space="preserve">Four Decades of Scientific Explanation, </w:t>
      </w:r>
      <w:r w:rsidRPr="001D2A80">
        <w:rPr>
          <w:rFonts w:ascii="Times New Roman" w:hAnsi="Times New Roman" w:cs="Times New Roman"/>
        </w:rPr>
        <w:t>Pittsburgh: University of Pittsburgh Press.</w:t>
      </w:r>
    </w:p>
    <w:p w14:paraId="59046E42" w14:textId="053D4C46" w:rsidR="00551AE4" w:rsidRDefault="00551AE4" w:rsidP="00551AE4">
      <w:pPr>
        <w:pStyle w:val="FootnoteText"/>
        <w:spacing w:line="360" w:lineRule="auto"/>
        <w:ind w:left="720" w:hanging="720"/>
        <w:rPr>
          <w:rFonts w:ascii="Times New Roman" w:hAnsi="Times New Roman" w:cs="Times New Roman"/>
          <w:sz w:val="22"/>
          <w:szCs w:val="22"/>
          <w:shd w:val="clear" w:color="auto" w:fill="FCFCFC"/>
        </w:rPr>
      </w:pPr>
      <w:r w:rsidRPr="001D2A80">
        <w:rPr>
          <w:rFonts w:ascii="Times New Roman" w:eastAsia="Times New Roman" w:hAnsi="Times New Roman" w:cs="Times New Roman"/>
          <w:sz w:val="22"/>
          <w:szCs w:val="22"/>
        </w:rPr>
        <w:t xml:space="preserve">Schurz G., Lambert K. (1994), </w:t>
      </w:r>
      <w:r w:rsidRPr="001D2A80">
        <w:rPr>
          <w:rFonts w:ascii="Times New Roman" w:eastAsia="Times New Roman" w:hAnsi="Times New Roman" w:cs="Times New Roman"/>
          <w:i/>
          <w:iCs/>
          <w:sz w:val="22"/>
          <w:szCs w:val="22"/>
        </w:rPr>
        <w:t>Outline of a theory of scientific understanding</w:t>
      </w:r>
      <w:r w:rsidRPr="001D2A80">
        <w:rPr>
          <w:rFonts w:ascii="Times New Roman" w:eastAsia="Times New Roman" w:hAnsi="Times New Roman" w:cs="Times New Roman"/>
          <w:sz w:val="22"/>
          <w:szCs w:val="22"/>
        </w:rPr>
        <w:t xml:space="preserve">, “Synthese” 101 (1), 65-120. </w:t>
      </w:r>
      <w:r w:rsidRPr="00167D1B">
        <w:rPr>
          <w:rFonts w:ascii="Times New Roman" w:hAnsi="Times New Roman" w:cs="Times New Roman"/>
          <w:sz w:val="22"/>
          <w:szCs w:val="22"/>
          <w:shd w:val="clear" w:color="auto" w:fill="FCFCFC"/>
        </w:rPr>
        <w:t>https://doi.org/10.1007/BF01063969</w:t>
      </w:r>
    </w:p>
    <w:p w14:paraId="1A06B41E" w14:textId="31513ED3" w:rsidR="00551AE4" w:rsidRPr="00167D1B" w:rsidRDefault="00551AE4" w:rsidP="00551AE4">
      <w:pPr>
        <w:ind w:left="720" w:hanging="720"/>
        <w:jc w:val="left"/>
        <w:rPr>
          <w:rFonts w:ascii="Times New Roman" w:eastAsia="Times New Roman" w:hAnsi="Times New Roman" w:cs="Times New Roman"/>
        </w:rPr>
      </w:pPr>
      <w:r w:rsidRPr="00167D1B">
        <w:rPr>
          <w:rFonts w:ascii="Times New Roman" w:eastAsia="Times New Roman" w:hAnsi="Times New Roman" w:cs="Times New Roman"/>
        </w:rPr>
        <w:t xml:space="preserve">Strevens, M. (2013), </w:t>
      </w:r>
      <w:r w:rsidRPr="00167D1B">
        <w:rPr>
          <w:rFonts w:ascii="Times New Roman" w:eastAsia="Times New Roman" w:hAnsi="Times New Roman" w:cs="Times New Roman"/>
          <w:i/>
          <w:iCs/>
        </w:rPr>
        <w:t>No understanding without explanation</w:t>
      </w:r>
      <w:r w:rsidRPr="00167D1B">
        <w:rPr>
          <w:rFonts w:ascii="Times New Roman" w:eastAsia="Times New Roman" w:hAnsi="Times New Roman" w:cs="Times New Roman"/>
        </w:rPr>
        <w:t xml:space="preserve">. “Studies in history and philosophy of science” Part A, 44(3), 510-515. </w:t>
      </w:r>
      <w:r w:rsidRPr="00167D1B">
        <w:rPr>
          <w:rFonts w:ascii="Times New Roman" w:hAnsi="Times New Roman" w:cs="Times New Roman"/>
        </w:rPr>
        <w:t>https://doi.org/10.1016/j.shpsa.2012.12.005</w:t>
      </w:r>
    </w:p>
    <w:p w14:paraId="0E38AA15" w14:textId="77777777" w:rsidR="00551AE4" w:rsidRPr="001D2A80" w:rsidRDefault="00551AE4" w:rsidP="00551AE4">
      <w:pPr>
        <w:pStyle w:val="FootnoteText"/>
        <w:spacing w:line="360" w:lineRule="auto"/>
        <w:ind w:left="720" w:hanging="720"/>
        <w:rPr>
          <w:rFonts w:ascii="Times New Roman" w:eastAsia="Times New Roman" w:hAnsi="Times New Roman" w:cs="Times New Roman"/>
          <w:sz w:val="22"/>
          <w:szCs w:val="22"/>
        </w:rPr>
      </w:pPr>
      <w:r w:rsidRPr="001D2A80">
        <w:rPr>
          <w:rFonts w:ascii="Times New Roman" w:eastAsia="Times New Roman" w:hAnsi="Times New Roman" w:cs="Times New Roman"/>
          <w:sz w:val="22"/>
          <w:szCs w:val="22"/>
        </w:rPr>
        <w:t xml:space="preserve">Trout  J. D. (2002), </w:t>
      </w:r>
      <w:r w:rsidRPr="001D2A80">
        <w:rPr>
          <w:rFonts w:ascii="Times New Roman" w:eastAsia="Times New Roman" w:hAnsi="Times New Roman" w:cs="Times New Roman"/>
          <w:i/>
          <w:iCs/>
          <w:sz w:val="22"/>
          <w:szCs w:val="22"/>
        </w:rPr>
        <w:t>Scientific explanation and the sense of understanding</w:t>
      </w:r>
      <w:r w:rsidRPr="001D2A80">
        <w:rPr>
          <w:rFonts w:ascii="Times New Roman" w:eastAsia="Times New Roman" w:hAnsi="Times New Roman" w:cs="Times New Roman"/>
          <w:sz w:val="22"/>
          <w:szCs w:val="22"/>
        </w:rPr>
        <w:t>, “Philosophy of Science” 69 (2),. 212-233.</w:t>
      </w:r>
      <w:r>
        <w:rPr>
          <w:rFonts w:ascii="Times New Roman" w:eastAsia="Times New Roman" w:hAnsi="Times New Roman" w:cs="Times New Roman"/>
          <w:sz w:val="22"/>
          <w:szCs w:val="22"/>
        </w:rPr>
        <w:t xml:space="preserve"> </w:t>
      </w:r>
      <w:r w:rsidRPr="00A3207E">
        <w:rPr>
          <w:rFonts w:ascii="Times New Roman" w:eastAsia="Times New Roman" w:hAnsi="Times New Roman" w:cs="Times New Roman"/>
          <w:sz w:val="22"/>
          <w:szCs w:val="22"/>
        </w:rPr>
        <w:t>https://www.journals.uchicago.edu/doi/10.1086/341050</w:t>
      </w:r>
    </w:p>
    <w:p w14:paraId="2EE1B089" w14:textId="77777777" w:rsidR="00551AE4" w:rsidRPr="001D2A80" w:rsidRDefault="00551AE4" w:rsidP="00551AE4">
      <w:pPr>
        <w:pStyle w:val="FootnoteText"/>
        <w:spacing w:line="360" w:lineRule="auto"/>
        <w:ind w:left="720" w:hanging="720"/>
        <w:rPr>
          <w:rFonts w:ascii="Times New Roman" w:eastAsia="Times New Roman" w:hAnsi="Times New Roman" w:cs="Times New Roman"/>
          <w:sz w:val="22"/>
          <w:szCs w:val="22"/>
        </w:rPr>
      </w:pPr>
      <w:r w:rsidRPr="001D2A80">
        <w:rPr>
          <w:rFonts w:ascii="Times New Roman" w:eastAsia="Times New Roman" w:hAnsi="Times New Roman" w:cs="Times New Roman"/>
          <w:sz w:val="22"/>
          <w:szCs w:val="22"/>
        </w:rPr>
        <w:t xml:space="preserve">Woodward J. (2003), </w:t>
      </w:r>
      <w:r w:rsidRPr="001D2A80">
        <w:rPr>
          <w:rFonts w:ascii="Times New Roman" w:eastAsia="Times New Roman" w:hAnsi="Times New Roman" w:cs="Times New Roman"/>
          <w:i/>
          <w:iCs/>
          <w:sz w:val="22"/>
          <w:szCs w:val="22"/>
        </w:rPr>
        <w:t>Making Things Happen: A Theory of Causal Explanation</w:t>
      </w:r>
      <w:r w:rsidRPr="001D2A80">
        <w:rPr>
          <w:rFonts w:ascii="Times New Roman" w:eastAsia="Times New Roman" w:hAnsi="Times New Roman" w:cs="Times New Roman"/>
          <w:sz w:val="22"/>
          <w:szCs w:val="22"/>
        </w:rPr>
        <w:t>, New York: Oxford University Press.</w:t>
      </w:r>
    </w:p>
    <w:p w14:paraId="233E477F" w14:textId="77777777" w:rsidR="00551AE4" w:rsidRPr="001D2A80" w:rsidRDefault="00551AE4" w:rsidP="00551AE4">
      <w:pPr>
        <w:pStyle w:val="FootnoteText"/>
        <w:spacing w:line="360" w:lineRule="auto"/>
        <w:ind w:left="720" w:hanging="720"/>
        <w:rPr>
          <w:rFonts w:ascii="Times New Roman" w:hAnsi="Times New Roman" w:cs="Times New Roman"/>
          <w:sz w:val="22"/>
          <w:szCs w:val="22"/>
          <w:shd w:val="clear" w:color="auto" w:fill="FCFCFC"/>
        </w:rPr>
      </w:pPr>
      <w:r w:rsidRPr="001D2A80">
        <w:rPr>
          <w:rFonts w:ascii="Times New Roman" w:hAnsi="Times New Roman" w:cs="Times New Roman"/>
          <w:sz w:val="22"/>
          <w:szCs w:val="22"/>
        </w:rPr>
        <w:t xml:space="preserve">Zagzebski L. (2001), </w:t>
      </w:r>
      <w:r w:rsidRPr="001D2A80">
        <w:rPr>
          <w:rFonts w:ascii="Times New Roman" w:hAnsi="Times New Roman" w:cs="Times New Roman"/>
          <w:i/>
          <w:iCs/>
          <w:sz w:val="22"/>
          <w:szCs w:val="22"/>
        </w:rPr>
        <w:t>Recovering Understanding</w:t>
      </w:r>
      <w:r w:rsidRPr="001D2A80">
        <w:rPr>
          <w:rFonts w:ascii="Times New Roman" w:hAnsi="Times New Roman" w:cs="Times New Roman"/>
          <w:sz w:val="22"/>
          <w:szCs w:val="22"/>
        </w:rPr>
        <w:t xml:space="preserve"> </w:t>
      </w:r>
      <w:r w:rsidRPr="001D2A80">
        <w:rPr>
          <w:rFonts w:ascii="Times New Roman" w:hAnsi="Times New Roman" w:cs="Times New Roman"/>
          <w:sz w:val="22"/>
          <w:szCs w:val="22"/>
          <w:shd w:val="clear" w:color="auto" w:fill="FFFFFF"/>
        </w:rPr>
        <w:t>[in:]</w:t>
      </w:r>
      <w:r w:rsidRPr="001D2A80">
        <w:rPr>
          <w:rFonts w:ascii="Times New Roman" w:hAnsi="Times New Roman" w:cs="Times New Roman"/>
          <w:sz w:val="22"/>
          <w:szCs w:val="22"/>
        </w:rPr>
        <w:t xml:space="preserve"> </w:t>
      </w:r>
      <w:r w:rsidRPr="001D2A80">
        <w:rPr>
          <w:rFonts w:ascii="Times New Roman" w:hAnsi="Times New Roman" w:cs="Times New Roman"/>
          <w:i/>
          <w:sz w:val="22"/>
          <w:szCs w:val="22"/>
        </w:rPr>
        <w:t>Knowledge, Truth, and Duty: Essays on Epistemic Justification, Responsibility and Virtue,</w:t>
      </w:r>
      <w:r w:rsidRPr="001D2A80">
        <w:rPr>
          <w:rFonts w:ascii="Times New Roman" w:hAnsi="Times New Roman" w:cs="Times New Roman"/>
          <w:sz w:val="22"/>
          <w:szCs w:val="22"/>
        </w:rPr>
        <w:t xml:space="preserve"> M. Steup (ed.), New York: Oxford University Press, 235-252.</w:t>
      </w:r>
    </w:p>
    <w:p w14:paraId="072D7B02" w14:textId="77777777" w:rsidR="000B7600" w:rsidRPr="001D2A80" w:rsidRDefault="000B7600" w:rsidP="00551AE4">
      <w:pPr>
        <w:jc w:val="center"/>
        <w:rPr>
          <w:rFonts w:ascii="Times New Roman" w:hAnsi="Times New Roman" w:cs="Times New Roman"/>
        </w:rPr>
      </w:pPr>
    </w:p>
    <w:sectPr w:rsidR="000B7600" w:rsidRPr="001D2A80">
      <w:foot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8B48C" w16cex:dateUtc="2021-02-18T14:40:00Z"/>
  <w16cex:commentExtensible w16cex:durableId="23D8B499" w16cex:dateUtc="2021-02-18T14:40:00Z"/>
  <w16cex:commentExtensible w16cex:durableId="23D8B5AE" w16cex:dateUtc="2021-02-18T14:45:00Z"/>
  <w16cex:commentExtensible w16cex:durableId="23D8B68D" w16cex:dateUtc="2021-02-18T14:49:00Z"/>
  <w16cex:commentExtensible w16cex:durableId="23D8B640" w16cex:dateUtc="2021-02-18T14:47:00Z"/>
  <w16cex:commentExtensible w16cex:durableId="23D8FE00" w16cex:dateUtc="2021-02-18T19:53:00Z"/>
  <w16cex:commentExtensible w16cex:durableId="23D8B714" w16cex:dateUtc="2021-02-18T14:51:00Z"/>
  <w16cex:commentExtensible w16cex:durableId="23D8B97A" w16cex:dateUtc="2021-02-18T15:01:00Z"/>
  <w16cex:commentExtensible w16cex:durableId="23D8B9ED" w16cex:dateUtc="2021-02-18T15:03:00Z"/>
  <w16cex:commentExtensible w16cex:durableId="23D8BA17" w16cex:dateUtc="2021-02-18T15:04:00Z"/>
  <w16cex:commentExtensible w16cex:durableId="23D8BA48" w16cex:dateUtc="2021-02-18T15:04:00Z"/>
  <w16cex:commentExtensible w16cex:durableId="23D8BAA1" w16cex:dateUtc="2021-02-18T15:06:00Z"/>
  <w16cex:commentExtensible w16cex:durableId="23D8BBD0" w16cex:dateUtc="2021-02-18T15:11:00Z"/>
  <w16cex:commentExtensible w16cex:durableId="23D8BC1C" w16cex:dateUtc="2021-02-18T15:12:00Z"/>
  <w16cex:commentExtensible w16cex:durableId="23D8BDD4" w16cex:dateUtc="2021-02-18T15:20:00Z"/>
  <w16cex:commentExtensible w16cex:durableId="23D8BEC6" w16cex:dateUtc="2021-02-18T15:24:00Z"/>
  <w16cex:commentExtensible w16cex:durableId="23D8BF44" w16cex:dateUtc="2021-02-18T15:26:00Z"/>
  <w16cex:commentExtensible w16cex:durableId="23D8BF85" w16cex:dateUtc="2021-02-18T15:27:00Z"/>
  <w16cex:commentExtensible w16cex:durableId="23E72E5C" w16cex:dateUtc="2021-03-01T14:11:00Z"/>
  <w16cex:commentExtensible w16cex:durableId="23D8C053" w16cex:dateUtc="2021-02-18T15:30:00Z"/>
  <w16cex:commentExtensible w16cex:durableId="23D8C12F" w16cex:dateUtc="2021-02-18T15:34:00Z"/>
  <w16cex:commentExtensible w16cex:durableId="23D8C16F" w16cex:dateUtc="2021-02-18T15:35:00Z"/>
  <w16cex:commentExtensible w16cex:durableId="23D8C1C2" w16cex:dateUtc="2021-02-18T15:36:00Z"/>
  <w16cex:commentExtensible w16cex:durableId="23D8C30E" w16cex:dateUtc="2021-02-18T15:42:00Z"/>
  <w16cex:commentExtensible w16cex:durableId="23D8C33B" w16cex:dateUtc="2021-02-18T15:43:00Z"/>
  <w16cex:commentExtensible w16cex:durableId="23E72F77" w16cex:dateUtc="2021-03-01T14:16:00Z"/>
  <w16cex:commentExtensible w16cex:durableId="23D8CB23" w16cex:dateUtc="2021-02-18T16:16:00Z"/>
  <w16cex:commentExtensible w16cex:durableId="23D8CB43" w16cex:dateUtc="2021-02-18T16:17:00Z"/>
  <w16cex:commentExtensible w16cex:durableId="23D8CF84" w16cex:dateUtc="2021-02-18T16:35:00Z"/>
  <w16cex:commentExtensible w16cex:durableId="23D8CFDB" w16cex:dateUtc="2021-02-18T16:36:00Z"/>
  <w16cex:commentExtensible w16cex:durableId="23D8D061" w16cex:dateUtc="2021-02-18T16:39:00Z"/>
  <w16cex:commentExtensible w16cex:durableId="23D8D01F" w16cex:dateUtc="2021-02-18T16:38:00Z"/>
  <w16cex:commentExtensible w16cex:durableId="23D8D06F" w16cex:dateUtc="2021-02-18T16:39:00Z"/>
  <w16cex:commentExtensible w16cex:durableId="23D8E7DD" w16cex:dateUtc="2021-02-18T18:19:00Z"/>
  <w16cex:commentExtensible w16cex:durableId="23E72FBC" w16cex:dateUtc="2021-03-01T14:17:00Z"/>
  <w16cex:commentExtensible w16cex:durableId="23D8E86F" w16cex:dateUtc="2021-02-18T18:21:00Z"/>
  <w16cex:commentExtensible w16cex:durableId="23D8E951" w16cex:dateUtc="2021-02-18T18:25:00Z"/>
  <w16cex:commentExtensible w16cex:durableId="23D8EA56" w16cex:dateUtc="2021-02-18T18:29:00Z"/>
  <w16cex:commentExtensible w16cex:durableId="23D8EAEF" w16cex:dateUtc="2021-02-18T18:32:00Z"/>
  <w16cex:commentExtensible w16cex:durableId="23D8EB98" w16cex:dateUtc="2021-02-18T18:35:00Z"/>
  <w16cex:commentExtensible w16cex:durableId="23D8EBB3" w16cex:dateUtc="2021-02-18T18:35:00Z"/>
  <w16cex:commentExtensible w16cex:durableId="23E7307C" w16cex:dateUtc="2021-03-01T14:21:00Z"/>
  <w16cex:commentExtensible w16cex:durableId="23D8ED41" w16cex:dateUtc="2021-02-18T18:42:00Z"/>
  <w16cex:commentExtensible w16cex:durableId="23D8EE20" w16cex:dateUtc="2021-02-18T18:46:00Z"/>
  <w16cex:commentExtensible w16cex:durableId="23D8F160" w16cex:dateUtc="2021-02-18T19:00:00Z"/>
  <w16cex:commentExtensible w16cex:durableId="23D8F507" w16cex:dateUtc="2021-02-18T19:15:00Z"/>
  <w16cex:commentExtensible w16cex:durableId="23D8F436" w16cex:dateUtc="2021-02-18T19:12:00Z"/>
  <w16cex:commentExtensible w16cex:durableId="23D8F650" w16cex:dateUtc="2021-02-18T19:21:00Z"/>
  <w16cex:commentExtensible w16cex:durableId="23D8F80E" w16cex:dateUtc="2021-02-18T19:28:00Z"/>
  <w16cex:commentExtensible w16cex:durableId="23D8F859" w16cex:dateUtc="2021-02-18T19:29:00Z"/>
  <w16cex:commentExtensible w16cex:durableId="23D8F8F4" w16cex:dateUtc="2021-02-18T19:32:00Z"/>
  <w16cex:commentExtensible w16cex:durableId="23D8F9A4" w16cex:dateUtc="2021-02-18T19:35:00Z"/>
  <w16cex:commentExtensible w16cex:durableId="23D8FA13" w16cex:dateUtc="2021-02-18T19:37:00Z"/>
  <w16cex:commentExtensible w16cex:durableId="23D8FA5E" w16cex:dateUtc="2021-02-18T19:38:00Z"/>
  <w16cex:commentExtensible w16cex:durableId="23D8FA82" w16cex:dateUtc="2021-02-18T19:38:00Z"/>
  <w16cex:commentExtensible w16cex:durableId="23D8FB31" w16cex:dateUtc="2021-02-18T19:41:00Z"/>
  <w16cex:commentExtensible w16cex:durableId="23D8FBD2" w16cex:dateUtc="2021-02-18T19:44:00Z"/>
  <w16cex:commentExtensible w16cex:durableId="23D8FC19" w16cex:dateUtc="2021-02-18T19:45:00Z"/>
  <w16cex:commentExtensible w16cex:durableId="23D8FCFB" w16cex:dateUtc="2021-02-18T19:49:00Z"/>
  <w16cex:commentExtensible w16cex:durableId="23D8FD83" w16cex:dateUtc="2021-02-18T19:51:00Z"/>
  <w16cex:commentExtensible w16cex:durableId="23D8FE65" w16cex:dateUtc="2021-02-18T19:55:00Z"/>
  <w16cex:commentExtensible w16cex:durableId="23D8FF07" w16cex:dateUtc="2021-02-18T19:58:00Z"/>
  <w16cex:commentExtensible w16cex:durableId="23D8FF1E" w16cex:dateUtc="2021-02-18T19:58:00Z"/>
  <w16cex:commentExtensible w16cex:durableId="23D901DA" w16cex:dateUtc="2021-02-18T20:10:00Z"/>
  <w16cex:commentExtensible w16cex:durableId="23D901F7" w16cex:dateUtc="2021-02-18T20:10:00Z"/>
  <w16cex:commentExtensible w16cex:durableId="23D90183" w16cex:dateUtc="2021-02-18T20:08:00Z"/>
  <w16cex:commentExtensible w16cex:durableId="23D90204" w16cex:dateUtc="2021-02-18T20:11:00Z"/>
  <w16cex:commentExtensible w16cex:durableId="23D90217" w16cex:dateUtc="2021-02-18T20:11:00Z"/>
  <w16cex:commentExtensible w16cex:durableId="23D900B5" w16cex:dateUtc="2021-02-18T20:05:00Z"/>
  <w16cex:commentExtensible w16cex:durableId="23D90329" w16cex:dateUtc="2021-02-18T20:15:00Z"/>
  <w16cex:commentExtensible w16cex:durableId="23D90346" w16cex:dateUtc="2021-02-18T20:16:00Z"/>
  <w16cex:commentExtensible w16cex:durableId="23D9038F" w16cex:dateUtc="2021-02-18T20:17:00Z"/>
  <w16cex:commentExtensible w16cex:durableId="23D903F9" w16cex:dateUtc="2021-02-18T20:19:00Z"/>
  <w16cex:commentExtensible w16cex:durableId="23D9043D" w16cex:dateUtc="2021-02-18T20:20:00Z"/>
  <w16cex:commentExtensible w16cex:durableId="23D904D2" w16cex:dateUtc="2021-02-18T20:22:00Z"/>
  <w16cex:commentExtensible w16cex:durableId="23D90545" w16cex:dateUtc="2021-02-18T20:24:00Z"/>
  <w16cex:commentExtensible w16cex:durableId="23D905E7" w16cex:dateUtc="2021-02-18T20:27:00Z"/>
  <w16cex:commentExtensible w16cex:durableId="23D90641" w16cex:dateUtc="2021-02-18T20:29:00Z"/>
  <w16cex:commentExtensible w16cex:durableId="23D906A9" w16cex:dateUtc="2021-02-18T20:30:00Z"/>
  <w16cex:commentExtensible w16cex:durableId="23D906BF" w16cex:dateUtc="2021-02-18T20:31:00Z"/>
  <w16cex:commentExtensible w16cex:durableId="23D9076E" w16cex:dateUtc="2021-02-18T20:34:00Z"/>
  <w16cex:commentExtensible w16cex:durableId="23D907A1" w16cex:dateUtc="2021-02-18T20:34:00Z"/>
  <w16cex:commentExtensible w16cex:durableId="23D9083A" w16cex:dateUtc="2021-02-18T20:37:00Z"/>
  <w16cex:commentExtensible w16cex:durableId="23D9085D" w16cex:dateUtc="2021-02-18T20:38:00Z"/>
  <w16cex:commentExtensible w16cex:durableId="23D908EA" w16cex:dateUtc="2021-02-18T20:40:00Z"/>
  <w16cex:commentExtensible w16cex:durableId="23D90957" w16cex:dateUtc="2021-02-18T20:42:00Z"/>
  <w16cex:commentExtensible w16cex:durableId="23D90A68" w16cex:dateUtc="2021-02-18T20:46:00Z"/>
  <w16cex:commentExtensible w16cex:durableId="23D90B1B" w16cex:dateUtc="2021-02-18T20:49:00Z"/>
  <w16cex:commentExtensible w16cex:durableId="23E7319B" w16cex:dateUtc="2021-03-01T14: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8D9CB" w14:textId="77777777" w:rsidR="00F27D4C" w:rsidRDefault="00F27D4C" w:rsidP="00E029E6">
      <w:pPr>
        <w:spacing w:line="240" w:lineRule="auto"/>
      </w:pPr>
      <w:r>
        <w:separator/>
      </w:r>
    </w:p>
  </w:endnote>
  <w:endnote w:type="continuationSeparator" w:id="0">
    <w:p w14:paraId="75E424D0" w14:textId="77777777" w:rsidR="00F27D4C" w:rsidRDefault="00F27D4C" w:rsidP="00E029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imesNR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657332"/>
      <w:docPartObj>
        <w:docPartGallery w:val="Page Numbers (Bottom of Page)"/>
        <w:docPartUnique/>
      </w:docPartObj>
    </w:sdtPr>
    <w:sdtEndPr>
      <w:rPr>
        <w:noProof/>
      </w:rPr>
    </w:sdtEndPr>
    <w:sdtContent>
      <w:p w14:paraId="23CE8F83" w14:textId="77777777" w:rsidR="003A00DA" w:rsidRDefault="003A00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64581A" w14:textId="77777777" w:rsidR="003A00DA" w:rsidRDefault="003A0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A2F83" w14:textId="77777777" w:rsidR="00F27D4C" w:rsidRDefault="00F27D4C" w:rsidP="00E029E6">
      <w:pPr>
        <w:spacing w:line="240" w:lineRule="auto"/>
      </w:pPr>
      <w:r>
        <w:separator/>
      </w:r>
    </w:p>
  </w:footnote>
  <w:footnote w:type="continuationSeparator" w:id="0">
    <w:p w14:paraId="036DF431" w14:textId="77777777" w:rsidR="00F27D4C" w:rsidRDefault="00F27D4C" w:rsidP="00E029E6">
      <w:pPr>
        <w:spacing w:line="240" w:lineRule="auto"/>
      </w:pPr>
      <w:r>
        <w:continuationSeparator/>
      </w:r>
    </w:p>
  </w:footnote>
  <w:footnote w:id="1">
    <w:p w14:paraId="023DF754" w14:textId="232F1EC6" w:rsidR="003A00DA" w:rsidRPr="00481013" w:rsidRDefault="003A00DA" w:rsidP="00F86D29">
      <w:pPr>
        <w:pStyle w:val="FootnoteText"/>
        <w:ind w:firstLine="0"/>
        <w:rPr>
          <w:rFonts w:ascii="Times New Roman" w:hAnsi="Times New Roman" w:cs="Times New Roman"/>
          <w:sz w:val="18"/>
          <w:szCs w:val="18"/>
        </w:rPr>
      </w:pPr>
      <w:r w:rsidRPr="00481013">
        <w:rPr>
          <w:rStyle w:val="FootnoteReference"/>
          <w:rFonts w:ascii="Times New Roman" w:hAnsi="Times New Roman" w:cs="Times New Roman"/>
        </w:rPr>
        <w:footnoteRef/>
      </w:r>
      <w:r w:rsidRPr="00481013">
        <w:rPr>
          <w:rFonts w:ascii="Times New Roman" w:hAnsi="Times New Roman" w:cs="Times New Roman"/>
        </w:rPr>
        <w:t xml:space="preserve"> </w:t>
      </w:r>
      <w:r w:rsidRPr="00481013">
        <w:rPr>
          <w:rFonts w:ascii="Times New Roman" w:hAnsi="Times New Roman" w:cs="Times New Roman"/>
          <w:sz w:val="18"/>
          <w:szCs w:val="18"/>
        </w:rPr>
        <w:t xml:space="preserve">A good review of the debate </w:t>
      </w:r>
      <w:r>
        <w:rPr>
          <w:rFonts w:ascii="Times New Roman" w:hAnsi="Times New Roman" w:cs="Times New Roman"/>
          <w:sz w:val="18"/>
          <w:szCs w:val="18"/>
        </w:rPr>
        <w:t xml:space="preserve">with </w:t>
      </w:r>
      <w:r w:rsidRPr="00481013">
        <w:rPr>
          <w:rFonts w:ascii="Times New Roman" w:hAnsi="Times New Roman" w:cs="Times New Roman"/>
          <w:sz w:val="18"/>
          <w:szCs w:val="18"/>
        </w:rPr>
        <w:t>presentation</w:t>
      </w:r>
      <w:r>
        <w:rPr>
          <w:rFonts w:ascii="Times New Roman" w:hAnsi="Times New Roman" w:cs="Times New Roman"/>
          <w:sz w:val="18"/>
          <w:szCs w:val="18"/>
        </w:rPr>
        <w:t>s</w:t>
      </w:r>
      <w:r w:rsidRPr="00481013">
        <w:rPr>
          <w:rFonts w:ascii="Times New Roman" w:hAnsi="Times New Roman" w:cs="Times New Roman"/>
          <w:sz w:val="18"/>
          <w:szCs w:val="18"/>
        </w:rPr>
        <w:t xml:space="preserve"> of the major moments and directions till the end of the 80s can be found in Wesley Salmon’s book </w:t>
      </w:r>
      <w:r w:rsidRPr="00481013">
        <w:rPr>
          <w:rFonts w:ascii="Times New Roman" w:hAnsi="Times New Roman" w:cs="Times New Roman"/>
          <w:i/>
          <w:sz w:val="18"/>
          <w:szCs w:val="18"/>
        </w:rPr>
        <w:t>Four Decades of Scientific Explanation (</w:t>
      </w:r>
      <w:r w:rsidRPr="00481013">
        <w:rPr>
          <w:rFonts w:ascii="Times New Roman" w:hAnsi="Times New Roman" w:cs="Times New Roman"/>
          <w:iCs/>
          <w:sz w:val="18"/>
          <w:szCs w:val="18"/>
        </w:rPr>
        <w:t>Salmon</w:t>
      </w:r>
      <w:r w:rsidRPr="00481013">
        <w:rPr>
          <w:rFonts w:ascii="Times New Roman" w:hAnsi="Times New Roman" w:cs="Times New Roman"/>
          <w:sz w:val="18"/>
          <w:szCs w:val="18"/>
        </w:rPr>
        <w:t xml:space="preserve"> 2006).</w:t>
      </w:r>
    </w:p>
  </w:footnote>
  <w:footnote w:id="2">
    <w:p w14:paraId="513C52E1" w14:textId="77777777" w:rsidR="003A00DA" w:rsidRPr="00481013" w:rsidRDefault="003A00DA" w:rsidP="00CD2E76">
      <w:pPr>
        <w:pStyle w:val="FootnoteText"/>
        <w:ind w:firstLine="0"/>
        <w:rPr>
          <w:rFonts w:ascii="Times New Roman" w:hAnsi="Times New Roman" w:cs="Times New Roman"/>
        </w:rPr>
      </w:pPr>
      <w:r w:rsidRPr="00481013">
        <w:rPr>
          <w:rStyle w:val="FootnoteReference"/>
          <w:rFonts w:ascii="Times New Roman" w:hAnsi="Times New Roman" w:cs="Times New Roman"/>
          <w:sz w:val="18"/>
          <w:szCs w:val="18"/>
        </w:rPr>
        <w:footnoteRef/>
      </w:r>
      <w:r w:rsidRPr="00481013">
        <w:rPr>
          <w:rFonts w:ascii="Times New Roman" w:hAnsi="Times New Roman" w:cs="Times New Roman"/>
          <w:sz w:val="18"/>
          <w:szCs w:val="18"/>
        </w:rPr>
        <w:t xml:space="preserve"> As does Friedman (1974) in his seminal paper</w:t>
      </w:r>
      <w:r w:rsidRPr="00481013">
        <w:rPr>
          <w:rFonts w:ascii="Times New Roman" w:hAnsi="Times New Roman" w:cs="Times New Roman"/>
        </w:rPr>
        <w:t>.</w:t>
      </w:r>
    </w:p>
  </w:footnote>
  <w:footnote w:id="3">
    <w:p w14:paraId="33B1885C" w14:textId="21E28D35" w:rsidR="003A00DA" w:rsidRPr="00481013" w:rsidRDefault="003A00DA" w:rsidP="000A37E3">
      <w:pPr>
        <w:pStyle w:val="FootnoteText"/>
        <w:ind w:firstLine="0"/>
        <w:rPr>
          <w:rFonts w:ascii="Times New Roman" w:hAnsi="Times New Roman" w:cs="Times New Roman"/>
        </w:rPr>
      </w:pPr>
      <w:r w:rsidRPr="00E600A0">
        <w:rPr>
          <w:rStyle w:val="FootnoteReference"/>
          <w:rFonts w:ascii="Times New Roman" w:hAnsi="Times New Roman" w:cs="Times New Roman"/>
          <w:sz w:val="18"/>
          <w:szCs w:val="18"/>
        </w:rPr>
        <w:footnoteRef/>
      </w:r>
      <w:r w:rsidRPr="00E600A0">
        <w:rPr>
          <w:rFonts w:ascii="Times New Roman" w:hAnsi="Times New Roman" w:cs="Times New Roman"/>
          <w:sz w:val="18"/>
          <w:szCs w:val="18"/>
        </w:rPr>
        <w:t xml:space="preserve"> I call it reductive in trying to capture the intention of the authors to closely connect </w:t>
      </w:r>
      <w:r>
        <w:rPr>
          <w:rFonts w:ascii="Times New Roman" w:hAnsi="Times New Roman" w:cs="Times New Roman"/>
          <w:sz w:val="18"/>
          <w:szCs w:val="18"/>
        </w:rPr>
        <w:t xml:space="preserve">and reduce </w:t>
      </w:r>
      <w:r w:rsidRPr="00E600A0">
        <w:rPr>
          <w:rFonts w:ascii="Times New Roman" w:hAnsi="Times New Roman" w:cs="Times New Roman"/>
          <w:sz w:val="18"/>
          <w:szCs w:val="18"/>
        </w:rPr>
        <w:t>its inquiry to the one of explanation and its</w:t>
      </w:r>
      <w:r w:rsidRPr="00481013">
        <w:rPr>
          <w:rFonts w:ascii="Times New Roman" w:hAnsi="Times New Roman" w:cs="Times New Roman"/>
          <w:sz w:val="18"/>
          <w:szCs w:val="18"/>
        </w:rPr>
        <w:t xml:space="preserve"> </w:t>
      </w:r>
      <w:r>
        <w:rPr>
          <w:rFonts w:ascii="Times New Roman" w:hAnsi="Times New Roman" w:cs="Times New Roman"/>
          <w:sz w:val="18"/>
          <w:szCs w:val="18"/>
        </w:rPr>
        <w:t xml:space="preserve">associated </w:t>
      </w:r>
      <w:r w:rsidRPr="00481013">
        <w:rPr>
          <w:rFonts w:ascii="Times New Roman" w:hAnsi="Times New Roman" w:cs="Times New Roman"/>
          <w:sz w:val="18"/>
          <w:szCs w:val="18"/>
        </w:rPr>
        <w:t>epistemology.</w:t>
      </w:r>
    </w:p>
  </w:footnote>
  <w:footnote w:id="4">
    <w:p w14:paraId="3CC9092A" w14:textId="77777777" w:rsidR="003A00DA" w:rsidRPr="00E600A0" w:rsidRDefault="003A00DA" w:rsidP="000A37E3">
      <w:pPr>
        <w:pStyle w:val="FootnoteText"/>
        <w:ind w:firstLine="0"/>
        <w:rPr>
          <w:rFonts w:ascii="Times New Roman" w:hAnsi="Times New Roman" w:cs="Times New Roman"/>
          <w:sz w:val="18"/>
          <w:szCs w:val="18"/>
        </w:rPr>
      </w:pPr>
      <w:r w:rsidRPr="00E600A0">
        <w:rPr>
          <w:rStyle w:val="FootnoteReference"/>
          <w:rFonts w:ascii="Times New Roman" w:hAnsi="Times New Roman" w:cs="Times New Roman"/>
          <w:sz w:val="18"/>
          <w:szCs w:val="18"/>
        </w:rPr>
        <w:footnoteRef/>
      </w:r>
      <w:r w:rsidRPr="00E600A0">
        <w:rPr>
          <w:rFonts w:ascii="Times New Roman" w:hAnsi="Times New Roman" w:cs="Times New Roman"/>
          <w:sz w:val="18"/>
          <w:szCs w:val="18"/>
        </w:rPr>
        <w:t xml:space="preserve"> </w:t>
      </w:r>
      <w:bookmarkStart w:id="1" w:name="_Hlk64720937"/>
      <w:r w:rsidRPr="00E600A0">
        <w:rPr>
          <w:rFonts w:ascii="Times New Roman" w:hAnsi="Times New Roman" w:cs="Times New Roman"/>
          <w:sz w:val="18"/>
          <w:szCs w:val="18"/>
        </w:rPr>
        <w:t>Friedman’s view could be called the ‘original’ or ‘classical’ attitude to understanding</w:t>
      </w:r>
      <w:bookmarkEnd w:id="1"/>
      <w:r w:rsidRPr="00E600A0">
        <w:rPr>
          <w:rFonts w:ascii="Times New Roman" w:hAnsi="Times New Roman" w:cs="Times New Roman"/>
          <w:sz w:val="18"/>
          <w:szCs w:val="18"/>
        </w:rPr>
        <w:t>.</w:t>
      </w:r>
    </w:p>
  </w:footnote>
  <w:footnote w:id="5">
    <w:p w14:paraId="42E66DBE" w14:textId="77777777" w:rsidR="003A00DA" w:rsidRPr="00481013" w:rsidRDefault="003A00DA" w:rsidP="00DA5F7E">
      <w:pPr>
        <w:pStyle w:val="FootnoteText"/>
        <w:ind w:firstLine="0"/>
        <w:rPr>
          <w:rFonts w:ascii="Times New Roman" w:hAnsi="Times New Roman" w:cs="Times New Roman"/>
        </w:rPr>
      </w:pPr>
      <w:r w:rsidRPr="00481013">
        <w:rPr>
          <w:rStyle w:val="FootnoteReference"/>
          <w:rFonts w:ascii="Times New Roman" w:hAnsi="Times New Roman" w:cs="Times New Roman"/>
        </w:rPr>
        <w:footnoteRef/>
      </w:r>
      <w:r w:rsidRPr="00481013">
        <w:rPr>
          <w:rFonts w:ascii="Times New Roman" w:hAnsi="Times New Roman" w:cs="Times New Roman"/>
        </w:rPr>
        <w:t xml:space="preserve"> </w:t>
      </w:r>
      <w:r w:rsidRPr="00481013">
        <w:rPr>
          <w:rFonts w:ascii="Times New Roman" w:hAnsi="Times New Roman" w:cs="Times New Roman"/>
          <w:sz w:val="18"/>
          <w:szCs w:val="18"/>
        </w:rPr>
        <w:t>I will discuss in more detail his argumentation in the next section</w:t>
      </w:r>
      <w:r w:rsidRPr="00481013">
        <w:rPr>
          <w:rFonts w:ascii="Times New Roman" w:hAnsi="Times New Roman" w:cs="Times New Roman"/>
          <w:i/>
          <w:iCs/>
        </w:rPr>
        <w:t xml:space="preserve">. </w:t>
      </w:r>
    </w:p>
  </w:footnote>
  <w:footnote w:id="6">
    <w:p w14:paraId="0E8E7B11" w14:textId="38A14757" w:rsidR="003A00DA" w:rsidRPr="00D24A27" w:rsidRDefault="003A00DA" w:rsidP="002E1AEA">
      <w:pPr>
        <w:autoSpaceDE w:val="0"/>
        <w:autoSpaceDN w:val="0"/>
        <w:adjustRightInd w:val="0"/>
        <w:spacing w:line="240" w:lineRule="auto"/>
        <w:ind w:firstLine="0"/>
        <w:rPr>
          <w:rFonts w:ascii="Times New Roman" w:hAnsi="Times New Roman" w:cs="Times New Roman"/>
          <w:sz w:val="18"/>
          <w:szCs w:val="18"/>
        </w:rPr>
      </w:pPr>
      <w:r>
        <w:rPr>
          <w:rStyle w:val="FootnoteReference"/>
        </w:rPr>
        <w:footnoteRef/>
      </w:r>
      <w:r>
        <w:t xml:space="preserve"> </w:t>
      </w:r>
      <w:r w:rsidRPr="00D24A27">
        <w:rPr>
          <w:rFonts w:ascii="Times New Roman" w:hAnsi="Times New Roman" w:cs="Times New Roman"/>
          <w:sz w:val="18"/>
          <w:szCs w:val="18"/>
        </w:rPr>
        <w:t>For the explanationists ‘</w:t>
      </w:r>
      <w:r w:rsidRPr="00D24A27">
        <w:rPr>
          <w:rFonts w:ascii="Times New Roman" w:hAnsi="Times New Roman" w:cs="Times New Roman"/>
          <w:color w:val="131413"/>
          <w:sz w:val="18"/>
          <w:szCs w:val="18"/>
        </w:rPr>
        <w:t>understanding in essence involves knowledge of correct explanations” meanwhile for manipul</w:t>
      </w:r>
      <w:r>
        <w:rPr>
          <w:rFonts w:ascii="Times New Roman" w:hAnsi="Times New Roman" w:cs="Times New Roman"/>
          <w:color w:val="131413"/>
          <w:sz w:val="18"/>
          <w:szCs w:val="18"/>
        </w:rPr>
        <w:t>a</w:t>
      </w:r>
      <w:r w:rsidRPr="00D24A27">
        <w:rPr>
          <w:rFonts w:ascii="Times New Roman" w:hAnsi="Times New Roman" w:cs="Times New Roman"/>
          <w:color w:val="131413"/>
          <w:sz w:val="18"/>
          <w:szCs w:val="18"/>
        </w:rPr>
        <w:t>tionists “understanding involves a specific kind of ability on the part of the cognitive agent, roughly, an ability to perform manipulations of representations of the phenomena understood.”(Kelp 2015: 3800)</w:t>
      </w:r>
    </w:p>
  </w:footnote>
  <w:footnote w:id="7">
    <w:p w14:paraId="0B13F240" w14:textId="77777777" w:rsidR="003A00DA" w:rsidRPr="002E1AEA" w:rsidRDefault="003A00DA" w:rsidP="002E1AEA">
      <w:pPr>
        <w:pStyle w:val="FootnoteText"/>
        <w:ind w:firstLine="0"/>
        <w:rPr>
          <w:rFonts w:ascii="Times New Roman" w:hAnsi="Times New Roman" w:cs="Times New Roman"/>
          <w:sz w:val="18"/>
          <w:szCs w:val="18"/>
        </w:rPr>
      </w:pPr>
      <w:r w:rsidRPr="002E1AEA">
        <w:rPr>
          <w:rStyle w:val="FootnoteReference"/>
          <w:rFonts w:ascii="Times New Roman" w:hAnsi="Times New Roman" w:cs="Times New Roman"/>
          <w:sz w:val="18"/>
          <w:szCs w:val="18"/>
        </w:rPr>
        <w:footnoteRef/>
      </w:r>
      <w:r w:rsidRPr="002E1AEA">
        <w:rPr>
          <w:rFonts w:ascii="Times New Roman" w:hAnsi="Times New Roman" w:cs="Times New Roman"/>
          <w:sz w:val="18"/>
          <w:szCs w:val="18"/>
        </w:rPr>
        <w:t xml:space="preserve"> Kelp identifies the main drawback of Wilkenfeld’s theory in the use of a too ‘inclusive’ notion of representation.</w:t>
      </w:r>
    </w:p>
  </w:footnote>
  <w:footnote w:id="8">
    <w:p w14:paraId="79D2A339" w14:textId="77777777" w:rsidR="003A00DA" w:rsidRDefault="003A00DA" w:rsidP="006A2575">
      <w:pPr>
        <w:pStyle w:val="FootnoteText"/>
        <w:ind w:firstLine="0"/>
      </w:pPr>
      <w:r>
        <w:rPr>
          <w:rStyle w:val="FootnoteReference"/>
        </w:rPr>
        <w:footnoteRef/>
      </w:r>
      <w:r>
        <w:t xml:space="preserve"> </w:t>
      </w:r>
      <w:r w:rsidRPr="00FB466E">
        <w:rPr>
          <w:rFonts w:ascii="Times New Roman" w:hAnsi="Times New Roman" w:cs="Times New Roman"/>
          <w:sz w:val="18"/>
          <w:szCs w:val="18"/>
        </w:rPr>
        <w:t xml:space="preserve">One might suspect that the ‘successful performance’ is related to the manipulation of representations of P, but Kelp does not </w:t>
      </w:r>
      <w:r>
        <w:rPr>
          <w:rFonts w:ascii="Times New Roman" w:hAnsi="Times New Roman" w:cs="Times New Roman"/>
          <w:sz w:val="18"/>
          <w:szCs w:val="18"/>
        </w:rPr>
        <w:t>endorse</w:t>
      </w:r>
      <w:r w:rsidRPr="00FB466E">
        <w:rPr>
          <w:rFonts w:ascii="Times New Roman" w:hAnsi="Times New Roman" w:cs="Times New Roman"/>
          <w:sz w:val="18"/>
          <w:szCs w:val="18"/>
        </w:rPr>
        <w:t xml:space="preserve"> this interpretation.</w:t>
      </w:r>
    </w:p>
  </w:footnote>
  <w:footnote w:id="9">
    <w:p w14:paraId="1738FE5E" w14:textId="77777777" w:rsidR="003A00DA" w:rsidRPr="00481013" w:rsidRDefault="003A00DA" w:rsidP="00FD47FC">
      <w:pPr>
        <w:autoSpaceDE w:val="0"/>
        <w:autoSpaceDN w:val="0"/>
        <w:adjustRightInd w:val="0"/>
        <w:spacing w:line="240" w:lineRule="auto"/>
        <w:ind w:firstLine="0"/>
        <w:jc w:val="left"/>
        <w:rPr>
          <w:rFonts w:ascii="Times New Roman" w:hAnsi="Times New Roman" w:cs="Times New Roman"/>
        </w:rPr>
      </w:pPr>
      <w:r w:rsidRPr="00481013">
        <w:rPr>
          <w:rStyle w:val="FootnoteReference"/>
          <w:rFonts w:ascii="Times New Roman" w:hAnsi="Times New Roman" w:cs="Times New Roman"/>
        </w:rPr>
        <w:footnoteRef/>
      </w:r>
      <w:r w:rsidRPr="00481013">
        <w:rPr>
          <w:rFonts w:ascii="Times New Roman" w:hAnsi="Times New Roman" w:cs="Times New Roman"/>
        </w:rPr>
        <w:t xml:space="preserve"> </w:t>
      </w:r>
      <w:r w:rsidRPr="00481013">
        <w:rPr>
          <w:rFonts w:ascii="Times New Roman" w:hAnsi="Times New Roman" w:cs="Times New Roman"/>
          <w:sz w:val="18"/>
          <w:szCs w:val="18"/>
        </w:rPr>
        <w:t xml:space="preserve">Where greater is rendered in a general form in the SET thesis as “the understanding of p provided by w being a proper subset of the understanding of p provided by knowing that e” and in the particular case of the possible explanations is quantified through the number of answers to the w-questions i.e. what-if- things-would-have-been-different’ questions that an explanation is supposed to provide.  </w:t>
      </w:r>
    </w:p>
  </w:footnote>
  <w:footnote w:id="10">
    <w:p w14:paraId="2BFF7344" w14:textId="77777777" w:rsidR="003A00DA" w:rsidRPr="00481013" w:rsidRDefault="003A00DA" w:rsidP="000303F9">
      <w:pPr>
        <w:pStyle w:val="FootnoteText"/>
        <w:ind w:firstLine="0"/>
        <w:rPr>
          <w:rFonts w:ascii="Times New Roman" w:hAnsi="Times New Roman" w:cs="Times New Roman"/>
          <w:sz w:val="18"/>
          <w:szCs w:val="18"/>
        </w:rPr>
      </w:pPr>
      <w:r w:rsidRPr="00481013">
        <w:rPr>
          <w:rStyle w:val="FootnoteReference"/>
          <w:rFonts w:ascii="Times New Roman" w:hAnsi="Times New Roman" w:cs="Times New Roman"/>
          <w:sz w:val="18"/>
          <w:szCs w:val="18"/>
        </w:rPr>
        <w:footnoteRef/>
      </w:r>
      <w:r w:rsidRPr="00481013">
        <w:rPr>
          <w:rFonts w:ascii="Times New Roman" w:hAnsi="Times New Roman" w:cs="Times New Roman"/>
          <w:sz w:val="18"/>
          <w:szCs w:val="18"/>
        </w:rPr>
        <w:t xml:space="preserve"> my emphasis.</w:t>
      </w:r>
    </w:p>
  </w:footnote>
  <w:footnote w:id="11">
    <w:p w14:paraId="689F75D9" w14:textId="77777777" w:rsidR="003A00DA" w:rsidRDefault="003A00DA" w:rsidP="00DA14C8">
      <w:pPr>
        <w:autoSpaceDE w:val="0"/>
        <w:autoSpaceDN w:val="0"/>
        <w:adjustRightInd w:val="0"/>
        <w:spacing w:line="240" w:lineRule="auto"/>
        <w:ind w:firstLine="0"/>
      </w:pPr>
      <w:r>
        <w:rPr>
          <w:rStyle w:val="FootnoteReference"/>
        </w:rPr>
        <w:footnoteRef/>
      </w:r>
      <w:r>
        <w:t xml:space="preserve"> </w:t>
      </w:r>
      <w:r>
        <w:rPr>
          <w:rFonts w:ascii="Times New Roman" w:hAnsi="Times New Roman" w:cs="Times New Roman"/>
          <w:sz w:val="18"/>
          <w:szCs w:val="18"/>
        </w:rPr>
        <w:t xml:space="preserve">In this case we get knowledge of necessity </w:t>
      </w:r>
      <w:r w:rsidRPr="000F0DBB">
        <w:rPr>
          <w:rFonts w:ascii="Times New Roman" w:hAnsi="Times New Roman" w:cs="Times New Roman"/>
          <w:sz w:val="18"/>
          <w:szCs w:val="18"/>
        </w:rPr>
        <w:t>“by revealing fail-safe overdetermination</w:t>
      </w:r>
      <w:r>
        <w:rPr>
          <w:rFonts w:ascii="Times New Roman" w:hAnsi="Times New Roman" w:cs="Times New Roman"/>
          <w:sz w:val="18"/>
          <w:szCs w:val="18"/>
        </w:rPr>
        <w:t>”. In Lipton’s wording: “</w:t>
      </w:r>
      <w:r w:rsidRPr="000F0DBB">
        <w:rPr>
          <w:rFonts w:ascii="Times New Roman" w:hAnsi="Times New Roman" w:cs="Times New Roman"/>
          <w:sz w:val="18"/>
          <w:szCs w:val="18"/>
        </w:rPr>
        <w:t>if the merely possible mechanism is such that it would have been actual, had the actual mechanism not been in</w:t>
      </w:r>
      <w:r>
        <w:rPr>
          <w:rFonts w:ascii="Times New Roman" w:hAnsi="Times New Roman" w:cs="Times New Roman"/>
          <w:sz w:val="18"/>
          <w:szCs w:val="18"/>
        </w:rPr>
        <w:t xml:space="preserve"> </w:t>
      </w:r>
      <w:r w:rsidRPr="000F0DBB">
        <w:rPr>
          <w:rFonts w:ascii="Times New Roman" w:hAnsi="Times New Roman" w:cs="Times New Roman"/>
          <w:sz w:val="18"/>
          <w:szCs w:val="18"/>
        </w:rPr>
        <w:t>operation, then showing how the phenomenon would have been produced by the alternative mechanism may help to show that the phenomenon had to occur, one way or another. Even though we already know how the phenomenon actually</w:t>
      </w:r>
      <w:r>
        <w:rPr>
          <w:rFonts w:ascii="Times New Roman" w:hAnsi="Times New Roman" w:cs="Times New Roman"/>
          <w:sz w:val="18"/>
          <w:szCs w:val="18"/>
        </w:rPr>
        <w:t xml:space="preserve"> </w:t>
      </w:r>
      <w:r w:rsidRPr="000F0DBB">
        <w:rPr>
          <w:rFonts w:ascii="Times New Roman" w:hAnsi="Times New Roman" w:cs="Times New Roman"/>
          <w:sz w:val="18"/>
          <w:szCs w:val="18"/>
        </w:rPr>
        <w:t>came about, the merely possible explanation thus improves our understanding.”</w:t>
      </w:r>
      <w:r>
        <w:t xml:space="preserve"> </w:t>
      </w:r>
      <w:r w:rsidRPr="000F0DBB">
        <w:rPr>
          <w:rFonts w:ascii="Times New Roman" w:hAnsi="Times New Roman" w:cs="Times New Roman"/>
          <w:sz w:val="18"/>
          <w:szCs w:val="18"/>
        </w:rPr>
        <w:t>(Lipton 2009: 51)</w:t>
      </w:r>
    </w:p>
  </w:footnote>
  <w:footnote w:id="12">
    <w:p w14:paraId="72CEE72F" w14:textId="77777777" w:rsidR="003A00DA" w:rsidRPr="00481013" w:rsidRDefault="003A00DA" w:rsidP="00671A7F">
      <w:pPr>
        <w:pStyle w:val="FootnoteText"/>
        <w:ind w:firstLine="0"/>
        <w:rPr>
          <w:rFonts w:ascii="Times New Roman" w:hAnsi="Times New Roman" w:cs="Times New Roman"/>
        </w:rPr>
      </w:pPr>
      <w:r w:rsidRPr="00481013">
        <w:rPr>
          <w:rStyle w:val="FootnoteReference"/>
          <w:rFonts w:ascii="Times New Roman" w:hAnsi="Times New Roman" w:cs="Times New Roman"/>
        </w:rPr>
        <w:footnoteRef/>
      </w:r>
      <w:r w:rsidRPr="00481013">
        <w:rPr>
          <w:rFonts w:ascii="Times New Roman" w:hAnsi="Times New Roman" w:cs="Times New Roman"/>
        </w:rPr>
        <w:t xml:space="preserve"> </w:t>
      </w:r>
      <w:r w:rsidRPr="00080FBE">
        <w:rPr>
          <w:rFonts w:ascii="Times New Roman" w:hAnsi="Times New Roman" w:cs="Times New Roman"/>
          <w:sz w:val="18"/>
          <w:szCs w:val="18"/>
        </w:rPr>
        <w:t>the philosophy of science in practice approach which became bolder in the last 20 year as best exemplified by the increasing influence of the SPSP (Society of Philosophy of Science in Practice).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73853"/>
    <w:multiLevelType w:val="hybridMultilevel"/>
    <w:tmpl w:val="2BDE52DA"/>
    <w:lvl w:ilvl="0" w:tplc="A07069F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B71909"/>
    <w:multiLevelType w:val="hybridMultilevel"/>
    <w:tmpl w:val="65E6A9C6"/>
    <w:lvl w:ilvl="0" w:tplc="4E80EC8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F1B46CA"/>
    <w:multiLevelType w:val="hybridMultilevel"/>
    <w:tmpl w:val="8BEC6C06"/>
    <w:lvl w:ilvl="0" w:tplc="44DE46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BA"/>
    <w:rsid w:val="0000073E"/>
    <w:rsid w:val="000021F9"/>
    <w:rsid w:val="00002224"/>
    <w:rsid w:val="00006D0D"/>
    <w:rsid w:val="00007473"/>
    <w:rsid w:val="000149FD"/>
    <w:rsid w:val="00016B64"/>
    <w:rsid w:val="00020E04"/>
    <w:rsid w:val="000222ED"/>
    <w:rsid w:val="00023F5A"/>
    <w:rsid w:val="00025AA6"/>
    <w:rsid w:val="00026188"/>
    <w:rsid w:val="0002639B"/>
    <w:rsid w:val="000303F9"/>
    <w:rsid w:val="00031073"/>
    <w:rsid w:val="000325EE"/>
    <w:rsid w:val="00032854"/>
    <w:rsid w:val="00037A77"/>
    <w:rsid w:val="00040D22"/>
    <w:rsid w:val="00045E8F"/>
    <w:rsid w:val="0005248D"/>
    <w:rsid w:val="00056DA8"/>
    <w:rsid w:val="0005713E"/>
    <w:rsid w:val="00063567"/>
    <w:rsid w:val="00065374"/>
    <w:rsid w:val="00066F2C"/>
    <w:rsid w:val="00066FAC"/>
    <w:rsid w:val="000675A1"/>
    <w:rsid w:val="00067D55"/>
    <w:rsid w:val="00071F55"/>
    <w:rsid w:val="00073984"/>
    <w:rsid w:val="00074357"/>
    <w:rsid w:val="00080D67"/>
    <w:rsid w:val="00080FBE"/>
    <w:rsid w:val="00085BA0"/>
    <w:rsid w:val="00086A21"/>
    <w:rsid w:val="000929D5"/>
    <w:rsid w:val="00092F1F"/>
    <w:rsid w:val="00094DB6"/>
    <w:rsid w:val="00095B19"/>
    <w:rsid w:val="000A1540"/>
    <w:rsid w:val="000A28E1"/>
    <w:rsid w:val="000A37E3"/>
    <w:rsid w:val="000A691D"/>
    <w:rsid w:val="000A70A6"/>
    <w:rsid w:val="000B0AA4"/>
    <w:rsid w:val="000B27AA"/>
    <w:rsid w:val="000B353D"/>
    <w:rsid w:val="000B38AB"/>
    <w:rsid w:val="000B4C33"/>
    <w:rsid w:val="000B50E0"/>
    <w:rsid w:val="000B6B82"/>
    <w:rsid w:val="000B7600"/>
    <w:rsid w:val="000C3161"/>
    <w:rsid w:val="000D0980"/>
    <w:rsid w:val="000D192C"/>
    <w:rsid w:val="000D5772"/>
    <w:rsid w:val="000D76B6"/>
    <w:rsid w:val="000E2B3C"/>
    <w:rsid w:val="000E2FC2"/>
    <w:rsid w:val="000E4604"/>
    <w:rsid w:val="000E572A"/>
    <w:rsid w:val="000E6585"/>
    <w:rsid w:val="000E6924"/>
    <w:rsid w:val="000E76DF"/>
    <w:rsid w:val="000F00B7"/>
    <w:rsid w:val="000F0C54"/>
    <w:rsid w:val="000F0DBB"/>
    <w:rsid w:val="000F15F0"/>
    <w:rsid w:val="000F33D2"/>
    <w:rsid w:val="000F4C6E"/>
    <w:rsid w:val="00100ECA"/>
    <w:rsid w:val="001017D4"/>
    <w:rsid w:val="00102692"/>
    <w:rsid w:val="0010457E"/>
    <w:rsid w:val="00106A14"/>
    <w:rsid w:val="00106A25"/>
    <w:rsid w:val="00107267"/>
    <w:rsid w:val="00112E5B"/>
    <w:rsid w:val="00120D65"/>
    <w:rsid w:val="00121881"/>
    <w:rsid w:val="001225ED"/>
    <w:rsid w:val="00122C6D"/>
    <w:rsid w:val="00122F75"/>
    <w:rsid w:val="0012302A"/>
    <w:rsid w:val="00125078"/>
    <w:rsid w:val="0013038D"/>
    <w:rsid w:val="00130E31"/>
    <w:rsid w:val="00133297"/>
    <w:rsid w:val="00134AD9"/>
    <w:rsid w:val="00134CE4"/>
    <w:rsid w:val="001367E3"/>
    <w:rsid w:val="00140A4F"/>
    <w:rsid w:val="00141280"/>
    <w:rsid w:val="00141B2C"/>
    <w:rsid w:val="0014465F"/>
    <w:rsid w:val="0014509B"/>
    <w:rsid w:val="00145A7A"/>
    <w:rsid w:val="00150B54"/>
    <w:rsid w:val="00151329"/>
    <w:rsid w:val="00151E50"/>
    <w:rsid w:val="00152CA7"/>
    <w:rsid w:val="00155799"/>
    <w:rsid w:val="001625E3"/>
    <w:rsid w:val="00163254"/>
    <w:rsid w:val="001656A8"/>
    <w:rsid w:val="00167D1B"/>
    <w:rsid w:val="00170C0E"/>
    <w:rsid w:val="0017124B"/>
    <w:rsid w:val="00173C28"/>
    <w:rsid w:val="00174018"/>
    <w:rsid w:val="00174349"/>
    <w:rsid w:val="00182B79"/>
    <w:rsid w:val="00186A64"/>
    <w:rsid w:val="00186D15"/>
    <w:rsid w:val="001927C0"/>
    <w:rsid w:val="001931E7"/>
    <w:rsid w:val="0019797A"/>
    <w:rsid w:val="001A5E1A"/>
    <w:rsid w:val="001B5B6B"/>
    <w:rsid w:val="001C0F1A"/>
    <w:rsid w:val="001C25D7"/>
    <w:rsid w:val="001D03A2"/>
    <w:rsid w:val="001D1338"/>
    <w:rsid w:val="001D1615"/>
    <w:rsid w:val="001D2A80"/>
    <w:rsid w:val="001E27D9"/>
    <w:rsid w:val="001E337B"/>
    <w:rsid w:val="001F18B4"/>
    <w:rsid w:val="001F2DF9"/>
    <w:rsid w:val="001F3468"/>
    <w:rsid w:val="001F60DB"/>
    <w:rsid w:val="001F69A2"/>
    <w:rsid w:val="001F7811"/>
    <w:rsid w:val="002070B0"/>
    <w:rsid w:val="00207826"/>
    <w:rsid w:val="002155A7"/>
    <w:rsid w:val="002155EB"/>
    <w:rsid w:val="0022091C"/>
    <w:rsid w:val="0022126A"/>
    <w:rsid w:val="00226313"/>
    <w:rsid w:val="0022754C"/>
    <w:rsid w:val="00230F9A"/>
    <w:rsid w:val="00234D6C"/>
    <w:rsid w:val="00236163"/>
    <w:rsid w:val="002377ED"/>
    <w:rsid w:val="00241A0A"/>
    <w:rsid w:val="00241BEE"/>
    <w:rsid w:val="00244B45"/>
    <w:rsid w:val="00261298"/>
    <w:rsid w:val="00263F1F"/>
    <w:rsid w:val="00271F52"/>
    <w:rsid w:val="0027241A"/>
    <w:rsid w:val="00273DEB"/>
    <w:rsid w:val="00274026"/>
    <w:rsid w:val="0027741D"/>
    <w:rsid w:val="00277474"/>
    <w:rsid w:val="0027764B"/>
    <w:rsid w:val="00280431"/>
    <w:rsid w:val="002819BD"/>
    <w:rsid w:val="00284FD8"/>
    <w:rsid w:val="00286506"/>
    <w:rsid w:val="00286DC3"/>
    <w:rsid w:val="00287E62"/>
    <w:rsid w:val="002910EA"/>
    <w:rsid w:val="00291960"/>
    <w:rsid w:val="00291BBE"/>
    <w:rsid w:val="00292D10"/>
    <w:rsid w:val="002937E3"/>
    <w:rsid w:val="00294014"/>
    <w:rsid w:val="002951A7"/>
    <w:rsid w:val="00296288"/>
    <w:rsid w:val="002A0EEE"/>
    <w:rsid w:val="002A1381"/>
    <w:rsid w:val="002A392A"/>
    <w:rsid w:val="002A4A31"/>
    <w:rsid w:val="002A7527"/>
    <w:rsid w:val="002B2CF7"/>
    <w:rsid w:val="002B3B1B"/>
    <w:rsid w:val="002B732E"/>
    <w:rsid w:val="002C2615"/>
    <w:rsid w:val="002C4ECC"/>
    <w:rsid w:val="002D40F3"/>
    <w:rsid w:val="002E03AD"/>
    <w:rsid w:val="002E0EE9"/>
    <w:rsid w:val="002E1AEA"/>
    <w:rsid w:val="002E319D"/>
    <w:rsid w:val="002E75F0"/>
    <w:rsid w:val="002E7AE6"/>
    <w:rsid w:val="002F2547"/>
    <w:rsid w:val="002F27C7"/>
    <w:rsid w:val="002F27F7"/>
    <w:rsid w:val="002F2D1B"/>
    <w:rsid w:val="002F5350"/>
    <w:rsid w:val="002F6D53"/>
    <w:rsid w:val="002F7E8D"/>
    <w:rsid w:val="00300559"/>
    <w:rsid w:val="00301F06"/>
    <w:rsid w:val="00306704"/>
    <w:rsid w:val="003104D0"/>
    <w:rsid w:val="003144BB"/>
    <w:rsid w:val="00314802"/>
    <w:rsid w:val="00320D7D"/>
    <w:rsid w:val="00323195"/>
    <w:rsid w:val="00326C3E"/>
    <w:rsid w:val="003279B2"/>
    <w:rsid w:val="0033185C"/>
    <w:rsid w:val="00333DAA"/>
    <w:rsid w:val="00336072"/>
    <w:rsid w:val="003409F8"/>
    <w:rsid w:val="00343423"/>
    <w:rsid w:val="00343767"/>
    <w:rsid w:val="00346B81"/>
    <w:rsid w:val="00347BEE"/>
    <w:rsid w:val="00350A5E"/>
    <w:rsid w:val="00356727"/>
    <w:rsid w:val="003575B1"/>
    <w:rsid w:val="0035768E"/>
    <w:rsid w:val="003626F7"/>
    <w:rsid w:val="00363054"/>
    <w:rsid w:val="00365536"/>
    <w:rsid w:val="003655D5"/>
    <w:rsid w:val="003668ED"/>
    <w:rsid w:val="00370129"/>
    <w:rsid w:val="003718CE"/>
    <w:rsid w:val="003722E1"/>
    <w:rsid w:val="00375309"/>
    <w:rsid w:val="003832D3"/>
    <w:rsid w:val="00394B0C"/>
    <w:rsid w:val="00395B97"/>
    <w:rsid w:val="00396623"/>
    <w:rsid w:val="00396E97"/>
    <w:rsid w:val="003A00DA"/>
    <w:rsid w:val="003A175F"/>
    <w:rsid w:val="003A1F8C"/>
    <w:rsid w:val="003A2D9D"/>
    <w:rsid w:val="003B19F4"/>
    <w:rsid w:val="003B63D6"/>
    <w:rsid w:val="003B75B6"/>
    <w:rsid w:val="003C0EF0"/>
    <w:rsid w:val="003C13A2"/>
    <w:rsid w:val="003C150A"/>
    <w:rsid w:val="003C1B5B"/>
    <w:rsid w:val="003C2A45"/>
    <w:rsid w:val="003C3420"/>
    <w:rsid w:val="003C416B"/>
    <w:rsid w:val="003C4665"/>
    <w:rsid w:val="003D1CA9"/>
    <w:rsid w:val="003D3B95"/>
    <w:rsid w:val="003D5939"/>
    <w:rsid w:val="003D6763"/>
    <w:rsid w:val="003E3F96"/>
    <w:rsid w:val="003E6A80"/>
    <w:rsid w:val="003E6D8D"/>
    <w:rsid w:val="003F3CFD"/>
    <w:rsid w:val="003F571F"/>
    <w:rsid w:val="003F5BE2"/>
    <w:rsid w:val="00400127"/>
    <w:rsid w:val="00401EA8"/>
    <w:rsid w:val="004029E9"/>
    <w:rsid w:val="00404261"/>
    <w:rsid w:val="004045B5"/>
    <w:rsid w:val="004102A6"/>
    <w:rsid w:val="00410E90"/>
    <w:rsid w:val="00411EA2"/>
    <w:rsid w:val="00413FC4"/>
    <w:rsid w:val="00414403"/>
    <w:rsid w:val="004161E7"/>
    <w:rsid w:val="00423577"/>
    <w:rsid w:val="00427293"/>
    <w:rsid w:val="00432156"/>
    <w:rsid w:val="0043456A"/>
    <w:rsid w:val="0043553F"/>
    <w:rsid w:val="00437B87"/>
    <w:rsid w:val="004437FC"/>
    <w:rsid w:val="004455D2"/>
    <w:rsid w:val="004468B5"/>
    <w:rsid w:val="00447D19"/>
    <w:rsid w:val="00453B62"/>
    <w:rsid w:val="0045472C"/>
    <w:rsid w:val="00455FDB"/>
    <w:rsid w:val="00457276"/>
    <w:rsid w:val="004607B8"/>
    <w:rsid w:val="00460A77"/>
    <w:rsid w:val="0046197E"/>
    <w:rsid w:val="0046271E"/>
    <w:rsid w:val="004647CB"/>
    <w:rsid w:val="00466AAE"/>
    <w:rsid w:val="004675ED"/>
    <w:rsid w:val="00470F52"/>
    <w:rsid w:val="00472D00"/>
    <w:rsid w:val="00473554"/>
    <w:rsid w:val="00474D61"/>
    <w:rsid w:val="00474E69"/>
    <w:rsid w:val="00476570"/>
    <w:rsid w:val="00476C67"/>
    <w:rsid w:val="00481013"/>
    <w:rsid w:val="00481188"/>
    <w:rsid w:val="00483DDE"/>
    <w:rsid w:val="00492F8A"/>
    <w:rsid w:val="004935E3"/>
    <w:rsid w:val="004949F5"/>
    <w:rsid w:val="0049503A"/>
    <w:rsid w:val="004A0E77"/>
    <w:rsid w:val="004A16EE"/>
    <w:rsid w:val="004A2A0C"/>
    <w:rsid w:val="004B3DBF"/>
    <w:rsid w:val="004B7D63"/>
    <w:rsid w:val="004C58B2"/>
    <w:rsid w:val="004C5998"/>
    <w:rsid w:val="004C5DF7"/>
    <w:rsid w:val="004C7F12"/>
    <w:rsid w:val="004D3A33"/>
    <w:rsid w:val="004D6435"/>
    <w:rsid w:val="004D6611"/>
    <w:rsid w:val="004E06FF"/>
    <w:rsid w:val="004E26F1"/>
    <w:rsid w:val="004E41D3"/>
    <w:rsid w:val="004F0B9A"/>
    <w:rsid w:val="004F1E54"/>
    <w:rsid w:val="004F4127"/>
    <w:rsid w:val="00501168"/>
    <w:rsid w:val="00501509"/>
    <w:rsid w:val="0050272D"/>
    <w:rsid w:val="00502730"/>
    <w:rsid w:val="00507924"/>
    <w:rsid w:val="00510460"/>
    <w:rsid w:val="00511DBD"/>
    <w:rsid w:val="00514F22"/>
    <w:rsid w:val="00522B9F"/>
    <w:rsid w:val="0052372A"/>
    <w:rsid w:val="00530025"/>
    <w:rsid w:val="0053003D"/>
    <w:rsid w:val="00530F80"/>
    <w:rsid w:val="00531297"/>
    <w:rsid w:val="005356FE"/>
    <w:rsid w:val="00536837"/>
    <w:rsid w:val="005373D2"/>
    <w:rsid w:val="0053777F"/>
    <w:rsid w:val="00537D43"/>
    <w:rsid w:val="005419EE"/>
    <w:rsid w:val="00541A95"/>
    <w:rsid w:val="005501E0"/>
    <w:rsid w:val="005509EA"/>
    <w:rsid w:val="00551AE4"/>
    <w:rsid w:val="00553AD2"/>
    <w:rsid w:val="005613B7"/>
    <w:rsid w:val="00562660"/>
    <w:rsid w:val="0056519E"/>
    <w:rsid w:val="00570F4D"/>
    <w:rsid w:val="00570FF8"/>
    <w:rsid w:val="0057349C"/>
    <w:rsid w:val="00574A0A"/>
    <w:rsid w:val="00575F2B"/>
    <w:rsid w:val="00577EF1"/>
    <w:rsid w:val="00580673"/>
    <w:rsid w:val="005818F1"/>
    <w:rsid w:val="00585746"/>
    <w:rsid w:val="00585DE5"/>
    <w:rsid w:val="0058728E"/>
    <w:rsid w:val="005913E2"/>
    <w:rsid w:val="00592D94"/>
    <w:rsid w:val="005A0D64"/>
    <w:rsid w:val="005A4CF7"/>
    <w:rsid w:val="005A520E"/>
    <w:rsid w:val="005A598C"/>
    <w:rsid w:val="005A5E53"/>
    <w:rsid w:val="005A6485"/>
    <w:rsid w:val="005A6A0F"/>
    <w:rsid w:val="005A6AD3"/>
    <w:rsid w:val="005B0233"/>
    <w:rsid w:val="005B29FE"/>
    <w:rsid w:val="005B2AA6"/>
    <w:rsid w:val="005B2CA8"/>
    <w:rsid w:val="005C74EF"/>
    <w:rsid w:val="005D2983"/>
    <w:rsid w:val="005E17B0"/>
    <w:rsid w:val="005E1801"/>
    <w:rsid w:val="005E1998"/>
    <w:rsid w:val="005E58E3"/>
    <w:rsid w:val="005E5D77"/>
    <w:rsid w:val="005F20D9"/>
    <w:rsid w:val="005F25DE"/>
    <w:rsid w:val="005F2A68"/>
    <w:rsid w:val="005F2AEA"/>
    <w:rsid w:val="005F6164"/>
    <w:rsid w:val="005F64CE"/>
    <w:rsid w:val="005F6698"/>
    <w:rsid w:val="0060098A"/>
    <w:rsid w:val="00601447"/>
    <w:rsid w:val="006026F5"/>
    <w:rsid w:val="006044CD"/>
    <w:rsid w:val="006076BA"/>
    <w:rsid w:val="00607CB3"/>
    <w:rsid w:val="00610409"/>
    <w:rsid w:val="00612B79"/>
    <w:rsid w:val="00613C42"/>
    <w:rsid w:val="00615BA1"/>
    <w:rsid w:val="00617B53"/>
    <w:rsid w:val="00622207"/>
    <w:rsid w:val="0062362E"/>
    <w:rsid w:val="00625FC2"/>
    <w:rsid w:val="00630A48"/>
    <w:rsid w:val="00631BA4"/>
    <w:rsid w:val="00631DF2"/>
    <w:rsid w:val="006332A8"/>
    <w:rsid w:val="006342A5"/>
    <w:rsid w:val="00634FC8"/>
    <w:rsid w:val="00634FD4"/>
    <w:rsid w:val="006358CC"/>
    <w:rsid w:val="0063638B"/>
    <w:rsid w:val="006369A7"/>
    <w:rsid w:val="0063718A"/>
    <w:rsid w:val="00637387"/>
    <w:rsid w:val="00641EBD"/>
    <w:rsid w:val="0064221E"/>
    <w:rsid w:val="0064363C"/>
    <w:rsid w:val="00643A5B"/>
    <w:rsid w:val="006458AD"/>
    <w:rsid w:val="00647280"/>
    <w:rsid w:val="006524CC"/>
    <w:rsid w:val="006530FF"/>
    <w:rsid w:val="0065427C"/>
    <w:rsid w:val="00656215"/>
    <w:rsid w:val="00661939"/>
    <w:rsid w:val="00663362"/>
    <w:rsid w:val="00663722"/>
    <w:rsid w:val="00663D65"/>
    <w:rsid w:val="00664C69"/>
    <w:rsid w:val="006663DF"/>
    <w:rsid w:val="00667D7E"/>
    <w:rsid w:val="00670CFB"/>
    <w:rsid w:val="00670D27"/>
    <w:rsid w:val="00671A7F"/>
    <w:rsid w:val="006741B7"/>
    <w:rsid w:val="006746B9"/>
    <w:rsid w:val="006818DB"/>
    <w:rsid w:val="0068240E"/>
    <w:rsid w:val="00684056"/>
    <w:rsid w:val="0068571E"/>
    <w:rsid w:val="0068716D"/>
    <w:rsid w:val="00692558"/>
    <w:rsid w:val="0069272F"/>
    <w:rsid w:val="00694033"/>
    <w:rsid w:val="0069502E"/>
    <w:rsid w:val="0069639C"/>
    <w:rsid w:val="006A0579"/>
    <w:rsid w:val="006A2121"/>
    <w:rsid w:val="006A2575"/>
    <w:rsid w:val="006A2C2E"/>
    <w:rsid w:val="006A2E7F"/>
    <w:rsid w:val="006A4F2B"/>
    <w:rsid w:val="006B0E89"/>
    <w:rsid w:val="006B0F5B"/>
    <w:rsid w:val="006B31FF"/>
    <w:rsid w:val="006C412F"/>
    <w:rsid w:val="006C468F"/>
    <w:rsid w:val="006C5C2B"/>
    <w:rsid w:val="006D6A81"/>
    <w:rsid w:val="006D6C16"/>
    <w:rsid w:val="006D7065"/>
    <w:rsid w:val="006E7043"/>
    <w:rsid w:val="006F3269"/>
    <w:rsid w:val="006F6C18"/>
    <w:rsid w:val="0070283B"/>
    <w:rsid w:val="00705ED6"/>
    <w:rsid w:val="00710E9D"/>
    <w:rsid w:val="00711CCC"/>
    <w:rsid w:val="00714F2B"/>
    <w:rsid w:val="0071590E"/>
    <w:rsid w:val="00720294"/>
    <w:rsid w:val="00721E7B"/>
    <w:rsid w:val="0072233D"/>
    <w:rsid w:val="00722BBD"/>
    <w:rsid w:val="007233F9"/>
    <w:rsid w:val="00723CE3"/>
    <w:rsid w:val="007249DC"/>
    <w:rsid w:val="00726912"/>
    <w:rsid w:val="00732ACA"/>
    <w:rsid w:val="00733687"/>
    <w:rsid w:val="00733706"/>
    <w:rsid w:val="007363C8"/>
    <w:rsid w:val="00736CC4"/>
    <w:rsid w:val="00737077"/>
    <w:rsid w:val="00740D84"/>
    <w:rsid w:val="00740F17"/>
    <w:rsid w:val="00741FA6"/>
    <w:rsid w:val="0074355C"/>
    <w:rsid w:val="00743FF5"/>
    <w:rsid w:val="00745C59"/>
    <w:rsid w:val="007503D0"/>
    <w:rsid w:val="00752ADC"/>
    <w:rsid w:val="007548D5"/>
    <w:rsid w:val="007556E0"/>
    <w:rsid w:val="00756FE0"/>
    <w:rsid w:val="00761A4B"/>
    <w:rsid w:val="00765C25"/>
    <w:rsid w:val="00766174"/>
    <w:rsid w:val="007664E8"/>
    <w:rsid w:val="007700FB"/>
    <w:rsid w:val="00771A9D"/>
    <w:rsid w:val="00775795"/>
    <w:rsid w:val="00775B7A"/>
    <w:rsid w:val="00776FF1"/>
    <w:rsid w:val="0077778D"/>
    <w:rsid w:val="0078025C"/>
    <w:rsid w:val="00784422"/>
    <w:rsid w:val="007846FE"/>
    <w:rsid w:val="007856AC"/>
    <w:rsid w:val="00787456"/>
    <w:rsid w:val="0079011C"/>
    <w:rsid w:val="00791C09"/>
    <w:rsid w:val="00791C46"/>
    <w:rsid w:val="007A0507"/>
    <w:rsid w:val="007A0D9C"/>
    <w:rsid w:val="007A1A28"/>
    <w:rsid w:val="007A4AB3"/>
    <w:rsid w:val="007A5BE4"/>
    <w:rsid w:val="007B00C4"/>
    <w:rsid w:val="007B3E08"/>
    <w:rsid w:val="007B5CB2"/>
    <w:rsid w:val="007C1237"/>
    <w:rsid w:val="007C4168"/>
    <w:rsid w:val="007C66E7"/>
    <w:rsid w:val="007C695C"/>
    <w:rsid w:val="007C7AA7"/>
    <w:rsid w:val="007D0EBA"/>
    <w:rsid w:val="007D13F6"/>
    <w:rsid w:val="007D49C6"/>
    <w:rsid w:val="007D695A"/>
    <w:rsid w:val="007D6FAE"/>
    <w:rsid w:val="007D760C"/>
    <w:rsid w:val="007D7630"/>
    <w:rsid w:val="007E00EB"/>
    <w:rsid w:val="007E1CAE"/>
    <w:rsid w:val="007E39C0"/>
    <w:rsid w:val="007E3FAD"/>
    <w:rsid w:val="007E4B6C"/>
    <w:rsid w:val="007E54AF"/>
    <w:rsid w:val="007F2803"/>
    <w:rsid w:val="007F3022"/>
    <w:rsid w:val="007F32FF"/>
    <w:rsid w:val="007F7146"/>
    <w:rsid w:val="007F7CC8"/>
    <w:rsid w:val="0080524F"/>
    <w:rsid w:val="00805D4F"/>
    <w:rsid w:val="0080608C"/>
    <w:rsid w:val="008067CB"/>
    <w:rsid w:val="00807A3A"/>
    <w:rsid w:val="00810DAE"/>
    <w:rsid w:val="0081698A"/>
    <w:rsid w:val="00817EA0"/>
    <w:rsid w:val="00820487"/>
    <w:rsid w:val="00820D15"/>
    <w:rsid w:val="00825042"/>
    <w:rsid w:val="00832F77"/>
    <w:rsid w:val="00840EE3"/>
    <w:rsid w:val="008411BE"/>
    <w:rsid w:val="0084157D"/>
    <w:rsid w:val="00842C3A"/>
    <w:rsid w:val="00842F2D"/>
    <w:rsid w:val="00843BA2"/>
    <w:rsid w:val="00843CDA"/>
    <w:rsid w:val="00843CF9"/>
    <w:rsid w:val="00845011"/>
    <w:rsid w:val="008468D0"/>
    <w:rsid w:val="00847743"/>
    <w:rsid w:val="00851DC4"/>
    <w:rsid w:val="0085529C"/>
    <w:rsid w:val="008556FC"/>
    <w:rsid w:val="00855A4B"/>
    <w:rsid w:val="008564F7"/>
    <w:rsid w:val="00857BC3"/>
    <w:rsid w:val="008616CF"/>
    <w:rsid w:val="00864E85"/>
    <w:rsid w:val="00870B1A"/>
    <w:rsid w:val="00873514"/>
    <w:rsid w:val="00876C75"/>
    <w:rsid w:val="008777A3"/>
    <w:rsid w:val="0088042A"/>
    <w:rsid w:val="00881448"/>
    <w:rsid w:val="00884A24"/>
    <w:rsid w:val="008908C6"/>
    <w:rsid w:val="0089094C"/>
    <w:rsid w:val="00891D30"/>
    <w:rsid w:val="008921C6"/>
    <w:rsid w:val="00892345"/>
    <w:rsid w:val="00894CF4"/>
    <w:rsid w:val="008A0045"/>
    <w:rsid w:val="008A0162"/>
    <w:rsid w:val="008A2497"/>
    <w:rsid w:val="008A331D"/>
    <w:rsid w:val="008A5A20"/>
    <w:rsid w:val="008A7BAB"/>
    <w:rsid w:val="008B25BB"/>
    <w:rsid w:val="008B6CA8"/>
    <w:rsid w:val="008D1539"/>
    <w:rsid w:val="008D25C2"/>
    <w:rsid w:val="008D2EC0"/>
    <w:rsid w:val="008D39D0"/>
    <w:rsid w:val="008D761B"/>
    <w:rsid w:val="008E09C2"/>
    <w:rsid w:val="008E3143"/>
    <w:rsid w:val="008E4BE7"/>
    <w:rsid w:val="008E6B91"/>
    <w:rsid w:val="008E76F8"/>
    <w:rsid w:val="008F1492"/>
    <w:rsid w:val="009005D9"/>
    <w:rsid w:val="0090165E"/>
    <w:rsid w:val="00901B4A"/>
    <w:rsid w:val="0090215F"/>
    <w:rsid w:val="009024D5"/>
    <w:rsid w:val="009044B3"/>
    <w:rsid w:val="00905852"/>
    <w:rsid w:val="00912870"/>
    <w:rsid w:val="00913B50"/>
    <w:rsid w:val="0091691C"/>
    <w:rsid w:val="00916C02"/>
    <w:rsid w:val="00924508"/>
    <w:rsid w:val="00931CA5"/>
    <w:rsid w:val="00934729"/>
    <w:rsid w:val="0093541C"/>
    <w:rsid w:val="0093617F"/>
    <w:rsid w:val="0093771D"/>
    <w:rsid w:val="0094005B"/>
    <w:rsid w:val="00942982"/>
    <w:rsid w:val="00946AE3"/>
    <w:rsid w:val="00947306"/>
    <w:rsid w:val="00950CDB"/>
    <w:rsid w:val="00951CCC"/>
    <w:rsid w:val="00954DFC"/>
    <w:rsid w:val="009638DE"/>
    <w:rsid w:val="00964354"/>
    <w:rsid w:val="00984392"/>
    <w:rsid w:val="00991BC1"/>
    <w:rsid w:val="00996C6A"/>
    <w:rsid w:val="00997179"/>
    <w:rsid w:val="00997805"/>
    <w:rsid w:val="009A14E9"/>
    <w:rsid w:val="009A1E03"/>
    <w:rsid w:val="009A5B6D"/>
    <w:rsid w:val="009A6FA7"/>
    <w:rsid w:val="009C20B2"/>
    <w:rsid w:val="009C2311"/>
    <w:rsid w:val="009C6572"/>
    <w:rsid w:val="009D1ED3"/>
    <w:rsid w:val="009D1F0F"/>
    <w:rsid w:val="009D27BB"/>
    <w:rsid w:val="009D356A"/>
    <w:rsid w:val="009D448D"/>
    <w:rsid w:val="009D4A54"/>
    <w:rsid w:val="009D4D1E"/>
    <w:rsid w:val="009D5989"/>
    <w:rsid w:val="009D7BE9"/>
    <w:rsid w:val="009E083F"/>
    <w:rsid w:val="009E19DE"/>
    <w:rsid w:val="009E5741"/>
    <w:rsid w:val="009E61A0"/>
    <w:rsid w:val="009E6B2C"/>
    <w:rsid w:val="009F0356"/>
    <w:rsid w:val="009F04F1"/>
    <w:rsid w:val="009F1E71"/>
    <w:rsid w:val="009F25D8"/>
    <w:rsid w:val="009F4A89"/>
    <w:rsid w:val="009F5F66"/>
    <w:rsid w:val="00A04BF5"/>
    <w:rsid w:val="00A064A3"/>
    <w:rsid w:val="00A06ED7"/>
    <w:rsid w:val="00A10EE5"/>
    <w:rsid w:val="00A1467F"/>
    <w:rsid w:val="00A14D71"/>
    <w:rsid w:val="00A16643"/>
    <w:rsid w:val="00A20142"/>
    <w:rsid w:val="00A24D4D"/>
    <w:rsid w:val="00A25A07"/>
    <w:rsid w:val="00A3207E"/>
    <w:rsid w:val="00A321E8"/>
    <w:rsid w:val="00A3374B"/>
    <w:rsid w:val="00A33EA1"/>
    <w:rsid w:val="00A33F1D"/>
    <w:rsid w:val="00A37944"/>
    <w:rsid w:val="00A40A41"/>
    <w:rsid w:val="00A40FBE"/>
    <w:rsid w:val="00A41091"/>
    <w:rsid w:val="00A43C9F"/>
    <w:rsid w:val="00A44A32"/>
    <w:rsid w:val="00A5136D"/>
    <w:rsid w:val="00A5422A"/>
    <w:rsid w:val="00A548F4"/>
    <w:rsid w:val="00A56D3E"/>
    <w:rsid w:val="00A5704D"/>
    <w:rsid w:val="00A625F4"/>
    <w:rsid w:val="00A71FCA"/>
    <w:rsid w:val="00A72F2F"/>
    <w:rsid w:val="00A7447D"/>
    <w:rsid w:val="00A746B4"/>
    <w:rsid w:val="00A76655"/>
    <w:rsid w:val="00A804E3"/>
    <w:rsid w:val="00A81561"/>
    <w:rsid w:val="00A81F58"/>
    <w:rsid w:val="00A84FFD"/>
    <w:rsid w:val="00A86657"/>
    <w:rsid w:val="00A8681B"/>
    <w:rsid w:val="00A87A80"/>
    <w:rsid w:val="00A913A9"/>
    <w:rsid w:val="00A92A6F"/>
    <w:rsid w:val="00A92DFB"/>
    <w:rsid w:val="00A9397E"/>
    <w:rsid w:val="00A939E9"/>
    <w:rsid w:val="00A9488C"/>
    <w:rsid w:val="00AA1FA2"/>
    <w:rsid w:val="00AB0A09"/>
    <w:rsid w:val="00AB135A"/>
    <w:rsid w:val="00AB15C2"/>
    <w:rsid w:val="00AB4920"/>
    <w:rsid w:val="00AC5C85"/>
    <w:rsid w:val="00AC78B5"/>
    <w:rsid w:val="00AD1443"/>
    <w:rsid w:val="00AD25F7"/>
    <w:rsid w:val="00AD316E"/>
    <w:rsid w:val="00AD47F6"/>
    <w:rsid w:val="00AE019D"/>
    <w:rsid w:val="00AF0DD6"/>
    <w:rsid w:val="00AF4F9D"/>
    <w:rsid w:val="00AF65C9"/>
    <w:rsid w:val="00AF6824"/>
    <w:rsid w:val="00B00521"/>
    <w:rsid w:val="00B025B7"/>
    <w:rsid w:val="00B03A42"/>
    <w:rsid w:val="00B04D7B"/>
    <w:rsid w:val="00B050B6"/>
    <w:rsid w:val="00B072E9"/>
    <w:rsid w:val="00B12FD1"/>
    <w:rsid w:val="00B1554B"/>
    <w:rsid w:val="00B17D2B"/>
    <w:rsid w:val="00B202CC"/>
    <w:rsid w:val="00B20C2A"/>
    <w:rsid w:val="00B224C8"/>
    <w:rsid w:val="00B2463D"/>
    <w:rsid w:val="00B24E92"/>
    <w:rsid w:val="00B26EF8"/>
    <w:rsid w:val="00B26F15"/>
    <w:rsid w:val="00B27FE6"/>
    <w:rsid w:val="00B3020B"/>
    <w:rsid w:val="00B3252A"/>
    <w:rsid w:val="00B35846"/>
    <w:rsid w:val="00B37271"/>
    <w:rsid w:val="00B37CAF"/>
    <w:rsid w:val="00B42231"/>
    <w:rsid w:val="00B45468"/>
    <w:rsid w:val="00B466DD"/>
    <w:rsid w:val="00B540A5"/>
    <w:rsid w:val="00B55F07"/>
    <w:rsid w:val="00B62E0A"/>
    <w:rsid w:val="00B62EEF"/>
    <w:rsid w:val="00B63FF3"/>
    <w:rsid w:val="00B64457"/>
    <w:rsid w:val="00B65C49"/>
    <w:rsid w:val="00B673C6"/>
    <w:rsid w:val="00B714E4"/>
    <w:rsid w:val="00B72B3A"/>
    <w:rsid w:val="00B7357C"/>
    <w:rsid w:val="00B74131"/>
    <w:rsid w:val="00B76DF5"/>
    <w:rsid w:val="00B779B5"/>
    <w:rsid w:val="00B846C2"/>
    <w:rsid w:val="00B9127C"/>
    <w:rsid w:val="00B913B2"/>
    <w:rsid w:val="00B93A7D"/>
    <w:rsid w:val="00B94103"/>
    <w:rsid w:val="00BA0AEE"/>
    <w:rsid w:val="00BA3AEC"/>
    <w:rsid w:val="00BA4611"/>
    <w:rsid w:val="00BB1768"/>
    <w:rsid w:val="00BB565A"/>
    <w:rsid w:val="00BC0B68"/>
    <w:rsid w:val="00BC4CFA"/>
    <w:rsid w:val="00BC5139"/>
    <w:rsid w:val="00BC5ED5"/>
    <w:rsid w:val="00BC647E"/>
    <w:rsid w:val="00BC6CAC"/>
    <w:rsid w:val="00BC6D3F"/>
    <w:rsid w:val="00BC7373"/>
    <w:rsid w:val="00BD4618"/>
    <w:rsid w:val="00BD5DAD"/>
    <w:rsid w:val="00BD69B8"/>
    <w:rsid w:val="00BD6C65"/>
    <w:rsid w:val="00BE19C5"/>
    <w:rsid w:val="00BE2976"/>
    <w:rsid w:val="00BE5BB3"/>
    <w:rsid w:val="00BE61D0"/>
    <w:rsid w:val="00BE73BB"/>
    <w:rsid w:val="00BE75E8"/>
    <w:rsid w:val="00BF7FB8"/>
    <w:rsid w:val="00C01D94"/>
    <w:rsid w:val="00C024F2"/>
    <w:rsid w:val="00C0332E"/>
    <w:rsid w:val="00C04B41"/>
    <w:rsid w:val="00C070BD"/>
    <w:rsid w:val="00C125CE"/>
    <w:rsid w:val="00C13942"/>
    <w:rsid w:val="00C14861"/>
    <w:rsid w:val="00C17C30"/>
    <w:rsid w:val="00C203C0"/>
    <w:rsid w:val="00C21D32"/>
    <w:rsid w:val="00C22934"/>
    <w:rsid w:val="00C23C35"/>
    <w:rsid w:val="00C25D03"/>
    <w:rsid w:val="00C27F55"/>
    <w:rsid w:val="00C3234B"/>
    <w:rsid w:val="00C33C18"/>
    <w:rsid w:val="00C340D3"/>
    <w:rsid w:val="00C34BBA"/>
    <w:rsid w:val="00C403B2"/>
    <w:rsid w:val="00C41330"/>
    <w:rsid w:val="00C417F3"/>
    <w:rsid w:val="00C421EB"/>
    <w:rsid w:val="00C47517"/>
    <w:rsid w:val="00C47D5F"/>
    <w:rsid w:val="00C50D38"/>
    <w:rsid w:val="00C50F62"/>
    <w:rsid w:val="00C61F41"/>
    <w:rsid w:val="00C62FBF"/>
    <w:rsid w:val="00C6433B"/>
    <w:rsid w:val="00C656C6"/>
    <w:rsid w:val="00C6660A"/>
    <w:rsid w:val="00C67EA9"/>
    <w:rsid w:val="00C72E3E"/>
    <w:rsid w:val="00C80781"/>
    <w:rsid w:val="00C82553"/>
    <w:rsid w:val="00C85191"/>
    <w:rsid w:val="00C8744C"/>
    <w:rsid w:val="00C87567"/>
    <w:rsid w:val="00C87DE0"/>
    <w:rsid w:val="00C938BE"/>
    <w:rsid w:val="00C94231"/>
    <w:rsid w:val="00C94A96"/>
    <w:rsid w:val="00C963C3"/>
    <w:rsid w:val="00C96422"/>
    <w:rsid w:val="00CA296F"/>
    <w:rsid w:val="00CA45A0"/>
    <w:rsid w:val="00CB18D5"/>
    <w:rsid w:val="00CB2990"/>
    <w:rsid w:val="00CB3DA9"/>
    <w:rsid w:val="00CB5A67"/>
    <w:rsid w:val="00CB686D"/>
    <w:rsid w:val="00CC51D7"/>
    <w:rsid w:val="00CC649F"/>
    <w:rsid w:val="00CD0135"/>
    <w:rsid w:val="00CD0BCE"/>
    <w:rsid w:val="00CD1442"/>
    <w:rsid w:val="00CD2E76"/>
    <w:rsid w:val="00CD521D"/>
    <w:rsid w:val="00CE49ED"/>
    <w:rsid w:val="00CE4ED3"/>
    <w:rsid w:val="00CE5057"/>
    <w:rsid w:val="00CE5956"/>
    <w:rsid w:val="00CF2751"/>
    <w:rsid w:val="00CF37FF"/>
    <w:rsid w:val="00CF4910"/>
    <w:rsid w:val="00CF4A1E"/>
    <w:rsid w:val="00CF5E73"/>
    <w:rsid w:val="00CF76A5"/>
    <w:rsid w:val="00D04E7D"/>
    <w:rsid w:val="00D07EDE"/>
    <w:rsid w:val="00D1236C"/>
    <w:rsid w:val="00D13DF1"/>
    <w:rsid w:val="00D17FDC"/>
    <w:rsid w:val="00D24A27"/>
    <w:rsid w:val="00D24EAD"/>
    <w:rsid w:val="00D24FE2"/>
    <w:rsid w:val="00D27D92"/>
    <w:rsid w:val="00D27F8B"/>
    <w:rsid w:val="00D311B9"/>
    <w:rsid w:val="00D32EDA"/>
    <w:rsid w:val="00D34967"/>
    <w:rsid w:val="00D36DCE"/>
    <w:rsid w:val="00D426A7"/>
    <w:rsid w:val="00D42FB6"/>
    <w:rsid w:val="00D4473F"/>
    <w:rsid w:val="00D455EA"/>
    <w:rsid w:val="00D50B46"/>
    <w:rsid w:val="00D51198"/>
    <w:rsid w:val="00D54F69"/>
    <w:rsid w:val="00D55664"/>
    <w:rsid w:val="00D561AD"/>
    <w:rsid w:val="00D57D96"/>
    <w:rsid w:val="00D6198C"/>
    <w:rsid w:val="00D6652F"/>
    <w:rsid w:val="00D667D7"/>
    <w:rsid w:val="00D674C2"/>
    <w:rsid w:val="00D7529D"/>
    <w:rsid w:val="00D76124"/>
    <w:rsid w:val="00D76473"/>
    <w:rsid w:val="00D77213"/>
    <w:rsid w:val="00D775B2"/>
    <w:rsid w:val="00D82B51"/>
    <w:rsid w:val="00D82D3B"/>
    <w:rsid w:val="00D836A3"/>
    <w:rsid w:val="00D841C8"/>
    <w:rsid w:val="00D8584E"/>
    <w:rsid w:val="00D85B95"/>
    <w:rsid w:val="00D85E10"/>
    <w:rsid w:val="00D866DE"/>
    <w:rsid w:val="00D86B46"/>
    <w:rsid w:val="00D910FC"/>
    <w:rsid w:val="00D915BD"/>
    <w:rsid w:val="00D9194C"/>
    <w:rsid w:val="00D92661"/>
    <w:rsid w:val="00D93086"/>
    <w:rsid w:val="00D93CC4"/>
    <w:rsid w:val="00D952A0"/>
    <w:rsid w:val="00D96ABD"/>
    <w:rsid w:val="00D96D08"/>
    <w:rsid w:val="00DA0429"/>
    <w:rsid w:val="00DA14C8"/>
    <w:rsid w:val="00DA1630"/>
    <w:rsid w:val="00DA4D5E"/>
    <w:rsid w:val="00DA5F7E"/>
    <w:rsid w:val="00DB09F4"/>
    <w:rsid w:val="00DB4139"/>
    <w:rsid w:val="00DB5E55"/>
    <w:rsid w:val="00DC1F5D"/>
    <w:rsid w:val="00DC21F5"/>
    <w:rsid w:val="00DC293F"/>
    <w:rsid w:val="00DC394F"/>
    <w:rsid w:val="00DC640F"/>
    <w:rsid w:val="00DC6B8B"/>
    <w:rsid w:val="00DD204B"/>
    <w:rsid w:val="00DD4354"/>
    <w:rsid w:val="00DD77AD"/>
    <w:rsid w:val="00DE0DA7"/>
    <w:rsid w:val="00DE1101"/>
    <w:rsid w:val="00DE1B04"/>
    <w:rsid w:val="00DE47E8"/>
    <w:rsid w:val="00DF4F82"/>
    <w:rsid w:val="00DF65C6"/>
    <w:rsid w:val="00DF7668"/>
    <w:rsid w:val="00E01F81"/>
    <w:rsid w:val="00E029E6"/>
    <w:rsid w:val="00E050F9"/>
    <w:rsid w:val="00E06BD4"/>
    <w:rsid w:val="00E10AF6"/>
    <w:rsid w:val="00E12BE4"/>
    <w:rsid w:val="00E22678"/>
    <w:rsid w:val="00E332D3"/>
    <w:rsid w:val="00E3379E"/>
    <w:rsid w:val="00E41ED7"/>
    <w:rsid w:val="00E45586"/>
    <w:rsid w:val="00E4611E"/>
    <w:rsid w:val="00E461DB"/>
    <w:rsid w:val="00E47102"/>
    <w:rsid w:val="00E51FC9"/>
    <w:rsid w:val="00E53C46"/>
    <w:rsid w:val="00E56E2A"/>
    <w:rsid w:val="00E5758B"/>
    <w:rsid w:val="00E57736"/>
    <w:rsid w:val="00E61D26"/>
    <w:rsid w:val="00E63816"/>
    <w:rsid w:val="00E63D59"/>
    <w:rsid w:val="00E63E3E"/>
    <w:rsid w:val="00E6675A"/>
    <w:rsid w:val="00E7138F"/>
    <w:rsid w:val="00E71A7B"/>
    <w:rsid w:val="00E72159"/>
    <w:rsid w:val="00E74C5E"/>
    <w:rsid w:val="00E77B0E"/>
    <w:rsid w:val="00E81502"/>
    <w:rsid w:val="00E834B9"/>
    <w:rsid w:val="00E83BE7"/>
    <w:rsid w:val="00E840F7"/>
    <w:rsid w:val="00E90635"/>
    <w:rsid w:val="00E90AC2"/>
    <w:rsid w:val="00E91DC1"/>
    <w:rsid w:val="00E96D0B"/>
    <w:rsid w:val="00EA27A0"/>
    <w:rsid w:val="00EA3094"/>
    <w:rsid w:val="00EA49F2"/>
    <w:rsid w:val="00EA4E2E"/>
    <w:rsid w:val="00EA4FBD"/>
    <w:rsid w:val="00EA590C"/>
    <w:rsid w:val="00EB21E6"/>
    <w:rsid w:val="00EB3DE8"/>
    <w:rsid w:val="00EB5B43"/>
    <w:rsid w:val="00EC26F0"/>
    <w:rsid w:val="00EC44C7"/>
    <w:rsid w:val="00EC4CFC"/>
    <w:rsid w:val="00EC5ADE"/>
    <w:rsid w:val="00EC6CD4"/>
    <w:rsid w:val="00ED31F6"/>
    <w:rsid w:val="00ED38AC"/>
    <w:rsid w:val="00ED6D67"/>
    <w:rsid w:val="00EE03C4"/>
    <w:rsid w:val="00EE0740"/>
    <w:rsid w:val="00EE12C0"/>
    <w:rsid w:val="00EE13AD"/>
    <w:rsid w:val="00EF0658"/>
    <w:rsid w:val="00EF0A6D"/>
    <w:rsid w:val="00F002FB"/>
    <w:rsid w:val="00F0038E"/>
    <w:rsid w:val="00F00464"/>
    <w:rsid w:val="00F01C3D"/>
    <w:rsid w:val="00F04324"/>
    <w:rsid w:val="00F10AA9"/>
    <w:rsid w:val="00F117C6"/>
    <w:rsid w:val="00F12BD9"/>
    <w:rsid w:val="00F14CBF"/>
    <w:rsid w:val="00F15DD2"/>
    <w:rsid w:val="00F20337"/>
    <w:rsid w:val="00F22F5E"/>
    <w:rsid w:val="00F25978"/>
    <w:rsid w:val="00F25BB0"/>
    <w:rsid w:val="00F260D6"/>
    <w:rsid w:val="00F277B5"/>
    <w:rsid w:val="00F27D4C"/>
    <w:rsid w:val="00F302DD"/>
    <w:rsid w:val="00F32FD6"/>
    <w:rsid w:val="00F42FD1"/>
    <w:rsid w:val="00F50F67"/>
    <w:rsid w:val="00F57605"/>
    <w:rsid w:val="00F70CA6"/>
    <w:rsid w:val="00F715E8"/>
    <w:rsid w:val="00F74464"/>
    <w:rsid w:val="00F75198"/>
    <w:rsid w:val="00F8047E"/>
    <w:rsid w:val="00F851E3"/>
    <w:rsid w:val="00F86D29"/>
    <w:rsid w:val="00F870E1"/>
    <w:rsid w:val="00F8797C"/>
    <w:rsid w:val="00F90097"/>
    <w:rsid w:val="00F90A3E"/>
    <w:rsid w:val="00F957A1"/>
    <w:rsid w:val="00FA0D4E"/>
    <w:rsid w:val="00FA1747"/>
    <w:rsid w:val="00FA272B"/>
    <w:rsid w:val="00FA3AB2"/>
    <w:rsid w:val="00FA48A9"/>
    <w:rsid w:val="00FA6562"/>
    <w:rsid w:val="00FB0630"/>
    <w:rsid w:val="00FB2DEE"/>
    <w:rsid w:val="00FB466E"/>
    <w:rsid w:val="00FB4CA9"/>
    <w:rsid w:val="00FB5DF6"/>
    <w:rsid w:val="00FB784B"/>
    <w:rsid w:val="00FC76D2"/>
    <w:rsid w:val="00FD47FC"/>
    <w:rsid w:val="00FD6FDA"/>
    <w:rsid w:val="00FE24B4"/>
    <w:rsid w:val="00FE3D45"/>
    <w:rsid w:val="00FE4069"/>
    <w:rsid w:val="00FE560F"/>
    <w:rsid w:val="00FE5CF3"/>
    <w:rsid w:val="00FE670F"/>
    <w:rsid w:val="00FF1F3C"/>
    <w:rsid w:val="00FF4BFB"/>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9AE3"/>
  <w15:chartTrackingRefBased/>
  <w15:docId w15:val="{48E8A482-455E-4A04-8739-D16FBDA5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029E6"/>
    <w:pPr>
      <w:spacing w:line="240" w:lineRule="auto"/>
    </w:pPr>
    <w:rPr>
      <w:sz w:val="20"/>
      <w:szCs w:val="20"/>
    </w:rPr>
  </w:style>
  <w:style w:type="character" w:customStyle="1" w:styleId="FootnoteTextChar">
    <w:name w:val="Footnote Text Char"/>
    <w:basedOn w:val="DefaultParagraphFont"/>
    <w:link w:val="FootnoteText"/>
    <w:uiPriority w:val="99"/>
    <w:rsid w:val="00E029E6"/>
    <w:rPr>
      <w:sz w:val="20"/>
      <w:szCs w:val="20"/>
    </w:rPr>
  </w:style>
  <w:style w:type="character" w:styleId="FootnoteReference">
    <w:name w:val="footnote reference"/>
    <w:basedOn w:val="DefaultParagraphFont"/>
    <w:uiPriority w:val="99"/>
    <w:semiHidden/>
    <w:unhideWhenUsed/>
    <w:rsid w:val="00E029E6"/>
    <w:rPr>
      <w:vertAlign w:val="superscript"/>
    </w:rPr>
  </w:style>
  <w:style w:type="paragraph" w:styleId="ListParagraph">
    <w:name w:val="List Paragraph"/>
    <w:basedOn w:val="Normal"/>
    <w:uiPriority w:val="34"/>
    <w:qFormat/>
    <w:rsid w:val="00C417F3"/>
    <w:pPr>
      <w:ind w:left="720"/>
      <w:contextualSpacing/>
    </w:pPr>
  </w:style>
  <w:style w:type="paragraph" w:styleId="NormalWeb">
    <w:name w:val="Normal (Web)"/>
    <w:basedOn w:val="Normal"/>
    <w:uiPriority w:val="99"/>
    <w:semiHidden/>
    <w:unhideWhenUsed/>
    <w:rsid w:val="007757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n2">
    <w:name w:val="ln2"/>
    <w:basedOn w:val="DefaultParagraphFont"/>
    <w:rsid w:val="00286506"/>
  </w:style>
  <w:style w:type="paragraph" w:styleId="BalloonText">
    <w:name w:val="Balloon Text"/>
    <w:basedOn w:val="Normal"/>
    <w:link w:val="BalloonTextChar"/>
    <w:uiPriority w:val="99"/>
    <w:semiHidden/>
    <w:unhideWhenUsed/>
    <w:rsid w:val="00D426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6A7"/>
    <w:rPr>
      <w:rFonts w:ascii="Segoe UI" w:hAnsi="Segoe UI" w:cs="Segoe UI"/>
      <w:sz w:val="18"/>
      <w:szCs w:val="18"/>
    </w:rPr>
  </w:style>
  <w:style w:type="character" w:styleId="Hyperlink">
    <w:name w:val="Hyperlink"/>
    <w:basedOn w:val="DefaultParagraphFont"/>
    <w:uiPriority w:val="99"/>
    <w:unhideWhenUsed/>
    <w:rsid w:val="00756FE0"/>
    <w:rPr>
      <w:color w:val="0000FF"/>
      <w:u w:val="single"/>
    </w:rPr>
  </w:style>
  <w:style w:type="paragraph" w:styleId="Header">
    <w:name w:val="header"/>
    <w:basedOn w:val="Normal"/>
    <w:link w:val="HeaderChar"/>
    <w:uiPriority w:val="99"/>
    <w:unhideWhenUsed/>
    <w:rsid w:val="00141B2C"/>
    <w:pPr>
      <w:tabs>
        <w:tab w:val="center" w:pos="4680"/>
        <w:tab w:val="right" w:pos="9360"/>
      </w:tabs>
      <w:spacing w:line="240" w:lineRule="auto"/>
    </w:pPr>
  </w:style>
  <w:style w:type="character" w:customStyle="1" w:styleId="HeaderChar">
    <w:name w:val="Header Char"/>
    <w:basedOn w:val="DefaultParagraphFont"/>
    <w:link w:val="Header"/>
    <w:uiPriority w:val="99"/>
    <w:rsid w:val="00141B2C"/>
  </w:style>
  <w:style w:type="paragraph" w:styleId="Footer">
    <w:name w:val="footer"/>
    <w:basedOn w:val="Normal"/>
    <w:link w:val="FooterChar"/>
    <w:uiPriority w:val="99"/>
    <w:unhideWhenUsed/>
    <w:rsid w:val="00141B2C"/>
    <w:pPr>
      <w:tabs>
        <w:tab w:val="center" w:pos="4680"/>
        <w:tab w:val="right" w:pos="9360"/>
      </w:tabs>
      <w:spacing w:line="240" w:lineRule="auto"/>
    </w:pPr>
  </w:style>
  <w:style w:type="character" w:customStyle="1" w:styleId="FooterChar">
    <w:name w:val="Footer Char"/>
    <w:basedOn w:val="DefaultParagraphFont"/>
    <w:link w:val="Footer"/>
    <w:uiPriority w:val="99"/>
    <w:rsid w:val="00141B2C"/>
  </w:style>
  <w:style w:type="character" w:styleId="UnresolvedMention">
    <w:name w:val="Unresolved Mention"/>
    <w:basedOn w:val="DefaultParagraphFont"/>
    <w:uiPriority w:val="99"/>
    <w:semiHidden/>
    <w:unhideWhenUsed/>
    <w:rsid w:val="00CB2990"/>
    <w:rPr>
      <w:color w:val="605E5C"/>
      <w:shd w:val="clear" w:color="auto" w:fill="E1DFDD"/>
    </w:rPr>
  </w:style>
  <w:style w:type="character" w:styleId="CommentReference">
    <w:name w:val="annotation reference"/>
    <w:basedOn w:val="DefaultParagraphFont"/>
    <w:uiPriority w:val="99"/>
    <w:semiHidden/>
    <w:unhideWhenUsed/>
    <w:rsid w:val="002C2615"/>
    <w:rPr>
      <w:sz w:val="16"/>
      <w:szCs w:val="16"/>
    </w:rPr>
  </w:style>
  <w:style w:type="paragraph" w:styleId="CommentText">
    <w:name w:val="annotation text"/>
    <w:basedOn w:val="Normal"/>
    <w:link w:val="CommentTextChar"/>
    <w:uiPriority w:val="99"/>
    <w:semiHidden/>
    <w:unhideWhenUsed/>
    <w:rsid w:val="002C2615"/>
    <w:pPr>
      <w:spacing w:line="240" w:lineRule="auto"/>
    </w:pPr>
    <w:rPr>
      <w:sz w:val="20"/>
      <w:szCs w:val="20"/>
    </w:rPr>
  </w:style>
  <w:style w:type="character" w:customStyle="1" w:styleId="CommentTextChar">
    <w:name w:val="Comment Text Char"/>
    <w:basedOn w:val="DefaultParagraphFont"/>
    <w:link w:val="CommentText"/>
    <w:uiPriority w:val="99"/>
    <w:semiHidden/>
    <w:rsid w:val="002C2615"/>
    <w:rPr>
      <w:sz w:val="20"/>
      <w:szCs w:val="20"/>
    </w:rPr>
  </w:style>
  <w:style w:type="paragraph" w:styleId="CommentSubject">
    <w:name w:val="annotation subject"/>
    <w:basedOn w:val="CommentText"/>
    <w:next w:val="CommentText"/>
    <w:link w:val="CommentSubjectChar"/>
    <w:uiPriority w:val="99"/>
    <w:semiHidden/>
    <w:unhideWhenUsed/>
    <w:rsid w:val="002C2615"/>
    <w:rPr>
      <w:b/>
      <w:bCs/>
    </w:rPr>
  </w:style>
  <w:style w:type="character" w:customStyle="1" w:styleId="CommentSubjectChar">
    <w:name w:val="Comment Subject Char"/>
    <w:basedOn w:val="CommentTextChar"/>
    <w:link w:val="CommentSubject"/>
    <w:uiPriority w:val="99"/>
    <w:semiHidden/>
    <w:rsid w:val="002C26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0814">
      <w:bodyDiv w:val="1"/>
      <w:marLeft w:val="0"/>
      <w:marRight w:val="0"/>
      <w:marTop w:val="0"/>
      <w:marBottom w:val="0"/>
      <w:divBdr>
        <w:top w:val="none" w:sz="0" w:space="0" w:color="auto"/>
        <w:left w:val="none" w:sz="0" w:space="0" w:color="auto"/>
        <w:bottom w:val="none" w:sz="0" w:space="0" w:color="auto"/>
        <w:right w:val="none" w:sz="0" w:space="0" w:color="auto"/>
      </w:divBdr>
    </w:div>
    <w:div w:id="131752486">
      <w:bodyDiv w:val="1"/>
      <w:marLeft w:val="0"/>
      <w:marRight w:val="0"/>
      <w:marTop w:val="0"/>
      <w:marBottom w:val="0"/>
      <w:divBdr>
        <w:top w:val="none" w:sz="0" w:space="0" w:color="auto"/>
        <w:left w:val="none" w:sz="0" w:space="0" w:color="auto"/>
        <w:bottom w:val="none" w:sz="0" w:space="0" w:color="auto"/>
        <w:right w:val="none" w:sz="0" w:space="0" w:color="auto"/>
      </w:divBdr>
      <w:divsChild>
        <w:div w:id="19862496">
          <w:marLeft w:val="0"/>
          <w:marRight w:val="0"/>
          <w:marTop w:val="0"/>
          <w:marBottom w:val="0"/>
          <w:divBdr>
            <w:top w:val="none" w:sz="0" w:space="0" w:color="auto"/>
            <w:left w:val="none" w:sz="0" w:space="0" w:color="auto"/>
            <w:bottom w:val="none" w:sz="0" w:space="0" w:color="auto"/>
            <w:right w:val="none" w:sz="0" w:space="0" w:color="auto"/>
          </w:divBdr>
          <w:divsChild>
            <w:div w:id="18863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88023">
      <w:bodyDiv w:val="1"/>
      <w:marLeft w:val="0"/>
      <w:marRight w:val="0"/>
      <w:marTop w:val="0"/>
      <w:marBottom w:val="0"/>
      <w:divBdr>
        <w:top w:val="none" w:sz="0" w:space="0" w:color="auto"/>
        <w:left w:val="none" w:sz="0" w:space="0" w:color="auto"/>
        <w:bottom w:val="none" w:sz="0" w:space="0" w:color="auto"/>
        <w:right w:val="none" w:sz="0" w:space="0" w:color="auto"/>
      </w:divBdr>
      <w:divsChild>
        <w:div w:id="645666438">
          <w:marLeft w:val="0"/>
          <w:marRight w:val="0"/>
          <w:marTop w:val="0"/>
          <w:marBottom w:val="0"/>
          <w:divBdr>
            <w:top w:val="none" w:sz="0" w:space="0" w:color="auto"/>
            <w:left w:val="none" w:sz="0" w:space="0" w:color="auto"/>
            <w:bottom w:val="none" w:sz="0" w:space="0" w:color="auto"/>
            <w:right w:val="none" w:sz="0" w:space="0" w:color="auto"/>
          </w:divBdr>
          <w:divsChild>
            <w:div w:id="134278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7693">
      <w:bodyDiv w:val="1"/>
      <w:marLeft w:val="0"/>
      <w:marRight w:val="0"/>
      <w:marTop w:val="0"/>
      <w:marBottom w:val="0"/>
      <w:divBdr>
        <w:top w:val="none" w:sz="0" w:space="0" w:color="auto"/>
        <w:left w:val="none" w:sz="0" w:space="0" w:color="auto"/>
        <w:bottom w:val="none" w:sz="0" w:space="0" w:color="auto"/>
        <w:right w:val="none" w:sz="0" w:space="0" w:color="auto"/>
      </w:divBdr>
      <w:divsChild>
        <w:div w:id="1472358471">
          <w:marLeft w:val="0"/>
          <w:marRight w:val="0"/>
          <w:marTop w:val="0"/>
          <w:marBottom w:val="0"/>
          <w:divBdr>
            <w:top w:val="none" w:sz="0" w:space="0" w:color="auto"/>
            <w:left w:val="none" w:sz="0" w:space="0" w:color="auto"/>
            <w:bottom w:val="none" w:sz="0" w:space="0" w:color="auto"/>
            <w:right w:val="none" w:sz="0" w:space="0" w:color="auto"/>
          </w:divBdr>
        </w:div>
        <w:div w:id="134220188">
          <w:marLeft w:val="0"/>
          <w:marRight w:val="0"/>
          <w:marTop w:val="0"/>
          <w:marBottom w:val="0"/>
          <w:divBdr>
            <w:top w:val="none" w:sz="0" w:space="0" w:color="auto"/>
            <w:left w:val="none" w:sz="0" w:space="0" w:color="auto"/>
            <w:bottom w:val="none" w:sz="0" w:space="0" w:color="auto"/>
            <w:right w:val="none" w:sz="0" w:space="0" w:color="auto"/>
          </w:divBdr>
        </w:div>
        <w:div w:id="795100440">
          <w:marLeft w:val="0"/>
          <w:marRight w:val="0"/>
          <w:marTop w:val="0"/>
          <w:marBottom w:val="0"/>
          <w:divBdr>
            <w:top w:val="none" w:sz="0" w:space="0" w:color="auto"/>
            <w:left w:val="none" w:sz="0" w:space="0" w:color="auto"/>
            <w:bottom w:val="none" w:sz="0" w:space="0" w:color="auto"/>
            <w:right w:val="none" w:sz="0" w:space="0" w:color="auto"/>
          </w:divBdr>
        </w:div>
        <w:div w:id="1492915403">
          <w:marLeft w:val="0"/>
          <w:marRight w:val="0"/>
          <w:marTop w:val="0"/>
          <w:marBottom w:val="0"/>
          <w:divBdr>
            <w:top w:val="none" w:sz="0" w:space="0" w:color="auto"/>
            <w:left w:val="none" w:sz="0" w:space="0" w:color="auto"/>
            <w:bottom w:val="none" w:sz="0" w:space="0" w:color="auto"/>
            <w:right w:val="none" w:sz="0" w:space="0" w:color="auto"/>
          </w:divBdr>
        </w:div>
      </w:divsChild>
    </w:div>
    <w:div w:id="952664012">
      <w:bodyDiv w:val="1"/>
      <w:marLeft w:val="0"/>
      <w:marRight w:val="0"/>
      <w:marTop w:val="0"/>
      <w:marBottom w:val="0"/>
      <w:divBdr>
        <w:top w:val="none" w:sz="0" w:space="0" w:color="auto"/>
        <w:left w:val="none" w:sz="0" w:space="0" w:color="auto"/>
        <w:bottom w:val="none" w:sz="0" w:space="0" w:color="auto"/>
        <w:right w:val="none" w:sz="0" w:space="0" w:color="auto"/>
      </w:divBdr>
      <w:divsChild>
        <w:div w:id="1205020963">
          <w:marLeft w:val="0"/>
          <w:marRight w:val="0"/>
          <w:marTop w:val="0"/>
          <w:marBottom w:val="0"/>
          <w:divBdr>
            <w:top w:val="none" w:sz="0" w:space="0" w:color="auto"/>
            <w:left w:val="none" w:sz="0" w:space="0" w:color="auto"/>
            <w:bottom w:val="none" w:sz="0" w:space="0" w:color="auto"/>
            <w:right w:val="none" w:sz="0" w:space="0" w:color="auto"/>
          </w:divBdr>
          <w:divsChild>
            <w:div w:id="5402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05339">
      <w:bodyDiv w:val="1"/>
      <w:marLeft w:val="0"/>
      <w:marRight w:val="0"/>
      <w:marTop w:val="0"/>
      <w:marBottom w:val="0"/>
      <w:divBdr>
        <w:top w:val="none" w:sz="0" w:space="0" w:color="auto"/>
        <w:left w:val="none" w:sz="0" w:space="0" w:color="auto"/>
        <w:bottom w:val="none" w:sz="0" w:space="0" w:color="auto"/>
        <w:right w:val="none" w:sz="0" w:space="0" w:color="auto"/>
      </w:divBdr>
      <w:divsChild>
        <w:div w:id="903492093">
          <w:marLeft w:val="0"/>
          <w:marRight w:val="0"/>
          <w:marTop w:val="0"/>
          <w:marBottom w:val="0"/>
          <w:divBdr>
            <w:top w:val="none" w:sz="0" w:space="0" w:color="auto"/>
            <w:left w:val="none" w:sz="0" w:space="0" w:color="auto"/>
            <w:bottom w:val="none" w:sz="0" w:space="0" w:color="auto"/>
            <w:right w:val="none" w:sz="0" w:space="0" w:color="auto"/>
          </w:divBdr>
          <w:divsChild>
            <w:div w:id="48851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4627">
      <w:bodyDiv w:val="1"/>
      <w:marLeft w:val="0"/>
      <w:marRight w:val="0"/>
      <w:marTop w:val="0"/>
      <w:marBottom w:val="0"/>
      <w:divBdr>
        <w:top w:val="none" w:sz="0" w:space="0" w:color="auto"/>
        <w:left w:val="none" w:sz="0" w:space="0" w:color="auto"/>
        <w:bottom w:val="none" w:sz="0" w:space="0" w:color="auto"/>
        <w:right w:val="none" w:sz="0" w:space="0" w:color="auto"/>
      </w:divBdr>
      <w:divsChild>
        <w:div w:id="1438326461">
          <w:marLeft w:val="0"/>
          <w:marRight w:val="0"/>
          <w:marTop w:val="0"/>
          <w:marBottom w:val="0"/>
          <w:divBdr>
            <w:top w:val="none" w:sz="0" w:space="0" w:color="auto"/>
            <w:left w:val="none" w:sz="0" w:space="0" w:color="auto"/>
            <w:bottom w:val="none" w:sz="0" w:space="0" w:color="auto"/>
            <w:right w:val="none" w:sz="0" w:space="0" w:color="auto"/>
          </w:divBdr>
          <w:divsChild>
            <w:div w:id="18514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7642">
      <w:bodyDiv w:val="1"/>
      <w:marLeft w:val="0"/>
      <w:marRight w:val="0"/>
      <w:marTop w:val="0"/>
      <w:marBottom w:val="0"/>
      <w:divBdr>
        <w:top w:val="none" w:sz="0" w:space="0" w:color="auto"/>
        <w:left w:val="none" w:sz="0" w:space="0" w:color="auto"/>
        <w:bottom w:val="none" w:sz="0" w:space="0" w:color="auto"/>
        <w:right w:val="none" w:sz="0" w:space="0" w:color="auto"/>
      </w:divBdr>
      <w:divsChild>
        <w:div w:id="754673266">
          <w:marLeft w:val="0"/>
          <w:marRight w:val="0"/>
          <w:marTop w:val="0"/>
          <w:marBottom w:val="0"/>
          <w:divBdr>
            <w:top w:val="none" w:sz="0" w:space="0" w:color="auto"/>
            <w:left w:val="none" w:sz="0" w:space="0" w:color="auto"/>
            <w:bottom w:val="none" w:sz="0" w:space="0" w:color="auto"/>
            <w:right w:val="none" w:sz="0" w:space="0" w:color="auto"/>
          </w:divBdr>
          <w:divsChild>
            <w:div w:id="89196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4202">
      <w:bodyDiv w:val="1"/>
      <w:marLeft w:val="0"/>
      <w:marRight w:val="0"/>
      <w:marTop w:val="0"/>
      <w:marBottom w:val="0"/>
      <w:divBdr>
        <w:top w:val="none" w:sz="0" w:space="0" w:color="auto"/>
        <w:left w:val="none" w:sz="0" w:space="0" w:color="auto"/>
        <w:bottom w:val="none" w:sz="0" w:space="0" w:color="auto"/>
        <w:right w:val="none" w:sz="0" w:space="0" w:color="auto"/>
      </w:divBdr>
      <w:divsChild>
        <w:div w:id="1338071865">
          <w:marLeft w:val="0"/>
          <w:marRight w:val="0"/>
          <w:marTop w:val="0"/>
          <w:marBottom w:val="0"/>
          <w:divBdr>
            <w:top w:val="none" w:sz="0" w:space="0" w:color="auto"/>
            <w:left w:val="none" w:sz="0" w:space="0" w:color="auto"/>
            <w:bottom w:val="none" w:sz="0" w:space="0" w:color="auto"/>
            <w:right w:val="none" w:sz="0" w:space="0" w:color="auto"/>
          </w:divBdr>
          <w:divsChild>
            <w:div w:id="9137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9608">
      <w:bodyDiv w:val="1"/>
      <w:marLeft w:val="0"/>
      <w:marRight w:val="0"/>
      <w:marTop w:val="0"/>
      <w:marBottom w:val="0"/>
      <w:divBdr>
        <w:top w:val="none" w:sz="0" w:space="0" w:color="auto"/>
        <w:left w:val="none" w:sz="0" w:space="0" w:color="auto"/>
        <w:bottom w:val="none" w:sz="0" w:space="0" w:color="auto"/>
        <w:right w:val="none" w:sz="0" w:space="0" w:color="auto"/>
      </w:divBdr>
      <w:divsChild>
        <w:div w:id="629285312">
          <w:marLeft w:val="0"/>
          <w:marRight w:val="0"/>
          <w:marTop w:val="0"/>
          <w:marBottom w:val="0"/>
          <w:divBdr>
            <w:top w:val="none" w:sz="0" w:space="0" w:color="auto"/>
            <w:left w:val="none" w:sz="0" w:space="0" w:color="auto"/>
            <w:bottom w:val="none" w:sz="0" w:space="0" w:color="auto"/>
            <w:right w:val="none" w:sz="0" w:space="0" w:color="auto"/>
          </w:divBdr>
          <w:divsChild>
            <w:div w:id="11137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00259">
      <w:bodyDiv w:val="1"/>
      <w:marLeft w:val="0"/>
      <w:marRight w:val="0"/>
      <w:marTop w:val="0"/>
      <w:marBottom w:val="0"/>
      <w:divBdr>
        <w:top w:val="none" w:sz="0" w:space="0" w:color="auto"/>
        <w:left w:val="none" w:sz="0" w:space="0" w:color="auto"/>
        <w:bottom w:val="none" w:sz="0" w:space="0" w:color="auto"/>
        <w:right w:val="none" w:sz="0" w:space="0" w:color="auto"/>
      </w:divBdr>
      <w:divsChild>
        <w:div w:id="840195865">
          <w:marLeft w:val="0"/>
          <w:marRight w:val="0"/>
          <w:marTop w:val="0"/>
          <w:marBottom w:val="0"/>
          <w:divBdr>
            <w:top w:val="none" w:sz="0" w:space="0" w:color="auto"/>
            <w:left w:val="none" w:sz="0" w:space="0" w:color="auto"/>
            <w:bottom w:val="none" w:sz="0" w:space="0" w:color="auto"/>
            <w:right w:val="none" w:sz="0" w:space="0" w:color="auto"/>
          </w:divBdr>
          <w:divsChild>
            <w:div w:id="24399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13831">
      <w:bodyDiv w:val="1"/>
      <w:marLeft w:val="0"/>
      <w:marRight w:val="0"/>
      <w:marTop w:val="0"/>
      <w:marBottom w:val="0"/>
      <w:divBdr>
        <w:top w:val="none" w:sz="0" w:space="0" w:color="auto"/>
        <w:left w:val="none" w:sz="0" w:space="0" w:color="auto"/>
        <w:bottom w:val="none" w:sz="0" w:space="0" w:color="auto"/>
        <w:right w:val="none" w:sz="0" w:space="0" w:color="auto"/>
      </w:divBdr>
      <w:divsChild>
        <w:div w:id="229385758">
          <w:marLeft w:val="0"/>
          <w:marRight w:val="0"/>
          <w:marTop w:val="0"/>
          <w:marBottom w:val="0"/>
          <w:divBdr>
            <w:top w:val="none" w:sz="0" w:space="0" w:color="auto"/>
            <w:left w:val="none" w:sz="0" w:space="0" w:color="auto"/>
            <w:bottom w:val="none" w:sz="0" w:space="0" w:color="auto"/>
            <w:right w:val="none" w:sz="0" w:space="0" w:color="auto"/>
          </w:divBdr>
        </w:div>
      </w:divsChild>
    </w:div>
    <w:div w:id="1604801274">
      <w:bodyDiv w:val="1"/>
      <w:marLeft w:val="0"/>
      <w:marRight w:val="0"/>
      <w:marTop w:val="0"/>
      <w:marBottom w:val="0"/>
      <w:divBdr>
        <w:top w:val="none" w:sz="0" w:space="0" w:color="auto"/>
        <w:left w:val="none" w:sz="0" w:space="0" w:color="auto"/>
        <w:bottom w:val="none" w:sz="0" w:space="0" w:color="auto"/>
        <w:right w:val="none" w:sz="0" w:space="0" w:color="auto"/>
      </w:divBdr>
      <w:divsChild>
        <w:div w:id="1940983361">
          <w:marLeft w:val="0"/>
          <w:marRight w:val="0"/>
          <w:marTop w:val="0"/>
          <w:marBottom w:val="0"/>
          <w:divBdr>
            <w:top w:val="none" w:sz="0" w:space="0" w:color="auto"/>
            <w:left w:val="none" w:sz="0" w:space="0" w:color="auto"/>
            <w:bottom w:val="none" w:sz="0" w:space="0" w:color="auto"/>
            <w:right w:val="none" w:sz="0" w:space="0" w:color="auto"/>
          </w:divBdr>
          <w:divsChild>
            <w:div w:id="1012413904">
              <w:marLeft w:val="0"/>
              <w:marRight w:val="0"/>
              <w:marTop w:val="0"/>
              <w:marBottom w:val="0"/>
              <w:divBdr>
                <w:top w:val="none" w:sz="0" w:space="0" w:color="auto"/>
                <w:left w:val="none" w:sz="0" w:space="0" w:color="auto"/>
                <w:bottom w:val="none" w:sz="0" w:space="0" w:color="auto"/>
                <w:right w:val="none" w:sz="0" w:space="0" w:color="auto"/>
              </w:divBdr>
              <w:divsChild>
                <w:div w:id="240330549">
                  <w:marLeft w:val="0"/>
                  <w:marRight w:val="0"/>
                  <w:marTop w:val="0"/>
                  <w:marBottom w:val="0"/>
                  <w:divBdr>
                    <w:top w:val="none" w:sz="0" w:space="0" w:color="auto"/>
                    <w:left w:val="none" w:sz="0" w:space="0" w:color="auto"/>
                    <w:bottom w:val="none" w:sz="0" w:space="0" w:color="auto"/>
                    <w:right w:val="none" w:sz="0" w:space="0" w:color="auto"/>
                  </w:divBdr>
                </w:div>
                <w:div w:id="596252932">
                  <w:marLeft w:val="0"/>
                  <w:marRight w:val="96"/>
                  <w:marTop w:val="0"/>
                  <w:marBottom w:val="0"/>
                  <w:divBdr>
                    <w:top w:val="none" w:sz="0" w:space="0" w:color="auto"/>
                    <w:left w:val="none" w:sz="0" w:space="0" w:color="auto"/>
                    <w:bottom w:val="none" w:sz="0" w:space="0" w:color="auto"/>
                    <w:right w:val="none" w:sz="0" w:space="0" w:color="auto"/>
                  </w:divBdr>
                </w:div>
                <w:div w:id="97414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3279">
      <w:bodyDiv w:val="1"/>
      <w:marLeft w:val="0"/>
      <w:marRight w:val="0"/>
      <w:marTop w:val="0"/>
      <w:marBottom w:val="0"/>
      <w:divBdr>
        <w:top w:val="none" w:sz="0" w:space="0" w:color="auto"/>
        <w:left w:val="none" w:sz="0" w:space="0" w:color="auto"/>
        <w:bottom w:val="none" w:sz="0" w:space="0" w:color="auto"/>
        <w:right w:val="none" w:sz="0" w:space="0" w:color="auto"/>
      </w:divBdr>
      <w:divsChild>
        <w:div w:id="1663117064">
          <w:marLeft w:val="0"/>
          <w:marRight w:val="0"/>
          <w:marTop w:val="0"/>
          <w:marBottom w:val="0"/>
          <w:divBdr>
            <w:top w:val="none" w:sz="0" w:space="0" w:color="auto"/>
            <w:left w:val="none" w:sz="0" w:space="0" w:color="auto"/>
            <w:bottom w:val="none" w:sz="0" w:space="0" w:color="auto"/>
            <w:right w:val="none" w:sz="0" w:space="0" w:color="auto"/>
          </w:divBdr>
          <w:divsChild>
            <w:div w:id="5277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26106">
      <w:bodyDiv w:val="1"/>
      <w:marLeft w:val="0"/>
      <w:marRight w:val="0"/>
      <w:marTop w:val="0"/>
      <w:marBottom w:val="0"/>
      <w:divBdr>
        <w:top w:val="none" w:sz="0" w:space="0" w:color="auto"/>
        <w:left w:val="none" w:sz="0" w:space="0" w:color="auto"/>
        <w:bottom w:val="none" w:sz="0" w:space="0" w:color="auto"/>
        <w:right w:val="none" w:sz="0" w:space="0" w:color="auto"/>
      </w:divBdr>
      <w:divsChild>
        <w:div w:id="1441334398">
          <w:marLeft w:val="0"/>
          <w:marRight w:val="0"/>
          <w:marTop w:val="0"/>
          <w:marBottom w:val="0"/>
          <w:divBdr>
            <w:top w:val="none" w:sz="0" w:space="0" w:color="auto"/>
            <w:left w:val="none" w:sz="0" w:space="0" w:color="auto"/>
            <w:bottom w:val="none" w:sz="0" w:space="0" w:color="auto"/>
            <w:right w:val="none" w:sz="0" w:space="0" w:color="auto"/>
          </w:divBdr>
          <w:divsChild>
            <w:div w:id="6384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1D9EC-390D-4C3C-A622-E0E6831A4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16</Pages>
  <Words>7176</Words>
  <Characters>39757</Characters>
  <Application>Microsoft Office Word</Application>
  <DocSecurity>0</DocSecurity>
  <Lines>530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33</cp:revision>
  <dcterms:created xsi:type="dcterms:W3CDTF">2021-03-19T14:40:00Z</dcterms:created>
  <dcterms:modified xsi:type="dcterms:W3CDTF">2021-03-24T13:59:00Z</dcterms:modified>
</cp:coreProperties>
</file>