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CF729" w14:textId="58599687" w:rsidR="006C15C2" w:rsidRDefault="00B918D6" w:rsidP="008564DD">
      <w:pPr>
        <w:pStyle w:val="Title"/>
        <w:rPr>
          <w:lang w:val="en-US"/>
        </w:rPr>
      </w:pPr>
      <w:r>
        <w:t>On the unreasonable reliability of mathematical inference</w:t>
      </w:r>
      <w:r w:rsidR="000025DB">
        <w:rPr>
          <w:rStyle w:val="FootnoteReference"/>
        </w:rPr>
        <w:footnoteReference w:id="2"/>
      </w:r>
    </w:p>
    <w:p w14:paraId="291F8EE2" w14:textId="186B8582" w:rsidR="000E47D6" w:rsidRDefault="000E47D6" w:rsidP="008564DD">
      <w:r>
        <w:t xml:space="preserve">In </w:t>
      </w:r>
      <w:r w:rsidR="009F08D8">
        <w:t xml:space="preserve">(Avigad, </w:t>
      </w:r>
      <w:r w:rsidR="00096D10">
        <w:t>2020</w:t>
      </w:r>
      <w:r w:rsidR="009F08D8">
        <w:t xml:space="preserve">), Jeremy Avigad makes a novel and </w:t>
      </w:r>
      <w:r w:rsidR="00976279">
        <w:t>insightful</w:t>
      </w:r>
      <w:r w:rsidR="009F08D8">
        <w:t xml:space="preserve"> argument, which he presents as </w:t>
      </w:r>
      <w:r w:rsidR="00CD54E6">
        <w:t xml:space="preserve">part of a </w:t>
      </w:r>
      <w:r w:rsidR="00976279">
        <w:t>defence of the ‘</w:t>
      </w:r>
      <w:r w:rsidR="006532BC">
        <w:t>S</w:t>
      </w:r>
      <w:r w:rsidR="00976279">
        <w:t xml:space="preserve">tandard </w:t>
      </w:r>
      <w:r w:rsidR="006532BC">
        <w:t>V</w:t>
      </w:r>
      <w:r w:rsidR="00976279">
        <w:t>iew</w:t>
      </w:r>
      <w:r w:rsidR="009F05CD">
        <w:t>’ about the relationship between informal mathematical proofs (that is, the proofs that mathematicians write for each other and publish in mathematics journals</w:t>
      </w:r>
      <w:r w:rsidR="002612B0">
        <w:t xml:space="preserve">, which may </w:t>
      </w:r>
      <w:r w:rsidR="00133CBC">
        <w:t xml:space="preserve">in spite of their </w:t>
      </w:r>
      <w:r w:rsidR="003026D5">
        <w:t xml:space="preserve">‘informal’ </w:t>
      </w:r>
      <w:r w:rsidR="00133CBC">
        <w:t xml:space="preserve">label </w:t>
      </w:r>
      <w:r w:rsidR="00BC31B2">
        <w:t>be rather more</w:t>
      </w:r>
      <w:r w:rsidR="00060F4E">
        <w:t xml:space="preserve"> formal </w:t>
      </w:r>
      <w:r w:rsidR="00232BF5">
        <w:t xml:space="preserve">than </w:t>
      </w:r>
      <w:r w:rsidR="00060F4E">
        <w:t>other kinds of scientific communication</w:t>
      </w:r>
      <w:r w:rsidR="009F05CD">
        <w:t>)</w:t>
      </w:r>
      <w:r w:rsidR="007B783E">
        <w:t xml:space="preserve"> and their </w:t>
      </w:r>
      <w:r w:rsidR="007F28D1">
        <w:t xml:space="preserve">corresponding </w:t>
      </w:r>
      <w:r w:rsidR="007B783E">
        <w:t xml:space="preserve">formal </w:t>
      </w:r>
      <w:r w:rsidR="007F28D1">
        <w:t xml:space="preserve">derivations </w:t>
      </w:r>
      <w:r w:rsidR="00EB7583">
        <w:t xml:space="preserve">(‘formal’ in the sense of computer science and </w:t>
      </w:r>
      <w:r w:rsidR="0028238B">
        <w:t xml:space="preserve">mathematical </w:t>
      </w:r>
      <w:r w:rsidR="00EB7583">
        <w:t xml:space="preserve">logic).  </w:t>
      </w:r>
      <w:r w:rsidR="00B07659">
        <w:t xml:space="preserve">His argument considers the various strategies by </w:t>
      </w:r>
      <w:r w:rsidR="00067C6E">
        <w:t xml:space="preserve">means of </w:t>
      </w:r>
      <w:r w:rsidR="00B07659">
        <w:t xml:space="preserve">which </w:t>
      </w:r>
      <w:r w:rsidR="00067C6E">
        <w:t xml:space="preserve">mathematicians can write </w:t>
      </w:r>
      <w:r w:rsidR="00854C92">
        <w:t xml:space="preserve">informal proofs </w:t>
      </w:r>
      <w:r w:rsidR="00067C6E">
        <w:t xml:space="preserve">that </w:t>
      </w:r>
      <w:r w:rsidR="001411CB">
        <w:t xml:space="preserve">meet mathematical standards of rigour, in spite of the prodigious length, complexity and conceptual difficulty that some </w:t>
      </w:r>
      <w:r w:rsidR="0037630F">
        <w:t>proofs</w:t>
      </w:r>
      <w:r w:rsidR="001411CB">
        <w:t xml:space="preserve"> </w:t>
      </w:r>
      <w:r w:rsidR="00E744EC">
        <w:t xml:space="preserve">exhibit.  </w:t>
      </w:r>
      <w:r w:rsidR="00341AEC">
        <w:t xml:space="preserve">He takes it that </w:t>
      </w:r>
      <w:r w:rsidR="00293D6B">
        <w:t>showing</w:t>
      </w:r>
      <w:r w:rsidR="00341AEC">
        <w:t xml:space="preserve"> that and how such</w:t>
      </w:r>
      <w:r w:rsidR="004C179D">
        <w:t xml:space="preserve"> </w:t>
      </w:r>
      <w:r w:rsidR="00341AEC">
        <w:t xml:space="preserve">strategies work is a necessary part of any </w:t>
      </w:r>
      <w:r w:rsidR="00534EDB">
        <w:t xml:space="preserve">defence of the </w:t>
      </w:r>
      <w:r w:rsidR="00EE1741">
        <w:t>S</w:t>
      </w:r>
      <w:r w:rsidR="00534EDB">
        <w:t xml:space="preserve">tandard </w:t>
      </w:r>
      <w:r w:rsidR="00EE1741">
        <w:t>V</w:t>
      </w:r>
      <w:r w:rsidR="00534EDB">
        <w:t>iew.</w:t>
      </w:r>
    </w:p>
    <w:p w14:paraId="55F0E7DB" w14:textId="32C3BDCF" w:rsidR="003A7731" w:rsidRPr="00576876" w:rsidRDefault="00E834EC" w:rsidP="008564DD">
      <w:pPr>
        <w:rPr>
          <w:highlight w:val="yellow"/>
        </w:rPr>
      </w:pPr>
      <w:r>
        <w:t>In this paper</w:t>
      </w:r>
      <w:r w:rsidR="00995425">
        <w:t xml:space="preserve">, I argue </w:t>
      </w:r>
      <w:r w:rsidR="00837DD8">
        <w:t xml:space="preserve">for two claims.  The first is </w:t>
      </w:r>
      <w:r w:rsidR="00995425">
        <w:t xml:space="preserve">that </w:t>
      </w:r>
      <w:r w:rsidR="00D03341">
        <w:t xml:space="preserve">Avigad’s </w:t>
      </w:r>
      <w:r w:rsidR="00F40AE3">
        <w:t>list of strategies</w:t>
      </w:r>
      <w:r w:rsidR="00CC1185">
        <w:t xml:space="preserve"> is </w:t>
      </w:r>
      <w:r w:rsidR="00720DBF">
        <w:t xml:space="preserve">no threat </w:t>
      </w:r>
      <w:r w:rsidR="004B063A">
        <w:t xml:space="preserve">to </w:t>
      </w:r>
      <w:r w:rsidR="0022015E">
        <w:t>critics</w:t>
      </w:r>
      <w:r w:rsidR="004B063A">
        <w:t xml:space="preserve"> of the </w:t>
      </w:r>
      <w:r w:rsidR="00FF5CC1">
        <w:t>S</w:t>
      </w:r>
      <w:r w:rsidR="004B063A">
        <w:t xml:space="preserve">tandard </w:t>
      </w:r>
      <w:r w:rsidR="00FF5CC1">
        <w:t>V</w:t>
      </w:r>
      <w:r w:rsidR="004B063A">
        <w:t xml:space="preserve">iew.  </w:t>
      </w:r>
      <w:r w:rsidR="00B10859">
        <w:t>On the contrary</w:t>
      </w:r>
      <w:r w:rsidR="004B063A">
        <w:t xml:space="preserve">, </w:t>
      </w:r>
      <w:r w:rsidR="00A20B44">
        <w:t>this observational core</w:t>
      </w:r>
      <w:r w:rsidR="004B063A">
        <w:t xml:space="preserve"> </w:t>
      </w:r>
      <w:r w:rsidR="001A6E43">
        <w:t xml:space="preserve">of heuristic advice in Avigad’s paper is agnostic between rival accounts of mathematical correctness. </w:t>
      </w:r>
      <w:r w:rsidR="005B1100">
        <w:t xml:space="preserve"> The second is </w:t>
      </w:r>
      <w:r w:rsidR="005B1100" w:rsidRPr="000558A5">
        <w:t xml:space="preserve">that </w:t>
      </w:r>
      <w:r w:rsidR="001E64B6" w:rsidRPr="000558A5">
        <w:t xml:space="preserve">that </w:t>
      </w:r>
      <w:r w:rsidR="00ED7C68" w:rsidRPr="000558A5">
        <w:t xml:space="preserve">Avigad’s project of </w:t>
      </w:r>
      <w:r w:rsidR="00F341EF" w:rsidRPr="000558A5">
        <w:t xml:space="preserve">accounting for the relation between formal and informal proofs requires an answer to a prior question: what sort of thing is an informal proof?  </w:t>
      </w:r>
      <w:r w:rsidR="002D2687" w:rsidRPr="000558A5">
        <w:t xml:space="preserve">His paper </w:t>
      </w:r>
      <w:r w:rsidR="000C11C7" w:rsidRPr="000558A5">
        <w:t>havers</w:t>
      </w:r>
      <w:r w:rsidR="002D2687" w:rsidRPr="000558A5">
        <w:t xml:space="preserve"> between two answers</w:t>
      </w:r>
      <w:r w:rsidR="002E678D" w:rsidRPr="000558A5">
        <w:t xml:space="preserve">.  </w:t>
      </w:r>
      <w:r w:rsidR="00F158BA" w:rsidRPr="000558A5">
        <w:t xml:space="preserve">One is that informal proofs are ultimately syntactic items that differ from formal derivations only </w:t>
      </w:r>
      <w:r w:rsidR="006E187E" w:rsidRPr="000558A5">
        <w:t xml:space="preserve">in completeness and </w:t>
      </w:r>
      <w:r w:rsidR="00641682" w:rsidRPr="000558A5">
        <w:t>use of abbreviations</w:t>
      </w:r>
      <w:r w:rsidR="008D12E7" w:rsidRPr="000558A5">
        <w:t xml:space="preserve">.  The other is that informal proofs are not purely syntactic items, and therefore the translation of </w:t>
      </w:r>
      <w:r w:rsidR="00573029" w:rsidRPr="000558A5">
        <w:t xml:space="preserve">an informal proof </w:t>
      </w:r>
      <w:r w:rsidR="0082314F" w:rsidRPr="000558A5">
        <w:t xml:space="preserve">into a derivation is not a routine procedure but rather a creative act.  </w:t>
      </w:r>
      <w:r w:rsidR="00EF6B07" w:rsidRPr="000558A5">
        <w:t xml:space="preserve">Since the ‘syntactic’ </w:t>
      </w:r>
      <w:r w:rsidR="004A6775" w:rsidRPr="000558A5">
        <w:t>reading</w:t>
      </w:r>
      <w:r w:rsidR="00EF6B07" w:rsidRPr="000558A5">
        <w:t xml:space="preserve"> of </w:t>
      </w:r>
      <w:r w:rsidR="00B50BA9" w:rsidRPr="000558A5">
        <w:t xml:space="preserve">informal proofs reduces the </w:t>
      </w:r>
      <w:r w:rsidR="00330CF7" w:rsidRPr="000558A5">
        <w:t>S</w:t>
      </w:r>
      <w:r w:rsidR="00B50BA9" w:rsidRPr="000558A5">
        <w:t xml:space="preserve">tandard </w:t>
      </w:r>
      <w:r w:rsidR="00330CF7" w:rsidRPr="000558A5">
        <w:t>V</w:t>
      </w:r>
      <w:r w:rsidR="00B50BA9" w:rsidRPr="000558A5">
        <w:t>iew to triviality</w:t>
      </w:r>
      <w:r w:rsidR="0086186B" w:rsidRPr="000558A5">
        <w:t>,</w:t>
      </w:r>
      <w:r w:rsidR="00B50BA9" w:rsidRPr="000558A5">
        <w:t xml:space="preserve"> makes a mystery of the </w:t>
      </w:r>
      <w:r w:rsidR="00991C82" w:rsidRPr="000558A5">
        <w:t xml:space="preserve">valuable observational core of his paper, </w:t>
      </w:r>
      <w:r w:rsidR="0086186B" w:rsidRPr="000558A5">
        <w:t xml:space="preserve">and </w:t>
      </w:r>
      <w:r w:rsidR="002A6852" w:rsidRPr="000558A5">
        <w:t>underestimates the value of the achievements of mathematical logic</w:t>
      </w:r>
      <w:r w:rsidR="006458FB" w:rsidRPr="000558A5">
        <w:t>,</w:t>
      </w:r>
      <w:r w:rsidR="002A6852" w:rsidRPr="000558A5">
        <w:t xml:space="preserve"> </w:t>
      </w:r>
      <w:r w:rsidR="00991C82" w:rsidRPr="000558A5">
        <w:t xml:space="preserve">he should choose </w:t>
      </w:r>
      <w:r w:rsidR="001F4861" w:rsidRPr="000558A5">
        <w:t xml:space="preserve">some version </w:t>
      </w:r>
      <w:r w:rsidR="006140D9">
        <w:t xml:space="preserve">of the </w:t>
      </w:r>
      <w:r w:rsidR="00576876" w:rsidRPr="000558A5">
        <w:t>second option</w:t>
      </w:r>
      <w:r w:rsidR="00991C82" w:rsidRPr="000558A5">
        <w:t>.</w:t>
      </w:r>
      <w:r w:rsidR="00991C82">
        <w:t xml:space="preserve">  </w:t>
      </w:r>
      <w:r w:rsidR="00122BB2">
        <w:t xml:space="preserve">  </w:t>
      </w:r>
    </w:p>
    <w:p w14:paraId="04564328" w14:textId="33EE8B45" w:rsidR="00D8332C" w:rsidRDefault="00D8332C" w:rsidP="00D8332C">
      <w:pPr>
        <w:pStyle w:val="Heading2"/>
        <w:numPr>
          <w:ilvl w:val="0"/>
          <w:numId w:val="5"/>
        </w:numPr>
      </w:pPr>
      <w:r>
        <w:t>Two Views of Proof</w:t>
      </w:r>
      <w:r w:rsidR="009E5F86">
        <w:t xml:space="preserve">: </w:t>
      </w:r>
      <w:r w:rsidR="00CF53C2">
        <w:t>history of the question</w:t>
      </w:r>
    </w:p>
    <w:p w14:paraId="7473EF15" w14:textId="438AA8E6" w:rsidR="00372CE5" w:rsidRDefault="000E188B" w:rsidP="008924EB">
      <w:r>
        <w:t xml:space="preserve">Avigad’s paper </w:t>
      </w:r>
      <w:r w:rsidR="00A05B08">
        <w:t xml:space="preserve">adds to a debate that can be traced </w:t>
      </w:r>
      <w:r w:rsidR="002C2FE2">
        <w:t>to the origins of modern mathematics in the early twentieth century</w:t>
      </w:r>
      <w:r w:rsidR="00724B7B">
        <w:t xml:space="preserve">.  </w:t>
      </w:r>
      <w:r w:rsidR="003E3BA4">
        <w:t xml:space="preserve">The </w:t>
      </w:r>
      <w:r w:rsidR="00571F4B">
        <w:t xml:space="preserve">historic </w:t>
      </w:r>
      <w:r w:rsidR="003E3BA4">
        <w:t xml:space="preserve">division is between </w:t>
      </w:r>
      <w:r w:rsidR="003E3BA4" w:rsidRPr="00275649">
        <w:t>those</w:t>
      </w:r>
      <w:r w:rsidR="00625C77" w:rsidRPr="00275649">
        <w:t xml:space="preserve"> like Hilbert</w:t>
      </w:r>
      <w:r w:rsidR="00424C95" w:rsidRPr="00275649">
        <w:rPr>
          <w:rStyle w:val="FootnoteReference"/>
        </w:rPr>
        <w:footnoteReference w:id="3"/>
      </w:r>
      <w:r w:rsidR="00625C77" w:rsidRPr="00275649">
        <w:t xml:space="preserve"> and the Bourbakists</w:t>
      </w:r>
      <w:r w:rsidR="00275649" w:rsidRPr="00275649">
        <w:rPr>
          <w:rStyle w:val="FootnoteReference"/>
        </w:rPr>
        <w:footnoteReference w:id="4"/>
      </w:r>
      <w:r w:rsidR="00625C77" w:rsidRPr="00275649">
        <w:t xml:space="preserve"> who wished to drive the </w:t>
      </w:r>
      <w:r w:rsidR="00612CE2" w:rsidRPr="00275649">
        <w:t xml:space="preserve">modern </w:t>
      </w:r>
      <w:r w:rsidR="00625C77" w:rsidRPr="00275649">
        <w:t xml:space="preserve">tendency </w:t>
      </w:r>
      <w:r w:rsidR="00612CE2" w:rsidRPr="00275649">
        <w:t>towards ever more formal and abstract mathematics to its limit</w:t>
      </w:r>
      <w:r w:rsidR="00EE43C3" w:rsidRPr="00275649">
        <w:t xml:space="preserve">, and those </w:t>
      </w:r>
      <w:r w:rsidR="00632CEE" w:rsidRPr="00275649">
        <w:t xml:space="preserve">like </w:t>
      </w:r>
      <w:r w:rsidR="00EE43C3" w:rsidRPr="00275649">
        <w:t>Poincaré</w:t>
      </w:r>
      <w:r w:rsidR="00050600" w:rsidRPr="00275649">
        <w:rPr>
          <w:rStyle w:val="FootnoteReference"/>
        </w:rPr>
        <w:footnoteReference w:id="5"/>
      </w:r>
      <w:r w:rsidR="00EE43C3" w:rsidRPr="00275649">
        <w:t xml:space="preserve"> and Brouwer</w:t>
      </w:r>
      <w:r w:rsidR="002D6CA5" w:rsidRPr="00275649">
        <w:rPr>
          <w:rStyle w:val="FootnoteReference"/>
        </w:rPr>
        <w:footnoteReference w:id="6"/>
      </w:r>
      <w:r w:rsidR="00EE43C3" w:rsidRPr="00275649">
        <w:t xml:space="preserve"> who </w:t>
      </w:r>
      <w:r w:rsidR="00542251" w:rsidRPr="00275649">
        <w:t xml:space="preserve">thought (in different ways) that mathematics </w:t>
      </w:r>
      <w:r w:rsidR="008012F7" w:rsidRPr="00275649">
        <w:t>ineliminably refers to human experience</w:t>
      </w:r>
      <w:r w:rsidR="004D0B24" w:rsidRPr="00275649">
        <w:t xml:space="preserve"> and activity</w:t>
      </w:r>
      <w:r w:rsidR="00254649">
        <w:t>,</w:t>
      </w:r>
      <w:r w:rsidR="00E6640B" w:rsidRPr="00275649">
        <w:t xml:space="preserve"> and therefore</w:t>
      </w:r>
      <w:r w:rsidR="00E6640B">
        <w:t xml:space="preserve"> judged that complete formalisation </w:t>
      </w:r>
      <w:r w:rsidR="00465FA0">
        <w:t>i</w:t>
      </w:r>
      <w:r w:rsidR="00E6640B">
        <w:t xml:space="preserve">s either </w:t>
      </w:r>
      <w:r w:rsidR="004F7321">
        <w:t xml:space="preserve">unwise or impossible.  </w:t>
      </w:r>
      <w:r w:rsidR="00AC562B">
        <w:t xml:space="preserve">This broad contrast </w:t>
      </w:r>
      <w:r w:rsidR="00CD0202">
        <w:t xml:space="preserve">developed into </w:t>
      </w:r>
      <w:r w:rsidR="00300486">
        <w:t xml:space="preserve">a </w:t>
      </w:r>
      <w:r w:rsidR="00594984">
        <w:t xml:space="preserve">debate over (what we now call) the </w:t>
      </w:r>
      <w:r w:rsidR="002A4990">
        <w:t>S</w:t>
      </w:r>
      <w:r w:rsidR="00594984">
        <w:t xml:space="preserve">tandard </w:t>
      </w:r>
      <w:r w:rsidR="002A4990">
        <w:t>V</w:t>
      </w:r>
      <w:r w:rsidR="00594984">
        <w:t>iew</w:t>
      </w:r>
      <w:r w:rsidR="008E213D">
        <w:t xml:space="preserve">: that </w:t>
      </w:r>
      <w:r w:rsidR="002A4990">
        <w:t xml:space="preserve">full </w:t>
      </w:r>
      <w:r w:rsidR="008E213D">
        <w:t>formali</w:t>
      </w:r>
      <w:r w:rsidR="00867C7A">
        <w:t>s</w:t>
      </w:r>
      <w:r w:rsidR="008E213D">
        <w:t xml:space="preserve">ability is not merely a splendid and valuable feature of mathematical proofs, but </w:t>
      </w:r>
      <w:r w:rsidR="00E53D7D">
        <w:t xml:space="preserve">is </w:t>
      </w:r>
      <w:r w:rsidR="0010147E">
        <w:t>a criterion or norm of rigour</w:t>
      </w:r>
      <w:r w:rsidR="0010147E" w:rsidRPr="00543C45">
        <w:t xml:space="preserve">.  </w:t>
      </w:r>
      <w:r w:rsidR="00372CE5" w:rsidRPr="00543C45">
        <w:t xml:space="preserve">For example, </w:t>
      </w:r>
      <w:r w:rsidR="00105B10" w:rsidRPr="00543C45">
        <w:t xml:space="preserve">Saunders Mac </w:t>
      </w:r>
      <w:r w:rsidR="00105B10" w:rsidRPr="00543C45">
        <w:lastRenderedPageBreak/>
        <w:t>Lane</w:t>
      </w:r>
      <w:r w:rsidR="00543C45" w:rsidRPr="00543C45">
        <w:t xml:space="preserve"> </w:t>
      </w:r>
      <w:r w:rsidR="00105B10" w:rsidRPr="00543C45">
        <w:t>claimed that, “In practice, a proof is a sketch, in sufficient detail to make possible a routine translation of this sketch into a formal proof</w:t>
      </w:r>
      <w:r w:rsidR="00C20CE6" w:rsidRPr="00543C45">
        <w:t xml:space="preserve">” </w:t>
      </w:r>
      <w:r w:rsidR="00504B35">
        <w:t>a</w:t>
      </w:r>
      <w:r w:rsidR="00C20CE6" w:rsidRPr="00543C45">
        <w:t>nd that,</w:t>
      </w:r>
      <w:r w:rsidR="00105B10" w:rsidRPr="00543C45">
        <w:t xml:space="preserve"> </w:t>
      </w:r>
      <w:r w:rsidR="00C20CE6" w:rsidRPr="00543C45">
        <w:t>“</w:t>
      </w:r>
      <w:r w:rsidR="00105B10" w:rsidRPr="00543C45">
        <w:t>...the test for the correctness of a proposed proof is by formal criteria and not by reference to the subject matter at issue</w:t>
      </w:r>
      <w:r w:rsidR="00C20CE6" w:rsidRPr="00543C45">
        <w:t xml:space="preserve">” </w:t>
      </w:r>
      <w:r w:rsidR="00105B10" w:rsidRPr="00543C45">
        <w:t xml:space="preserve">(1986 </w:t>
      </w:r>
      <w:r w:rsidR="00C20CE6" w:rsidRPr="00543C45">
        <w:t>p</w:t>
      </w:r>
      <w:r w:rsidR="00105B10" w:rsidRPr="00543C45">
        <w:t>p. 37</w:t>
      </w:r>
      <w:r w:rsidR="00C20CE6" w:rsidRPr="00543C45">
        <w:t>7-</w:t>
      </w:r>
      <w:r w:rsidR="00105B10" w:rsidRPr="00543C45">
        <w:t>8).</w:t>
      </w:r>
      <w:r w:rsidR="00504B35">
        <w:t xml:space="preserve">  Here is a looser statement from Thomas Hales</w:t>
      </w:r>
      <w:r w:rsidR="00F20CF0">
        <w:t xml:space="preserve">, </w:t>
      </w:r>
    </w:p>
    <w:p w14:paraId="3DE1F4CC" w14:textId="68388330" w:rsidR="00F20CF0" w:rsidRPr="00F20CF0" w:rsidRDefault="00F20CF0" w:rsidP="008924EB">
      <w:pPr>
        <w:ind w:left="720"/>
      </w:pPr>
      <w:r w:rsidRPr="00F20CF0">
        <w:t xml:space="preserve">The ultimate standard of proof is a formal proof, which is nothing other than an unbroken chain of logical inferences from an explicit set of axioms. While this may be the mathematical ideal of proof, actual mathematical practice generally deviates significantly from the </w:t>
      </w:r>
      <w:r w:rsidRPr="00F20CF0">
        <w:rPr>
          <w:lang w:val="en-US"/>
        </w:rPr>
        <w:t>ideal.</w:t>
      </w:r>
      <w:r w:rsidR="002765E8">
        <w:rPr>
          <w:lang w:val="en-US"/>
        </w:rPr>
        <w:t xml:space="preserve"> (2012, p. x)</w:t>
      </w:r>
    </w:p>
    <w:p w14:paraId="6A013B49" w14:textId="51E848A6" w:rsidR="00BF7755" w:rsidRPr="00B24F27" w:rsidRDefault="005A32DC" w:rsidP="008924EB">
      <w:pPr>
        <w:autoSpaceDE w:val="0"/>
        <w:autoSpaceDN w:val="0"/>
        <w:adjustRightInd w:val="0"/>
        <w:rPr>
          <w:rFonts w:cs="Times-Roman"/>
        </w:rPr>
      </w:pPr>
      <w:r>
        <w:t xml:space="preserve">Where Mac Lane describes the informal proof as a ‘sketch’, Hales </w:t>
      </w:r>
      <w:r w:rsidR="00FB2F8A">
        <w:t>writes</w:t>
      </w:r>
      <w:r>
        <w:t xml:space="preserve"> </w:t>
      </w:r>
      <w:r w:rsidR="00FB2F8A">
        <w:t xml:space="preserve">(in the title of his book) </w:t>
      </w:r>
      <w:r>
        <w:t xml:space="preserve">of a ‘blueprint’.  </w:t>
      </w:r>
      <w:r w:rsidR="00592DA3">
        <w:t xml:space="preserve"> </w:t>
      </w:r>
      <w:r w:rsidR="00472DF2" w:rsidRPr="00596D87">
        <w:t>Solomon</w:t>
      </w:r>
      <w:r w:rsidR="00472DF2">
        <w:t xml:space="preserve"> </w:t>
      </w:r>
      <w:r w:rsidR="00472DF2" w:rsidRPr="00B24F27">
        <w:rPr>
          <w:rFonts w:cs="Times-Roman"/>
        </w:rPr>
        <w:t>Feferman</w:t>
      </w:r>
      <w:r w:rsidR="007E1029">
        <w:t>,</w:t>
      </w:r>
      <w:r w:rsidR="00BF7755">
        <w:t xml:space="preserve"> a</w:t>
      </w:r>
      <w:r w:rsidR="00BF7755" w:rsidRPr="00B24F27">
        <w:rPr>
          <w:rFonts w:cs="Times-Roman"/>
        </w:rPr>
        <w:t>t the end of his (2012),</w:t>
      </w:r>
      <w:r w:rsidR="00F42303">
        <w:rPr>
          <w:rFonts w:cs="Times-Roman"/>
        </w:rPr>
        <w:t xml:space="preserve"> sought to specify the relation between an informal proof and a corresponding </w:t>
      </w:r>
      <w:r w:rsidR="00CF4817">
        <w:rPr>
          <w:rFonts w:cs="Times-Roman"/>
        </w:rPr>
        <w:t xml:space="preserve">formal </w:t>
      </w:r>
      <w:r w:rsidR="00F42303">
        <w:rPr>
          <w:rFonts w:cs="Times-Roman"/>
        </w:rPr>
        <w:t>derivation without usin</w:t>
      </w:r>
      <w:r w:rsidR="00EC0190">
        <w:rPr>
          <w:rFonts w:cs="Times-Roman"/>
        </w:rPr>
        <w:t>g such metaphors</w:t>
      </w:r>
      <w:r w:rsidR="00BF7755" w:rsidRPr="00B24F27">
        <w:rPr>
          <w:rFonts w:cs="Times-Roman"/>
        </w:rPr>
        <w:t xml:space="preserve">: </w:t>
      </w:r>
    </w:p>
    <w:p w14:paraId="4C4C3D2E" w14:textId="77777777" w:rsidR="00BF7755" w:rsidRPr="00B24F27" w:rsidRDefault="00BF7755" w:rsidP="008924EB">
      <w:pPr>
        <w:autoSpaceDE w:val="0"/>
        <w:autoSpaceDN w:val="0"/>
        <w:adjustRightInd w:val="0"/>
        <w:ind w:left="720"/>
        <w:rPr>
          <w:rFonts w:cs="Times-Roman"/>
        </w:rPr>
      </w:pPr>
      <w:r w:rsidRPr="00B24F27">
        <w:t xml:space="preserve">...the Formalizability Thesis should be given a very </w:t>
      </w:r>
      <w:r>
        <w:t>strict reading, namely that (</w:t>
      </w:r>
      <w:proofErr w:type="spellStart"/>
      <w:r>
        <w:t>i</w:t>
      </w:r>
      <w:proofErr w:type="spellEnd"/>
      <w:r>
        <w:t>) </w:t>
      </w:r>
      <w:r w:rsidRPr="00B24F27">
        <w:t>every good proof has an und</w:t>
      </w:r>
      <w:r>
        <w:t>erlying logical structure, (ii) </w:t>
      </w:r>
      <w:r w:rsidRPr="00B24F27">
        <w:t xml:space="preserve">that structure is completely </w:t>
      </w:r>
      <w:proofErr w:type="spellStart"/>
      <w:r w:rsidRPr="00B24F27">
        <w:t>analyzed</w:t>
      </w:r>
      <w:proofErr w:type="spellEnd"/>
      <w:r w:rsidRPr="00B24F27">
        <w:t xml:space="preserve"> in the derivation that formalize</w:t>
      </w:r>
      <w:r>
        <w:t>s the proof, and, finally (iii) </w:t>
      </w:r>
      <w:r w:rsidRPr="00B24F27">
        <w:t>that derivation assures the correctness of the theorem proved on the basis of the background assumptions expressed by the axioms and rules of the system in which the proof is formalized.</w:t>
      </w:r>
    </w:p>
    <w:p w14:paraId="2C45F819" w14:textId="3FD02278" w:rsidR="00F20CF0" w:rsidRDefault="00D1031E" w:rsidP="008924EB">
      <w:r>
        <w:t xml:space="preserve">For a more recent </w:t>
      </w:r>
      <w:r w:rsidR="00F725AF">
        <w:t xml:space="preserve">expression of </w:t>
      </w:r>
      <w:r w:rsidR="00073068">
        <w:t xml:space="preserve">the idea that </w:t>
      </w:r>
      <w:r w:rsidR="00797448">
        <w:t xml:space="preserve">proof is really about syntax, here is Joel D. Hamkins, </w:t>
      </w:r>
    </w:p>
    <w:p w14:paraId="2EC72BC3" w14:textId="59AC9D86" w:rsidR="00797448" w:rsidRPr="00543C45" w:rsidRDefault="00797448" w:rsidP="008924EB">
      <w:pPr>
        <w:ind w:left="720"/>
      </w:pPr>
      <w:r>
        <w:t>Proof and truth… lie on opposite sides of the syntax-semantics divide, for at bottom, a proof is a kind of argument, a collection of assertations structured syntactically in some way</w:t>
      </w:r>
      <w:r w:rsidR="00BB4188">
        <w:t>, while the truth of an assertion is grounded in deeply semantic issues concerning the way things are</w:t>
      </w:r>
      <w:r w:rsidR="009C1406">
        <w:t xml:space="preserve">… Proof… lies solidly on the syntactic side, since ideally one can verify and </w:t>
      </w:r>
      <w:proofErr w:type="spellStart"/>
      <w:r w:rsidR="009C1406">
        <w:t>analyze</w:t>
      </w:r>
      <w:proofErr w:type="spellEnd"/>
      <w:r w:rsidR="009C1406">
        <w:t xml:space="preserve"> </w:t>
      </w:r>
      <w:r w:rsidR="001807F6">
        <w:t xml:space="preserve">a proof as a purely syntactic object, without a concept of meaning and without </w:t>
      </w:r>
      <w:r w:rsidR="00085A12">
        <w:t>ever interpreting the language in any model.</w:t>
      </w:r>
      <w:r w:rsidR="00BB4188">
        <w:t xml:space="preserve">  (2020, </w:t>
      </w:r>
      <w:r w:rsidR="00085A12">
        <w:t>p</w:t>
      </w:r>
      <w:r w:rsidR="00BB4188">
        <w:t>p. 157</w:t>
      </w:r>
      <w:r w:rsidR="00085A12">
        <w:t>-8</w:t>
      </w:r>
      <w:r w:rsidR="00BB4188">
        <w:t>)</w:t>
      </w:r>
    </w:p>
    <w:p w14:paraId="40F122C8" w14:textId="64AE4EBB" w:rsidR="00372CE5" w:rsidRPr="007E6D27" w:rsidRDefault="00456FBB" w:rsidP="00512499">
      <w:r>
        <w:t xml:space="preserve">In fairness, it should be </w:t>
      </w:r>
      <w:r w:rsidR="00FF3839">
        <w:t xml:space="preserve">noted </w:t>
      </w:r>
      <w:r w:rsidR="00AA0B0B">
        <w:t xml:space="preserve">that </w:t>
      </w:r>
      <w:r w:rsidR="003A4455">
        <w:t>this quotation comes from a</w:t>
      </w:r>
      <w:r w:rsidR="00A70ABC">
        <w:t>n introductory</w:t>
      </w:r>
      <w:r w:rsidR="003A4455">
        <w:t xml:space="preserve"> </w:t>
      </w:r>
      <w:r w:rsidR="00FF3839">
        <w:t>lecture</w:t>
      </w:r>
      <w:r w:rsidR="003A4455">
        <w:t xml:space="preserve"> </w:t>
      </w:r>
      <w:r w:rsidR="00FF3839">
        <w:t>s</w:t>
      </w:r>
      <w:r w:rsidR="003A4455">
        <w:t>eries</w:t>
      </w:r>
      <w:r w:rsidR="00943E31">
        <w:t xml:space="preserve"> </w:t>
      </w:r>
      <w:r w:rsidR="002C45D0">
        <w:t>in which</w:t>
      </w:r>
      <w:r w:rsidR="001E5FF9">
        <w:t xml:space="preserve"> </w:t>
      </w:r>
      <w:r>
        <w:t xml:space="preserve">Hamkins </w:t>
      </w:r>
      <w:r w:rsidR="00661C3C">
        <w:t>outlines</w:t>
      </w:r>
      <w:r w:rsidR="00A16B21">
        <w:t xml:space="preserve"> a range of perspectives</w:t>
      </w:r>
      <w:r w:rsidR="00943E31">
        <w:t xml:space="preserve"> and leaves the deeper questions that they raise </w:t>
      </w:r>
      <w:r w:rsidR="00AA0B0B">
        <w:t xml:space="preserve">for students to discuss. </w:t>
      </w:r>
      <w:r w:rsidR="00A16B21">
        <w:t xml:space="preserve"> </w:t>
      </w:r>
      <w:r w:rsidR="00AA0B0B">
        <w:t>Nonetheless, t</w:t>
      </w:r>
      <w:r w:rsidR="00B47F4F">
        <w:t xml:space="preserve">hese examples are enough to show why this is called ‘the </w:t>
      </w:r>
      <w:r w:rsidR="004F3995">
        <w:t>S</w:t>
      </w:r>
      <w:r w:rsidR="00B47F4F">
        <w:t xml:space="preserve">tandard </w:t>
      </w:r>
      <w:r w:rsidR="004F3995">
        <w:t>V</w:t>
      </w:r>
      <w:r w:rsidR="00B47F4F">
        <w:t xml:space="preserve">iew’.  It </w:t>
      </w:r>
      <w:r w:rsidR="00940445">
        <w:t xml:space="preserve">occurs </w:t>
      </w:r>
      <w:r w:rsidR="00B47F4F">
        <w:t xml:space="preserve">in </w:t>
      </w:r>
      <w:r w:rsidR="00252D38">
        <w:t xml:space="preserve">mathematicians’ </w:t>
      </w:r>
      <w:r w:rsidR="00B47F4F">
        <w:t>discussions of proof</w:t>
      </w:r>
      <w:r w:rsidR="00245D10">
        <w:t>,</w:t>
      </w:r>
      <w:r w:rsidR="00B47F4F">
        <w:t xml:space="preserve"> </w:t>
      </w:r>
      <w:r w:rsidR="00940445">
        <w:t xml:space="preserve">often with little or no supporting argument, as if it were </w:t>
      </w:r>
      <w:r w:rsidR="00245D10">
        <w:t xml:space="preserve">an unobjectionable statement of what </w:t>
      </w:r>
      <w:r w:rsidR="00A76318">
        <w:t xml:space="preserve">all </w:t>
      </w:r>
      <w:r w:rsidR="00245D10">
        <w:t xml:space="preserve">mathematicians mean by ‘proof’.  </w:t>
      </w:r>
      <w:r w:rsidR="00F000FC">
        <w:t xml:space="preserve"> </w:t>
      </w:r>
      <w:r w:rsidR="005C11AE">
        <w:t xml:space="preserve">It </w:t>
      </w:r>
      <w:r w:rsidR="00B739A4">
        <w:t xml:space="preserve">is </w:t>
      </w:r>
      <w:r w:rsidR="005C11AE">
        <w:t xml:space="preserve">almost always </w:t>
      </w:r>
      <w:r w:rsidR="00B739A4">
        <w:t xml:space="preserve">joined with a recognition that </w:t>
      </w:r>
      <w:r w:rsidR="00813934">
        <w:t>reality rarely approaches this ideal</w:t>
      </w:r>
      <w:r w:rsidR="00702F60">
        <w:t xml:space="preserve"> (as in Mac Lane and Hales, </w:t>
      </w:r>
      <w:r w:rsidR="00736D40">
        <w:t>just quoted)</w:t>
      </w:r>
      <w:r w:rsidR="00813934">
        <w:t xml:space="preserve">.  Here is Hamkins, a few pages on: </w:t>
      </w:r>
      <w:r w:rsidR="00375983">
        <w:t>“Most contemporary mathematical proofs are written in prose, essay-style</w:t>
      </w:r>
      <w:r w:rsidR="006E59FB">
        <w:t xml:space="preserve">… In mathematical practice, a proof is </w:t>
      </w:r>
      <w:r w:rsidR="00F30DB0">
        <w:t>any sufficiently detailed convincing mathematical argument that logically est</w:t>
      </w:r>
      <w:r w:rsidR="002D3732">
        <w:t>ablishes the truth of a theorem from its premises.</w:t>
      </w:r>
      <w:r w:rsidR="006E59FB">
        <w:t xml:space="preserve">” </w:t>
      </w:r>
      <w:r w:rsidR="002D3732">
        <w:t xml:space="preserve">(p. 160).  </w:t>
      </w:r>
      <w:r w:rsidR="00BC4BE4">
        <w:t xml:space="preserve">Students might wonder how prose, even mathematical prose, can </w:t>
      </w:r>
      <w:r w:rsidR="005969B7">
        <w:t>‘</w:t>
      </w:r>
      <w:r w:rsidR="00BC4BE4">
        <w:t xml:space="preserve">lie </w:t>
      </w:r>
      <w:r w:rsidR="005969B7">
        <w:t>solidly on the syntactic side’.</w:t>
      </w:r>
      <w:r w:rsidR="0093062F">
        <w:t xml:space="preserve">  </w:t>
      </w:r>
      <w:r w:rsidR="000548CC">
        <w:t>In most of these presentations, t</w:t>
      </w:r>
      <w:r w:rsidR="00475DCE">
        <w:t xml:space="preserve">he tension between the ideal </w:t>
      </w:r>
      <w:r w:rsidR="000548CC">
        <w:t xml:space="preserve">of a purely syntactic object and the reality </w:t>
      </w:r>
      <w:r w:rsidR="00400838">
        <w:t xml:space="preserve">of proofs written in semantically rich prose </w:t>
      </w:r>
      <w:r w:rsidR="00C26D19">
        <w:t xml:space="preserve">is either shrugged off or set aside with a claim (as in Mac Lane) that the translation between informal proof and formal derivation is ‘routine’ or otherwise unproblematic.  </w:t>
      </w:r>
      <w:r w:rsidR="00416A28">
        <w:t xml:space="preserve">Of course, some aspects of </w:t>
      </w:r>
      <w:r w:rsidR="00FD4D59">
        <w:t xml:space="preserve">mathematical argumentation are perfectly well modelled by formal logic.  Every proof by contradiction, for example, is a clear, undisguised </w:t>
      </w:r>
      <w:r w:rsidR="00903B1D">
        <w:t xml:space="preserve">case of </w:t>
      </w:r>
      <w:r w:rsidR="00240F0F">
        <w:rPr>
          <w:i/>
          <w:iCs/>
        </w:rPr>
        <w:t>reductio ad absurdum</w:t>
      </w:r>
      <w:r w:rsidR="00903B1D">
        <w:rPr>
          <w:i/>
          <w:iCs/>
        </w:rPr>
        <w:t>.</w:t>
      </w:r>
    </w:p>
    <w:p w14:paraId="4FDB0019" w14:textId="01E91283" w:rsidR="00245D10" w:rsidRDefault="00610B8F" w:rsidP="00512499">
      <w:r>
        <w:lastRenderedPageBreak/>
        <w:t xml:space="preserve">Some mathematicians do worry about </w:t>
      </w:r>
      <w:r w:rsidR="005969B7">
        <w:t xml:space="preserve">in the relation between </w:t>
      </w:r>
      <w:r w:rsidR="00364E19">
        <w:t>an</w:t>
      </w:r>
      <w:r w:rsidR="005969B7">
        <w:t xml:space="preserve"> informal proof and its corresponding derivations</w:t>
      </w:r>
      <w:r w:rsidR="00364E19">
        <w:t>,</w:t>
      </w:r>
      <w:r w:rsidR="005969B7">
        <w:rPr>
          <w:rStyle w:val="FootnoteReference"/>
        </w:rPr>
        <w:footnoteReference w:id="7"/>
      </w:r>
      <w:r>
        <w:t xml:space="preserve"> such as Reuben Hersh (1997) and most notably Yehuda Rav (1999).  </w:t>
      </w:r>
      <w:r w:rsidR="00B96CA2">
        <w:t xml:space="preserve">Rav asked why we prove theorems, and his answers all turned on a claim that proofs include ‘topic-specific moves’ (p. 26) that cannot be re-cast </w:t>
      </w:r>
      <w:r w:rsidR="00364E19">
        <w:t xml:space="preserve">in formal logic </w:t>
      </w:r>
      <w:r w:rsidR="00B96CA2">
        <w:t xml:space="preserve">without loss or violence.  </w:t>
      </w:r>
      <w:r w:rsidR="0032579B">
        <w:t xml:space="preserve">This is also a central point for </w:t>
      </w:r>
      <w:r w:rsidR="00D736F7">
        <w:t>Hersh, “The passage from informal to formalized theory must entail loss of meaning or change of meaning” (</w:t>
      </w:r>
      <w:r w:rsidR="007E5430">
        <w:t xml:space="preserve">1997, p. 160).  Mac Lane, in contrast, </w:t>
      </w:r>
      <w:r w:rsidR="00ED299F">
        <w:t xml:space="preserve">claims that if an informal proof is rigorous, this translation must be ‘routine’ </w:t>
      </w:r>
      <w:r w:rsidR="00575FDB">
        <w:t xml:space="preserve">and </w:t>
      </w:r>
      <w:r w:rsidR="00BF6CC0">
        <w:t xml:space="preserve">that </w:t>
      </w:r>
      <w:r w:rsidR="00575FDB">
        <w:t xml:space="preserve">the test for correctness </w:t>
      </w:r>
      <w:r w:rsidR="00BF6CC0">
        <w:t>should made no reference to the subject matter</w:t>
      </w:r>
      <w:r w:rsidR="00950417">
        <w:t>, that is, should not be topic-specific</w:t>
      </w:r>
      <w:r w:rsidR="00BF6CC0">
        <w:t xml:space="preserve"> </w:t>
      </w:r>
      <w:r w:rsidR="00ED299F">
        <w:t xml:space="preserve">(quoted above).  </w:t>
      </w:r>
    </w:p>
    <w:p w14:paraId="2E20CAD6" w14:textId="5937C07F" w:rsidR="009D3EF6" w:rsidRPr="00367353" w:rsidRDefault="007E69EE" w:rsidP="00512499">
      <w:r>
        <w:t xml:space="preserve">Thus, we have some mathematicians (Hersh, Rav) insisting that </w:t>
      </w:r>
      <w:r w:rsidR="00FA73B2">
        <w:t xml:space="preserve">informal proofs are </w:t>
      </w:r>
      <w:r w:rsidR="00950417">
        <w:t>often so</w:t>
      </w:r>
      <w:r w:rsidR="00FA73B2">
        <w:t xml:space="preserve"> different from formal derivations that the latter have little relevance to the business of </w:t>
      </w:r>
      <w:r w:rsidR="003F4A33">
        <w:t>writing and checking the former</w:t>
      </w:r>
      <w:r w:rsidR="00B32BF6">
        <w:t xml:space="preserve">.  Other mathematicians (Mac Lane, </w:t>
      </w:r>
      <w:r w:rsidR="00B52DEB">
        <w:t>Feferman, perhaps Hales and H</w:t>
      </w:r>
      <w:r w:rsidR="00E41AE9">
        <w:t>a</w:t>
      </w:r>
      <w:r w:rsidR="00B52DEB">
        <w:t xml:space="preserve">mkins) </w:t>
      </w:r>
      <w:r w:rsidR="00A229F2">
        <w:t xml:space="preserve">sail close to </w:t>
      </w:r>
      <w:r w:rsidR="00B52DEB">
        <w:t>claim</w:t>
      </w:r>
      <w:r w:rsidR="00A229F2">
        <w:t>ing</w:t>
      </w:r>
      <w:r w:rsidR="00B52DEB">
        <w:t xml:space="preserve"> that </w:t>
      </w:r>
      <w:r w:rsidR="00367353">
        <w:t xml:space="preserve">a rigorous informal proof in some sense </w:t>
      </w:r>
      <w:r w:rsidR="00367353">
        <w:rPr>
          <w:i/>
          <w:iCs/>
        </w:rPr>
        <w:t xml:space="preserve">is </w:t>
      </w:r>
      <w:r w:rsidR="00367353">
        <w:t>a formal derivation (‘at bottom’</w:t>
      </w:r>
      <w:r w:rsidR="00321C71">
        <w:t xml:space="preserve">, </w:t>
      </w:r>
      <w:r w:rsidR="00C479FA">
        <w:t>under ‘complete analysis’ or</w:t>
      </w:r>
      <w:r w:rsidR="00367353">
        <w:t xml:space="preserve"> up to ‘routine’ translation).  </w:t>
      </w:r>
      <w:r w:rsidR="008E09D7">
        <w:t xml:space="preserve">What, </w:t>
      </w:r>
      <w:r w:rsidR="00B16E9D">
        <w:t>in</w:t>
      </w:r>
      <w:r w:rsidR="008E09D7">
        <w:t xml:space="preserve"> this circumstance, is a philosopher to do?  </w:t>
      </w:r>
      <w:r w:rsidR="00351D2D">
        <w:t xml:space="preserve">One of the most widely discussed </w:t>
      </w:r>
      <w:r w:rsidR="001B4045">
        <w:t xml:space="preserve">accounts of the matter is </w:t>
      </w:r>
      <w:r w:rsidR="004A6546">
        <w:t>Jody Azzouni’s (2004)</w:t>
      </w:r>
      <w:r w:rsidR="004A6546">
        <w:rPr>
          <w:rStyle w:val="FootnoteReference"/>
        </w:rPr>
        <w:footnoteReference w:id="8"/>
      </w:r>
      <w:r w:rsidR="004A6546">
        <w:t xml:space="preserve"> </w:t>
      </w:r>
      <w:r w:rsidR="001B4045">
        <w:t>‘derivation</w:t>
      </w:r>
      <w:r w:rsidR="000F043A">
        <w:t>-</w:t>
      </w:r>
      <w:r w:rsidR="001B4045">
        <w:t xml:space="preserve">indicator’ </w:t>
      </w:r>
      <w:r w:rsidR="004A6546">
        <w:t xml:space="preserve">view. </w:t>
      </w:r>
    </w:p>
    <w:p w14:paraId="6C4782A4" w14:textId="60303C27" w:rsidR="00512499" w:rsidRDefault="00777B2F" w:rsidP="00512499">
      <w:r>
        <w:t xml:space="preserve">Azzouni, seeking to </w:t>
      </w:r>
      <w:r w:rsidR="00A22113">
        <w:t>specify</w:t>
      </w:r>
      <w:r>
        <w:t xml:space="preserve"> </w:t>
      </w:r>
      <w:r w:rsidR="00ED33E4">
        <w:t>a role for formal derivations</w:t>
      </w:r>
      <w:r w:rsidR="00DA3D0A">
        <w:t xml:space="preserve"> </w:t>
      </w:r>
      <w:r>
        <w:t xml:space="preserve">while </w:t>
      </w:r>
      <w:r w:rsidR="00FB33A5">
        <w:t xml:space="preserve">doing justice to the rich descriptions of proof-practice that he found in Rav and others, </w:t>
      </w:r>
      <w:r w:rsidR="00B70B0B">
        <w:t>argued that</w:t>
      </w:r>
      <w:r w:rsidR="00975C18">
        <w:t xml:space="preserve"> a</w:t>
      </w:r>
      <w:r w:rsidR="00DD13AC">
        <w:t xml:space="preserve">n informal proof is not a formal derivation somehow </w:t>
      </w:r>
      <w:r w:rsidR="00975C18">
        <w:t>abbreviated or disguised</w:t>
      </w:r>
      <w:r w:rsidR="0022154F">
        <w:t xml:space="preserve">.  </w:t>
      </w:r>
      <w:r w:rsidR="000F043A">
        <w:t>Rather</w:t>
      </w:r>
      <w:r w:rsidR="001816D9">
        <w:t xml:space="preserve">, </w:t>
      </w:r>
      <w:r w:rsidR="00DC4EB8">
        <w:t xml:space="preserve">a valid informal proof indicates </w:t>
      </w:r>
      <w:r w:rsidR="00502928">
        <w:t xml:space="preserve">the existence of a formal derivation and in this way meets the </w:t>
      </w:r>
      <w:r w:rsidR="00697334">
        <w:t xml:space="preserve">norm </w:t>
      </w:r>
      <w:r w:rsidR="004F035A">
        <w:t xml:space="preserve">of formal correctness.  </w:t>
      </w:r>
      <w:r w:rsidR="00AC30D2">
        <w:t>Azzouni later modified this view</w:t>
      </w:r>
      <w:r w:rsidR="00F3051E">
        <w:t xml:space="preserve"> (2009)</w:t>
      </w:r>
      <w:r w:rsidR="00BF000F">
        <w:t>, g</w:t>
      </w:r>
      <w:r w:rsidR="00C0726B">
        <w:t xml:space="preserve">iving up the </w:t>
      </w:r>
      <w:r w:rsidR="0066469C">
        <w:t>phrase ‘</w:t>
      </w:r>
      <w:r w:rsidR="00A57754">
        <w:t>derivation-indicator</w:t>
      </w:r>
      <w:r w:rsidR="0066469C">
        <w:t xml:space="preserve">’ in favour of </w:t>
      </w:r>
      <w:r w:rsidR="00F3051E">
        <w:t xml:space="preserve">talk of topic-specific inference packages </w:t>
      </w:r>
      <w:r w:rsidR="004344AE">
        <w:t xml:space="preserve">that sound rather like </w:t>
      </w:r>
      <w:r w:rsidR="00B82E73">
        <w:t xml:space="preserve">Rav’s topic-specific moves.  </w:t>
      </w:r>
      <w:r w:rsidR="008757B3">
        <w:t xml:space="preserve">In spite of this partial rapprochement, there are some important differences between </w:t>
      </w:r>
      <w:r w:rsidR="005260DA">
        <w:t xml:space="preserve">Azzouni’s eventual position and Rav’s </w:t>
      </w:r>
      <w:r w:rsidR="004C667D">
        <w:t xml:space="preserve">outlook.  Azzouni </w:t>
      </w:r>
      <w:r w:rsidR="00600DDB">
        <w:t xml:space="preserve">works hard </w:t>
      </w:r>
      <w:r w:rsidR="008938DA">
        <w:t xml:space="preserve">in </w:t>
      </w:r>
      <w:r w:rsidR="0082696E">
        <w:t>his (2009)</w:t>
      </w:r>
      <w:r w:rsidR="008938DA">
        <w:t xml:space="preserve"> paper </w:t>
      </w:r>
      <w:r w:rsidR="00600DDB">
        <w:t xml:space="preserve">to </w:t>
      </w:r>
      <w:r w:rsidR="00D30195">
        <w:t>identify the role that formal logic has in informal proof practice (see his discussion of ‘content containment’)</w:t>
      </w:r>
      <w:r w:rsidR="00C53D52">
        <w:t xml:space="preserve">, and he ties his account to human cognitive processes </w:t>
      </w:r>
      <w:r w:rsidR="00ED320D">
        <w:t xml:space="preserve">and capacities, whereas Rav talks about </w:t>
      </w:r>
      <w:r w:rsidR="00DB1BC7">
        <w:t xml:space="preserve">topic-specific </w:t>
      </w:r>
      <w:r w:rsidR="00ED320D">
        <w:t xml:space="preserve">mathematical </w:t>
      </w:r>
      <w:r w:rsidR="00DB1BC7">
        <w:t>moves that might in principle be carried out by a cephalopod</w:t>
      </w:r>
      <w:r w:rsidR="007A0085">
        <w:t xml:space="preserve"> or an </w:t>
      </w:r>
      <w:r w:rsidR="00DB1BC7">
        <w:t>alien.</w:t>
      </w:r>
    </w:p>
    <w:p w14:paraId="15326B90" w14:textId="68890DA1" w:rsidR="00512499" w:rsidRDefault="000E4417" w:rsidP="005A7E8E">
      <w:pPr>
        <w:rPr>
          <w:rFonts w:cstheme="minorHAnsi"/>
        </w:rPr>
      </w:pPr>
      <w:r>
        <w:t>Azzouni’s chief</w:t>
      </w:r>
      <w:r w:rsidR="00DB1BC7">
        <w:t xml:space="preserve"> </w:t>
      </w:r>
      <w:r>
        <w:t xml:space="preserve">motive for </w:t>
      </w:r>
      <w:r w:rsidR="00A45373">
        <w:t>giving up the derivation-indicator</w:t>
      </w:r>
      <w:r>
        <w:t xml:space="preserve"> </w:t>
      </w:r>
      <w:r w:rsidR="00AA6486">
        <w:t xml:space="preserve">view seems to </w:t>
      </w:r>
      <w:r w:rsidR="00D94449">
        <w:t xml:space="preserve">be </w:t>
      </w:r>
      <w:r w:rsidR="00AA6486">
        <w:t xml:space="preserve">that he found himself </w:t>
      </w:r>
      <w:r w:rsidR="002C36DB">
        <w:t xml:space="preserve">explaining observable, measurable </w:t>
      </w:r>
      <w:r w:rsidR="007A0085">
        <w:t xml:space="preserve">social </w:t>
      </w:r>
      <w:r w:rsidR="002C36DB">
        <w:t xml:space="preserve">facts—the reliability and stability of mathematical knowledge, the </w:t>
      </w:r>
      <w:r w:rsidR="005301CA">
        <w:t xml:space="preserve">confidence of mathematicians in their results and the high degree of consensus in the mathematical research </w:t>
      </w:r>
      <w:r w:rsidR="005301CA" w:rsidRPr="00512499">
        <w:rPr>
          <w:rFonts w:cstheme="minorHAnsi"/>
        </w:rPr>
        <w:t xml:space="preserve">community—by reference to something </w:t>
      </w:r>
      <w:r w:rsidR="00512499" w:rsidRPr="00512499">
        <w:rPr>
          <w:rFonts w:cstheme="minorHAnsi"/>
        </w:rPr>
        <w:t xml:space="preserve">that in almost all cases is </w:t>
      </w:r>
      <w:r w:rsidR="00414D0D" w:rsidRPr="00512499">
        <w:rPr>
          <w:rFonts w:cstheme="minorHAnsi"/>
        </w:rPr>
        <w:t>non-existent</w:t>
      </w:r>
      <w:r w:rsidR="00512499" w:rsidRPr="00512499">
        <w:rPr>
          <w:rFonts w:cstheme="minorHAnsi"/>
        </w:rPr>
        <w:t xml:space="preserve">: </w:t>
      </w:r>
    </w:p>
    <w:p w14:paraId="72153C4B" w14:textId="366E3BFC" w:rsidR="00512499" w:rsidRDefault="00512499" w:rsidP="005A7E8E">
      <w:pPr>
        <w:ind w:left="720"/>
        <w:rPr>
          <w:rFonts w:cstheme="minorHAnsi"/>
          <w:color w:val="131413"/>
        </w:rPr>
      </w:pPr>
      <w:r w:rsidRPr="00512499">
        <w:rPr>
          <w:rFonts w:cstheme="minorHAnsi"/>
          <w:color w:val="131413"/>
        </w:rPr>
        <w:t xml:space="preserve">I kept falling (against my will) into a view that mathematicians had to be engaged in </w:t>
      </w:r>
      <w:r w:rsidRPr="00512499">
        <w:rPr>
          <w:rFonts w:cstheme="minorHAnsi"/>
          <w:i/>
          <w:iCs/>
          <w:color w:val="131413"/>
        </w:rPr>
        <w:t xml:space="preserve">something </w:t>
      </w:r>
      <w:r w:rsidRPr="00512499">
        <w:rPr>
          <w:rFonts w:cstheme="minorHAnsi"/>
          <w:color w:val="131413"/>
        </w:rPr>
        <w:t xml:space="preserve">like sophisticated syntactic pattern-recognition while perusing informal mathematical proofs, so that they would be sensitive (without realizing it) to a background of </w:t>
      </w:r>
      <w:proofErr w:type="spellStart"/>
      <w:r w:rsidRPr="00512499">
        <w:rPr>
          <w:rFonts w:cstheme="minorHAnsi"/>
          <w:i/>
          <w:iCs/>
          <w:color w:val="131413"/>
        </w:rPr>
        <w:t>nonexistent</w:t>
      </w:r>
      <w:proofErr w:type="spellEnd"/>
      <w:r w:rsidRPr="00512499">
        <w:rPr>
          <w:rFonts w:cstheme="minorHAnsi"/>
          <w:i/>
          <w:iCs/>
          <w:color w:val="131413"/>
        </w:rPr>
        <w:t xml:space="preserve"> </w:t>
      </w:r>
      <w:r w:rsidRPr="00512499">
        <w:rPr>
          <w:rFonts w:cstheme="minorHAnsi"/>
          <w:color w:val="131413"/>
        </w:rPr>
        <w:t>formal derivations.</w:t>
      </w:r>
      <w:r w:rsidR="00F91345">
        <w:rPr>
          <w:rStyle w:val="FootnoteReference"/>
          <w:rFonts w:cstheme="minorHAnsi"/>
          <w:color w:val="131413"/>
        </w:rPr>
        <w:footnoteReference w:id="9"/>
      </w:r>
    </w:p>
    <w:p w14:paraId="104EEF6F" w14:textId="5303493E" w:rsidR="00002B2D" w:rsidRDefault="00613A7A" w:rsidP="005A7E8E">
      <w:pPr>
        <w:rPr>
          <w:rFonts w:cstheme="minorHAnsi"/>
          <w:color w:val="131413"/>
        </w:rPr>
      </w:pPr>
      <w:r>
        <w:rPr>
          <w:rFonts w:cstheme="minorHAnsi"/>
          <w:color w:val="131413"/>
        </w:rPr>
        <w:t xml:space="preserve">Philosophers </w:t>
      </w:r>
      <w:r w:rsidR="005F5776">
        <w:rPr>
          <w:rFonts w:cstheme="minorHAnsi"/>
          <w:color w:val="131413"/>
        </w:rPr>
        <w:t xml:space="preserve">of </w:t>
      </w:r>
      <w:r>
        <w:rPr>
          <w:rFonts w:cstheme="minorHAnsi"/>
          <w:color w:val="131413"/>
        </w:rPr>
        <w:t>the Rav</w:t>
      </w:r>
      <w:r w:rsidR="001F53DC">
        <w:rPr>
          <w:rFonts w:cstheme="minorHAnsi"/>
          <w:color w:val="131413"/>
        </w:rPr>
        <w:t xml:space="preserve"> </w:t>
      </w:r>
      <w:r>
        <w:rPr>
          <w:rFonts w:cstheme="minorHAnsi"/>
          <w:color w:val="131413"/>
        </w:rPr>
        <w:t xml:space="preserve">tendency </w:t>
      </w:r>
      <w:r w:rsidR="009F5E81">
        <w:rPr>
          <w:rFonts w:cstheme="minorHAnsi"/>
          <w:color w:val="131413"/>
        </w:rPr>
        <w:t>often</w:t>
      </w:r>
      <w:r w:rsidR="001C78D2">
        <w:rPr>
          <w:rFonts w:cstheme="minorHAnsi"/>
          <w:color w:val="131413"/>
        </w:rPr>
        <w:t xml:space="preserve"> rely on some version of this point.  Formal derivations </w:t>
      </w:r>
      <w:r w:rsidR="00A96C67">
        <w:rPr>
          <w:rFonts w:cstheme="minorHAnsi"/>
          <w:color w:val="131413"/>
        </w:rPr>
        <w:t xml:space="preserve">corresponding to informal proofs </w:t>
      </w:r>
      <w:r w:rsidR="001C78D2">
        <w:rPr>
          <w:rFonts w:cstheme="minorHAnsi"/>
          <w:color w:val="131413"/>
        </w:rPr>
        <w:t xml:space="preserve">almost never </w:t>
      </w:r>
      <w:r w:rsidR="00412724">
        <w:rPr>
          <w:rFonts w:cstheme="minorHAnsi"/>
          <w:color w:val="131413"/>
        </w:rPr>
        <w:t>exist in material reality</w:t>
      </w:r>
      <w:r w:rsidR="00564ED9">
        <w:rPr>
          <w:rFonts w:cstheme="minorHAnsi"/>
          <w:color w:val="131413"/>
        </w:rPr>
        <w:t>.  They might be posited</w:t>
      </w:r>
      <w:r w:rsidR="00E0280F">
        <w:rPr>
          <w:rFonts w:cstheme="minorHAnsi"/>
          <w:color w:val="131413"/>
        </w:rPr>
        <w:t xml:space="preserve"> in principle</w:t>
      </w:r>
      <w:r w:rsidR="00564ED9">
        <w:rPr>
          <w:rFonts w:cstheme="minorHAnsi"/>
          <w:color w:val="131413"/>
        </w:rPr>
        <w:t xml:space="preserve">, </w:t>
      </w:r>
      <w:r w:rsidR="00CF72BE">
        <w:rPr>
          <w:rFonts w:cstheme="minorHAnsi"/>
          <w:color w:val="131413"/>
        </w:rPr>
        <w:t xml:space="preserve">and sometimes </w:t>
      </w:r>
      <w:r w:rsidR="0064479B">
        <w:rPr>
          <w:rFonts w:cstheme="minorHAnsi"/>
          <w:color w:val="131413"/>
        </w:rPr>
        <w:t xml:space="preserve">the structure of the informal proof might suggest </w:t>
      </w:r>
      <w:r w:rsidR="009D4EB8">
        <w:rPr>
          <w:rFonts w:cstheme="minorHAnsi"/>
          <w:color w:val="131413"/>
        </w:rPr>
        <w:t>a</w:t>
      </w:r>
      <w:r w:rsidR="00CF72BE">
        <w:rPr>
          <w:rFonts w:cstheme="minorHAnsi"/>
          <w:color w:val="131413"/>
        </w:rPr>
        <w:t xml:space="preserve"> map of how </w:t>
      </w:r>
      <w:r w:rsidR="00F1075B">
        <w:rPr>
          <w:rFonts w:cstheme="minorHAnsi"/>
          <w:color w:val="131413"/>
        </w:rPr>
        <w:t xml:space="preserve">a </w:t>
      </w:r>
      <w:r w:rsidR="00F1075B">
        <w:rPr>
          <w:rFonts w:cstheme="minorHAnsi"/>
          <w:color w:val="131413"/>
        </w:rPr>
        <w:lastRenderedPageBreak/>
        <w:t xml:space="preserve">derivation </w:t>
      </w:r>
      <w:r w:rsidR="00687CC7">
        <w:rPr>
          <w:rFonts w:cstheme="minorHAnsi"/>
          <w:color w:val="131413"/>
        </w:rPr>
        <w:t>could</w:t>
      </w:r>
      <w:r w:rsidR="00CF72BE">
        <w:rPr>
          <w:rFonts w:cstheme="minorHAnsi"/>
          <w:color w:val="131413"/>
        </w:rPr>
        <w:t xml:space="preserve"> be worked up.  </w:t>
      </w:r>
      <w:r w:rsidR="0051777A">
        <w:rPr>
          <w:rFonts w:cstheme="minorHAnsi"/>
          <w:color w:val="131413"/>
        </w:rPr>
        <w:t>Nevertheless, the</w:t>
      </w:r>
      <w:r w:rsidR="00E478AE">
        <w:rPr>
          <w:rFonts w:cstheme="minorHAnsi"/>
          <w:color w:val="131413"/>
        </w:rPr>
        <w:t xml:space="preserve"> posited formal derivations</w:t>
      </w:r>
      <w:r w:rsidR="0051777A">
        <w:rPr>
          <w:rFonts w:cstheme="minorHAnsi"/>
          <w:color w:val="131413"/>
        </w:rPr>
        <w:t xml:space="preserve"> almost always remain </w:t>
      </w:r>
      <w:r w:rsidR="00124079">
        <w:rPr>
          <w:rFonts w:cstheme="minorHAnsi"/>
          <w:color w:val="131413"/>
        </w:rPr>
        <w:t xml:space="preserve">materially </w:t>
      </w:r>
      <w:r w:rsidR="00A17B6D">
        <w:rPr>
          <w:rFonts w:cstheme="minorHAnsi"/>
          <w:color w:val="131413"/>
        </w:rPr>
        <w:t xml:space="preserve">non-existent and therefore ineligible </w:t>
      </w:r>
      <w:r w:rsidR="00371EB4">
        <w:rPr>
          <w:rFonts w:cstheme="minorHAnsi"/>
          <w:color w:val="131413"/>
        </w:rPr>
        <w:t>to be</w:t>
      </w:r>
      <w:r w:rsidR="00A17B6D">
        <w:rPr>
          <w:rFonts w:cstheme="minorHAnsi"/>
          <w:color w:val="131413"/>
        </w:rPr>
        <w:t xml:space="preserve"> </w:t>
      </w:r>
      <w:r w:rsidR="00E61E44">
        <w:rPr>
          <w:rFonts w:cstheme="minorHAnsi"/>
          <w:color w:val="131413"/>
        </w:rPr>
        <w:t xml:space="preserve">elements in the causal </w:t>
      </w:r>
      <w:r w:rsidR="005A7E8E">
        <w:rPr>
          <w:rFonts w:cstheme="minorHAnsi"/>
          <w:color w:val="131413"/>
        </w:rPr>
        <w:t>history</w:t>
      </w:r>
      <w:r w:rsidR="00E61E44">
        <w:rPr>
          <w:rFonts w:cstheme="minorHAnsi"/>
          <w:color w:val="131413"/>
        </w:rPr>
        <w:t xml:space="preserve"> </w:t>
      </w:r>
      <w:r w:rsidR="00E478AE">
        <w:rPr>
          <w:rFonts w:cstheme="minorHAnsi"/>
          <w:color w:val="131413"/>
        </w:rPr>
        <w:t xml:space="preserve">of </w:t>
      </w:r>
      <w:r w:rsidR="00E61E44">
        <w:rPr>
          <w:rFonts w:cstheme="minorHAnsi"/>
          <w:color w:val="131413"/>
        </w:rPr>
        <w:t xml:space="preserve">a psychological or social fact.  </w:t>
      </w:r>
      <w:r w:rsidR="00D24AB8">
        <w:rPr>
          <w:rFonts w:cstheme="minorHAnsi"/>
          <w:color w:val="131413"/>
        </w:rPr>
        <w:t xml:space="preserve">Whatever job it is that </w:t>
      </w:r>
      <w:r w:rsidR="00C61A00">
        <w:rPr>
          <w:rFonts w:cstheme="minorHAnsi"/>
          <w:color w:val="131413"/>
        </w:rPr>
        <w:t>formal derivations are supposed to do</w:t>
      </w:r>
      <w:r w:rsidR="003B0CCA">
        <w:rPr>
          <w:rFonts w:cstheme="minorHAnsi"/>
          <w:color w:val="131413"/>
        </w:rPr>
        <w:t xml:space="preserve"> in mathematical practice</w:t>
      </w:r>
      <w:r w:rsidR="00C61A00">
        <w:rPr>
          <w:rFonts w:cstheme="minorHAnsi"/>
          <w:color w:val="131413"/>
        </w:rPr>
        <w:t>, they somehow must be able to do it without existing.</w:t>
      </w:r>
      <w:r w:rsidR="00706447">
        <w:rPr>
          <w:rStyle w:val="FootnoteReference"/>
          <w:rFonts w:cstheme="minorHAnsi"/>
          <w:color w:val="131413"/>
        </w:rPr>
        <w:footnoteReference w:id="10"/>
      </w:r>
    </w:p>
    <w:p w14:paraId="15123A80" w14:textId="5969FBAF" w:rsidR="00F960E2" w:rsidRPr="003044D2" w:rsidRDefault="00977CF3" w:rsidP="005A7E8E">
      <w:pPr>
        <w:rPr>
          <w:rFonts w:cstheme="minorHAnsi"/>
          <w:color w:val="131413"/>
        </w:rPr>
      </w:pPr>
      <w:r>
        <w:rPr>
          <w:rFonts w:cstheme="minorHAnsi"/>
          <w:color w:val="131413"/>
        </w:rPr>
        <w:t>There are two more points to make about this debate before turning to Avigad’s recent paper.  First</w:t>
      </w:r>
      <w:r w:rsidR="0085297E">
        <w:rPr>
          <w:rFonts w:cstheme="minorHAnsi"/>
          <w:color w:val="131413"/>
        </w:rPr>
        <w:t xml:space="preserve">, </w:t>
      </w:r>
      <w:r w:rsidR="00127CA9">
        <w:rPr>
          <w:rFonts w:cstheme="minorHAnsi"/>
          <w:color w:val="131413"/>
        </w:rPr>
        <w:t xml:space="preserve">practicing mathematicians supply the </w:t>
      </w:r>
      <w:r w:rsidR="00320945">
        <w:rPr>
          <w:rFonts w:cstheme="minorHAnsi"/>
          <w:color w:val="131413"/>
        </w:rPr>
        <w:t xml:space="preserve">contending philosophical </w:t>
      </w:r>
      <w:r w:rsidR="00BF5180">
        <w:rPr>
          <w:rFonts w:cstheme="minorHAnsi"/>
          <w:color w:val="131413"/>
        </w:rPr>
        <w:t>positions</w:t>
      </w:r>
      <w:r w:rsidR="00127CA9">
        <w:rPr>
          <w:rFonts w:cstheme="minorHAnsi"/>
          <w:color w:val="131413"/>
        </w:rPr>
        <w:t xml:space="preserve">.  </w:t>
      </w:r>
      <w:r w:rsidR="00C95394">
        <w:rPr>
          <w:rFonts w:cstheme="minorHAnsi"/>
          <w:color w:val="131413"/>
        </w:rPr>
        <w:t>T</w:t>
      </w:r>
      <w:r w:rsidR="000641C5">
        <w:rPr>
          <w:rFonts w:cstheme="minorHAnsi"/>
          <w:color w:val="131413"/>
        </w:rPr>
        <w:t>he fact t</w:t>
      </w:r>
      <w:r w:rsidR="00C95394">
        <w:rPr>
          <w:rFonts w:cstheme="minorHAnsi"/>
          <w:color w:val="131413"/>
        </w:rPr>
        <w:t xml:space="preserve">hat mathematicians feel moved to </w:t>
      </w:r>
      <w:r w:rsidR="009B15AF">
        <w:rPr>
          <w:rFonts w:cstheme="minorHAnsi"/>
          <w:color w:val="131413"/>
        </w:rPr>
        <w:t xml:space="preserve">say what they do is part of the data for philosophers of mathematical practice.  In particular, philosophers who favour Rav’s </w:t>
      </w:r>
      <w:r w:rsidR="00AC4FB6">
        <w:rPr>
          <w:rFonts w:cstheme="minorHAnsi"/>
          <w:color w:val="131413"/>
        </w:rPr>
        <w:t>outlook</w:t>
      </w:r>
      <w:r w:rsidR="009B15AF">
        <w:rPr>
          <w:rFonts w:cstheme="minorHAnsi"/>
          <w:color w:val="131413"/>
        </w:rPr>
        <w:t xml:space="preserve"> need to explain </w:t>
      </w:r>
      <w:r w:rsidR="003D32E8">
        <w:rPr>
          <w:rFonts w:cstheme="minorHAnsi"/>
          <w:color w:val="131413"/>
        </w:rPr>
        <w:t>why</w:t>
      </w:r>
      <w:r w:rsidR="00AC4FB6">
        <w:rPr>
          <w:rFonts w:cstheme="minorHAnsi"/>
          <w:color w:val="131413"/>
        </w:rPr>
        <w:t xml:space="preserve"> mathematicians so often </w:t>
      </w:r>
      <w:r w:rsidR="00AD6219">
        <w:rPr>
          <w:rFonts w:cstheme="minorHAnsi"/>
          <w:color w:val="131413"/>
        </w:rPr>
        <w:t xml:space="preserve">announce some version of the Standard View.  </w:t>
      </w:r>
      <w:r w:rsidR="00E0074E">
        <w:rPr>
          <w:rFonts w:cstheme="minorHAnsi"/>
          <w:color w:val="131413"/>
        </w:rPr>
        <w:t>I</w:t>
      </w:r>
      <w:r w:rsidR="00AD6219">
        <w:rPr>
          <w:rFonts w:cstheme="minorHAnsi"/>
          <w:color w:val="131413"/>
        </w:rPr>
        <w:t xml:space="preserve">t </w:t>
      </w:r>
      <w:r w:rsidR="00E0074E">
        <w:rPr>
          <w:rFonts w:cstheme="minorHAnsi"/>
          <w:color w:val="131413"/>
        </w:rPr>
        <w:t>matters, even if it is strictly false</w:t>
      </w:r>
      <w:r w:rsidR="00AD6219">
        <w:rPr>
          <w:rFonts w:cstheme="minorHAnsi"/>
          <w:color w:val="131413"/>
        </w:rPr>
        <w:t>.</w:t>
      </w:r>
      <w:r w:rsidR="009B0568">
        <w:rPr>
          <w:rStyle w:val="FootnoteReference"/>
          <w:rFonts w:cstheme="minorHAnsi"/>
          <w:color w:val="131413"/>
        </w:rPr>
        <w:footnoteReference w:id="11"/>
      </w:r>
      <w:r w:rsidR="00B24491">
        <w:rPr>
          <w:rFonts w:cstheme="minorHAnsi"/>
          <w:color w:val="131413"/>
        </w:rPr>
        <w:t xml:space="preserve">  </w:t>
      </w:r>
      <w:r w:rsidR="00B2050C">
        <w:rPr>
          <w:rFonts w:cstheme="minorHAnsi"/>
          <w:color w:val="131413"/>
        </w:rPr>
        <w:t xml:space="preserve">The philosopher’s work </w:t>
      </w:r>
      <w:r w:rsidR="00535CAF">
        <w:rPr>
          <w:rFonts w:cstheme="minorHAnsi"/>
          <w:color w:val="131413"/>
        </w:rPr>
        <w:t xml:space="preserve">would not </w:t>
      </w:r>
      <w:r w:rsidR="00737C28">
        <w:rPr>
          <w:rFonts w:cstheme="minorHAnsi"/>
          <w:color w:val="131413"/>
        </w:rPr>
        <w:t xml:space="preserve">yet </w:t>
      </w:r>
      <w:r w:rsidR="00535CAF">
        <w:rPr>
          <w:rFonts w:cstheme="minorHAnsi"/>
          <w:color w:val="131413"/>
        </w:rPr>
        <w:t xml:space="preserve">be </w:t>
      </w:r>
      <w:r w:rsidR="00B2050C">
        <w:rPr>
          <w:rFonts w:cstheme="minorHAnsi"/>
          <w:color w:val="131413"/>
        </w:rPr>
        <w:t xml:space="preserve">complete </w:t>
      </w:r>
      <w:r w:rsidR="00535CAF">
        <w:rPr>
          <w:rFonts w:cstheme="minorHAnsi"/>
          <w:color w:val="131413"/>
        </w:rPr>
        <w:t xml:space="preserve">if </w:t>
      </w:r>
      <w:r w:rsidR="00B2050C">
        <w:rPr>
          <w:rFonts w:cstheme="minorHAnsi"/>
          <w:color w:val="131413"/>
        </w:rPr>
        <w:t xml:space="preserve">one side of this debate triumphed over the other, because </w:t>
      </w:r>
      <w:r w:rsidR="00131E87">
        <w:rPr>
          <w:rFonts w:cstheme="minorHAnsi"/>
          <w:color w:val="131413"/>
        </w:rPr>
        <w:t xml:space="preserve">(whichever way it </w:t>
      </w:r>
      <w:r w:rsidR="00535CAF">
        <w:rPr>
          <w:rFonts w:cstheme="minorHAnsi"/>
          <w:color w:val="131413"/>
        </w:rPr>
        <w:t>went</w:t>
      </w:r>
      <w:r w:rsidR="00131E87">
        <w:rPr>
          <w:rFonts w:cstheme="minorHAnsi"/>
          <w:color w:val="131413"/>
        </w:rPr>
        <w:t xml:space="preserve">), all the data must be accounted for, including the </w:t>
      </w:r>
      <w:r w:rsidR="00131E87" w:rsidRPr="003044D2">
        <w:rPr>
          <w:rFonts w:cstheme="minorHAnsi"/>
          <w:color w:val="131413"/>
        </w:rPr>
        <w:t xml:space="preserve">reflections of </w:t>
      </w:r>
      <w:r w:rsidR="00F960E2" w:rsidRPr="003044D2">
        <w:rPr>
          <w:rFonts w:cstheme="minorHAnsi"/>
          <w:color w:val="131413"/>
        </w:rPr>
        <w:t xml:space="preserve">mathematicians </w:t>
      </w:r>
      <w:r w:rsidR="00E5558F">
        <w:rPr>
          <w:rFonts w:cstheme="minorHAnsi"/>
          <w:color w:val="131413"/>
        </w:rPr>
        <w:t>committed</w:t>
      </w:r>
      <w:r w:rsidR="00F960E2" w:rsidRPr="003044D2">
        <w:rPr>
          <w:rFonts w:cstheme="minorHAnsi"/>
          <w:color w:val="131413"/>
        </w:rPr>
        <w:t xml:space="preserve"> to the defeated view.  </w:t>
      </w:r>
    </w:p>
    <w:p w14:paraId="790E33BF" w14:textId="0964334A" w:rsidR="00F52FB8" w:rsidRDefault="00F960E2" w:rsidP="00F960E2">
      <w:r w:rsidRPr="003044D2">
        <w:rPr>
          <w:rFonts w:cstheme="minorHAnsi"/>
          <w:color w:val="131413"/>
        </w:rPr>
        <w:t xml:space="preserve">Second, </w:t>
      </w:r>
      <w:r w:rsidR="0076666A" w:rsidRPr="003044D2">
        <w:t>n</w:t>
      </w:r>
      <w:r w:rsidR="00B66DBD" w:rsidRPr="003044D2">
        <w:t xml:space="preserve">otice how </w:t>
      </w:r>
      <w:r w:rsidR="0076666A" w:rsidRPr="003044D2">
        <w:t>Azzouni</w:t>
      </w:r>
      <w:r w:rsidR="00B66DBD" w:rsidRPr="003044D2">
        <w:t xml:space="preserve"> g</w:t>
      </w:r>
      <w:r w:rsidR="0076666A" w:rsidRPr="003044D2">
        <w:t>o</w:t>
      </w:r>
      <w:r w:rsidR="00B66DBD" w:rsidRPr="003044D2">
        <w:t xml:space="preserve">t drawn </w:t>
      </w:r>
      <w:r w:rsidR="006D077E" w:rsidRPr="003044D2">
        <w:t xml:space="preserve">(against his will) </w:t>
      </w:r>
      <w:r w:rsidR="00B66DBD" w:rsidRPr="003044D2">
        <w:t xml:space="preserve">into making </w:t>
      </w:r>
      <w:r w:rsidR="00E218D0">
        <w:t xml:space="preserve">a </w:t>
      </w:r>
      <w:r w:rsidR="00B66DBD" w:rsidRPr="003044D2">
        <w:t xml:space="preserve">claim in </w:t>
      </w:r>
      <w:r w:rsidR="00A01C47">
        <w:t>philosophy of mind</w:t>
      </w:r>
      <w:r w:rsidR="005C339B" w:rsidRPr="003044D2">
        <w:t>.</w:t>
      </w:r>
      <w:r w:rsidR="006E4670" w:rsidRPr="003044D2">
        <w:t xml:space="preserve">  </w:t>
      </w:r>
      <w:r w:rsidR="00655881" w:rsidRPr="003044D2">
        <w:t xml:space="preserve">The </w:t>
      </w:r>
      <w:r w:rsidR="003044D2" w:rsidRPr="003044D2">
        <w:t xml:space="preserve">thought </w:t>
      </w:r>
      <w:r w:rsidR="008021F9" w:rsidRPr="003044D2">
        <w:t>that informal proofs are really (‘at bottom’, after ‘routine’ translation</w:t>
      </w:r>
      <w:r w:rsidR="00963325" w:rsidRPr="003044D2">
        <w:t>) syntactic items</w:t>
      </w:r>
      <w:r w:rsidR="00242D38" w:rsidRPr="003044D2">
        <w:t xml:space="preserve"> </w:t>
      </w:r>
      <w:r w:rsidR="00E218D0">
        <w:t xml:space="preserve">leads naturally </w:t>
      </w:r>
      <w:r w:rsidR="00502592">
        <w:t>to the idea</w:t>
      </w:r>
      <w:r w:rsidR="00963325" w:rsidRPr="003044D2">
        <w:t xml:space="preserve"> that </w:t>
      </w:r>
      <w:r w:rsidR="005508BE">
        <w:t xml:space="preserve">in </w:t>
      </w:r>
      <w:r w:rsidR="00242D38" w:rsidRPr="003044D2">
        <w:t>read</w:t>
      </w:r>
      <w:r w:rsidR="005508BE">
        <w:t>ing</w:t>
      </w:r>
      <w:r w:rsidR="00242D38" w:rsidRPr="003044D2">
        <w:t xml:space="preserve"> them, </w:t>
      </w:r>
      <w:r w:rsidR="005508BE">
        <w:t xml:space="preserve">mathematicians </w:t>
      </w:r>
      <w:r w:rsidR="00242D38" w:rsidRPr="003044D2">
        <w:t xml:space="preserve">are </w:t>
      </w:r>
      <w:r w:rsidR="00F0706E" w:rsidRPr="003044D2">
        <w:t xml:space="preserve">doing some sort of syntactic processing.  This is a special case of </w:t>
      </w:r>
      <w:r w:rsidR="00AD284C" w:rsidRPr="003044D2">
        <w:t xml:space="preserve">the idea that all human thinking is </w:t>
      </w:r>
      <w:r w:rsidR="00DE54BE" w:rsidRPr="003044D2">
        <w:t xml:space="preserve">syntactic </w:t>
      </w:r>
      <w:r w:rsidR="001316FF" w:rsidRPr="003044D2">
        <w:t>processing, in spite of appearances.</w:t>
      </w:r>
      <w:r w:rsidR="001316FF">
        <w:t xml:space="preserve">  </w:t>
      </w:r>
      <w:r w:rsidR="00D0740E">
        <w:t xml:space="preserve">That general idea </w:t>
      </w:r>
      <w:r w:rsidR="008D043C">
        <w:t xml:space="preserve">owes </w:t>
      </w:r>
      <w:r w:rsidR="003C1BC8">
        <w:t xml:space="preserve">some of </w:t>
      </w:r>
      <w:r w:rsidR="008D043C">
        <w:t xml:space="preserve">its grip on the contemporary philosophical imagination to the </w:t>
      </w:r>
      <w:r w:rsidR="00DE5070">
        <w:t xml:space="preserve">omnipresence of digital </w:t>
      </w:r>
      <w:r w:rsidR="00525D82">
        <w:t>devices</w:t>
      </w:r>
      <w:r w:rsidR="00DE5070">
        <w:t xml:space="preserve">, which now carry out tasks </w:t>
      </w:r>
      <w:r w:rsidR="00E57E6E">
        <w:t xml:space="preserve">that look </w:t>
      </w:r>
      <w:r w:rsidR="005258BD">
        <w:t>as if</w:t>
      </w:r>
      <w:r w:rsidR="00E57E6E">
        <w:t xml:space="preserve"> they belong solidly on the semantic side, but </w:t>
      </w:r>
      <w:r w:rsidR="005730EE">
        <w:t xml:space="preserve">which </w:t>
      </w:r>
      <w:r w:rsidR="00E57E6E">
        <w:t xml:space="preserve">are at </w:t>
      </w:r>
      <w:r w:rsidR="005730EE">
        <w:t xml:space="preserve">bottom (at the level of machine-code), </w:t>
      </w:r>
      <w:r w:rsidR="0079744A">
        <w:t>syntactic processes.</w:t>
      </w:r>
      <w:r w:rsidR="00D62C02">
        <w:t xml:space="preserve">  </w:t>
      </w:r>
      <w:r w:rsidR="00934545">
        <w:t>In addition, t</w:t>
      </w:r>
      <w:r w:rsidR="0054655A">
        <w:t xml:space="preserve">he brain-as-computer idea has a </w:t>
      </w:r>
      <w:r w:rsidR="008D59BF">
        <w:t>role</w:t>
      </w:r>
      <w:r w:rsidR="0054655A">
        <w:t xml:space="preserve"> in cognitive science because it </w:t>
      </w:r>
      <w:r w:rsidR="00FE5C88">
        <w:t xml:space="preserve">helps researchers to ask precise questions (about, for example, memory size and structure).  </w:t>
      </w:r>
      <w:r w:rsidR="00417BEF">
        <w:t xml:space="preserve">It may be </w:t>
      </w:r>
      <w:r w:rsidR="004A2720">
        <w:t xml:space="preserve">also </w:t>
      </w:r>
      <w:r w:rsidR="00417BEF">
        <w:t>true, but results in experimental psychology suggest otherwise</w:t>
      </w:r>
      <w:r w:rsidR="00F32626">
        <w:t xml:space="preserve"> (Kahneman</w:t>
      </w:r>
      <w:r w:rsidR="00CE6B8C">
        <w:t>, 201</w:t>
      </w:r>
      <w:r w:rsidR="006050FB">
        <w:t>2</w:t>
      </w:r>
      <w:r w:rsidR="00CE6B8C">
        <w:t>)</w:t>
      </w:r>
      <w:r w:rsidR="00417BEF">
        <w:t xml:space="preserve">.  </w:t>
      </w:r>
      <w:r w:rsidR="000575AA">
        <w:t>No</w:t>
      </w:r>
      <w:r w:rsidR="00950DB3">
        <w:t xml:space="preserve">ne of the authors cited in this paper have committed themselves to computationalism in the philosophy of mind.  </w:t>
      </w:r>
      <w:r w:rsidR="00232380">
        <w:t xml:space="preserve">Nevertheless, that is </w:t>
      </w:r>
      <w:r w:rsidR="00222EBE">
        <w:t xml:space="preserve">the direction in which these arguments point.  </w:t>
      </w:r>
    </w:p>
    <w:p w14:paraId="6A9CD306" w14:textId="2FD02E9B" w:rsidR="00D8332C" w:rsidRDefault="000908FD" w:rsidP="00F960E2">
      <w:r>
        <w:lastRenderedPageBreak/>
        <w:t>T</w:t>
      </w:r>
      <w:r w:rsidR="00F52FB8">
        <w:t xml:space="preserve">o summarise: there is a </w:t>
      </w:r>
      <w:r w:rsidR="007B757D">
        <w:t xml:space="preserve">tension in the Standard View arising from the differences between the </w:t>
      </w:r>
      <w:r w:rsidR="00447FBB">
        <w:t>ideal of a wholly syntactic proof and the reality of</w:t>
      </w:r>
      <w:r w:rsidR="00C763FE">
        <w:t xml:space="preserve"> informal proofs written essay-style in prose.  </w:t>
      </w:r>
      <w:r w:rsidR="00E2307D">
        <w:t>Attempts to</w:t>
      </w:r>
      <w:r w:rsidR="00ED7BA0">
        <w:t xml:space="preserve"> resolve this tension pull philosophers and mathematicians towards claiming that informal proofs </w:t>
      </w:r>
      <w:r w:rsidR="00D551E5">
        <w:t>are, in spite of appearances, not really informal</w:t>
      </w:r>
      <w:r w:rsidR="00013CC7">
        <w:t>.  T</w:t>
      </w:r>
      <w:r w:rsidR="006D287D">
        <w:t xml:space="preserve">o a philosopher </w:t>
      </w:r>
      <w:r w:rsidR="00971295">
        <w:t>feeling</w:t>
      </w:r>
      <w:r w:rsidR="006D287D">
        <w:t xml:space="preserve"> this tension,</w:t>
      </w:r>
      <w:r w:rsidR="00FD5228">
        <w:t xml:space="preserve"> informal proofs</w:t>
      </w:r>
      <w:r w:rsidR="0034630F">
        <w:t xml:space="preserve"> can come to look like</w:t>
      </w:r>
      <w:r w:rsidR="00FD5228">
        <w:t xml:space="preserve"> </w:t>
      </w:r>
      <w:r w:rsidR="00B83200">
        <w:t xml:space="preserve">formal derivations </w:t>
      </w:r>
      <w:r w:rsidR="00A85941">
        <w:t>in disguise</w:t>
      </w:r>
      <w:r w:rsidR="004E681E">
        <w:t xml:space="preserve">, their underlying syntactic nature </w:t>
      </w:r>
      <w:r w:rsidR="000046AB">
        <w:t xml:space="preserve">waiting to be revealed by translation or analysis.  </w:t>
      </w:r>
      <w:r w:rsidR="00364417">
        <w:t xml:space="preserve">From here, it is a short step to claiming </w:t>
      </w:r>
      <w:r w:rsidR="00303330">
        <w:t xml:space="preserve">that when mathematicians read informal proofs they are really engaging in syntactic processing.  With that step taken, the philosopher of mathematics who began </w:t>
      </w:r>
      <w:r w:rsidR="00AE467C">
        <w:t xml:space="preserve">by </w:t>
      </w:r>
      <w:r w:rsidR="001F6908">
        <w:t xml:space="preserve">trying to articulate the Standard View </w:t>
      </w:r>
      <w:r w:rsidR="00AE467C">
        <w:t xml:space="preserve">then stands on the brink of making a commitment in the long-standing debate about </w:t>
      </w:r>
      <w:r w:rsidR="00A35DDC">
        <w:t xml:space="preserve">whether the human brain works like a digital computer.  </w:t>
      </w:r>
      <w:r w:rsidR="002E55B9">
        <w:t xml:space="preserve">There may be an independent argument for the brain-as-computer thesis, but </w:t>
      </w:r>
      <w:r w:rsidR="00E64F15">
        <w:t>it lies outside the philosophy of mathematical practice.</w:t>
      </w:r>
      <w:r w:rsidR="00E8228F">
        <w:t xml:space="preserve"> </w:t>
      </w:r>
    </w:p>
    <w:p w14:paraId="096B7E3A" w14:textId="7D8152E3" w:rsidR="004131C7" w:rsidRDefault="004131C7" w:rsidP="00D8332C">
      <w:pPr>
        <w:pStyle w:val="Heading2"/>
        <w:numPr>
          <w:ilvl w:val="0"/>
          <w:numId w:val="5"/>
        </w:numPr>
      </w:pPr>
      <w:r>
        <w:t>Avigad, J. [</w:t>
      </w:r>
      <w:r w:rsidR="00096D10">
        <w:t>2020</w:t>
      </w:r>
      <w:r>
        <w:t xml:space="preserve">] </w:t>
      </w:r>
      <w:r w:rsidRPr="000B0B97">
        <w:t xml:space="preserve">Reliability of </w:t>
      </w:r>
      <w:r w:rsidR="00F4090F">
        <w:t>M</w:t>
      </w:r>
      <w:r w:rsidRPr="000B0B97">
        <w:t xml:space="preserve">athematical </w:t>
      </w:r>
      <w:r w:rsidR="00F4090F">
        <w:t>I</w:t>
      </w:r>
      <w:r w:rsidRPr="000B0B97">
        <w:t>nference</w:t>
      </w:r>
    </w:p>
    <w:p w14:paraId="7215468A" w14:textId="06D6D18C" w:rsidR="000E47D6" w:rsidRPr="0017344C" w:rsidRDefault="00873DCE" w:rsidP="008564DD">
      <w:pPr>
        <w:rPr>
          <w:rFonts w:cstheme="minorHAnsi"/>
        </w:rPr>
      </w:pPr>
      <w:r w:rsidRPr="0017344C">
        <w:rPr>
          <w:rFonts w:cstheme="minorHAnsi"/>
        </w:rPr>
        <w:t xml:space="preserve">The abstract </w:t>
      </w:r>
      <w:r w:rsidR="00305969">
        <w:rPr>
          <w:rFonts w:cstheme="minorHAnsi"/>
        </w:rPr>
        <w:t>of</w:t>
      </w:r>
      <w:r w:rsidRPr="0017344C">
        <w:rPr>
          <w:rFonts w:cstheme="minorHAnsi"/>
        </w:rPr>
        <w:t xml:space="preserve"> Avigad’s paper reads as follows: </w:t>
      </w:r>
    </w:p>
    <w:p w14:paraId="3D2AE648" w14:textId="6A698287" w:rsidR="00873DCE" w:rsidRPr="0017344C" w:rsidRDefault="00873DCE" w:rsidP="00E15ACF">
      <w:pPr>
        <w:ind w:left="720"/>
        <w:rPr>
          <w:rFonts w:cstheme="minorHAnsi"/>
        </w:rPr>
      </w:pPr>
      <w:r w:rsidRPr="0017344C">
        <w:rPr>
          <w:rFonts w:cstheme="minorHAnsi"/>
        </w:rPr>
        <w:t>Of all the demands that mathematics imposes on its practitioners, one of the most fundamental is that proofs ought to be correct. It has been common since the turn of the twentieth century to take correctness to be underwritten by the existence of formal derivations in a suitable axiomatic foundation, but then it is hard to see how this normative standard can be met, given the diﬀerences between informal proofs and formal derivations, and given the inherent fragility and complexity of the latter. This essay describes some of the ways that mathematical practice makes it possible to reliably and robustly meet the formal standard, preserving the standard normative account while doing justice to epistemically important features of informal mathematical justiﬁcation.</w:t>
      </w:r>
    </w:p>
    <w:p w14:paraId="3F65E264" w14:textId="77777777" w:rsidR="0013661E" w:rsidRDefault="009A6039" w:rsidP="008564DD">
      <w:pPr>
        <w:rPr>
          <w:rFonts w:cstheme="minorHAnsi"/>
        </w:rPr>
      </w:pPr>
      <w:r>
        <w:t>The first thing to note is that what we might call the ‘observational core’ of his argument—his partial natural history of strategies for constructing sound informal proofs (sections 3 and 4 of his paper)—is a significant and insightful contribution to the philosophy of mathematical practice, and will remain so regardless of the fate of his larger argument.</w:t>
      </w:r>
      <w:r w:rsidR="003A55C5">
        <w:t xml:space="preserve">  </w:t>
      </w:r>
    </w:p>
    <w:p w14:paraId="23DD45DE" w14:textId="3C153075" w:rsidR="007E0295" w:rsidRPr="0017344C" w:rsidRDefault="00C7285B" w:rsidP="008564DD">
      <w:pPr>
        <w:rPr>
          <w:rFonts w:cstheme="minorHAnsi"/>
        </w:rPr>
      </w:pPr>
      <w:r>
        <w:rPr>
          <w:rFonts w:cstheme="minorHAnsi"/>
        </w:rPr>
        <w:t>To begin, c</w:t>
      </w:r>
      <w:r w:rsidR="0013661E">
        <w:rPr>
          <w:rFonts w:cstheme="minorHAnsi"/>
        </w:rPr>
        <w:t>onsider</w:t>
      </w:r>
      <w:r w:rsidR="0053450E" w:rsidRPr="0017344C">
        <w:rPr>
          <w:rFonts w:cstheme="minorHAnsi"/>
        </w:rPr>
        <w:t xml:space="preserve"> Avigad’s </w:t>
      </w:r>
      <w:r w:rsidR="0013661E">
        <w:rPr>
          <w:rFonts w:cstheme="minorHAnsi"/>
        </w:rPr>
        <w:t>gloss on</w:t>
      </w:r>
      <w:r w:rsidR="0053450E" w:rsidRPr="0017344C">
        <w:rPr>
          <w:rFonts w:cstheme="minorHAnsi"/>
        </w:rPr>
        <w:t xml:space="preserve"> the </w:t>
      </w:r>
      <w:r w:rsidR="002838B0">
        <w:rPr>
          <w:rFonts w:cstheme="minorHAnsi"/>
        </w:rPr>
        <w:t>S</w:t>
      </w:r>
      <w:r w:rsidR="0053450E" w:rsidRPr="0017344C">
        <w:rPr>
          <w:rFonts w:cstheme="minorHAnsi"/>
        </w:rPr>
        <w:t xml:space="preserve">tandard </w:t>
      </w:r>
      <w:r w:rsidR="002838B0">
        <w:rPr>
          <w:rFonts w:cstheme="minorHAnsi"/>
        </w:rPr>
        <w:t>V</w:t>
      </w:r>
      <w:r w:rsidR="0053450E" w:rsidRPr="0017344C">
        <w:rPr>
          <w:rFonts w:cstheme="minorHAnsi"/>
        </w:rPr>
        <w:t>iew</w:t>
      </w:r>
      <w:r w:rsidR="007E0295" w:rsidRPr="0017344C">
        <w:rPr>
          <w:rFonts w:cstheme="minorHAnsi"/>
        </w:rPr>
        <w:t xml:space="preserve">: </w:t>
      </w:r>
    </w:p>
    <w:p w14:paraId="6CC1686E" w14:textId="60BC7672" w:rsidR="00873DCE" w:rsidRPr="0017344C" w:rsidRDefault="007E0295" w:rsidP="007B3414">
      <w:pPr>
        <w:autoSpaceDE w:val="0"/>
        <w:autoSpaceDN w:val="0"/>
        <w:adjustRightInd w:val="0"/>
        <w:ind w:left="720"/>
        <w:rPr>
          <w:rFonts w:cstheme="minorHAnsi"/>
        </w:rPr>
      </w:pPr>
      <w:r w:rsidRPr="0017344C">
        <w:rPr>
          <w:rFonts w:cstheme="minorHAnsi"/>
        </w:rPr>
        <w:t>According to the standard view, a mathematical statement is a theorem if and only if there is a</w:t>
      </w:r>
      <w:r w:rsidR="0023473E" w:rsidRPr="0017344C">
        <w:rPr>
          <w:rFonts w:cstheme="minorHAnsi"/>
        </w:rPr>
        <w:t xml:space="preserve"> </w:t>
      </w:r>
      <w:r w:rsidRPr="0017344C">
        <w:rPr>
          <w:rFonts w:cstheme="minorHAnsi"/>
        </w:rPr>
        <w:t xml:space="preserve">formal derivation of that statement, or, more precisely, a suitable formal rendering thereof. </w:t>
      </w:r>
      <w:r w:rsidR="00C61FD6">
        <w:rPr>
          <w:rFonts w:cstheme="minorHAnsi"/>
        </w:rPr>
        <w:t xml:space="preserve"> </w:t>
      </w:r>
      <w:r w:rsidRPr="0017344C">
        <w:rPr>
          <w:rFonts w:cstheme="minorHAnsi"/>
        </w:rPr>
        <w:t>When</w:t>
      </w:r>
      <w:r w:rsidR="0023473E" w:rsidRPr="0017344C">
        <w:rPr>
          <w:rFonts w:cstheme="minorHAnsi"/>
        </w:rPr>
        <w:t xml:space="preserve"> </w:t>
      </w:r>
      <w:r w:rsidRPr="0017344C">
        <w:rPr>
          <w:rFonts w:cstheme="minorHAnsi"/>
        </w:rPr>
        <w:t xml:space="preserve">a mathematical referee </w:t>
      </w:r>
      <w:r w:rsidR="00037B1B" w:rsidRPr="0017344C">
        <w:rPr>
          <w:rFonts w:cstheme="minorHAnsi"/>
        </w:rPr>
        <w:t>certi</w:t>
      </w:r>
      <w:r w:rsidR="00037B1B">
        <w:rPr>
          <w:rFonts w:cstheme="minorHAnsi"/>
        </w:rPr>
        <w:t>f</w:t>
      </w:r>
      <w:r w:rsidR="00037B1B" w:rsidRPr="0017344C">
        <w:rPr>
          <w:rFonts w:cstheme="minorHAnsi"/>
        </w:rPr>
        <w:t>ies</w:t>
      </w:r>
      <w:r w:rsidRPr="0017344C">
        <w:rPr>
          <w:rFonts w:cstheme="minorHAnsi"/>
        </w:rPr>
        <w:t xml:space="preserve"> a mathematical result, then, whether or not the referee recognizes</w:t>
      </w:r>
      <w:r w:rsidR="0023473E" w:rsidRPr="0017344C">
        <w:rPr>
          <w:rFonts w:cstheme="minorHAnsi"/>
        </w:rPr>
        <w:t xml:space="preserve"> </w:t>
      </w:r>
      <w:r w:rsidRPr="0017344C">
        <w:rPr>
          <w:rFonts w:cstheme="minorHAnsi"/>
        </w:rPr>
        <w:t xml:space="preserve">it, the correctness of the judgement stands or falls with the existence of such a formal </w:t>
      </w:r>
      <w:r w:rsidRPr="00BC7291">
        <w:rPr>
          <w:rFonts w:cstheme="minorHAnsi"/>
        </w:rPr>
        <w:t>derivation.</w:t>
      </w:r>
      <w:r w:rsidR="006F29AC" w:rsidRPr="00BC7291">
        <w:rPr>
          <w:rFonts w:cstheme="minorHAnsi"/>
        </w:rPr>
        <w:t xml:space="preserve"> </w:t>
      </w:r>
      <w:r w:rsidR="0017344C" w:rsidRPr="00BC7291">
        <w:rPr>
          <w:rFonts w:cstheme="minorHAnsi"/>
        </w:rPr>
        <w:t>(2</w:t>
      </w:r>
      <w:r w:rsidR="008E4919" w:rsidRPr="00BC7291">
        <w:rPr>
          <w:rFonts w:cstheme="minorHAnsi"/>
        </w:rPr>
        <w:t>020</w:t>
      </w:r>
      <w:r w:rsidR="00894067">
        <w:rPr>
          <w:rFonts w:cstheme="minorHAnsi"/>
        </w:rPr>
        <w:t>,</w:t>
      </w:r>
      <w:r w:rsidR="008E4919" w:rsidRPr="00BC7291">
        <w:rPr>
          <w:rFonts w:cstheme="minorHAnsi"/>
        </w:rPr>
        <w:t xml:space="preserve"> p. 4</w:t>
      </w:r>
      <w:r w:rsidR="0017344C" w:rsidRPr="00BC7291">
        <w:rPr>
          <w:rFonts w:cstheme="minorHAnsi"/>
        </w:rPr>
        <w:t>)</w:t>
      </w:r>
    </w:p>
    <w:p w14:paraId="1AD991D9" w14:textId="520C4F31" w:rsidR="009B2C4D" w:rsidRDefault="00866ECC" w:rsidP="009B2C4D">
      <w:pPr>
        <w:autoSpaceDE w:val="0"/>
        <w:autoSpaceDN w:val="0"/>
        <w:adjustRightInd w:val="0"/>
        <w:rPr>
          <w:rFonts w:cstheme="minorHAnsi"/>
        </w:rPr>
      </w:pPr>
      <w:r>
        <w:rPr>
          <w:rFonts w:cstheme="minorHAnsi"/>
        </w:rPr>
        <w:t xml:space="preserve">It matters to what follows to get the modalities of this statement right.  </w:t>
      </w:r>
      <w:r w:rsidR="006B413C">
        <w:rPr>
          <w:rFonts w:cstheme="minorHAnsi"/>
        </w:rPr>
        <w:t xml:space="preserve">Avigad is not simply saying that wherever there is a sound informal proof, </w:t>
      </w:r>
      <w:r w:rsidR="008A373E">
        <w:rPr>
          <w:rFonts w:cstheme="minorHAnsi"/>
        </w:rPr>
        <w:t xml:space="preserve">there is as a matter of fact </w:t>
      </w:r>
      <w:r w:rsidR="005C0799">
        <w:rPr>
          <w:rFonts w:cstheme="minorHAnsi"/>
        </w:rPr>
        <w:t>the possibility</w:t>
      </w:r>
      <w:r w:rsidR="00EC63C1">
        <w:rPr>
          <w:rFonts w:cstheme="minorHAnsi"/>
        </w:rPr>
        <w:t>-in-principle</w:t>
      </w:r>
      <w:r w:rsidR="005C0799">
        <w:rPr>
          <w:rFonts w:cstheme="minorHAnsi"/>
        </w:rPr>
        <w:t xml:space="preserve"> of </w:t>
      </w:r>
      <w:r w:rsidR="00EC63C1">
        <w:rPr>
          <w:rFonts w:cstheme="minorHAnsi"/>
        </w:rPr>
        <w:t xml:space="preserve">writing </w:t>
      </w:r>
      <w:r w:rsidR="005C0799">
        <w:rPr>
          <w:rFonts w:cstheme="minorHAnsi"/>
        </w:rPr>
        <w:t xml:space="preserve">a </w:t>
      </w:r>
      <w:r w:rsidR="0080736D">
        <w:rPr>
          <w:rFonts w:cstheme="minorHAnsi"/>
        </w:rPr>
        <w:t xml:space="preserve">corresponding </w:t>
      </w:r>
      <w:r w:rsidR="005C0799">
        <w:rPr>
          <w:rFonts w:cstheme="minorHAnsi"/>
        </w:rPr>
        <w:t xml:space="preserve">formal derivation.  If that were the whole of the </w:t>
      </w:r>
      <w:r w:rsidR="005D0BD8">
        <w:rPr>
          <w:rFonts w:cstheme="minorHAnsi"/>
        </w:rPr>
        <w:t>S</w:t>
      </w:r>
      <w:r w:rsidR="005C0799">
        <w:rPr>
          <w:rFonts w:cstheme="minorHAnsi"/>
        </w:rPr>
        <w:t xml:space="preserve">tandard </w:t>
      </w:r>
      <w:r w:rsidR="005D0BD8">
        <w:rPr>
          <w:rFonts w:cstheme="minorHAnsi"/>
        </w:rPr>
        <w:t>V</w:t>
      </w:r>
      <w:r w:rsidR="005C0799">
        <w:rPr>
          <w:rFonts w:cstheme="minorHAnsi"/>
        </w:rPr>
        <w:t xml:space="preserve">iew, there would be </w:t>
      </w:r>
      <w:r w:rsidR="001164BC">
        <w:rPr>
          <w:rFonts w:cstheme="minorHAnsi"/>
        </w:rPr>
        <w:t>little</w:t>
      </w:r>
      <w:r w:rsidR="005C0799">
        <w:rPr>
          <w:rFonts w:cstheme="minorHAnsi"/>
        </w:rPr>
        <w:t xml:space="preserve"> discussion</w:t>
      </w:r>
      <w:r w:rsidR="002D7884">
        <w:rPr>
          <w:rFonts w:cstheme="minorHAnsi"/>
        </w:rPr>
        <w:t xml:space="preserve"> because, as he points out, </w:t>
      </w:r>
      <w:r w:rsidR="007079B1">
        <w:rPr>
          <w:rFonts w:cstheme="minorHAnsi"/>
        </w:rPr>
        <w:t xml:space="preserve">long-running programmes in </w:t>
      </w:r>
      <w:r w:rsidR="00360C89">
        <w:rPr>
          <w:rFonts w:cstheme="minorHAnsi"/>
        </w:rPr>
        <w:t xml:space="preserve">the foundations of </w:t>
      </w:r>
      <w:r w:rsidR="007079B1">
        <w:rPr>
          <w:rFonts w:cstheme="minorHAnsi"/>
        </w:rPr>
        <w:t xml:space="preserve">mathematics give us compelling reasons to think that every </w:t>
      </w:r>
      <w:r w:rsidR="00B666BF">
        <w:rPr>
          <w:rFonts w:cstheme="minorHAnsi"/>
        </w:rPr>
        <w:t xml:space="preserve">sound </w:t>
      </w:r>
      <w:r w:rsidR="007079B1">
        <w:rPr>
          <w:rFonts w:cstheme="minorHAnsi"/>
        </w:rPr>
        <w:t xml:space="preserve">informal proof can </w:t>
      </w:r>
      <w:r w:rsidR="004264A5">
        <w:rPr>
          <w:rFonts w:cstheme="minorHAnsi"/>
        </w:rPr>
        <w:t xml:space="preserve">in principle </w:t>
      </w:r>
      <w:r w:rsidR="007079B1">
        <w:rPr>
          <w:rFonts w:cstheme="minorHAnsi"/>
        </w:rPr>
        <w:t>be supplied with a</w:t>
      </w:r>
      <w:r w:rsidR="009A0690">
        <w:rPr>
          <w:rFonts w:cstheme="minorHAnsi"/>
        </w:rPr>
        <w:t xml:space="preserve"> </w:t>
      </w:r>
      <w:r w:rsidR="002A0230">
        <w:rPr>
          <w:rFonts w:cstheme="minorHAnsi"/>
        </w:rPr>
        <w:t xml:space="preserve">correct </w:t>
      </w:r>
      <w:r w:rsidR="009A0690">
        <w:rPr>
          <w:rFonts w:cstheme="minorHAnsi"/>
        </w:rPr>
        <w:t>formal correlate, and what is more there is a</w:t>
      </w:r>
      <w:r w:rsidR="00C94353">
        <w:rPr>
          <w:rFonts w:cstheme="minorHAnsi"/>
        </w:rPr>
        <w:t xml:space="preserve"> </w:t>
      </w:r>
      <w:r w:rsidR="009A0690">
        <w:rPr>
          <w:rFonts w:cstheme="minorHAnsi"/>
        </w:rPr>
        <w:t xml:space="preserve">growing library </w:t>
      </w:r>
      <w:r w:rsidR="00C94353">
        <w:rPr>
          <w:rFonts w:cstheme="minorHAnsi"/>
        </w:rPr>
        <w:t xml:space="preserve">of formal </w:t>
      </w:r>
      <w:r w:rsidR="003F2F9D">
        <w:rPr>
          <w:rFonts w:cstheme="minorHAnsi"/>
        </w:rPr>
        <w:t>derivations</w:t>
      </w:r>
      <w:r w:rsidR="00C94353">
        <w:rPr>
          <w:rFonts w:cstheme="minorHAnsi"/>
        </w:rPr>
        <w:t xml:space="preserve"> of significant theorems.  </w:t>
      </w:r>
      <w:r w:rsidR="00F36C4E">
        <w:rPr>
          <w:rFonts w:cstheme="minorHAnsi"/>
        </w:rPr>
        <w:t xml:space="preserve">Avigad’s claim </w:t>
      </w:r>
      <w:r w:rsidR="00E269E2">
        <w:rPr>
          <w:rFonts w:cstheme="minorHAnsi"/>
        </w:rPr>
        <w:t xml:space="preserve">is something stronger: correspondence </w:t>
      </w:r>
      <w:r w:rsidR="00347C60">
        <w:rPr>
          <w:rFonts w:cstheme="minorHAnsi"/>
        </w:rPr>
        <w:t xml:space="preserve">with a formal derivation is the very meaning of </w:t>
      </w:r>
      <w:r w:rsidR="00AE139E">
        <w:rPr>
          <w:rFonts w:cstheme="minorHAnsi"/>
        </w:rPr>
        <w:t>correctness</w:t>
      </w:r>
      <w:r w:rsidR="00347C60">
        <w:rPr>
          <w:rFonts w:cstheme="minorHAnsi"/>
        </w:rPr>
        <w:t xml:space="preserve"> for </w:t>
      </w:r>
      <w:r w:rsidR="00A04D30">
        <w:rPr>
          <w:rFonts w:cstheme="minorHAnsi"/>
        </w:rPr>
        <w:t xml:space="preserve">an informal proof.  </w:t>
      </w:r>
      <w:r w:rsidR="00686A07">
        <w:rPr>
          <w:rFonts w:cstheme="minorHAnsi"/>
        </w:rPr>
        <w:t xml:space="preserve">Throughout his </w:t>
      </w:r>
      <w:r w:rsidR="00686A07" w:rsidRPr="00B37B2A">
        <w:rPr>
          <w:rFonts w:cstheme="minorHAnsi"/>
        </w:rPr>
        <w:t xml:space="preserve">paper, he </w:t>
      </w:r>
      <w:r w:rsidR="00042544" w:rsidRPr="00B37B2A">
        <w:rPr>
          <w:rFonts w:cstheme="minorHAnsi"/>
        </w:rPr>
        <w:t xml:space="preserve">uses Azzouni’s formulation that the existence of a derivation is </w:t>
      </w:r>
      <w:r w:rsidR="00FD52BF" w:rsidRPr="00B37B2A">
        <w:rPr>
          <w:rFonts w:cstheme="minorHAnsi"/>
        </w:rPr>
        <w:t xml:space="preserve">the </w:t>
      </w:r>
      <w:r w:rsidR="00AE5756">
        <w:rPr>
          <w:rFonts w:cstheme="minorHAnsi"/>
        </w:rPr>
        <w:t>‘</w:t>
      </w:r>
      <w:r w:rsidR="00FD52BF" w:rsidRPr="00B37B2A">
        <w:rPr>
          <w:rFonts w:cstheme="minorHAnsi"/>
        </w:rPr>
        <w:t>normative standard</w:t>
      </w:r>
      <w:r w:rsidR="00AE5756">
        <w:rPr>
          <w:rFonts w:cstheme="minorHAnsi"/>
        </w:rPr>
        <w:t>’</w:t>
      </w:r>
      <w:r w:rsidR="00FD52BF" w:rsidRPr="00B37B2A">
        <w:rPr>
          <w:rFonts w:cstheme="minorHAnsi"/>
        </w:rPr>
        <w:t xml:space="preserve"> for the correctness of an informal proof</w:t>
      </w:r>
      <w:r w:rsidR="004B45B3" w:rsidRPr="00B37B2A">
        <w:rPr>
          <w:rFonts w:cstheme="minorHAnsi"/>
        </w:rPr>
        <w:t xml:space="preserve">.  </w:t>
      </w:r>
      <w:r w:rsidR="00AE5B25" w:rsidRPr="00B37B2A">
        <w:rPr>
          <w:rFonts w:cstheme="minorHAnsi"/>
        </w:rPr>
        <w:t xml:space="preserve">He </w:t>
      </w:r>
      <w:r w:rsidR="00B67DB5" w:rsidRPr="00B37B2A">
        <w:rPr>
          <w:rFonts w:cstheme="minorHAnsi"/>
        </w:rPr>
        <w:t>rejects</w:t>
      </w:r>
      <w:r w:rsidR="00AE5B25" w:rsidRPr="00B37B2A">
        <w:rPr>
          <w:rFonts w:cstheme="minorHAnsi"/>
        </w:rPr>
        <w:t xml:space="preserve"> Detlefsen’s suggestion that </w:t>
      </w:r>
      <w:r w:rsidR="00AE5756">
        <w:rPr>
          <w:rFonts w:cstheme="minorHAnsi"/>
        </w:rPr>
        <w:t>‘</w:t>
      </w:r>
      <w:r w:rsidR="00ED5511" w:rsidRPr="00B37B2A">
        <w:rPr>
          <w:rFonts w:cstheme="minorHAnsi"/>
        </w:rPr>
        <w:t>[informal] rigor and formalization are independent concerns</w:t>
      </w:r>
      <w:r w:rsidR="00AE5756">
        <w:rPr>
          <w:rFonts w:cstheme="minorHAnsi"/>
        </w:rPr>
        <w:t>’</w:t>
      </w:r>
      <w:r w:rsidR="00ED5511" w:rsidRPr="00B37B2A">
        <w:rPr>
          <w:rFonts w:cstheme="minorHAnsi"/>
        </w:rPr>
        <w:t xml:space="preserve">, </w:t>
      </w:r>
      <w:r w:rsidR="00D97C11" w:rsidRPr="00B37B2A">
        <w:rPr>
          <w:rFonts w:cstheme="minorHAnsi"/>
        </w:rPr>
        <w:t xml:space="preserve">on the grounds that </w:t>
      </w:r>
      <w:r w:rsidR="00B37B2A" w:rsidRPr="00B37B2A">
        <w:rPr>
          <w:rFonts w:cstheme="minorHAnsi"/>
        </w:rPr>
        <w:t xml:space="preserve">it </w:t>
      </w:r>
      <w:r w:rsidR="00AE5756">
        <w:rPr>
          <w:rFonts w:cstheme="minorHAnsi"/>
        </w:rPr>
        <w:t>‘</w:t>
      </w:r>
      <w:r w:rsidR="00D97C11" w:rsidRPr="00B37B2A">
        <w:rPr>
          <w:rFonts w:cstheme="minorHAnsi"/>
        </w:rPr>
        <w:t>requires us to provide an independent characterization</w:t>
      </w:r>
      <w:r w:rsidR="00B37B2A" w:rsidRPr="00B37B2A">
        <w:rPr>
          <w:rFonts w:cstheme="minorHAnsi"/>
        </w:rPr>
        <w:t xml:space="preserve"> </w:t>
      </w:r>
      <w:r w:rsidR="00D97C11" w:rsidRPr="00B37B2A">
        <w:rPr>
          <w:rFonts w:cstheme="minorHAnsi"/>
        </w:rPr>
        <w:t xml:space="preserve">of rigor and provide some other explanation of what it means for an </w:t>
      </w:r>
      <w:r w:rsidR="00D97C11" w:rsidRPr="00B37B2A">
        <w:rPr>
          <w:rFonts w:cstheme="minorHAnsi"/>
        </w:rPr>
        <w:lastRenderedPageBreak/>
        <w:t>informal proof to</w:t>
      </w:r>
      <w:r w:rsidR="00B37B2A" w:rsidRPr="00B37B2A">
        <w:rPr>
          <w:rFonts w:cstheme="minorHAnsi"/>
        </w:rPr>
        <w:t xml:space="preserve"> </w:t>
      </w:r>
      <w:r w:rsidR="00D97C11" w:rsidRPr="00B37B2A">
        <w:rPr>
          <w:rFonts w:cstheme="minorHAnsi"/>
        </w:rPr>
        <w:t>be correct.</w:t>
      </w:r>
      <w:r w:rsidR="00AE5756">
        <w:rPr>
          <w:rFonts w:cstheme="minorHAnsi"/>
        </w:rPr>
        <w:t>’</w:t>
      </w:r>
      <w:r w:rsidR="0030600E">
        <w:rPr>
          <w:rFonts w:cstheme="minorHAnsi"/>
        </w:rPr>
        <w:t xml:space="preserve"> </w:t>
      </w:r>
      <w:r w:rsidR="00AC14A9">
        <w:rPr>
          <w:rFonts w:cstheme="minorHAnsi"/>
        </w:rPr>
        <w:t>(2020</w:t>
      </w:r>
      <w:r w:rsidR="00894067">
        <w:rPr>
          <w:rFonts w:cstheme="minorHAnsi"/>
        </w:rPr>
        <w:t>,</w:t>
      </w:r>
      <w:r w:rsidR="00BC7291">
        <w:rPr>
          <w:rFonts w:cstheme="minorHAnsi"/>
        </w:rPr>
        <w:t xml:space="preserve"> p. 6)</w:t>
      </w:r>
      <w:r w:rsidR="004C65DC">
        <w:rPr>
          <w:rFonts w:cstheme="minorHAnsi"/>
        </w:rPr>
        <w:t xml:space="preserve">. </w:t>
      </w:r>
      <w:r w:rsidR="0030600E">
        <w:rPr>
          <w:rFonts w:cstheme="minorHAnsi"/>
        </w:rPr>
        <w:t xml:space="preserve"> </w:t>
      </w:r>
      <w:r w:rsidR="00F8656C">
        <w:rPr>
          <w:rFonts w:cstheme="minorHAnsi"/>
        </w:rPr>
        <w:t xml:space="preserve">It is evident from </w:t>
      </w:r>
      <w:r w:rsidR="009B2C4D">
        <w:rPr>
          <w:rFonts w:cstheme="minorHAnsi"/>
        </w:rPr>
        <w:t xml:space="preserve">the dialectical context that he does not expect this challenge to be met.  </w:t>
      </w:r>
      <w:r w:rsidR="00D34B4D">
        <w:rPr>
          <w:rFonts w:cstheme="minorHAnsi"/>
        </w:rPr>
        <w:t xml:space="preserve">On the other hand, he says </w:t>
      </w:r>
      <w:r w:rsidR="00490339">
        <w:rPr>
          <w:rFonts w:cstheme="minorHAnsi"/>
        </w:rPr>
        <w:t xml:space="preserve">nothing </w:t>
      </w:r>
      <w:r w:rsidR="00AE753D">
        <w:rPr>
          <w:rFonts w:cstheme="minorHAnsi"/>
        </w:rPr>
        <w:t xml:space="preserve">here </w:t>
      </w:r>
      <w:r w:rsidR="00490339">
        <w:rPr>
          <w:rFonts w:cstheme="minorHAnsi"/>
        </w:rPr>
        <w:t xml:space="preserve">about the relation between </w:t>
      </w:r>
      <w:r w:rsidR="00022466">
        <w:rPr>
          <w:rFonts w:cstheme="minorHAnsi"/>
        </w:rPr>
        <w:t xml:space="preserve">the </w:t>
      </w:r>
      <w:r w:rsidR="00854441">
        <w:rPr>
          <w:rFonts w:cstheme="minorHAnsi"/>
        </w:rPr>
        <w:t>informal proof and its corresponding derivations (unlike Mac Lane</w:t>
      </w:r>
      <w:r w:rsidR="0062036E">
        <w:rPr>
          <w:rFonts w:cstheme="minorHAnsi"/>
        </w:rPr>
        <w:t>’s</w:t>
      </w:r>
      <w:r w:rsidR="00854441">
        <w:rPr>
          <w:rFonts w:cstheme="minorHAnsi"/>
        </w:rPr>
        <w:t xml:space="preserve"> insist</w:t>
      </w:r>
      <w:r w:rsidR="0062036E">
        <w:rPr>
          <w:rFonts w:cstheme="minorHAnsi"/>
        </w:rPr>
        <w:t xml:space="preserve">ence </w:t>
      </w:r>
      <w:r w:rsidR="00854441">
        <w:rPr>
          <w:rFonts w:cstheme="minorHAnsi"/>
        </w:rPr>
        <w:t xml:space="preserve">that the translation between them must be ‘routine’ or </w:t>
      </w:r>
      <w:r w:rsidR="0062036E">
        <w:rPr>
          <w:rFonts w:cstheme="minorHAnsi"/>
        </w:rPr>
        <w:t xml:space="preserve">Feferman’s requirement that the </w:t>
      </w:r>
      <w:r w:rsidR="00B5228F">
        <w:rPr>
          <w:rFonts w:cstheme="minorHAnsi"/>
        </w:rPr>
        <w:t xml:space="preserve">derivation is the logical analysis of the </w:t>
      </w:r>
      <w:r w:rsidR="0094149A">
        <w:rPr>
          <w:rFonts w:cstheme="minorHAnsi"/>
        </w:rPr>
        <w:t>in</w:t>
      </w:r>
      <w:r w:rsidR="00B5228F">
        <w:rPr>
          <w:rFonts w:cstheme="minorHAnsi"/>
        </w:rPr>
        <w:t>formal proof).</w:t>
      </w:r>
    </w:p>
    <w:p w14:paraId="31B543EA" w14:textId="4136EA8C" w:rsidR="00474A9D" w:rsidRDefault="00104138" w:rsidP="009B2C4D">
      <w:pPr>
        <w:autoSpaceDE w:val="0"/>
        <w:autoSpaceDN w:val="0"/>
        <w:adjustRightInd w:val="0"/>
        <w:rPr>
          <w:rFonts w:cstheme="minorHAnsi"/>
        </w:rPr>
      </w:pPr>
      <w:r>
        <w:rPr>
          <w:rFonts w:cstheme="minorHAnsi"/>
        </w:rPr>
        <w:t xml:space="preserve">The chief </w:t>
      </w:r>
      <w:r w:rsidR="00A86983">
        <w:rPr>
          <w:rFonts w:cstheme="minorHAnsi"/>
        </w:rPr>
        <w:t>obstacle</w:t>
      </w:r>
      <w:r>
        <w:rPr>
          <w:rFonts w:cstheme="minorHAnsi"/>
        </w:rPr>
        <w:t xml:space="preserve"> for the </w:t>
      </w:r>
      <w:r w:rsidR="00A805FC">
        <w:rPr>
          <w:rFonts w:cstheme="minorHAnsi"/>
        </w:rPr>
        <w:t>S</w:t>
      </w:r>
      <w:r>
        <w:rPr>
          <w:rFonts w:cstheme="minorHAnsi"/>
        </w:rPr>
        <w:t xml:space="preserve">tandard </w:t>
      </w:r>
      <w:r w:rsidR="00A805FC">
        <w:rPr>
          <w:rFonts w:cstheme="minorHAnsi"/>
        </w:rPr>
        <w:t>V</w:t>
      </w:r>
      <w:r>
        <w:rPr>
          <w:rFonts w:cstheme="minorHAnsi"/>
        </w:rPr>
        <w:t xml:space="preserve">iew, according to Avigad, is to explain how </w:t>
      </w:r>
      <w:r w:rsidR="0013063A">
        <w:rPr>
          <w:rFonts w:cstheme="minorHAnsi"/>
        </w:rPr>
        <w:t>informal proofs</w:t>
      </w:r>
      <w:r w:rsidR="00A23D8A">
        <w:rPr>
          <w:rFonts w:cstheme="minorHAnsi"/>
        </w:rPr>
        <w:t>—long, complex and difficult as they may</w:t>
      </w:r>
      <w:r w:rsidR="008E1A0A">
        <w:rPr>
          <w:rFonts w:cstheme="minorHAnsi"/>
        </w:rPr>
        <w:t xml:space="preserve"> </w:t>
      </w:r>
      <w:r w:rsidR="00A23D8A">
        <w:rPr>
          <w:rFonts w:cstheme="minorHAnsi"/>
        </w:rPr>
        <w:t>be—ca</w:t>
      </w:r>
      <w:r w:rsidR="0013063A">
        <w:rPr>
          <w:rFonts w:cstheme="minorHAnsi"/>
        </w:rPr>
        <w:t xml:space="preserve">n be the sort of things that entail the existence of formal derivations.  </w:t>
      </w:r>
      <w:r w:rsidR="00371E48">
        <w:rPr>
          <w:rFonts w:cstheme="minorHAnsi"/>
        </w:rPr>
        <w:t>To meet</w:t>
      </w:r>
      <w:r w:rsidR="00F6244D">
        <w:rPr>
          <w:rFonts w:cstheme="minorHAnsi"/>
        </w:rPr>
        <w:t xml:space="preserve"> this</w:t>
      </w:r>
      <w:r w:rsidR="00371E48">
        <w:rPr>
          <w:rFonts w:cstheme="minorHAnsi"/>
        </w:rPr>
        <w:t xml:space="preserve"> challenge</w:t>
      </w:r>
      <w:r w:rsidR="00F6244D">
        <w:rPr>
          <w:rFonts w:cstheme="minorHAnsi"/>
        </w:rPr>
        <w:t xml:space="preserve">, he deploys the observational core of his argument. </w:t>
      </w:r>
      <w:r w:rsidR="00A23D8A">
        <w:rPr>
          <w:rFonts w:cstheme="minorHAnsi"/>
        </w:rPr>
        <w:t xml:space="preserve"> </w:t>
      </w:r>
      <w:r w:rsidR="00FA05CE">
        <w:rPr>
          <w:rFonts w:cstheme="minorHAnsi"/>
        </w:rPr>
        <w:t xml:space="preserve">Part of his answer is that informal proofs </w:t>
      </w:r>
      <w:r w:rsidR="00DD4222">
        <w:rPr>
          <w:rFonts w:cstheme="minorHAnsi"/>
        </w:rPr>
        <w:t xml:space="preserve">(unlike formal derivations) </w:t>
      </w:r>
      <w:r w:rsidR="00FA05CE">
        <w:rPr>
          <w:rFonts w:cstheme="minorHAnsi"/>
        </w:rPr>
        <w:t xml:space="preserve">do not have to be </w:t>
      </w:r>
      <w:r w:rsidR="00DD4222">
        <w:rPr>
          <w:rFonts w:cstheme="minorHAnsi"/>
        </w:rPr>
        <w:t>wholly error-free</w:t>
      </w:r>
      <w:r w:rsidR="00851C0F">
        <w:rPr>
          <w:rFonts w:cstheme="minorHAnsi"/>
        </w:rPr>
        <w:t xml:space="preserve">—an informal proof can play its epistemic and logical roles even </w:t>
      </w:r>
      <w:r w:rsidR="000E5986">
        <w:rPr>
          <w:rFonts w:cstheme="minorHAnsi"/>
        </w:rPr>
        <w:t xml:space="preserve">if it has small, easily fixed errors, mistakes in book-keeping, mislabelling </w:t>
      </w:r>
      <w:r w:rsidR="00F8423D">
        <w:rPr>
          <w:rFonts w:cstheme="minorHAnsi"/>
        </w:rPr>
        <w:t xml:space="preserve">and the like </w:t>
      </w:r>
      <w:r w:rsidR="00564FCE">
        <w:rPr>
          <w:rFonts w:cstheme="minorHAnsi"/>
        </w:rPr>
        <w:t>(2020</w:t>
      </w:r>
      <w:r w:rsidR="00894067">
        <w:rPr>
          <w:rFonts w:cstheme="minorHAnsi"/>
        </w:rPr>
        <w:t>,</w:t>
      </w:r>
      <w:r w:rsidR="00564FCE">
        <w:rPr>
          <w:rFonts w:cstheme="minorHAnsi"/>
        </w:rPr>
        <w:t xml:space="preserve"> p. 7).  </w:t>
      </w:r>
      <w:r w:rsidR="007A73A3">
        <w:rPr>
          <w:rFonts w:cstheme="minorHAnsi"/>
        </w:rPr>
        <w:t>This robustness is in part due to the stabilising role of the skilled mathematical reader</w:t>
      </w:r>
      <w:r w:rsidR="00BF78BC">
        <w:rPr>
          <w:rFonts w:cstheme="minorHAnsi"/>
        </w:rPr>
        <w:t>, who can see the mistake</w:t>
      </w:r>
      <w:r w:rsidR="008030DA">
        <w:rPr>
          <w:rFonts w:cstheme="minorHAnsi"/>
        </w:rPr>
        <w:t>s</w:t>
      </w:r>
      <w:r w:rsidR="00BF78BC">
        <w:rPr>
          <w:rFonts w:cstheme="minorHAnsi"/>
        </w:rPr>
        <w:t xml:space="preserve"> and figure out what ought to have been printed.  </w:t>
      </w:r>
      <w:r w:rsidR="0040561A">
        <w:rPr>
          <w:rFonts w:cstheme="minorHAnsi"/>
        </w:rPr>
        <w:t xml:space="preserve">Avigad proceeds </w:t>
      </w:r>
      <w:r w:rsidR="00511CC0">
        <w:rPr>
          <w:rFonts w:cstheme="minorHAnsi"/>
        </w:rPr>
        <w:t xml:space="preserve">to develop the beginnings of a natural history of </w:t>
      </w:r>
      <w:r w:rsidR="00C21781">
        <w:rPr>
          <w:rFonts w:cstheme="minorHAnsi"/>
        </w:rPr>
        <w:t>desirable proof-features</w:t>
      </w:r>
      <w:r w:rsidR="008B3E92">
        <w:rPr>
          <w:rFonts w:cstheme="minorHAnsi"/>
          <w:i/>
          <w:iCs/>
        </w:rPr>
        <w:t>.</w:t>
      </w:r>
      <w:r w:rsidR="008B3E92">
        <w:rPr>
          <w:rFonts w:cstheme="minorHAnsi"/>
        </w:rPr>
        <w:t xml:space="preserve">  </w:t>
      </w:r>
      <w:r w:rsidR="00DD5E5E">
        <w:rPr>
          <w:rFonts w:cstheme="minorHAnsi"/>
        </w:rPr>
        <w:t>He observes that proofs are modular—they divide into chunks that prove</w:t>
      </w:r>
      <w:r w:rsidR="00E560E0">
        <w:rPr>
          <w:rFonts w:cstheme="minorHAnsi"/>
        </w:rPr>
        <w:t xml:space="preserve"> lemmas, and the chunks can be passed around from proof to proof</w:t>
      </w:r>
      <w:r w:rsidR="004F3EB9">
        <w:rPr>
          <w:rFonts w:cstheme="minorHAnsi"/>
        </w:rPr>
        <w:t xml:space="preserve">, </w:t>
      </w:r>
      <w:r w:rsidR="00E827CE">
        <w:rPr>
          <w:rFonts w:cstheme="minorHAnsi"/>
        </w:rPr>
        <w:t xml:space="preserve">so a new proof may rely on some </w:t>
      </w:r>
      <w:r w:rsidR="00B765EE">
        <w:rPr>
          <w:rFonts w:cstheme="minorHAnsi"/>
        </w:rPr>
        <w:t>previously established</w:t>
      </w:r>
      <w:r w:rsidR="00E827CE">
        <w:rPr>
          <w:rFonts w:cstheme="minorHAnsi"/>
        </w:rPr>
        <w:t xml:space="preserve"> modular parts</w:t>
      </w:r>
      <w:r w:rsidR="00482343">
        <w:rPr>
          <w:rFonts w:cstheme="minorHAnsi"/>
        </w:rPr>
        <w:t xml:space="preserve"> that have already shown their reliability</w:t>
      </w:r>
      <w:r w:rsidR="00FA4DC0">
        <w:rPr>
          <w:rFonts w:cstheme="minorHAnsi"/>
        </w:rPr>
        <w:t>, and new modular parts can be checked in isolation from the rest of the proof</w:t>
      </w:r>
      <w:r w:rsidR="00E827CE">
        <w:rPr>
          <w:rFonts w:cstheme="minorHAnsi"/>
        </w:rPr>
        <w:t>.  Inferences in proofs are motivated</w:t>
      </w:r>
      <w:r w:rsidR="006C3325">
        <w:rPr>
          <w:rFonts w:cstheme="minorHAnsi"/>
        </w:rPr>
        <w:t>—a move in a proof is intelligible because it plays some part in the overall proof strategy</w:t>
      </w:r>
      <w:r w:rsidR="00F839EB">
        <w:rPr>
          <w:rFonts w:cstheme="minorHAnsi"/>
        </w:rPr>
        <w:t>, which makes them easier for the reader to grasp</w:t>
      </w:r>
      <w:r w:rsidR="002B672E">
        <w:rPr>
          <w:rFonts w:cstheme="minorHAnsi"/>
        </w:rPr>
        <w:t xml:space="preserve">.  Avigad suggests </w:t>
      </w:r>
      <w:r w:rsidR="00BF6124">
        <w:rPr>
          <w:rFonts w:cstheme="minorHAnsi"/>
        </w:rPr>
        <w:t xml:space="preserve">three </w:t>
      </w:r>
      <w:r w:rsidR="00F839EB">
        <w:rPr>
          <w:rFonts w:cstheme="minorHAnsi"/>
        </w:rPr>
        <w:t xml:space="preserve">general </w:t>
      </w:r>
      <w:r w:rsidR="00BF6124">
        <w:rPr>
          <w:rFonts w:cstheme="minorHAnsi"/>
        </w:rPr>
        <w:t xml:space="preserve">strategies for writing </w:t>
      </w:r>
      <w:r w:rsidR="002B672E">
        <w:rPr>
          <w:rFonts w:cstheme="minorHAnsi"/>
        </w:rPr>
        <w:t>robust proofs:</w:t>
      </w:r>
    </w:p>
    <w:p w14:paraId="10A18A04" w14:textId="77BECC5B" w:rsidR="00474A9D" w:rsidRDefault="00474A9D" w:rsidP="00474A9D">
      <w:pPr>
        <w:pStyle w:val="ListParagraph"/>
        <w:numPr>
          <w:ilvl w:val="0"/>
          <w:numId w:val="1"/>
        </w:numPr>
        <w:autoSpaceDE w:val="0"/>
        <w:autoSpaceDN w:val="0"/>
        <w:adjustRightInd w:val="0"/>
      </w:pPr>
      <w:r>
        <w:t xml:space="preserve">Isolate and minimize critical information </w:t>
      </w:r>
    </w:p>
    <w:p w14:paraId="33BEC733" w14:textId="6DB2C447" w:rsidR="00474A9D" w:rsidRDefault="00474A9D" w:rsidP="00474A9D">
      <w:pPr>
        <w:pStyle w:val="ListParagraph"/>
        <w:numPr>
          <w:ilvl w:val="0"/>
          <w:numId w:val="1"/>
        </w:numPr>
        <w:autoSpaceDE w:val="0"/>
        <w:autoSpaceDN w:val="0"/>
        <w:adjustRightInd w:val="0"/>
      </w:pPr>
      <w:r>
        <w:t xml:space="preserve">Maximize exposure to error detection </w:t>
      </w:r>
    </w:p>
    <w:p w14:paraId="453DDC49" w14:textId="203887CF" w:rsidR="00040D6B" w:rsidRPr="00474A9D" w:rsidRDefault="00474A9D" w:rsidP="00474A9D">
      <w:pPr>
        <w:pStyle w:val="ListParagraph"/>
        <w:numPr>
          <w:ilvl w:val="0"/>
          <w:numId w:val="1"/>
        </w:numPr>
        <w:autoSpaceDE w:val="0"/>
        <w:autoSpaceDN w:val="0"/>
        <w:adjustRightInd w:val="0"/>
        <w:rPr>
          <w:rFonts w:cstheme="minorHAnsi"/>
        </w:rPr>
      </w:pPr>
      <w:r>
        <w:t xml:space="preserve">Leverage redundancy. </w:t>
      </w:r>
      <w:r w:rsidR="002B672E" w:rsidRPr="00474A9D">
        <w:rPr>
          <w:rFonts w:cstheme="minorHAnsi"/>
        </w:rPr>
        <w:t xml:space="preserve"> </w:t>
      </w:r>
    </w:p>
    <w:p w14:paraId="566A6F9A" w14:textId="7199CEAB" w:rsidR="002B672E" w:rsidRDefault="00DA17FC" w:rsidP="009B2C4D">
      <w:pPr>
        <w:autoSpaceDE w:val="0"/>
        <w:autoSpaceDN w:val="0"/>
        <w:adjustRightInd w:val="0"/>
        <w:rPr>
          <w:rFonts w:cstheme="minorHAnsi"/>
        </w:rPr>
      </w:pPr>
      <w:r>
        <w:rPr>
          <w:rFonts w:cstheme="minorHAnsi"/>
        </w:rPr>
        <w:t xml:space="preserve">The working-through of a proof may involve a lot of </w:t>
      </w:r>
      <w:r w:rsidR="00E7152A">
        <w:rPr>
          <w:rFonts w:cstheme="minorHAnsi"/>
        </w:rPr>
        <w:t>standard</w:t>
      </w:r>
      <w:r w:rsidR="00BD7B4E">
        <w:rPr>
          <w:rFonts w:cstheme="minorHAnsi"/>
        </w:rPr>
        <w:t xml:space="preserve"> </w:t>
      </w:r>
      <w:r w:rsidR="000D0325">
        <w:rPr>
          <w:rFonts w:cstheme="minorHAnsi"/>
        </w:rPr>
        <w:t>moves</w:t>
      </w:r>
      <w:r>
        <w:rPr>
          <w:rFonts w:cstheme="minorHAnsi"/>
        </w:rPr>
        <w:t xml:space="preserve">, </w:t>
      </w:r>
      <w:r w:rsidR="00A8164D">
        <w:rPr>
          <w:rFonts w:cstheme="minorHAnsi"/>
        </w:rPr>
        <w:t xml:space="preserve">and a proof written for robustness will downplay this </w:t>
      </w:r>
      <w:r w:rsidR="00BD7B4E">
        <w:rPr>
          <w:rFonts w:cstheme="minorHAnsi"/>
        </w:rPr>
        <w:t xml:space="preserve">familiar material in order to </w:t>
      </w:r>
      <w:r w:rsidR="00364E43">
        <w:rPr>
          <w:rFonts w:cstheme="minorHAnsi"/>
        </w:rPr>
        <w:t>foreground</w:t>
      </w:r>
      <w:r w:rsidR="00BD7B4E">
        <w:rPr>
          <w:rFonts w:cstheme="minorHAnsi"/>
        </w:rPr>
        <w:t xml:space="preserve"> </w:t>
      </w:r>
      <w:r w:rsidR="006439BB">
        <w:rPr>
          <w:rFonts w:cstheme="minorHAnsi"/>
        </w:rPr>
        <w:t>whatever is novel or unique</w:t>
      </w:r>
      <w:r w:rsidR="000E05CA">
        <w:rPr>
          <w:rFonts w:cstheme="minorHAnsi"/>
        </w:rPr>
        <w:t>, so that readers can focus on it and interrogate it</w:t>
      </w:r>
      <w:r w:rsidR="006439BB">
        <w:rPr>
          <w:rFonts w:cstheme="minorHAnsi"/>
        </w:rPr>
        <w:t xml:space="preserve">.  </w:t>
      </w:r>
      <w:r w:rsidR="00386B33">
        <w:rPr>
          <w:rFonts w:cstheme="minorHAnsi"/>
        </w:rPr>
        <w:t xml:space="preserve">The second point </w:t>
      </w:r>
      <w:r w:rsidR="00917381">
        <w:rPr>
          <w:rFonts w:cstheme="minorHAnsi"/>
        </w:rPr>
        <w:t xml:space="preserve">means building in checks so that an error will show up vividly.  Finally, the robustness of informal proofs depends in part on the fact that </w:t>
      </w:r>
      <w:r w:rsidR="00CF7815">
        <w:rPr>
          <w:rFonts w:cstheme="minorHAnsi"/>
        </w:rPr>
        <w:t xml:space="preserve">there </w:t>
      </w:r>
      <w:r w:rsidR="009F50BA">
        <w:rPr>
          <w:rFonts w:cstheme="minorHAnsi"/>
        </w:rPr>
        <w:t xml:space="preserve">are often many different ways of proving the same </w:t>
      </w:r>
      <w:r w:rsidR="00504CFB">
        <w:rPr>
          <w:rFonts w:cstheme="minorHAnsi"/>
        </w:rPr>
        <w:t xml:space="preserve">lemma or </w:t>
      </w:r>
      <w:r w:rsidR="009F50BA">
        <w:rPr>
          <w:rFonts w:cstheme="minorHAnsi"/>
        </w:rPr>
        <w:t>result</w:t>
      </w:r>
      <w:r w:rsidR="00F264F5">
        <w:rPr>
          <w:rFonts w:cstheme="minorHAnsi"/>
        </w:rPr>
        <w:t xml:space="preserve">.  </w:t>
      </w:r>
      <w:r w:rsidR="002673B5">
        <w:rPr>
          <w:rFonts w:cstheme="minorHAnsi"/>
        </w:rPr>
        <w:t xml:space="preserve">Avigad then suggests </w:t>
      </w:r>
      <w:r w:rsidR="004C4D3C">
        <w:rPr>
          <w:rFonts w:cstheme="minorHAnsi"/>
        </w:rPr>
        <w:t xml:space="preserve">a non-exhaustive list of </w:t>
      </w:r>
      <w:r w:rsidR="002673B5">
        <w:rPr>
          <w:rFonts w:cstheme="minorHAnsi"/>
        </w:rPr>
        <w:t xml:space="preserve">some more specific </w:t>
      </w:r>
      <w:r w:rsidR="00F46861">
        <w:rPr>
          <w:rFonts w:cstheme="minorHAnsi"/>
        </w:rPr>
        <w:t xml:space="preserve">heuristics: </w:t>
      </w:r>
    </w:p>
    <w:p w14:paraId="68B884D3" w14:textId="7898F683" w:rsidR="00F46861" w:rsidRDefault="00F46861" w:rsidP="00F46861">
      <w:pPr>
        <w:pStyle w:val="ListParagraph"/>
        <w:numPr>
          <w:ilvl w:val="0"/>
          <w:numId w:val="2"/>
        </w:numPr>
        <w:autoSpaceDE w:val="0"/>
        <w:autoSpaceDN w:val="0"/>
        <w:adjustRightInd w:val="0"/>
      </w:pPr>
      <w:r>
        <w:t>Reason by analogy</w:t>
      </w:r>
    </w:p>
    <w:p w14:paraId="594461A5" w14:textId="0264803A" w:rsidR="00F46861" w:rsidRPr="00F46861" w:rsidRDefault="00F46861" w:rsidP="00F46861">
      <w:pPr>
        <w:pStyle w:val="ListParagraph"/>
        <w:numPr>
          <w:ilvl w:val="0"/>
          <w:numId w:val="2"/>
        </w:numPr>
        <w:autoSpaceDE w:val="0"/>
        <w:autoSpaceDN w:val="0"/>
        <w:adjustRightInd w:val="0"/>
        <w:rPr>
          <w:rFonts w:cstheme="minorHAnsi"/>
        </w:rPr>
      </w:pPr>
      <w:r>
        <w:t>Modularize</w:t>
      </w:r>
    </w:p>
    <w:p w14:paraId="7FC1D9DD" w14:textId="7DB656FA" w:rsidR="00F46861" w:rsidRPr="00F46861" w:rsidRDefault="00F46861" w:rsidP="00F46861">
      <w:pPr>
        <w:pStyle w:val="ListParagraph"/>
        <w:numPr>
          <w:ilvl w:val="0"/>
          <w:numId w:val="2"/>
        </w:numPr>
        <w:autoSpaceDE w:val="0"/>
        <w:autoSpaceDN w:val="0"/>
        <w:adjustRightInd w:val="0"/>
        <w:rPr>
          <w:rFonts w:cstheme="minorHAnsi"/>
        </w:rPr>
      </w:pPr>
      <w:r>
        <w:t>Generalize</w:t>
      </w:r>
    </w:p>
    <w:p w14:paraId="26E23267" w14:textId="17D3ACCD" w:rsidR="00F46861" w:rsidRPr="00F46861" w:rsidRDefault="00F46861" w:rsidP="00F46861">
      <w:pPr>
        <w:pStyle w:val="ListParagraph"/>
        <w:numPr>
          <w:ilvl w:val="0"/>
          <w:numId w:val="2"/>
        </w:numPr>
        <w:autoSpaceDE w:val="0"/>
        <w:autoSpaceDN w:val="0"/>
        <w:adjustRightInd w:val="0"/>
        <w:rPr>
          <w:rFonts w:cstheme="minorHAnsi"/>
        </w:rPr>
      </w:pPr>
      <w:r>
        <w:t>Use algebraic abstraction</w:t>
      </w:r>
    </w:p>
    <w:p w14:paraId="795DB7AD" w14:textId="5FDC512C" w:rsidR="00F46861" w:rsidRPr="00F46861" w:rsidRDefault="00F46861" w:rsidP="00F46861">
      <w:pPr>
        <w:pStyle w:val="ListParagraph"/>
        <w:numPr>
          <w:ilvl w:val="0"/>
          <w:numId w:val="2"/>
        </w:numPr>
        <w:autoSpaceDE w:val="0"/>
        <w:autoSpaceDN w:val="0"/>
        <w:adjustRightInd w:val="0"/>
        <w:rPr>
          <w:rFonts w:cstheme="minorHAnsi"/>
        </w:rPr>
      </w:pPr>
      <w:r>
        <w:t>Collect examples</w:t>
      </w:r>
    </w:p>
    <w:p w14:paraId="3FD79183" w14:textId="0BB24698" w:rsidR="00F46861" w:rsidRPr="00F46861" w:rsidRDefault="00F46861" w:rsidP="00F46861">
      <w:pPr>
        <w:pStyle w:val="ListParagraph"/>
        <w:numPr>
          <w:ilvl w:val="0"/>
          <w:numId w:val="2"/>
        </w:numPr>
        <w:autoSpaceDE w:val="0"/>
        <w:autoSpaceDN w:val="0"/>
        <w:adjustRightInd w:val="0"/>
        <w:rPr>
          <w:rFonts w:cstheme="minorHAnsi"/>
        </w:rPr>
      </w:pPr>
      <w:r>
        <w:t>Classify</w:t>
      </w:r>
    </w:p>
    <w:p w14:paraId="3C6E81A9" w14:textId="15E79D3B" w:rsidR="00F46861" w:rsidRPr="00F46861" w:rsidRDefault="00F46861" w:rsidP="00F46861">
      <w:pPr>
        <w:pStyle w:val="ListParagraph"/>
        <w:numPr>
          <w:ilvl w:val="0"/>
          <w:numId w:val="2"/>
        </w:numPr>
        <w:autoSpaceDE w:val="0"/>
        <w:autoSpaceDN w:val="0"/>
        <w:adjustRightInd w:val="0"/>
        <w:rPr>
          <w:rFonts w:cstheme="minorHAnsi"/>
        </w:rPr>
      </w:pPr>
      <w:r>
        <w:t>Develop complementary approaches</w:t>
      </w:r>
    </w:p>
    <w:p w14:paraId="05105E78" w14:textId="7AF9EF87" w:rsidR="00F46861" w:rsidRPr="00F46861" w:rsidRDefault="00F46861" w:rsidP="00F46861">
      <w:pPr>
        <w:pStyle w:val="ListParagraph"/>
        <w:numPr>
          <w:ilvl w:val="0"/>
          <w:numId w:val="2"/>
        </w:numPr>
        <w:autoSpaceDE w:val="0"/>
        <w:autoSpaceDN w:val="0"/>
        <w:adjustRightInd w:val="0"/>
        <w:rPr>
          <w:rFonts w:cstheme="minorHAnsi"/>
        </w:rPr>
      </w:pPr>
      <w:r>
        <w:t>Visualize</w:t>
      </w:r>
    </w:p>
    <w:p w14:paraId="31BF01EF" w14:textId="76AEBB0C" w:rsidR="004935AB" w:rsidRDefault="00076322" w:rsidP="004935AB">
      <w:r>
        <w:rPr>
          <w:rFonts w:cstheme="minorHAnsi"/>
        </w:rPr>
        <w:t xml:space="preserve">The analogies Avigad has in mind </w:t>
      </w:r>
      <w:r w:rsidR="00D375BA">
        <w:rPr>
          <w:rFonts w:cstheme="minorHAnsi"/>
        </w:rPr>
        <w:t xml:space="preserve">can </w:t>
      </w:r>
      <w:r>
        <w:rPr>
          <w:rFonts w:cstheme="minorHAnsi"/>
        </w:rPr>
        <w:t xml:space="preserve">be between </w:t>
      </w:r>
      <w:r w:rsidR="00D375BA">
        <w:rPr>
          <w:rFonts w:cstheme="minorHAnsi"/>
        </w:rPr>
        <w:t xml:space="preserve">structures (say between the </w:t>
      </w:r>
      <w:r w:rsidR="00466471">
        <w:rPr>
          <w:rFonts w:cstheme="minorHAnsi"/>
        </w:rPr>
        <w:t>integers</w:t>
      </w:r>
      <w:r w:rsidR="00D375BA">
        <w:rPr>
          <w:rFonts w:cstheme="minorHAnsi"/>
        </w:rPr>
        <w:t xml:space="preserve"> and the Gaussian integers)</w:t>
      </w:r>
      <w:r w:rsidR="00CF3AE2">
        <w:rPr>
          <w:rFonts w:cstheme="minorHAnsi"/>
        </w:rPr>
        <w:t>,</w:t>
      </w:r>
      <w:r w:rsidR="00D375BA">
        <w:rPr>
          <w:rFonts w:cstheme="minorHAnsi"/>
        </w:rPr>
        <w:t xml:space="preserve"> or </w:t>
      </w:r>
      <w:r w:rsidR="00CF3AE2">
        <w:rPr>
          <w:rFonts w:cstheme="minorHAnsi"/>
        </w:rPr>
        <w:t>argument</w:t>
      </w:r>
      <w:r w:rsidR="00501586">
        <w:rPr>
          <w:rFonts w:cstheme="minorHAnsi"/>
        </w:rPr>
        <w:t>s, or con</w:t>
      </w:r>
      <w:r w:rsidR="008D7905">
        <w:rPr>
          <w:rFonts w:cstheme="minorHAnsi"/>
        </w:rPr>
        <w:t>s</w:t>
      </w:r>
      <w:r w:rsidR="00501586">
        <w:rPr>
          <w:rFonts w:cstheme="minorHAnsi"/>
        </w:rPr>
        <w:t xml:space="preserve">truction </w:t>
      </w:r>
      <w:r w:rsidR="008D7905">
        <w:rPr>
          <w:rFonts w:cstheme="minorHAnsi"/>
        </w:rPr>
        <w:t xml:space="preserve">heuristics like </w:t>
      </w:r>
      <w:r w:rsidR="00546EE4">
        <w:rPr>
          <w:rFonts w:cstheme="minorHAnsi"/>
        </w:rPr>
        <w:t xml:space="preserve">embedding a class of objects into a bigger structure with more tractable properties.  </w:t>
      </w:r>
      <w:r w:rsidR="00466471">
        <w:rPr>
          <w:rFonts w:cstheme="minorHAnsi"/>
        </w:rPr>
        <w:t xml:space="preserve">By ‘algebraic abstraction’, Avigad means </w:t>
      </w:r>
      <w:r w:rsidR="00CB682D">
        <w:rPr>
          <w:rFonts w:cstheme="minorHAnsi"/>
        </w:rPr>
        <w:t xml:space="preserve">capturing the </w:t>
      </w:r>
      <w:r w:rsidR="00817065">
        <w:rPr>
          <w:rFonts w:cstheme="minorHAnsi"/>
        </w:rPr>
        <w:t xml:space="preserve">mathematically important features of a structure in axioms, such as the group axioms. </w:t>
      </w:r>
      <w:r w:rsidR="00D245AE">
        <w:rPr>
          <w:rFonts w:cstheme="minorHAnsi"/>
        </w:rPr>
        <w:t xml:space="preserve"> These </w:t>
      </w:r>
      <w:r w:rsidR="003B52FF">
        <w:rPr>
          <w:rFonts w:cstheme="minorHAnsi"/>
        </w:rPr>
        <w:t xml:space="preserve">heuristics can support each other.  For example, collecting examples is an obvious precursor to classification, but </w:t>
      </w:r>
      <w:r w:rsidR="001A7883">
        <w:rPr>
          <w:rFonts w:cstheme="minorHAnsi"/>
        </w:rPr>
        <w:t xml:space="preserve">a </w:t>
      </w:r>
      <w:r w:rsidR="003B52FF">
        <w:rPr>
          <w:rFonts w:cstheme="minorHAnsi"/>
        </w:rPr>
        <w:t>classification can be</w:t>
      </w:r>
      <w:r w:rsidR="001A7883">
        <w:rPr>
          <w:rFonts w:cstheme="minorHAnsi"/>
        </w:rPr>
        <w:t xml:space="preserve"> more powerful if it is ordered according to some structural feature</w:t>
      </w:r>
      <w:r w:rsidR="00AB2580">
        <w:rPr>
          <w:rFonts w:cstheme="minorHAnsi"/>
        </w:rPr>
        <w:t xml:space="preserve">, and this feature may be a candidate for capture in axioms, and so become a case of </w:t>
      </w:r>
      <w:r w:rsidR="00AB2580">
        <w:rPr>
          <w:rFonts w:cstheme="minorHAnsi"/>
        </w:rPr>
        <w:lastRenderedPageBreak/>
        <w:t>algebraic abstraction.</w:t>
      </w:r>
      <w:r w:rsidR="007B33A4">
        <w:rPr>
          <w:rStyle w:val="FootnoteReference"/>
          <w:rFonts w:cstheme="minorHAnsi"/>
        </w:rPr>
        <w:footnoteReference w:id="12"/>
      </w:r>
      <w:r w:rsidR="00AB2580">
        <w:rPr>
          <w:rFonts w:cstheme="minorHAnsi"/>
        </w:rPr>
        <w:t xml:space="preserve">  </w:t>
      </w:r>
      <w:r w:rsidR="00D05367">
        <w:rPr>
          <w:rFonts w:cstheme="minorHAnsi"/>
        </w:rPr>
        <w:t xml:space="preserve">Avigad supplies examples and </w:t>
      </w:r>
      <w:r w:rsidR="00FD7D1E">
        <w:rPr>
          <w:rFonts w:cstheme="minorHAnsi"/>
        </w:rPr>
        <w:t xml:space="preserve">discussion that I will not reproduce here because </w:t>
      </w:r>
      <w:r w:rsidR="00A0780D">
        <w:rPr>
          <w:rFonts w:cstheme="minorHAnsi"/>
        </w:rPr>
        <w:t xml:space="preserve">I have nothing critical </w:t>
      </w:r>
      <w:r w:rsidR="00F134D2">
        <w:rPr>
          <w:rFonts w:cstheme="minorHAnsi"/>
        </w:rPr>
        <w:t xml:space="preserve">or novel </w:t>
      </w:r>
      <w:r w:rsidR="00A0780D">
        <w:rPr>
          <w:rFonts w:cstheme="minorHAnsi"/>
        </w:rPr>
        <w:t xml:space="preserve">to say about </w:t>
      </w:r>
      <w:r w:rsidR="005C1C0A">
        <w:rPr>
          <w:rFonts w:cstheme="minorHAnsi"/>
        </w:rPr>
        <w:t xml:space="preserve">the detail of </w:t>
      </w:r>
      <w:r w:rsidR="00A40621">
        <w:rPr>
          <w:rFonts w:cstheme="minorHAnsi"/>
        </w:rPr>
        <w:t xml:space="preserve">what I am calling the </w:t>
      </w:r>
      <w:r w:rsidR="00014CF7">
        <w:rPr>
          <w:rFonts w:cstheme="minorHAnsi"/>
        </w:rPr>
        <w:t>‘</w:t>
      </w:r>
      <w:r w:rsidR="00A40621">
        <w:rPr>
          <w:rFonts w:cstheme="minorHAnsi"/>
        </w:rPr>
        <w:t>observational core</w:t>
      </w:r>
      <w:r w:rsidR="00014CF7">
        <w:rPr>
          <w:rFonts w:cstheme="minorHAnsi"/>
        </w:rPr>
        <w:t>’</w:t>
      </w:r>
      <w:r w:rsidR="00A40621">
        <w:rPr>
          <w:rFonts w:cstheme="minorHAnsi"/>
        </w:rPr>
        <w:t xml:space="preserve"> of his paper</w:t>
      </w:r>
      <w:r w:rsidR="00CF6058">
        <w:rPr>
          <w:rFonts w:cstheme="minorHAnsi"/>
        </w:rPr>
        <w:t>.</w:t>
      </w:r>
      <w:r w:rsidR="00CF6058">
        <w:rPr>
          <w:rStyle w:val="FootnoteReference"/>
          <w:rFonts w:cstheme="minorHAnsi"/>
        </w:rPr>
        <w:footnoteReference w:id="13"/>
      </w:r>
      <w:r w:rsidR="00A0780D">
        <w:rPr>
          <w:rFonts w:cstheme="minorHAnsi"/>
        </w:rPr>
        <w:t xml:space="preserve"> </w:t>
      </w:r>
      <w:r w:rsidR="002101EC">
        <w:rPr>
          <w:rFonts w:cstheme="minorHAnsi"/>
        </w:rPr>
        <w:t xml:space="preserve"> Note, though, that </w:t>
      </w:r>
      <w:r w:rsidR="00625AEB">
        <w:rPr>
          <w:rFonts w:cstheme="minorHAnsi"/>
        </w:rPr>
        <w:t xml:space="preserve">these strategies all depend </w:t>
      </w:r>
      <w:r w:rsidR="003B637F">
        <w:rPr>
          <w:rFonts w:cstheme="minorHAnsi"/>
        </w:rPr>
        <w:t xml:space="preserve">to some degree on the </w:t>
      </w:r>
      <w:r w:rsidR="003B44D3">
        <w:rPr>
          <w:rFonts w:cstheme="minorHAnsi"/>
        </w:rPr>
        <w:t xml:space="preserve">mathematics being meaningful to human mathematicians.  Some (such as 2 and 4) carry over to </w:t>
      </w:r>
      <w:r w:rsidR="00F5183F">
        <w:rPr>
          <w:rFonts w:cstheme="minorHAnsi"/>
        </w:rPr>
        <w:t xml:space="preserve">formal derivations relatively smoothly.  Others, such as 8, do not.  </w:t>
      </w:r>
      <w:r w:rsidR="001B0584">
        <w:rPr>
          <w:rFonts w:cstheme="minorHAnsi"/>
        </w:rPr>
        <w:t xml:space="preserve">Curiously, Avigad does not explore </w:t>
      </w:r>
      <w:r w:rsidR="00E63F4E">
        <w:rPr>
          <w:rFonts w:cstheme="minorHAnsi"/>
        </w:rPr>
        <w:t xml:space="preserve">the </w:t>
      </w:r>
      <w:r w:rsidR="00DA6B28">
        <w:rPr>
          <w:rFonts w:cstheme="minorHAnsi"/>
        </w:rPr>
        <w:t>extent</w:t>
      </w:r>
      <w:r w:rsidR="00E63F4E">
        <w:rPr>
          <w:rFonts w:cstheme="minorHAnsi"/>
        </w:rPr>
        <w:t xml:space="preserve"> to which these </w:t>
      </w:r>
      <w:r w:rsidR="00DA6B28">
        <w:rPr>
          <w:rFonts w:cstheme="minorHAnsi"/>
        </w:rPr>
        <w:t xml:space="preserve">strategies for informal proofs </w:t>
      </w:r>
      <w:r w:rsidR="00CE6452">
        <w:rPr>
          <w:rFonts w:cstheme="minorHAnsi"/>
        </w:rPr>
        <w:t xml:space="preserve">do or do not </w:t>
      </w:r>
      <w:r w:rsidR="00D060AC">
        <w:rPr>
          <w:rFonts w:cstheme="minorHAnsi"/>
        </w:rPr>
        <w:t xml:space="preserve">tend to produce proofs that </w:t>
      </w:r>
      <w:r w:rsidR="00147CAA">
        <w:rPr>
          <w:rFonts w:cstheme="minorHAnsi"/>
        </w:rPr>
        <w:t xml:space="preserve">map </w:t>
      </w:r>
      <w:r w:rsidR="00D35A45">
        <w:rPr>
          <w:rFonts w:cstheme="minorHAnsi"/>
        </w:rPr>
        <w:t xml:space="preserve">easily </w:t>
      </w:r>
      <w:r w:rsidR="00CE4C37">
        <w:rPr>
          <w:rFonts w:cstheme="minorHAnsi"/>
        </w:rPr>
        <w:t xml:space="preserve">(‘routinely’) </w:t>
      </w:r>
      <w:r w:rsidR="00147CAA">
        <w:rPr>
          <w:rFonts w:cstheme="minorHAnsi"/>
        </w:rPr>
        <w:t xml:space="preserve">across to formal derivations.  </w:t>
      </w:r>
      <w:r w:rsidR="001071F5">
        <w:rPr>
          <w:rFonts w:cstheme="minorHAnsi"/>
        </w:rPr>
        <w:t>On the contrary, he presents t</w:t>
      </w:r>
      <w:r w:rsidR="004935AB">
        <w:t>h</w:t>
      </w:r>
      <w:r w:rsidR="001071F5">
        <w:t>e</w:t>
      </w:r>
      <w:r w:rsidR="004935AB">
        <w:t>s</w:t>
      </w:r>
      <w:r w:rsidR="001071F5">
        <w:t>e</w:t>
      </w:r>
      <w:r w:rsidR="004935AB">
        <w:t xml:space="preserve"> strategies </w:t>
      </w:r>
      <w:r w:rsidR="001071F5">
        <w:t>as means for</w:t>
      </w:r>
      <w:r w:rsidR="004935AB">
        <w:t xml:space="preserve"> managing </w:t>
      </w:r>
      <w:r w:rsidR="00CE4C37">
        <w:t xml:space="preserve">logical </w:t>
      </w:r>
      <w:r w:rsidR="004935AB">
        <w:t>relations internal to the informal proof.  They</w:t>
      </w:r>
      <w:r w:rsidR="00247052">
        <w:t xml:space="preserve"> a</w:t>
      </w:r>
      <w:r w:rsidR="004935AB">
        <w:t>re not about building connections between the informal proof and a corresponding formal derivation.</w:t>
      </w:r>
      <w:r w:rsidR="004935AB">
        <w:rPr>
          <w:rStyle w:val="FootnoteReference"/>
        </w:rPr>
        <w:footnoteReference w:id="14"/>
      </w:r>
      <w:r w:rsidR="00794A31">
        <w:t xml:space="preserve">  </w:t>
      </w:r>
      <w:r w:rsidR="003500F8">
        <w:t>They are about making sure that the informal proof works in its own terms.</w:t>
      </w:r>
    </w:p>
    <w:p w14:paraId="2D8B93A7" w14:textId="4266936B" w:rsidR="00BC1FE5" w:rsidRDefault="004B2BDB" w:rsidP="00BC1FE5">
      <w:r>
        <w:t xml:space="preserve">This is why the </w:t>
      </w:r>
      <w:r w:rsidR="00D17940">
        <w:t xml:space="preserve">observational core of Avigad’s paper could just as well have been written by someone </w:t>
      </w:r>
      <w:r w:rsidR="00C832B5">
        <w:t>building on the views of Yehuda Rav or Michael Detlefsen</w:t>
      </w:r>
      <w:r w:rsidR="00F0015B">
        <w:t xml:space="preserve">, that is to say, the </w:t>
      </w:r>
      <w:r w:rsidR="00C36848">
        <w:t>claim</w:t>
      </w:r>
      <w:r w:rsidR="00F0015B">
        <w:t xml:space="preserve"> that the rigour of informal proofs can (on the whole, in most cases) be accounted for without </w:t>
      </w:r>
      <w:r w:rsidR="00DB48A5">
        <w:t>reference to formal derivations.</w:t>
      </w:r>
      <w:r w:rsidR="00057CFA">
        <w:t xml:space="preserve">  Avigad’s </w:t>
      </w:r>
      <w:r w:rsidR="009D1B4E">
        <w:t xml:space="preserve">analysis does not directly explain how informal proofs </w:t>
      </w:r>
      <w:r w:rsidR="005F1549">
        <w:t xml:space="preserve">meet the standard of correctness set out in the Standard View.  </w:t>
      </w:r>
      <w:r w:rsidR="002420CF">
        <w:t>His analysis cannot do that because it does not mention formal derivations at all.</w:t>
      </w:r>
      <w:r w:rsidR="00BF6394">
        <w:t xml:space="preserve"> </w:t>
      </w:r>
      <w:r w:rsidR="002420CF">
        <w:t xml:space="preserve"> </w:t>
      </w:r>
      <w:r w:rsidR="005F1549">
        <w:t xml:space="preserve">Rather, it </w:t>
      </w:r>
      <w:r w:rsidR="00CB1252">
        <w:t xml:space="preserve">explains (or at least, begins to explain) how </w:t>
      </w:r>
      <w:r w:rsidR="002420CF">
        <w:t xml:space="preserve">it is that informal proofs can </w:t>
      </w:r>
      <w:r w:rsidR="00D66ED8">
        <w:t xml:space="preserve">be truth-preserving. </w:t>
      </w:r>
      <w:r w:rsidR="00144C33">
        <w:t xml:space="preserve"> In doing so, it </w:t>
      </w:r>
      <w:r w:rsidR="00965C75">
        <w:t>indirectly</w:t>
      </w:r>
      <w:r w:rsidR="00144C33">
        <w:t xml:space="preserve"> </w:t>
      </w:r>
      <w:r w:rsidR="00C158A8">
        <w:t xml:space="preserve">helps us to understand </w:t>
      </w:r>
      <w:r w:rsidR="00A82BA9">
        <w:t xml:space="preserve">how they </w:t>
      </w:r>
      <w:r w:rsidR="00E86700">
        <w:t xml:space="preserve">meet the </w:t>
      </w:r>
      <w:r w:rsidR="00D72F57">
        <w:t xml:space="preserve">formalisability norm </w:t>
      </w:r>
      <w:r w:rsidR="000E4856">
        <w:t xml:space="preserve">set out in </w:t>
      </w:r>
      <w:r w:rsidR="00490B77">
        <w:t xml:space="preserve">Avigad’s reading of </w:t>
      </w:r>
      <w:r w:rsidR="00E7781D">
        <w:t xml:space="preserve">the </w:t>
      </w:r>
      <w:r w:rsidR="000E4856">
        <w:t xml:space="preserve">Standard View—but only </w:t>
      </w:r>
      <w:r w:rsidR="00DB45D4">
        <w:t xml:space="preserve">because results in the foundations of mathematics tell us that a sound </w:t>
      </w:r>
      <w:r w:rsidR="00591336">
        <w:t xml:space="preserve">informal </w:t>
      </w:r>
      <w:r w:rsidR="00DB45D4">
        <w:t xml:space="preserve">proof </w:t>
      </w:r>
      <w:r w:rsidR="009D5B5A">
        <w:t xml:space="preserve">will be </w:t>
      </w:r>
      <w:proofErr w:type="spellStart"/>
      <w:r w:rsidR="009D5B5A">
        <w:t>formalisable</w:t>
      </w:r>
      <w:proofErr w:type="spellEnd"/>
      <w:r w:rsidR="004F025B">
        <w:t>.</w:t>
      </w:r>
      <w:r w:rsidR="00D32C80">
        <w:t xml:space="preserve">  </w:t>
      </w:r>
      <w:r w:rsidR="005A75CB">
        <w:t xml:space="preserve">Informal mathematical proofs are </w:t>
      </w:r>
      <w:r w:rsidR="00CF666C">
        <w:t xml:space="preserve">highly </w:t>
      </w:r>
      <w:r w:rsidR="005A75CB">
        <w:t xml:space="preserve">truth-preserving </w:t>
      </w:r>
      <w:r w:rsidR="00F525E2">
        <w:t xml:space="preserve">in part </w:t>
      </w:r>
      <w:r w:rsidR="005A75CB">
        <w:t xml:space="preserve">because they </w:t>
      </w:r>
      <w:r w:rsidR="00692C3C">
        <w:t xml:space="preserve">isolate </w:t>
      </w:r>
      <w:r w:rsidR="00CF666C">
        <w:t>critical information, expose themselves to error detection, leverage redundancy, and so on through the rest of Avigad’s</w:t>
      </w:r>
      <w:r w:rsidR="00C10DEC">
        <w:t xml:space="preserve"> </w:t>
      </w:r>
      <w:r w:rsidR="00A117B6">
        <w:t>good</w:t>
      </w:r>
      <w:r w:rsidR="00C10DEC">
        <w:t xml:space="preserve"> </w:t>
      </w:r>
      <w:r w:rsidR="00CF666C">
        <w:t xml:space="preserve">heuristic advice.  </w:t>
      </w:r>
      <w:r w:rsidR="00615BFB">
        <w:t xml:space="preserve">The observational core of Avigad’s paper can be adopted wholesale by critics of the </w:t>
      </w:r>
      <w:r w:rsidR="00624ECB">
        <w:t>S</w:t>
      </w:r>
      <w:r w:rsidR="00615BFB">
        <w:t xml:space="preserve">tandard </w:t>
      </w:r>
      <w:r w:rsidR="00624ECB">
        <w:t>V</w:t>
      </w:r>
      <w:r w:rsidR="00615BFB">
        <w:t xml:space="preserve">iew, because </w:t>
      </w:r>
      <w:r w:rsidR="00716EBA">
        <w:t>it</w:t>
      </w:r>
      <w:r w:rsidR="00615BFB">
        <w:t xml:space="preserve"> says </w:t>
      </w:r>
      <w:r w:rsidR="00624ECB">
        <w:t>nothing</w:t>
      </w:r>
      <w:r w:rsidR="00615BFB">
        <w:t xml:space="preserve"> about the alleged relation </w:t>
      </w:r>
      <w:r w:rsidR="00291449">
        <w:t xml:space="preserve">between informal proofs and formal derivations.  </w:t>
      </w:r>
      <w:r w:rsidR="007E28C0">
        <w:t xml:space="preserve">Apart from a few references to a paper by </w:t>
      </w:r>
      <w:r w:rsidR="00801849">
        <w:t>Hamami</w:t>
      </w:r>
      <w:r w:rsidR="009B0F44">
        <w:t xml:space="preserve"> (</w:t>
      </w:r>
      <w:r w:rsidR="008708DF">
        <w:t>2019</w:t>
      </w:r>
      <w:r w:rsidR="005756D5">
        <w:t>)</w:t>
      </w:r>
      <w:r w:rsidR="00801849">
        <w:t xml:space="preserve">, Avigad’s </w:t>
      </w:r>
      <w:r w:rsidR="001F48CE">
        <w:t xml:space="preserve">heuristic observations </w:t>
      </w:r>
      <w:r w:rsidR="00801849">
        <w:t xml:space="preserve">are entirely </w:t>
      </w:r>
      <w:r w:rsidR="00E3157B">
        <w:t>about</w:t>
      </w:r>
      <w:r w:rsidR="00801849">
        <w:t xml:space="preserve"> informal </w:t>
      </w:r>
      <w:r w:rsidR="00764F85">
        <w:t>proofs</w:t>
      </w:r>
      <w:r w:rsidR="00B85D5E">
        <w:t xml:space="preserve"> alone, not about their relation to derivations</w:t>
      </w:r>
      <w:r w:rsidR="00801849">
        <w:t xml:space="preserve">.  </w:t>
      </w:r>
      <w:r w:rsidR="00201053">
        <w:t xml:space="preserve">The indifference of </w:t>
      </w:r>
      <w:r w:rsidR="00A12785">
        <w:t xml:space="preserve">Avigad’s heuristics to </w:t>
      </w:r>
      <w:r w:rsidR="002E7930">
        <w:t xml:space="preserve">formal </w:t>
      </w:r>
      <w:r w:rsidR="00A12785">
        <w:t>derivations rather supports the thought that the practically effective norm for mathematical proofs is that they should be sound</w:t>
      </w:r>
      <w:r w:rsidR="005C50D4">
        <w:t>.</w:t>
      </w:r>
      <w:r w:rsidR="00061F7C">
        <w:t xml:space="preserve"> </w:t>
      </w:r>
    </w:p>
    <w:p w14:paraId="531E2F74" w14:textId="65592528" w:rsidR="0018666F" w:rsidRDefault="00C53BF3" w:rsidP="00BC1FE5">
      <w:r>
        <w:t xml:space="preserve">That said, the challenge that Avigad </w:t>
      </w:r>
      <w:r w:rsidR="00FB0C20">
        <w:t xml:space="preserve">presents to </w:t>
      </w:r>
      <w:r w:rsidR="0052445E">
        <w:t>the Rav</w:t>
      </w:r>
      <w:r w:rsidR="00C0774F">
        <w:t xml:space="preserve"> </w:t>
      </w:r>
      <w:r w:rsidR="0052445E">
        <w:t>tendency remains, namely</w:t>
      </w:r>
      <w:r w:rsidR="0003405E">
        <w:t>,</w:t>
      </w:r>
      <w:r w:rsidR="0052445E">
        <w:t xml:space="preserve"> to provide some </w:t>
      </w:r>
      <w:r w:rsidR="0003405E">
        <w:t>alternative account of the correctness of informal proofs.  After all, most of Avigad’s heuristics would be good advice for legal or historical argument (</w:t>
      </w:r>
      <w:r w:rsidR="008D620C">
        <w:t>slot in sub-</w:t>
      </w:r>
      <w:r w:rsidR="0003405E">
        <w:t xml:space="preserve">arguments that </w:t>
      </w:r>
      <w:r w:rsidR="008D620C">
        <w:t xml:space="preserve">have already been well tested, </w:t>
      </w:r>
      <w:r w:rsidR="00600CE6">
        <w:t xml:space="preserve">find </w:t>
      </w:r>
      <w:r w:rsidR="00CB6F08">
        <w:t xml:space="preserve">multiple arguments for the same conclusion, </w:t>
      </w:r>
      <w:r w:rsidR="008D620C">
        <w:t>etc.</w:t>
      </w:r>
      <w:r w:rsidR="0003405E">
        <w:t>)</w:t>
      </w:r>
      <w:r w:rsidR="008D620C">
        <w:t xml:space="preserve"> and </w:t>
      </w:r>
      <w:r w:rsidR="00552DEA">
        <w:t xml:space="preserve">almost </w:t>
      </w:r>
      <w:r w:rsidR="00626065">
        <w:t>all of it is good advice for philosoph</w:t>
      </w:r>
      <w:r w:rsidR="00D05EC8">
        <w:t>ers</w:t>
      </w:r>
      <w:r w:rsidR="00626065">
        <w:t xml:space="preserve"> (collect examples, classify, identify abstract principles, etc.).  </w:t>
      </w:r>
      <w:r w:rsidR="004E3F93">
        <w:t>The challenge for the Rav</w:t>
      </w:r>
      <w:r w:rsidR="00C0774F">
        <w:t xml:space="preserve"> </w:t>
      </w:r>
      <w:r w:rsidR="004E3F93">
        <w:t xml:space="preserve">tendency is to </w:t>
      </w:r>
      <w:r w:rsidR="00AE086D">
        <w:t xml:space="preserve">explain how </w:t>
      </w:r>
      <w:r w:rsidR="00D87B0D">
        <w:t xml:space="preserve">informal proofs attain </w:t>
      </w:r>
      <w:r w:rsidR="00AA70F3">
        <w:t xml:space="preserve">mathematical levels of reliability, and this cannot be achieved by </w:t>
      </w:r>
      <w:r w:rsidR="00A2388F">
        <w:t xml:space="preserve">only </w:t>
      </w:r>
      <w:r w:rsidR="00AA70F3">
        <w:t>pointing to general heuristics of this sort.</w:t>
      </w:r>
      <w:r w:rsidR="001D065F">
        <w:t xml:space="preserve">  Some in the Rav tendency have </w:t>
      </w:r>
      <w:r w:rsidR="000263AD">
        <w:t>proposals, but testing them is not the aim of the present paper.</w:t>
      </w:r>
      <w:r w:rsidR="007B45B0">
        <w:rPr>
          <w:rStyle w:val="FootnoteReference"/>
        </w:rPr>
        <w:footnoteReference w:id="15"/>
      </w:r>
      <w:r w:rsidR="00AA70F3">
        <w:t xml:space="preserve">  </w:t>
      </w:r>
      <w:r w:rsidR="00193B14">
        <w:t>Proponents of the strongest version of the Standard View—that sound informal proofs are formal derivations in disguise</w:t>
      </w:r>
      <w:r w:rsidR="00637766">
        <w:t xml:space="preserve">—can </w:t>
      </w:r>
      <w:r w:rsidR="002F5365">
        <w:t xml:space="preserve">turn to </w:t>
      </w:r>
      <w:r w:rsidR="00637766">
        <w:t>formal logic to explain how proofs work</w:t>
      </w:r>
      <w:r w:rsidR="00DD63C3">
        <w:t xml:space="preserve">, but do have </w:t>
      </w:r>
      <w:r w:rsidR="00BA43AC">
        <w:t xml:space="preserve">to </w:t>
      </w:r>
      <w:r w:rsidR="00DD63C3">
        <w:t>make their core thesis plausible</w:t>
      </w:r>
      <w:r w:rsidR="004F474B">
        <w:t xml:space="preserve"> in the face of Avigad’s worry about fragility, </w:t>
      </w:r>
      <w:r w:rsidR="00A5079C">
        <w:t xml:space="preserve">Azzouni’s worry about how mathematicians </w:t>
      </w:r>
      <w:r w:rsidR="00F21BFA">
        <w:t xml:space="preserve">engage with </w:t>
      </w:r>
      <w:r w:rsidR="009E7912">
        <w:lastRenderedPageBreak/>
        <w:t xml:space="preserve">derivations and </w:t>
      </w:r>
      <w:r w:rsidR="00270F85">
        <w:t>fact that in</w:t>
      </w:r>
      <w:r w:rsidR="00750505">
        <w:t>formal proofs and derivations look different and seem to work differently</w:t>
      </w:r>
      <w:r w:rsidR="00DD63C3">
        <w:t xml:space="preserve">. </w:t>
      </w:r>
      <w:r w:rsidR="00AF2B0F">
        <w:t xml:space="preserve"> </w:t>
      </w:r>
      <w:r w:rsidR="00883310">
        <w:t xml:space="preserve">Someone who wishes to defend </w:t>
      </w:r>
      <w:r w:rsidR="00B218D5">
        <w:t xml:space="preserve">the Standard View </w:t>
      </w:r>
      <w:r w:rsidR="00F55974">
        <w:t xml:space="preserve">without claiming that informal proofs are only superficially informal </w:t>
      </w:r>
      <w:r w:rsidR="00CE5BD6">
        <w:t xml:space="preserve">would </w:t>
      </w:r>
      <w:r w:rsidR="003E7E61">
        <w:t xml:space="preserve">face the same </w:t>
      </w:r>
      <w:r w:rsidR="00CE5BD6">
        <w:t xml:space="preserve">challenge as the Rav tendency.  </w:t>
      </w:r>
      <w:r w:rsidR="00CB4444">
        <w:t xml:space="preserve">If we allow that informal proofs are not merely syntactic objects </w:t>
      </w:r>
      <w:r w:rsidR="00AC0198">
        <w:t>disguised in human language</w:t>
      </w:r>
      <w:r w:rsidR="00EC57CE">
        <w:t xml:space="preserve">, then the </w:t>
      </w:r>
      <w:r w:rsidR="00B75984">
        <w:t xml:space="preserve">challenge that Avigad presents to the Rav tendency </w:t>
      </w:r>
      <w:r w:rsidR="005E1D18">
        <w:t xml:space="preserve">is the very problem that he addresses in his paper.  I will argue in the next section that Avigad equivocates </w:t>
      </w:r>
      <w:r w:rsidR="00845627">
        <w:t xml:space="preserve">between these two versions of the Standard View.  </w:t>
      </w:r>
    </w:p>
    <w:p w14:paraId="518DF53A" w14:textId="7EFA69AC" w:rsidR="00B83C69" w:rsidRPr="00A9716C" w:rsidRDefault="00AF15D4" w:rsidP="00B83C69">
      <w:r>
        <w:t xml:space="preserve">This completes the case for the first claim of this paper: that the observational core of heuristic advice </w:t>
      </w:r>
      <w:r w:rsidR="0009521D">
        <w:t xml:space="preserve">in Avigad’s paper is entirely agnostic between rival accounts of mathematical correctness.  </w:t>
      </w:r>
    </w:p>
    <w:p w14:paraId="6166FD29" w14:textId="7B7EFC8E" w:rsidR="00F46861" w:rsidRDefault="003F530A" w:rsidP="00D8332C">
      <w:pPr>
        <w:pStyle w:val="Heading2"/>
        <w:numPr>
          <w:ilvl w:val="0"/>
          <w:numId w:val="5"/>
        </w:numPr>
      </w:pPr>
      <w:r>
        <w:t>The syntactic side of the tension</w:t>
      </w:r>
      <w:r w:rsidR="0069474F">
        <w:t xml:space="preserve"> </w:t>
      </w:r>
    </w:p>
    <w:p w14:paraId="6FF331AF" w14:textId="40991CA4" w:rsidR="0067277D" w:rsidRPr="000D6A77" w:rsidRDefault="00B45E4B" w:rsidP="00F46861">
      <w:pPr>
        <w:autoSpaceDE w:val="0"/>
        <w:autoSpaceDN w:val="0"/>
        <w:adjustRightInd w:val="0"/>
        <w:rPr>
          <w:rFonts w:cstheme="minorHAnsi"/>
        </w:rPr>
      </w:pPr>
      <w:r>
        <w:rPr>
          <w:rFonts w:cstheme="minorHAnsi"/>
        </w:rPr>
        <w:t xml:space="preserve">I now move to the second </w:t>
      </w:r>
      <w:r w:rsidR="0067277D">
        <w:rPr>
          <w:rFonts w:cstheme="minorHAnsi"/>
        </w:rPr>
        <w:t xml:space="preserve">claim </w:t>
      </w:r>
      <w:r>
        <w:rPr>
          <w:rFonts w:cstheme="minorHAnsi"/>
        </w:rPr>
        <w:t xml:space="preserve">of </w:t>
      </w:r>
      <w:r w:rsidR="00C712A3">
        <w:rPr>
          <w:rFonts w:cstheme="minorHAnsi"/>
        </w:rPr>
        <w:t xml:space="preserve">this paper, </w:t>
      </w:r>
      <w:r w:rsidR="0067277D">
        <w:rPr>
          <w:rFonts w:cstheme="minorHAnsi"/>
        </w:rPr>
        <w:t xml:space="preserve">that the tension at the heart of the Standard View is still there in Avigad’s version and sometimes pushes him </w:t>
      </w:r>
      <w:r w:rsidR="00543F69">
        <w:rPr>
          <w:rFonts w:cstheme="minorHAnsi"/>
        </w:rPr>
        <w:t xml:space="preserve">towards </w:t>
      </w:r>
      <w:r w:rsidR="00B52F38">
        <w:rPr>
          <w:rFonts w:cstheme="minorHAnsi"/>
        </w:rPr>
        <w:t xml:space="preserve">radical theses in </w:t>
      </w:r>
      <w:r w:rsidR="00693D39">
        <w:rPr>
          <w:rFonts w:cstheme="minorHAnsi"/>
        </w:rPr>
        <w:t xml:space="preserve">philosophy of mind. </w:t>
      </w:r>
      <w:r w:rsidR="008F61F0">
        <w:rPr>
          <w:rFonts w:cstheme="minorHAnsi"/>
        </w:rPr>
        <w:t xml:space="preserve"> </w:t>
      </w:r>
      <w:r w:rsidR="00A3500E">
        <w:rPr>
          <w:rFonts w:cstheme="minorHAnsi"/>
        </w:rPr>
        <w:t xml:space="preserve">Recall how that </w:t>
      </w:r>
      <w:r w:rsidR="00B04BEB">
        <w:rPr>
          <w:rFonts w:cstheme="minorHAnsi"/>
        </w:rPr>
        <w:t xml:space="preserve">temptation </w:t>
      </w:r>
      <w:r w:rsidR="00A3500E">
        <w:rPr>
          <w:rFonts w:cstheme="minorHAnsi"/>
        </w:rPr>
        <w:t xml:space="preserve">goes: </w:t>
      </w:r>
      <w:r w:rsidR="008757D4">
        <w:rPr>
          <w:rFonts w:cstheme="minorHAnsi"/>
        </w:rPr>
        <w:t xml:space="preserve">informal proofs and formal derivations </w:t>
      </w:r>
      <w:r w:rsidR="004F3F99">
        <w:rPr>
          <w:rFonts w:cstheme="minorHAnsi"/>
        </w:rPr>
        <w:t xml:space="preserve">often </w:t>
      </w:r>
      <w:r w:rsidR="00B04BEB">
        <w:rPr>
          <w:rFonts w:cstheme="minorHAnsi"/>
        </w:rPr>
        <w:t>look</w:t>
      </w:r>
      <w:r w:rsidR="008757D4">
        <w:rPr>
          <w:rFonts w:cstheme="minorHAnsi"/>
        </w:rPr>
        <w:t xml:space="preserve"> quite different, and in any case the formal derivation corresponding to a proof is almost never produced.  Nevertheless, </w:t>
      </w:r>
      <w:r w:rsidR="005B30A9">
        <w:rPr>
          <w:rFonts w:cstheme="minorHAnsi"/>
        </w:rPr>
        <w:t xml:space="preserve">according to the Standard View, </w:t>
      </w:r>
      <w:r w:rsidR="00F0397C">
        <w:rPr>
          <w:rFonts w:cstheme="minorHAnsi"/>
        </w:rPr>
        <w:t>the existence of formal derivation</w:t>
      </w:r>
      <w:r w:rsidR="00F8563F">
        <w:rPr>
          <w:rFonts w:cstheme="minorHAnsi"/>
        </w:rPr>
        <w:t>s</w:t>
      </w:r>
      <w:r w:rsidR="00F0397C">
        <w:rPr>
          <w:rFonts w:cstheme="minorHAnsi"/>
        </w:rPr>
        <w:t xml:space="preserve"> is somehow normative for </w:t>
      </w:r>
      <w:r w:rsidR="00F8563F">
        <w:rPr>
          <w:rFonts w:cstheme="minorHAnsi"/>
        </w:rPr>
        <w:t>informal proofs</w:t>
      </w:r>
      <w:r w:rsidR="008C2966">
        <w:rPr>
          <w:rFonts w:cstheme="minorHAnsi"/>
        </w:rPr>
        <w:t>.  A tempting resolution is to argue that in spite of appearances, the in</w:t>
      </w:r>
      <w:r w:rsidR="00BE20B1">
        <w:rPr>
          <w:rFonts w:cstheme="minorHAnsi"/>
        </w:rPr>
        <w:t>formal proof is really a derivation in disguise</w:t>
      </w:r>
      <w:r w:rsidR="00950695">
        <w:rPr>
          <w:rFonts w:cstheme="minorHAnsi"/>
        </w:rPr>
        <w:t xml:space="preserve">.  </w:t>
      </w:r>
      <w:r w:rsidR="003558F1">
        <w:rPr>
          <w:rFonts w:cstheme="minorHAnsi"/>
        </w:rPr>
        <w:t>Then</w:t>
      </w:r>
      <w:r w:rsidR="001E12F2">
        <w:rPr>
          <w:rFonts w:cstheme="minorHAnsi"/>
        </w:rPr>
        <w:t>,</w:t>
      </w:r>
      <w:r w:rsidR="002E3657">
        <w:rPr>
          <w:rFonts w:cstheme="minorHAnsi"/>
        </w:rPr>
        <w:t xml:space="preserve"> </w:t>
      </w:r>
      <w:r w:rsidR="003558F1">
        <w:rPr>
          <w:rFonts w:cstheme="minorHAnsi"/>
        </w:rPr>
        <w:t>two problems f</w:t>
      </w:r>
      <w:r w:rsidR="00F80C8A">
        <w:rPr>
          <w:rFonts w:cstheme="minorHAnsi"/>
        </w:rPr>
        <w:t>or</w:t>
      </w:r>
      <w:r w:rsidR="003558F1">
        <w:rPr>
          <w:rFonts w:cstheme="minorHAnsi"/>
        </w:rPr>
        <w:t xml:space="preserve"> the Standard View—the non-existence of derivations and their apparent difference in kind from informal proofs</w:t>
      </w:r>
      <w:r w:rsidR="001E12F2">
        <w:rPr>
          <w:rFonts w:cstheme="minorHAnsi"/>
        </w:rPr>
        <w:t xml:space="preserve">—both disappear.  </w:t>
      </w:r>
      <w:r w:rsidR="00950695">
        <w:rPr>
          <w:rFonts w:cstheme="minorHAnsi"/>
        </w:rPr>
        <w:t xml:space="preserve">In that case, </w:t>
      </w:r>
      <w:r w:rsidR="00B9274A">
        <w:rPr>
          <w:rFonts w:cstheme="minorHAnsi"/>
        </w:rPr>
        <w:t>‘</w:t>
      </w:r>
      <w:r w:rsidR="00950695">
        <w:rPr>
          <w:rFonts w:cstheme="minorHAnsi"/>
        </w:rPr>
        <w:t>routine</w:t>
      </w:r>
      <w:r w:rsidR="00B9274A">
        <w:rPr>
          <w:rFonts w:cstheme="minorHAnsi"/>
        </w:rPr>
        <w:t>’</w:t>
      </w:r>
      <w:r w:rsidR="003B3E69">
        <w:rPr>
          <w:rFonts w:cstheme="minorHAnsi"/>
        </w:rPr>
        <w:t xml:space="preserve"> </w:t>
      </w:r>
      <w:r w:rsidR="00950695">
        <w:rPr>
          <w:rFonts w:cstheme="minorHAnsi"/>
        </w:rPr>
        <w:t xml:space="preserve"> translation and faithful logical analysis do not transform </w:t>
      </w:r>
      <w:r w:rsidR="005E3383">
        <w:rPr>
          <w:rFonts w:cstheme="minorHAnsi"/>
        </w:rPr>
        <w:t xml:space="preserve">a proof </w:t>
      </w:r>
      <w:r w:rsidR="00950695">
        <w:rPr>
          <w:rFonts w:cstheme="minorHAnsi"/>
        </w:rPr>
        <w:t xml:space="preserve">but merely reveal its essence.  </w:t>
      </w:r>
      <w:r w:rsidR="009A0F71">
        <w:rPr>
          <w:rFonts w:cstheme="minorHAnsi"/>
        </w:rPr>
        <w:t>Once this line has been taken, it is natural to adopt a computational view of the mathematical mind.  Since mathemati</w:t>
      </w:r>
      <w:r w:rsidR="009B2B7B">
        <w:rPr>
          <w:rFonts w:cstheme="minorHAnsi"/>
        </w:rPr>
        <w:t>cians</w:t>
      </w:r>
      <w:r w:rsidR="009A0F71">
        <w:rPr>
          <w:rFonts w:cstheme="minorHAnsi"/>
        </w:rPr>
        <w:t xml:space="preserve"> are human</w:t>
      </w:r>
      <w:r w:rsidR="009B2B7B">
        <w:rPr>
          <w:rFonts w:cstheme="minorHAnsi"/>
        </w:rPr>
        <w:t>s</w:t>
      </w:r>
      <w:r w:rsidR="009A0F71">
        <w:rPr>
          <w:rFonts w:cstheme="minorHAnsi"/>
        </w:rPr>
        <w:t xml:space="preserve">, </w:t>
      </w:r>
      <w:r w:rsidR="003D144D">
        <w:rPr>
          <w:rFonts w:cstheme="minorHAnsi"/>
        </w:rPr>
        <w:t xml:space="preserve">a </w:t>
      </w:r>
      <w:r w:rsidR="003D144D" w:rsidRPr="000D6A77">
        <w:rPr>
          <w:rFonts w:cstheme="minorHAnsi"/>
        </w:rPr>
        <w:t xml:space="preserve">general computationalism in the philosophy of mind beckons. </w:t>
      </w:r>
    </w:p>
    <w:p w14:paraId="51824E2E" w14:textId="6464A65C" w:rsidR="009B2C4D" w:rsidRPr="00070D76" w:rsidRDefault="000A4928" w:rsidP="00070D76">
      <w:pPr>
        <w:autoSpaceDE w:val="0"/>
        <w:autoSpaceDN w:val="0"/>
        <w:adjustRightInd w:val="0"/>
        <w:rPr>
          <w:rFonts w:cstheme="minorHAnsi"/>
        </w:rPr>
      </w:pPr>
      <w:r w:rsidRPr="000D6A77">
        <w:rPr>
          <w:rFonts w:cstheme="minorHAnsi"/>
        </w:rPr>
        <w:t xml:space="preserve"> </w:t>
      </w:r>
      <w:r w:rsidR="000E51BC" w:rsidRPr="000D6A77">
        <w:rPr>
          <w:rFonts w:cstheme="minorHAnsi"/>
        </w:rPr>
        <w:t xml:space="preserve">As we saw, </w:t>
      </w:r>
      <w:r w:rsidR="006D3F82" w:rsidRPr="000D6A77">
        <w:rPr>
          <w:rFonts w:cstheme="minorHAnsi"/>
        </w:rPr>
        <w:t xml:space="preserve">Avigad’s characterisation of the Standard View </w:t>
      </w:r>
      <w:r w:rsidR="000667F9" w:rsidRPr="000D6A77">
        <w:rPr>
          <w:rFonts w:cstheme="minorHAnsi"/>
        </w:rPr>
        <w:t xml:space="preserve">does not describe the relation between informal proofs and formal derivations, but he does </w:t>
      </w:r>
      <w:r w:rsidR="000D6A77" w:rsidRPr="000D6A77">
        <w:rPr>
          <w:rFonts w:cstheme="minorHAnsi"/>
        </w:rPr>
        <w:t>offer</w:t>
      </w:r>
      <w:r w:rsidR="000D6A77">
        <w:rPr>
          <w:rFonts w:cstheme="minorHAnsi"/>
        </w:rPr>
        <w:t xml:space="preserve"> some clues in the body of his paper.  </w:t>
      </w:r>
      <w:r w:rsidR="002C4F6B">
        <w:rPr>
          <w:rFonts w:cstheme="minorHAnsi"/>
        </w:rPr>
        <w:t>Near the start of his paper</w:t>
      </w:r>
      <w:r w:rsidR="00137277">
        <w:rPr>
          <w:rFonts w:cstheme="minorHAnsi"/>
        </w:rPr>
        <w:t xml:space="preserve">, </w:t>
      </w:r>
      <w:r w:rsidR="0076794A">
        <w:rPr>
          <w:rFonts w:cstheme="minorHAnsi"/>
        </w:rPr>
        <w:t>Avigad</w:t>
      </w:r>
      <w:r w:rsidR="00137277">
        <w:rPr>
          <w:rFonts w:cstheme="minorHAnsi"/>
        </w:rPr>
        <w:t xml:space="preserve"> </w:t>
      </w:r>
      <w:r w:rsidR="005307CF" w:rsidRPr="00070D76">
        <w:rPr>
          <w:rFonts w:cstheme="minorHAnsi"/>
        </w:rPr>
        <w:t xml:space="preserve">adopts the familiar </w:t>
      </w:r>
      <w:r w:rsidR="00E86AF8">
        <w:rPr>
          <w:rFonts w:cstheme="minorHAnsi"/>
        </w:rPr>
        <w:t>image</w:t>
      </w:r>
      <w:r w:rsidR="005307CF" w:rsidRPr="00070D76">
        <w:rPr>
          <w:rFonts w:cstheme="minorHAnsi"/>
        </w:rPr>
        <w:t xml:space="preserve"> of </w:t>
      </w:r>
      <w:r w:rsidR="00873F65">
        <w:rPr>
          <w:rFonts w:cstheme="minorHAnsi"/>
        </w:rPr>
        <w:t xml:space="preserve">informal </w:t>
      </w:r>
      <w:r w:rsidR="00070D76" w:rsidRPr="00070D76">
        <w:rPr>
          <w:rFonts w:cstheme="minorHAnsi"/>
        </w:rPr>
        <w:t>proofs as sketches</w:t>
      </w:r>
      <w:r w:rsidR="00837BDA">
        <w:rPr>
          <w:rFonts w:cstheme="minorHAnsi"/>
        </w:rPr>
        <w:t xml:space="preserve">, and Azzouni’s language </w:t>
      </w:r>
      <w:r w:rsidR="00685F61">
        <w:rPr>
          <w:rFonts w:cstheme="minorHAnsi"/>
        </w:rPr>
        <w:t>of derivation indication</w:t>
      </w:r>
      <w:r w:rsidR="00070D76" w:rsidRPr="00070D76">
        <w:rPr>
          <w:rFonts w:cstheme="minorHAnsi"/>
        </w:rPr>
        <w:t xml:space="preserve">: </w:t>
      </w:r>
    </w:p>
    <w:p w14:paraId="78C23244" w14:textId="75AFB072" w:rsidR="00070D76" w:rsidRPr="00070D76" w:rsidRDefault="00070D76" w:rsidP="00070D76">
      <w:pPr>
        <w:autoSpaceDE w:val="0"/>
        <w:autoSpaceDN w:val="0"/>
        <w:adjustRightInd w:val="0"/>
        <w:spacing w:line="240" w:lineRule="auto"/>
        <w:ind w:left="720"/>
        <w:rPr>
          <w:rFonts w:cstheme="minorHAnsi"/>
        </w:rPr>
      </w:pPr>
      <w:r w:rsidRPr="00070D76">
        <w:rPr>
          <w:rFonts w:cstheme="minorHAnsi"/>
        </w:rPr>
        <w:t>On the standard view, [informal proofs] are only high-level sketches that are intended to indicate the existence of formal derivations. But providing less information only exacerbates the problem…</w:t>
      </w:r>
      <w:r w:rsidR="00F32E88">
        <w:rPr>
          <w:rFonts w:cstheme="minorHAnsi"/>
        </w:rPr>
        <w:t xml:space="preserve"> (2020</w:t>
      </w:r>
      <w:r w:rsidR="00894067">
        <w:rPr>
          <w:rFonts w:cstheme="minorHAnsi"/>
        </w:rPr>
        <w:t>,</w:t>
      </w:r>
      <w:r w:rsidR="00F32E88">
        <w:rPr>
          <w:rFonts w:cstheme="minorHAnsi"/>
        </w:rPr>
        <w:t xml:space="preserve"> p. 4)</w:t>
      </w:r>
    </w:p>
    <w:p w14:paraId="11AA3EB9" w14:textId="748423D1" w:rsidR="00141E67" w:rsidRDefault="00F07E7F" w:rsidP="00070D76">
      <w:pPr>
        <w:autoSpaceDE w:val="0"/>
        <w:autoSpaceDN w:val="0"/>
        <w:adjustRightInd w:val="0"/>
      </w:pPr>
      <w:r>
        <w:rPr>
          <w:rFonts w:cstheme="minorHAnsi"/>
        </w:rPr>
        <w:t xml:space="preserve">Avigad does not </w:t>
      </w:r>
      <w:r w:rsidR="00B378A1">
        <w:rPr>
          <w:rFonts w:cstheme="minorHAnsi"/>
        </w:rPr>
        <w:t xml:space="preserve">unpack </w:t>
      </w:r>
      <w:r>
        <w:rPr>
          <w:rFonts w:cstheme="minorHAnsi"/>
        </w:rPr>
        <w:t xml:space="preserve">the </w:t>
      </w:r>
      <w:r w:rsidR="00B378A1">
        <w:rPr>
          <w:rFonts w:cstheme="minorHAnsi"/>
        </w:rPr>
        <w:t>sketch</w:t>
      </w:r>
      <w:r w:rsidR="00E034E4">
        <w:rPr>
          <w:rFonts w:cstheme="minorHAnsi"/>
        </w:rPr>
        <w:t xml:space="preserve"> </w:t>
      </w:r>
      <w:r w:rsidR="00B378A1">
        <w:rPr>
          <w:rFonts w:cstheme="minorHAnsi"/>
        </w:rPr>
        <w:t xml:space="preserve">analogy, but he does </w:t>
      </w:r>
      <w:r w:rsidR="000A765A">
        <w:rPr>
          <w:rFonts w:cstheme="minorHAnsi"/>
        </w:rPr>
        <w:t>recommend</w:t>
      </w:r>
      <w:r w:rsidR="002937EE">
        <w:rPr>
          <w:rFonts w:cstheme="minorHAnsi"/>
        </w:rPr>
        <w:t xml:space="preserve"> </w:t>
      </w:r>
      <w:r w:rsidR="00D21B0C">
        <w:rPr>
          <w:rFonts w:cstheme="minorHAnsi"/>
        </w:rPr>
        <w:t xml:space="preserve">Yacin </w:t>
      </w:r>
      <w:r w:rsidR="00331D52">
        <w:rPr>
          <w:rFonts w:cstheme="minorHAnsi"/>
        </w:rPr>
        <w:t>Hamami</w:t>
      </w:r>
      <w:r w:rsidR="00E034E4">
        <w:rPr>
          <w:rFonts w:cstheme="minorHAnsi"/>
        </w:rPr>
        <w:t>’s</w:t>
      </w:r>
      <w:r w:rsidR="00622122">
        <w:rPr>
          <w:rFonts w:cstheme="minorHAnsi"/>
        </w:rPr>
        <w:t xml:space="preserve"> (2019)</w:t>
      </w:r>
      <w:r w:rsidR="00331D52">
        <w:rPr>
          <w:rFonts w:cstheme="minorHAnsi"/>
        </w:rPr>
        <w:t xml:space="preserve"> which does exactly that.</w:t>
      </w:r>
      <w:r w:rsidR="00331D52">
        <w:rPr>
          <w:rStyle w:val="FootnoteReference"/>
          <w:rFonts w:cstheme="minorHAnsi"/>
        </w:rPr>
        <w:footnoteReference w:id="16"/>
      </w:r>
      <w:r w:rsidR="00715AF9">
        <w:rPr>
          <w:rFonts w:cstheme="minorHAnsi"/>
        </w:rPr>
        <w:t xml:space="preserve">  </w:t>
      </w:r>
      <w:r w:rsidR="00F33583">
        <w:rPr>
          <w:rFonts w:cstheme="minorHAnsi"/>
        </w:rPr>
        <w:t xml:space="preserve">Echoing Mac Lane, </w:t>
      </w:r>
      <w:r w:rsidR="00E911F4">
        <w:rPr>
          <w:rFonts w:cstheme="minorHAnsi"/>
        </w:rPr>
        <w:t>Hamami writes</w:t>
      </w:r>
      <w:r w:rsidR="004B33FF">
        <w:rPr>
          <w:rFonts w:cstheme="minorHAnsi"/>
        </w:rPr>
        <w:t xml:space="preserve">: </w:t>
      </w:r>
      <w:r w:rsidR="00AE5756">
        <w:rPr>
          <w:rFonts w:cstheme="minorHAnsi"/>
        </w:rPr>
        <w:t>‘</w:t>
      </w:r>
      <w:r w:rsidR="004B33FF">
        <w:t xml:space="preserve">a mathematical proof is rigorous if and only if it can be </w:t>
      </w:r>
      <w:r w:rsidR="004B33FF" w:rsidRPr="00D64447">
        <w:rPr>
          <w:i/>
          <w:iCs/>
        </w:rPr>
        <w:t>routinely translated</w:t>
      </w:r>
      <w:r w:rsidR="004B33FF">
        <w:t xml:space="preserve"> into a formal proof.</w:t>
      </w:r>
      <w:r w:rsidR="00AE5756">
        <w:t>’</w:t>
      </w:r>
      <w:r w:rsidR="00D64447">
        <w:rPr>
          <w:rStyle w:val="FootnoteReference"/>
        </w:rPr>
        <w:footnoteReference w:id="17"/>
      </w:r>
      <w:r w:rsidR="008E75D6">
        <w:t xml:space="preserve">  </w:t>
      </w:r>
      <w:r w:rsidR="0098715D">
        <w:t>The c</w:t>
      </w:r>
      <w:r w:rsidR="000C4294">
        <w:t xml:space="preserve">entral part of Hamami’s paper is a careful specification what he thinks </w:t>
      </w:r>
      <w:r w:rsidR="00522935">
        <w:t xml:space="preserve">‘routine translation’ has </w:t>
      </w:r>
      <w:r w:rsidR="00155304">
        <w:t xml:space="preserve">to </w:t>
      </w:r>
      <w:r w:rsidR="00522935">
        <w:t xml:space="preserve">mean for the Standard View to </w:t>
      </w:r>
      <w:r w:rsidR="007218DB">
        <w:t>be cogent</w:t>
      </w:r>
      <w:r w:rsidR="00141E67">
        <w:t>:</w:t>
      </w:r>
    </w:p>
    <w:p w14:paraId="02F095F5" w14:textId="1F06F2A2" w:rsidR="004251E2" w:rsidRDefault="00141E67" w:rsidP="00141E67">
      <w:pPr>
        <w:autoSpaceDE w:val="0"/>
        <w:autoSpaceDN w:val="0"/>
        <w:adjustRightInd w:val="0"/>
        <w:ind w:left="720"/>
        <w:rPr>
          <w:rFonts w:cstheme="minorHAnsi"/>
        </w:rPr>
      </w:pPr>
      <w:r>
        <w:t>…the notion of translation in the standard view is quite different from the one of linguistic translation. …a better analogy would be with the process of compilation, that is, with the ‘translation’ of a computer program written in a high-level programming language into machine language.</w:t>
      </w:r>
      <w:r>
        <w:rPr>
          <w:rStyle w:val="FootnoteReference"/>
        </w:rPr>
        <w:footnoteReference w:id="18"/>
      </w:r>
      <w:r w:rsidR="00663E27">
        <w:t xml:space="preserve"> </w:t>
      </w:r>
    </w:p>
    <w:p w14:paraId="6353B88D" w14:textId="30CC85C3" w:rsidR="00210AE7" w:rsidRDefault="00B7419A" w:rsidP="00070D76">
      <w:pPr>
        <w:autoSpaceDE w:val="0"/>
        <w:autoSpaceDN w:val="0"/>
        <w:adjustRightInd w:val="0"/>
        <w:rPr>
          <w:rFonts w:cstheme="minorHAnsi"/>
        </w:rPr>
      </w:pPr>
      <w:r>
        <w:rPr>
          <w:rFonts w:cstheme="minorHAnsi"/>
        </w:rPr>
        <w:t>Hamami</w:t>
      </w:r>
      <w:r w:rsidR="00E72775">
        <w:rPr>
          <w:rFonts w:cstheme="minorHAnsi"/>
        </w:rPr>
        <w:t xml:space="preserve"> distinguishes </w:t>
      </w:r>
      <w:r>
        <w:rPr>
          <w:rFonts w:cstheme="minorHAnsi"/>
        </w:rPr>
        <w:t xml:space="preserve">four levels of </w:t>
      </w:r>
      <w:r w:rsidR="002B3A2B">
        <w:rPr>
          <w:rFonts w:cstheme="minorHAnsi"/>
        </w:rPr>
        <w:t>‘</w:t>
      </w:r>
      <w:r w:rsidR="00E72775">
        <w:rPr>
          <w:rFonts w:cstheme="minorHAnsi"/>
        </w:rPr>
        <w:t>co</w:t>
      </w:r>
      <w:r w:rsidR="002B3A2B">
        <w:rPr>
          <w:rFonts w:cstheme="minorHAnsi"/>
        </w:rPr>
        <w:t xml:space="preserve">de’ </w:t>
      </w:r>
      <w:r w:rsidR="001B0096">
        <w:rPr>
          <w:rFonts w:cstheme="minorHAnsi"/>
        </w:rPr>
        <w:t xml:space="preserve">linked by three stages of ‘compilation’.  </w:t>
      </w:r>
      <w:r w:rsidR="000443DF">
        <w:rPr>
          <w:rFonts w:cstheme="minorHAnsi"/>
        </w:rPr>
        <w:t>The essential point is that on his view (</w:t>
      </w:r>
      <w:r w:rsidR="00333F7C">
        <w:rPr>
          <w:rFonts w:cstheme="minorHAnsi"/>
        </w:rPr>
        <w:t xml:space="preserve">which </w:t>
      </w:r>
      <w:r w:rsidR="00F36F00">
        <w:rPr>
          <w:rFonts w:cstheme="minorHAnsi"/>
        </w:rPr>
        <w:t>Avigad</w:t>
      </w:r>
      <w:r w:rsidR="00333F7C">
        <w:rPr>
          <w:rFonts w:cstheme="minorHAnsi"/>
        </w:rPr>
        <w:t xml:space="preserve"> sometimes </w:t>
      </w:r>
      <w:r w:rsidR="00271C21">
        <w:rPr>
          <w:rFonts w:cstheme="minorHAnsi"/>
        </w:rPr>
        <w:t xml:space="preserve">suggests he </w:t>
      </w:r>
      <w:r w:rsidR="00333F7C">
        <w:rPr>
          <w:rFonts w:cstheme="minorHAnsi"/>
        </w:rPr>
        <w:t>shares</w:t>
      </w:r>
      <w:r w:rsidR="00F36F00">
        <w:rPr>
          <w:rFonts w:cstheme="minorHAnsi"/>
        </w:rPr>
        <w:t xml:space="preserve">), the ‘routine translation’ </w:t>
      </w:r>
      <w:r w:rsidR="006D40BC">
        <w:rPr>
          <w:rFonts w:cstheme="minorHAnsi"/>
        </w:rPr>
        <w:t xml:space="preserve">of </w:t>
      </w:r>
      <w:r w:rsidR="00EF5167">
        <w:rPr>
          <w:rFonts w:cstheme="minorHAnsi"/>
        </w:rPr>
        <w:t xml:space="preserve">informal </w:t>
      </w:r>
      <w:r w:rsidR="006D40BC">
        <w:rPr>
          <w:rFonts w:cstheme="minorHAnsi"/>
        </w:rPr>
        <w:t xml:space="preserve">proof into </w:t>
      </w:r>
      <w:r w:rsidR="00EF5167">
        <w:rPr>
          <w:rFonts w:cstheme="minorHAnsi"/>
        </w:rPr>
        <w:t xml:space="preserve">formal </w:t>
      </w:r>
      <w:r w:rsidR="006D40BC">
        <w:rPr>
          <w:rFonts w:cstheme="minorHAnsi"/>
        </w:rPr>
        <w:t xml:space="preserve">derivation that the Standard View requires is not </w:t>
      </w:r>
      <w:r w:rsidR="00D14342">
        <w:rPr>
          <w:rFonts w:cstheme="minorHAnsi"/>
        </w:rPr>
        <w:t xml:space="preserve">like translating </w:t>
      </w:r>
      <w:r w:rsidR="000E6464">
        <w:rPr>
          <w:rFonts w:cstheme="minorHAnsi"/>
        </w:rPr>
        <w:t xml:space="preserve">a meaningful text from one </w:t>
      </w:r>
      <w:r w:rsidR="00C76EB3">
        <w:rPr>
          <w:rFonts w:cstheme="minorHAnsi"/>
        </w:rPr>
        <w:t xml:space="preserve">human </w:t>
      </w:r>
      <w:r w:rsidR="000E6464">
        <w:rPr>
          <w:rFonts w:cstheme="minorHAnsi"/>
        </w:rPr>
        <w:t>language to anothe</w:t>
      </w:r>
      <w:r w:rsidR="00C76EB3">
        <w:rPr>
          <w:rFonts w:cstheme="minorHAnsi"/>
        </w:rPr>
        <w:t xml:space="preserve">r.  </w:t>
      </w:r>
      <w:r w:rsidR="002F5FE4">
        <w:rPr>
          <w:rFonts w:cstheme="minorHAnsi"/>
        </w:rPr>
        <w:t xml:space="preserve">It is, rather, </w:t>
      </w:r>
      <w:r w:rsidR="00935CBA">
        <w:rPr>
          <w:rFonts w:cstheme="minorHAnsi"/>
        </w:rPr>
        <w:t xml:space="preserve">like </w:t>
      </w:r>
      <w:r w:rsidR="002F5FE4">
        <w:rPr>
          <w:rFonts w:cstheme="minorHAnsi"/>
        </w:rPr>
        <w:t xml:space="preserve">the use of syntactic </w:t>
      </w:r>
      <w:r w:rsidR="002F5FE4">
        <w:rPr>
          <w:rFonts w:cstheme="minorHAnsi"/>
        </w:rPr>
        <w:lastRenderedPageBreak/>
        <w:t xml:space="preserve">substitutions to </w:t>
      </w:r>
      <w:r w:rsidR="00786C9A">
        <w:rPr>
          <w:rFonts w:cstheme="minorHAnsi"/>
        </w:rPr>
        <w:t xml:space="preserve">move </w:t>
      </w:r>
      <w:r w:rsidR="007060D6">
        <w:rPr>
          <w:rFonts w:cstheme="minorHAnsi"/>
        </w:rPr>
        <w:t xml:space="preserve">from </w:t>
      </w:r>
      <w:r w:rsidR="005B49E7">
        <w:rPr>
          <w:rFonts w:cstheme="minorHAnsi"/>
        </w:rPr>
        <w:t xml:space="preserve">a high-level </w:t>
      </w:r>
      <w:r w:rsidR="00CF5E6C">
        <w:rPr>
          <w:rFonts w:cstheme="minorHAnsi"/>
        </w:rPr>
        <w:t xml:space="preserve">computer </w:t>
      </w:r>
      <w:r w:rsidR="005B49E7">
        <w:rPr>
          <w:rFonts w:cstheme="minorHAnsi"/>
        </w:rPr>
        <w:t>language where a programmer can call a</w:t>
      </w:r>
      <w:r w:rsidR="007060D6">
        <w:rPr>
          <w:rFonts w:cstheme="minorHAnsi"/>
        </w:rPr>
        <w:t>n arbitrarily large and complex</w:t>
      </w:r>
      <w:r w:rsidR="005B49E7">
        <w:rPr>
          <w:rFonts w:cstheme="minorHAnsi"/>
        </w:rPr>
        <w:t xml:space="preserve"> </w:t>
      </w:r>
      <w:r w:rsidR="007060D6">
        <w:rPr>
          <w:rFonts w:cstheme="minorHAnsi"/>
        </w:rPr>
        <w:t xml:space="preserve">subroutine with a single command </w:t>
      </w:r>
      <w:r w:rsidR="00DB7E18">
        <w:rPr>
          <w:rFonts w:cstheme="minorHAnsi"/>
        </w:rPr>
        <w:t xml:space="preserve">down to </w:t>
      </w:r>
      <w:r w:rsidR="00313BFA">
        <w:rPr>
          <w:rFonts w:cstheme="minorHAnsi"/>
        </w:rPr>
        <w:t xml:space="preserve">the level just above the firmware.  </w:t>
      </w:r>
      <w:r w:rsidR="009572DC">
        <w:rPr>
          <w:rFonts w:cstheme="minorHAnsi"/>
        </w:rPr>
        <w:t xml:space="preserve">‘Routine’ here does not mean </w:t>
      </w:r>
      <w:r w:rsidR="00EB02CF">
        <w:rPr>
          <w:rFonts w:cstheme="minorHAnsi"/>
        </w:rPr>
        <w:t>‘</w:t>
      </w:r>
      <w:r w:rsidR="009572DC">
        <w:rPr>
          <w:rFonts w:cstheme="minorHAnsi"/>
        </w:rPr>
        <w:t>easy for humans</w:t>
      </w:r>
      <w:r w:rsidR="00EB02CF">
        <w:rPr>
          <w:rFonts w:cstheme="minorHAnsi"/>
        </w:rPr>
        <w:t>’</w:t>
      </w:r>
      <w:r w:rsidR="009572DC">
        <w:rPr>
          <w:rFonts w:cstheme="minorHAnsi"/>
        </w:rPr>
        <w:t xml:space="preserve"> or even </w:t>
      </w:r>
      <w:r w:rsidR="00EB02CF">
        <w:rPr>
          <w:rFonts w:cstheme="minorHAnsi"/>
        </w:rPr>
        <w:t>‘</w:t>
      </w:r>
      <w:r w:rsidR="009572DC">
        <w:rPr>
          <w:rFonts w:cstheme="minorHAnsi"/>
        </w:rPr>
        <w:t>feasible for humans</w:t>
      </w:r>
      <w:r w:rsidR="00EB02CF">
        <w:rPr>
          <w:rFonts w:cstheme="minorHAnsi"/>
        </w:rPr>
        <w:t>’</w:t>
      </w:r>
      <w:r w:rsidR="009572DC">
        <w:rPr>
          <w:rFonts w:cstheme="minorHAnsi"/>
        </w:rPr>
        <w:t xml:space="preserve">.  It means that a </w:t>
      </w:r>
      <w:r w:rsidR="00BD2EBF">
        <w:rPr>
          <w:rFonts w:cstheme="minorHAnsi"/>
        </w:rPr>
        <w:t xml:space="preserve">digital </w:t>
      </w:r>
      <w:r w:rsidR="009572DC">
        <w:rPr>
          <w:rFonts w:cstheme="minorHAnsi"/>
        </w:rPr>
        <w:t xml:space="preserve">machine could do it.  </w:t>
      </w:r>
      <w:r w:rsidR="009A29C7">
        <w:rPr>
          <w:rFonts w:cstheme="minorHAnsi"/>
        </w:rPr>
        <w:t>It also means that</w:t>
      </w:r>
      <w:r w:rsidR="00E30848">
        <w:rPr>
          <w:rFonts w:cstheme="minorHAnsi"/>
        </w:rPr>
        <w:t xml:space="preserve">, layers of compilation </w:t>
      </w:r>
      <w:r w:rsidR="00754C5C">
        <w:rPr>
          <w:rFonts w:cstheme="minorHAnsi"/>
        </w:rPr>
        <w:t xml:space="preserve">and syntactic abbreviation </w:t>
      </w:r>
      <w:r w:rsidR="00E30848">
        <w:rPr>
          <w:rFonts w:cstheme="minorHAnsi"/>
        </w:rPr>
        <w:t xml:space="preserve">notwithstanding, </w:t>
      </w:r>
      <w:r w:rsidR="00E11524">
        <w:rPr>
          <w:rFonts w:cstheme="minorHAnsi"/>
        </w:rPr>
        <w:t xml:space="preserve">informal proofs and formal derivations are essentially the same sort of thing.  </w:t>
      </w:r>
      <w:r w:rsidR="003D7A58">
        <w:rPr>
          <w:rFonts w:cstheme="minorHAnsi"/>
        </w:rPr>
        <w:t xml:space="preserve">In other words, </w:t>
      </w:r>
      <w:r w:rsidR="0044482A">
        <w:rPr>
          <w:rFonts w:cstheme="minorHAnsi"/>
        </w:rPr>
        <w:t xml:space="preserve">in Hamami (though not </w:t>
      </w:r>
      <w:r w:rsidR="00CB1B29">
        <w:rPr>
          <w:rFonts w:cstheme="minorHAnsi"/>
        </w:rPr>
        <w:t xml:space="preserve">directly </w:t>
      </w:r>
      <w:r w:rsidR="0044482A">
        <w:rPr>
          <w:rFonts w:cstheme="minorHAnsi"/>
        </w:rPr>
        <w:t xml:space="preserve">in Avigad), we find the strong version of the Standard View, that </w:t>
      </w:r>
      <w:r w:rsidR="006E7A30">
        <w:rPr>
          <w:rFonts w:cstheme="minorHAnsi"/>
        </w:rPr>
        <w:t>sound informal proofs are syntactic</w:t>
      </w:r>
      <w:r w:rsidR="004513C9">
        <w:rPr>
          <w:rFonts w:cstheme="minorHAnsi"/>
        </w:rPr>
        <w:t xml:space="preserve"> items in disguise</w:t>
      </w:r>
      <w:r w:rsidR="006E7A30">
        <w:rPr>
          <w:rFonts w:cstheme="minorHAnsi"/>
        </w:rPr>
        <w:t>.</w:t>
      </w:r>
    </w:p>
    <w:p w14:paraId="6C1BE3AE" w14:textId="1CAAE659" w:rsidR="004251E2" w:rsidRDefault="00447CEE" w:rsidP="00070D76">
      <w:pPr>
        <w:autoSpaceDE w:val="0"/>
        <w:autoSpaceDN w:val="0"/>
        <w:adjustRightInd w:val="0"/>
        <w:rPr>
          <w:rFonts w:cstheme="minorHAnsi"/>
        </w:rPr>
      </w:pPr>
      <w:r>
        <w:rPr>
          <w:rFonts w:cstheme="minorHAnsi"/>
        </w:rPr>
        <w:t xml:space="preserve">Avigad offers some other analogies in the same vein: </w:t>
      </w:r>
    </w:p>
    <w:p w14:paraId="2A125FCE" w14:textId="77777777" w:rsidR="00447CEE" w:rsidRDefault="00447CEE" w:rsidP="00447CEE">
      <w:pPr>
        <w:autoSpaceDE w:val="0"/>
        <w:autoSpaceDN w:val="0"/>
        <w:adjustRightInd w:val="0"/>
        <w:ind w:left="720"/>
      </w:pPr>
      <w:r>
        <w:t>…an informal proof is a form of data compression. Coding schemes for data represent the most common patterns concisely, reserving extra bits for those that are unusual and unexpected. To invoke another analogy, software developers use version control software to store a project’s history in a shared repository. To save space, the repository only has to store the difference between successive versions, rather than a new copy.</w:t>
      </w:r>
    </w:p>
    <w:p w14:paraId="10371B18" w14:textId="7C6F5ABB" w:rsidR="00D921F0" w:rsidRDefault="003029A7" w:rsidP="00447CEE">
      <w:pPr>
        <w:autoSpaceDE w:val="0"/>
        <w:autoSpaceDN w:val="0"/>
        <w:adjustRightInd w:val="0"/>
      </w:pPr>
      <w:r>
        <w:t>As in Hamami,</w:t>
      </w:r>
      <w:r w:rsidR="00153C46">
        <w:t xml:space="preserve"> the difference between the </w:t>
      </w:r>
      <w:r w:rsidR="0010242E">
        <w:t xml:space="preserve">informal proof and the formal derivation is really just a process of selective abbreviation.  </w:t>
      </w:r>
      <w:r w:rsidR="00321BAC">
        <w:t>They are both syntactic objects—it’s just that the formal derivation is</w:t>
      </w:r>
      <w:r w:rsidR="002F4961">
        <w:t xml:space="preserve"> much longer because it is expressed in</w:t>
      </w:r>
      <w:r w:rsidR="00E95DA7">
        <w:t xml:space="preserve"> a foundational system</w:t>
      </w:r>
      <w:r w:rsidR="00F53111">
        <w:t xml:space="preserve"> (usually taken to be </w:t>
      </w:r>
      <w:r w:rsidR="008F72D8">
        <w:t xml:space="preserve">a </w:t>
      </w:r>
      <w:r w:rsidR="00F53111">
        <w:t xml:space="preserve">combination of set theory and classical logic). </w:t>
      </w:r>
      <w:r w:rsidR="00447CEE">
        <w:t xml:space="preserve"> </w:t>
      </w:r>
      <w:r w:rsidR="00857BA0">
        <w:t xml:space="preserve">In these </w:t>
      </w:r>
      <w:r w:rsidR="005C3E3B">
        <w:t xml:space="preserve">data compression and software development analogies, Avigad seems to commit himself to </w:t>
      </w:r>
      <w:r w:rsidR="00A72542">
        <w:t xml:space="preserve">the strong version of the Standard View, that informal proofs are syntactic objects in disguise.  </w:t>
      </w:r>
      <w:r w:rsidR="004567B3">
        <w:t xml:space="preserve">However, Avigad does not always </w:t>
      </w:r>
      <w:r w:rsidR="004B2848">
        <w:t>follow this line.</w:t>
      </w:r>
    </w:p>
    <w:p w14:paraId="04B0A0A5" w14:textId="38A2AC31" w:rsidR="00D921F0" w:rsidRDefault="00376410" w:rsidP="00A6396A">
      <w:pPr>
        <w:pStyle w:val="Heading2"/>
        <w:numPr>
          <w:ilvl w:val="0"/>
          <w:numId w:val="5"/>
        </w:numPr>
      </w:pPr>
      <w:r w:rsidRPr="006712D2">
        <w:t>The Semantic Side of the Tension</w:t>
      </w:r>
      <w:r w:rsidR="00D921F0">
        <w:t xml:space="preserve"> </w:t>
      </w:r>
    </w:p>
    <w:p w14:paraId="71778DA7" w14:textId="3DDC8F05" w:rsidR="00FA75E8" w:rsidRDefault="00FA75E8" w:rsidP="00447CEE">
      <w:pPr>
        <w:autoSpaceDE w:val="0"/>
        <w:autoSpaceDN w:val="0"/>
        <w:adjustRightInd w:val="0"/>
      </w:pPr>
      <w:r>
        <w:t>The</w:t>
      </w:r>
      <w:r w:rsidR="00650B8F">
        <w:t xml:space="preserve"> claim of the present paper is that the tension in the Standard View is there in Avigad’s </w:t>
      </w:r>
      <w:r w:rsidR="00642996">
        <w:t>article</w:t>
      </w:r>
      <w:r w:rsidR="00650B8F">
        <w:t xml:space="preserve"> as it was in Mac Lane, </w:t>
      </w:r>
      <w:r w:rsidR="000E7DD8">
        <w:t>Azzouni</w:t>
      </w:r>
      <w:r w:rsidR="00642996">
        <w:t>,</w:t>
      </w:r>
      <w:r w:rsidR="009B6D90">
        <w:t xml:space="preserve"> </w:t>
      </w:r>
      <w:r w:rsidR="000E7DD8">
        <w:t xml:space="preserve"> </w:t>
      </w:r>
      <w:r w:rsidR="009714C0">
        <w:t xml:space="preserve">and the other authors we canvassed above.  </w:t>
      </w:r>
      <w:r w:rsidR="007C20DE">
        <w:t xml:space="preserve">The Standard View looks implausible because </w:t>
      </w:r>
      <w:r w:rsidR="003730FC">
        <w:t>most</w:t>
      </w:r>
      <w:r w:rsidR="007C20DE">
        <w:t xml:space="preserve"> </w:t>
      </w:r>
      <w:r w:rsidR="00A31822">
        <w:t xml:space="preserve">informal proofs do not </w:t>
      </w:r>
      <w:r w:rsidR="003730FC">
        <w:t xml:space="preserve">seem to </w:t>
      </w:r>
      <w:r w:rsidR="00A31822">
        <w:t xml:space="preserve">work like </w:t>
      </w:r>
      <w:r w:rsidR="00D10FA6">
        <w:t xml:space="preserve">purely </w:t>
      </w:r>
      <w:r w:rsidR="00A31822">
        <w:t xml:space="preserve">syntactic objects, even </w:t>
      </w:r>
      <w:r w:rsidR="00C106AA">
        <w:t>though</w:t>
      </w:r>
      <w:r w:rsidR="00A31822">
        <w:t xml:space="preserve"> </w:t>
      </w:r>
      <w:r w:rsidR="003730FC">
        <w:t xml:space="preserve">mathematical </w:t>
      </w:r>
      <w:r w:rsidR="002A5E12">
        <w:t>notation</w:t>
      </w:r>
      <w:r w:rsidR="0055277F">
        <w:t xml:space="preserve"> </w:t>
      </w:r>
      <w:r w:rsidR="00C106AA">
        <w:t xml:space="preserve">may </w:t>
      </w:r>
      <w:r w:rsidR="0055277F">
        <w:t>make them look</w:t>
      </w:r>
      <w:r w:rsidR="00C106AA">
        <w:t xml:space="preserve"> </w:t>
      </w:r>
      <w:r w:rsidR="00D10FA6">
        <w:t xml:space="preserve">like </w:t>
      </w:r>
      <w:r w:rsidR="00C106AA">
        <w:t>syntactic</w:t>
      </w:r>
      <w:r w:rsidR="00D10FA6">
        <w:t xml:space="preserve"> objects</w:t>
      </w:r>
      <w:r w:rsidR="002A5E12">
        <w:t xml:space="preserve">.  </w:t>
      </w:r>
      <w:r w:rsidR="00423428">
        <w:t xml:space="preserve">Like other </w:t>
      </w:r>
      <w:r w:rsidR="000656B5">
        <w:t xml:space="preserve">kinds of reason-giving and argument-making, </w:t>
      </w:r>
      <w:r w:rsidR="000D6FA1">
        <w:t>informal mathematical proofs</w:t>
      </w:r>
      <w:r w:rsidR="000656B5">
        <w:t xml:space="preserve"> </w:t>
      </w:r>
      <w:r w:rsidR="00B25018">
        <w:t xml:space="preserve">depend on </w:t>
      </w:r>
      <w:r w:rsidR="00D37DA7">
        <w:t xml:space="preserve">communities of practitioners </w:t>
      </w:r>
      <w:r w:rsidR="004401A1">
        <w:t xml:space="preserve">sharing </w:t>
      </w:r>
      <w:r w:rsidR="00CF56EC">
        <w:t>a</w:t>
      </w:r>
      <w:r w:rsidR="002B18F7">
        <w:t xml:space="preserve"> </w:t>
      </w:r>
      <w:r w:rsidR="004401A1">
        <w:t xml:space="preserve">common understanding of what </w:t>
      </w:r>
      <w:r w:rsidR="00507CD0">
        <w:t>moves are permitted within the practice</w:t>
      </w:r>
      <w:r w:rsidR="000A2A61">
        <w:t xml:space="preserve">, in virtue of their </w:t>
      </w:r>
      <w:r w:rsidR="00136BE4">
        <w:t>grasp</w:t>
      </w:r>
      <w:r w:rsidR="000A2A61">
        <w:t xml:space="preserve"> of the nature of the subject-matter</w:t>
      </w:r>
      <w:r w:rsidR="00507CD0">
        <w:t xml:space="preserve">.  </w:t>
      </w:r>
      <w:r w:rsidR="001634E4">
        <w:t xml:space="preserve">Mathematicians have some advantages over other communities of reasoners.  They </w:t>
      </w:r>
      <w:r w:rsidR="00464E5F">
        <w:t xml:space="preserve">can offload some of their </w:t>
      </w:r>
      <w:r w:rsidR="009264E7">
        <w:t xml:space="preserve">thinking to highly efficient notational systems that partially encode the rigour of the practice.  </w:t>
      </w:r>
      <w:r w:rsidR="00DA5863">
        <w:t xml:space="preserve">Ordinary high-school algebraic notation </w:t>
      </w:r>
      <w:r w:rsidR="00362BDB">
        <w:t xml:space="preserve">can serve an example of this: </w:t>
      </w:r>
      <w:r w:rsidR="009C6D8C">
        <w:t xml:space="preserve">its introduction in the early seventeenth century massively extended the range, depth and </w:t>
      </w:r>
      <w:r w:rsidR="00E22429">
        <w:t xml:space="preserve">reliability of mathematics.  Following the implicit rules for forming and manipulating </w:t>
      </w:r>
      <w:r w:rsidR="002350D4">
        <w:t xml:space="preserve">algebraic expressions makes it much easier to avoid making a mistake—but </w:t>
      </w:r>
      <w:r w:rsidR="00711EA4">
        <w:t>it’s still easy to divide by zero without noticing</w:t>
      </w:r>
      <w:r w:rsidR="00EB1FD8">
        <w:t>, unless you pay attention to the meaning of what you’re doing as well as the syntax</w:t>
      </w:r>
      <w:r w:rsidR="00711EA4">
        <w:t xml:space="preserve">.  </w:t>
      </w:r>
      <w:r w:rsidR="00E01EFA">
        <w:t xml:space="preserve">Mathematicians </w:t>
      </w:r>
      <w:r w:rsidR="007D1921">
        <w:t xml:space="preserve">can </w:t>
      </w:r>
      <w:r w:rsidR="00C11B39">
        <w:t>ga</w:t>
      </w:r>
      <w:r w:rsidR="0078057D">
        <w:t xml:space="preserve">in clarity and rigour by exploiting the human capacity for visual and kinetic imagination, either </w:t>
      </w:r>
      <w:r w:rsidR="00E85B97">
        <w:t xml:space="preserve">by inward imagining or by using diagrams or </w:t>
      </w:r>
      <w:r w:rsidR="00C22F18">
        <w:t xml:space="preserve">physical </w:t>
      </w:r>
      <w:r w:rsidR="00E85B97">
        <w:t>models</w:t>
      </w:r>
      <w:r w:rsidR="008E5509">
        <w:t xml:space="preserve"> (this is Avigad’s eighth heuristic)</w:t>
      </w:r>
      <w:r w:rsidR="00E85B97">
        <w:t xml:space="preserve">.  </w:t>
      </w:r>
      <w:r w:rsidR="006A28A5">
        <w:t xml:space="preserve">They can exploit </w:t>
      </w:r>
      <w:r w:rsidR="006A28A5">
        <w:rPr>
          <w:rFonts w:cstheme="minorHAnsi"/>
        </w:rPr>
        <w:t>Peircean iconicity, because mathematics is about structure, so we can use representations that share structure with the objects under investigation.</w:t>
      </w:r>
      <w:r w:rsidR="00F71196">
        <w:rPr>
          <w:rStyle w:val="FootnoteReference"/>
          <w:rFonts w:cstheme="minorHAnsi"/>
        </w:rPr>
        <w:footnoteReference w:id="19"/>
      </w:r>
      <w:r w:rsidR="006A28A5">
        <w:rPr>
          <w:rFonts w:cstheme="minorHAnsi"/>
        </w:rPr>
        <w:t xml:space="preserve">  </w:t>
      </w:r>
      <w:r w:rsidR="00E85B97">
        <w:t xml:space="preserve">Increasingly, as </w:t>
      </w:r>
      <w:r w:rsidR="0093676D">
        <w:t xml:space="preserve">the variety of mathematical domains </w:t>
      </w:r>
      <w:r w:rsidR="000062FF">
        <w:t>grows</w:t>
      </w:r>
      <w:r w:rsidR="0093676D">
        <w:t xml:space="preserve">, mathematicians can </w:t>
      </w:r>
      <w:r w:rsidR="00C62AC5">
        <w:t xml:space="preserve">create arguments by </w:t>
      </w:r>
      <w:r w:rsidR="00650B42">
        <w:t xml:space="preserve">moving between different parts of mathematics.  </w:t>
      </w:r>
      <w:r w:rsidR="007461EF">
        <w:t>Ken Manders calls this the ‘conceptual agility</w:t>
      </w:r>
      <w:r w:rsidR="00CB5B97">
        <w:t>’</w:t>
      </w:r>
      <w:r w:rsidR="007461EF">
        <w:t xml:space="preserve"> of </w:t>
      </w:r>
      <w:r w:rsidR="00CB5B97">
        <w:t xml:space="preserve">contemporary mathematics: </w:t>
      </w:r>
    </w:p>
    <w:p w14:paraId="13AA26A5" w14:textId="28029E63" w:rsidR="003D730F" w:rsidRDefault="00CB5B97" w:rsidP="00E94138">
      <w:pPr>
        <w:autoSpaceDE w:val="0"/>
        <w:autoSpaceDN w:val="0"/>
        <w:adjustRightInd w:val="0"/>
        <w:ind w:left="720"/>
        <w:rPr>
          <w:rFonts w:cstheme="minorHAnsi"/>
        </w:rPr>
      </w:pPr>
      <w:r>
        <w:rPr>
          <w:rFonts w:cs="Fp"/>
        </w:rPr>
        <w:t>…</w:t>
      </w:r>
      <w:r w:rsidRPr="00206755">
        <w:rPr>
          <w:rFonts w:cs="Fp"/>
        </w:rPr>
        <w:t>hopping a functor to another category any</w:t>
      </w:r>
      <w:r>
        <w:rPr>
          <w:rFonts w:cs="Fp"/>
        </w:rPr>
        <w:t xml:space="preserve"> </w:t>
      </w:r>
      <w:r w:rsidRPr="00206755">
        <w:rPr>
          <w:rFonts w:cs="Fp"/>
        </w:rPr>
        <w:t xml:space="preserve">time superfluous details are sensed (homology groups in topology); bringing in details seemingly extraneous to one’s question by a representing functor (group representations in the theory of abstract groups); explaining </w:t>
      </w:r>
      <w:r w:rsidRPr="00206755">
        <w:rPr>
          <w:rFonts w:cs="Fp"/>
        </w:rPr>
        <w:lastRenderedPageBreak/>
        <w:t xml:space="preserve">families of simple number-theoretic facts anyone can see one-by-one, by some hard to master </w:t>
      </w:r>
      <w:r w:rsidR="00AE5756">
        <w:rPr>
          <w:rFonts w:cs="Fp"/>
        </w:rPr>
        <w:t>‘</w:t>
      </w:r>
      <w:r w:rsidRPr="00206755">
        <w:rPr>
          <w:rFonts w:cs="Fp"/>
        </w:rPr>
        <w:t>underlying</w:t>
      </w:r>
      <w:r w:rsidR="00AE5756">
        <w:rPr>
          <w:rFonts w:cs="Fp"/>
        </w:rPr>
        <w:t>’</w:t>
      </w:r>
      <w:r w:rsidRPr="00206755">
        <w:rPr>
          <w:rFonts w:cs="Fp"/>
        </w:rPr>
        <w:t xml:space="preserve"> abstract structure (Fermat’s problem).</w:t>
      </w:r>
      <w:r w:rsidRPr="00206755">
        <w:rPr>
          <w:rStyle w:val="FootnoteReference"/>
          <w:rFonts w:cs="Fp"/>
        </w:rPr>
        <w:footnoteReference w:id="20"/>
      </w:r>
    </w:p>
    <w:p w14:paraId="18608772" w14:textId="566056EB" w:rsidR="003D730F" w:rsidRDefault="003D730F" w:rsidP="00070D76">
      <w:pPr>
        <w:autoSpaceDE w:val="0"/>
        <w:autoSpaceDN w:val="0"/>
        <w:adjustRightInd w:val="0"/>
        <w:rPr>
          <w:rFonts w:cstheme="minorHAnsi"/>
        </w:rPr>
      </w:pPr>
      <w:r>
        <w:rPr>
          <w:rFonts w:cstheme="minorHAnsi"/>
        </w:rPr>
        <w:t>Here</w:t>
      </w:r>
      <w:r w:rsidR="003D3BE3">
        <w:rPr>
          <w:rFonts w:cstheme="minorHAnsi"/>
        </w:rPr>
        <w:t xml:space="preserve"> Kevin Buzzar</w:t>
      </w:r>
      <w:r w:rsidR="0073487B">
        <w:rPr>
          <w:rFonts w:cstheme="minorHAnsi"/>
        </w:rPr>
        <w:t xml:space="preserve">d, a mathematician </w:t>
      </w:r>
      <w:r>
        <w:rPr>
          <w:rFonts w:cstheme="minorHAnsi"/>
        </w:rPr>
        <w:t xml:space="preserve">at the heart of the </w:t>
      </w:r>
      <w:r w:rsidR="00BF332D" w:rsidRPr="007154F8">
        <w:rPr>
          <w:rFonts w:cstheme="minorHAnsi"/>
          <w:i/>
          <w:iCs/>
        </w:rPr>
        <w:t>Lean</w:t>
      </w:r>
      <w:r w:rsidR="00BF332D">
        <w:rPr>
          <w:rFonts w:cstheme="minorHAnsi"/>
        </w:rPr>
        <w:t xml:space="preserve"> </w:t>
      </w:r>
      <w:r w:rsidR="007154F8">
        <w:rPr>
          <w:rFonts w:cstheme="minorHAnsi"/>
        </w:rPr>
        <w:t xml:space="preserve">proof </w:t>
      </w:r>
      <w:r w:rsidR="00BF332D">
        <w:rPr>
          <w:rFonts w:cstheme="minorHAnsi"/>
        </w:rPr>
        <w:t>formalisation project</w:t>
      </w:r>
      <w:r w:rsidR="00E94138">
        <w:rPr>
          <w:rFonts w:cstheme="minorHAnsi"/>
        </w:rPr>
        <w:t>, makes a similar poi</w:t>
      </w:r>
      <w:r w:rsidR="00F4369F">
        <w:rPr>
          <w:rFonts w:cstheme="minorHAnsi"/>
        </w:rPr>
        <w:t>nt</w:t>
      </w:r>
      <w:r w:rsidR="00BF332D">
        <w:rPr>
          <w:rFonts w:cstheme="minorHAnsi"/>
        </w:rPr>
        <w:t>:</w:t>
      </w:r>
    </w:p>
    <w:p w14:paraId="4999C0BA" w14:textId="1CDCA783" w:rsidR="00BF332D" w:rsidRPr="00964CF4" w:rsidRDefault="00BF332D" w:rsidP="00964CF4">
      <w:pPr>
        <w:autoSpaceDE w:val="0"/>
        <w:autoSpaceDN w:val="0"/>
        <w:adjustRightInd w:val="0"/>
        <w:ind w:left="720"/>
        <w:rPr>
          <w:rFonts w:cstheme="minorHAnsi"/>
        </w:rPr>
      </w:pPr>
      <w:r w:rsidRPr="00964CF4">
        <w:rPr>
          <w:rFonts w:cstheme="minorHAnsi"/>
          <w:color w:val="333333"/>
          <w:shd w:val="clear" w:color="auto" w:fill="FFFFFF"/>
        </w:rPr>
        <w:t xml:space="preserve">Mathematicians [are] so good at instantly switching between the various </w:t>
      </w:r>
      <w:r w:rsidR="00AE5756">
        <w:rPr>
          <w:rFonts w:cstheme="minorHAnsi"/>
          <w:color w:val="333333"/>
          <w:shd w:val="clear" w:color="auto" w:fill="FFFFFF"/>
        </w:rPr>
        <w:t>‘</w:t>
      </w:r>
      <w:r w:rsidRPr="00964CF4">
        <w:rPr>
          <w:rFonts w:cstheme="minorHAnsi"/>
          <w:color w:val="333333"/>
          <w:shd w:val="clear" w:color="auto" w:fill="FFFFFF"/>
        </w:rPr>
        <w:t>obviously equivalent</w:t>
      </w:r>
      <w:r w:rsidR="00AE5756">
        <w:rPr>
          <w:rFonts w:cstheme="minorHAnsi"/>
          <w:color w:val="333333"/>
          <w:shd w:val="clear" w:color="auto" w:fill="FFFFFF"/>
        </w:rPr>
        <w:t>’</w:t>
      </w:r>
      <w:r w:rsidRPr="00964CF4">
        <w:rPr>
          <w:rFonts w:cstheme="minorHAnsi"/>
          <w:color w:val="333333"/>
          <w:shd w:val="clear" w:color="auto" w:fill="FFFFFF"/>
        </w:rPr>
        <w:t xml:space="preserve"> ways that a mathematician looks at a complicated algebraic object (</w:t>
      </w:r>
      <w:r w:rsidR="00AE5756">
        <w:rPr>
          <w:rFonts w:cstheme="minorHAnsi"/>
          <w:color w:val="333333"/>
          <w:shd w:val="clear" w:color="auto" w:fill="FFFFFF"/>
        </w:rPr>
        <w:t>‘</w:t>
      </w:r>
      <w:r w:rsidRPr="00964CF4">
        <w:rPr>
          <w:rFonts w:cstheme="minorHAnsi"/>
          <w:color w:val="333333"/>
          <w:shd w:val="clear" w:color="auto" w:fill="FFFFFF"/>
        </w:rPr>
        <w:t>It’s an equivalence relation! Now it’s a partition! Now it’s an equivalence relation again! Let your mental model jump freely to the point of view which makes what I’m saying in this particular paragraph obvious!</w:t>
      </w:r>
      <w:r w:rsidR="00AE5756">
        <w:rPr>
          <w:rFonts w:cstheme="minorHAnsi"/>
          <w:color w:val="333333"/>
          <w:shd w:val="clear" w:color="auto" w:fill="FFFFFF"/>
        </w:rPr>
        <w:t>’</w:t>
      </w:r>
      <w:r w:rsidRPr="00964CF4">
        <w:rPr>
          <w:rFonts w:cstheme="minorHAnsi"/>
          <w:color w:val="333333"/>
          <w:shd w:val="clear" w:color="auto" w:fill="FFFFFF"/>
        </w:rPr>
        <w:t xml:space="preserve">, or </w:t>
      </w:r>
      <w:r w:rsidR="00AE5756">
        <w:rPr>
          <w:rFonts w:cstheme="minorHAnsi"/>
          <w:color w:val="333333"/>
          <w:shd w:val="clear" w:color="auto" w:fill="FFFFFF"/>
        </w:rPr>
        <w:t>‘</w:t>
      </w:r>
      <w:r w:rsidRPr="00964CF4">
        <w:rPr>
          <w:rFonts w:cstheme="minorHAnsi"/>
          <w:color w:val="333333"/>
          <w:shd w:val="clear" w:color="auto" w:fill="FFFFFF"/>
        </w:rPr>
        <w:t>Matrices are obviously associative under multiplication because functions are associative under composition.</w:t>
      </w:r>
      <w:r w:rsidR="00AE5756">
        <w:rPr>
          <w:rFonts w:cstheme="minorHAnsi"/>
          <w:color w:val="333333"/>
          <w:shd w:val="clear" w:color="auto" w:fill="FFFFFF"/>
        </w:rPr>
        <w:t>’</w:t>
      </w:r>
      <w:r w:rsidR="00C31E8B">
        <w:rPr>
          <w:rFonts w:cstheme="minorHAnsi"/>
          <w:color w:val="333333"/>
          <w:shd w:val="clear" w:color="auto" w:fill="FFFFFF"/>
        </w:rPr>
        <w:t>..</w:t>
      </w:r>
      <w:r w:rsidRPr="00964CF4">
        <w:rPr>
          <w:rFonts w:cstheme="minorHAnsi"/>
          <w:color w:val="333333"/>
          <w:shd w:val="clear" w:color="auto" w:fill="FFFFFF"/>
        </w:rPr>
        <w:t>. Some of the proofs we’re writing</w:t>
      </w:r>
      <w:r w:rsidR="007154F8">
        <w:rPr>
          <w:rFonts w:cstheme="minorHAnsi"/>
          <w:color w:val="333333"/>
          <w:shd w:val="clear" w:color="auto" w:fill="FFFFFF"/>
        </w:rPr>
        <w:t xml:space="preserve"> [in </w:t>
      </w:r>
      <w:r w:rsidR="007154F8" w:rsidRPr="001E2BA7">
        <w:rPr>
          <w:rFonts w:cstheme="minorHAnsi"/>
          <w:i/>
          <w:iCs/>
          <w:color w:val="333333"/>
          <w:shd w:val="clear" w:color="auto" w:fill="FFFFFF"/>
        </w:rPr>
        <w:t>Lean</w:t>
      </w:r>
      <w:r w:rsidR="007154F8">
        <w:rPr>
          <w:rFonts w:cstheme="minorHAnsi"/>
          <w:color w:val="333333"/>
          <w:shd w:val="clear" w:color="auto" w:fill="FFFFFF"/>
        </w:rPr>
        <w:t>]</w:t>
      </w:r>
      <w:r w:rsidRPr="00964CF4">
        <w:rPr>
          <w:rFonts w:cstheme="minorHAnsi"/>
          <w:color w:val="333333"/>
          <w:shd w:val="clear" w:color="auto" w:fill="FFFFFF"/>
        </w:rPr>
        <w:t xml:space="preserve"> are simply proofs that humans are behaving correctly when using mathematical objects.</w:t>
      </w:r>
      <w:r w:rsidR="00EF63D0">
        <w:rPr>
          <w:rFonts w:cstheme="minorHAnsi"/>
          <w:color w:val="333333"/>
          <w:shd w:val="clear" w:color="auto" w:fill="FFFFFF"/>
        </w:rPr>
        <w:t xml:space="preserve">   (Buzzard 2020)</w:t>
      </w:r>
    </w:p>
    <w:p w14:paraId="3BDC7E33" w14:textId="0B97C69D" w:rsidR="005D47B0" w:rsidRDefault="005D47B0" w:rsidP="00070D76">
      <w:pPr>
        <w:autoSpaceDE w:val="0"/>
        <w:autoSpaceDN w:val="0"/>
        <w:adjustRightInd w:val="0"/>
        <w:rPr>
          <w:rFonts w:cstheme="minorHAnsi"/>
        </w:rPr>
      </w:pPr>
      <w:r>
        <w:rPr>
          <w:rFonts w:cstheme="minorHAnsi"/>
        </w:rPr>
        <w:t xml:space="preserve">Proving that the moves mathematicians make are correct is not the same </w:t>
      </w:r>
      <w:r w:rsidR="006018EB">
        <w:rPr>
          <w:rFonts w:cstheme="minorHAnsi"/>
        </w:rPr>
        <w:t xml:space="preserve">activity </w:t>
      </w:r>
      <w:r>
        <w:rPr>
          <w:rFonts w:cstheme="minorHAnsi"/>
        </w:rPr>
        <w:t xml:space="preserve">as making those same moves more slowly in a less rich notation.  </w:t>
      </w:r>
    </w:p>
    <w:p w14:paraId="0E58E07F" w14:textId="4BA2E822" w:rsidR="000E5D18" w:rsidRPr="00EA7C7C" w:rsidRDefault="00E00969" w:rsidP="00070D76">
      <w:pPr>
        <w:autoSpaceDE w:val="0"/>
        <w:autoSpaceDN w:val="0"/>
        <w:adjustRightInd w:val="0"/>
        <w:rPr>
          <w:rFonts w:cstheme="minorHAnsi"/>
        </w:rPr>
      </w:pPr>
      <w:r>
        <w:rPr>
          <w:rFonts w:cstheme="minorHAnsi"/>
        </w:rPr>
        <w:t>T</w:t>
      </w:r>
      <w:r w:rsidR="000E5D18">
        <w:rPr>
          <w:rFonts w:cstheme="minorHAnsi"/>
        </w:rPr>
        <w:t xml:space="preserve">hese jumps are helpful precisely because </w:t>
      </w:r>
      <w:r w:rsidR="00CD2CFE">
        <w:rPr>
          <w:rFonts w:cstheme="minorHAnsi"/>
        </w:rPr>
        <w:t xml:space="preserve">they allow us to bring domain-specific </w:t>
      </w:r>
      <w:r w:rsidR="00795C0E">
        <w:rPr>
          <w:rFonts w:cstheme="minorHAnsi"/>
        </w:rPr>
        <w:t xml:space="preserve">techniques from one area </w:t>
      </w:r>
      <w:r w:rsidR="00CD2CFE">
        <w:rPr>
          <w:rFonts w:cstheme="minorHAnsi"/>
        </w:rPr>
        <w:t xml:space="preserve">to bear on </w:t>
      </w:r>
      <w:r w:rsidR="00795C0E">
        <w:rPr>
          <w:rFonts w:cstheme="minorHAnsi"/>
        </w:rPr>
        <w:t xml:space="preserve">a problem first found in another.  </w:t>
      </w:r>
      <w:r w:rsidR="00D31495">
        <w:rPr>
          <w:rFonts w:cstheme="minorHAnsi"/>
        </w:rPr>
        <w:t xml:space="preserve">A detour through </w:t>
      </w:r>
      <w:r w:rsidR="00C36E8B">
        <w:rPr>
          <w:rFonts w:cstheme="minorHAnsi"/>
        </w:rPr>
        <w:t xml:space="preserve">complex analysis in order to solve a problem in real analysis, or a visit to real analysis to help prove a result in number theory, </w:t>
      </w:r>
      <w:r w:rsidR="00A456C9">
        <w:rPr>
          <w:rFonts w:cstheme="minorHAnsi"/>
        </w:rPr>
        <w:t xml:space="preserve">does not look much like re-coding of </w:t>
      </w:r>
      <w:r w:rsidR="00EE5C8B">
        <w:rPr>
          <w:rFonts w:cstheme="minorHAnsi"/>
        </w:rPr>
        <w:t xml:space="preserve">syntactic data.  </w:t>
      </w:r>
      <w:r w:rsidR="004E28A7">
        <w:rPr>
          <w:rFonts w:cstheme="minorHAnsi"/>
        </w:rPr>
        <w:t xml:space="preserve">It is more like </w:t>
      </w:r>
      <w:r w:rsidR="00EA7C7C">
        <w:rPr>
          <w:rFonts w:cstheme="minorHAnsi"/>
        </w:rPr>
        <w:t xml:space="preserve">moving from one natural language to another in search of the </w:t>
      </w:r>
      <w:r w:rsidR="00EA7C7C">
        <w:rPr>
          <w:rFonts w:cstheme="minorHAnsi"/>
          <w:i/>
          <w:iCs/>
        </w:rPr>
        <w:t xml:space="preserve">mot </w:t>
      </w:r>
      <w:proofErr w:type="spellStart"/>
      <w:r w:rsidR="00EA7C7C">
        <w:rPr>
          <w:rFonts w:cstheme="minorHAnsi"/>
          <w:i/>
          <w:iCs/>
        </w:rPr>
        <w:t>juste</w:t>
      </w:r>
      <w:proofErr w:type="spellEnd"/>
      <w:r w:rsidR="0080765E">
        <w:rPr>
          <w:rFonts w:cstheme="minorHAnsi"/>
        </w:rPr>
        <w:t xml:space="preserve"> or looking for legal arguments in a different area of law from the </w:t>
      </w:r>
      <w:r w:rsidR="004C03B9">
        <w:rPr>
          <w:rFonts w:cstheme="minorHAnsi"/>
        </w:rPr>
        <w:t>case in hand</w:t>
      </w:r>
      <w:r w:rsidR="00EA7C7C">
        <w:rPr>
          <w:rFonts w:cstheme="minorHAnsi"/>
        </w:rPr>
        <w:t xml:space="preserve">.  </w:t>
      </w:r>
      <w:r w:rsidR="007B41E2">
        <w:rPr>
          <w:rFonts w:cstheme="minorHAnsi"/>
        </w:rPr>
        <w:t xml:space="preserve">Mathematicians translate problems and proof-ideas between different parts of mathematics all the time, and translation of a proof into a foundational idiom is just a special case of this.  </w:t>
      </w:r>
      <w:r w:rsidR="0026275A">
        <w:rPr>
          <w:rFonts w:cstheme="minorHAnsi"/>
        </w:rPr>
        <w:t xml:space="preserve">Rather than </w:t>
      </w:r>
      <w:r w:rsidR="00C956FB">
        <w:rPr>
          <w:rFonts w:cstheme="minorHAnsi"/>
        </w:rPr>
        <w:t xml:space="preserve">choosing a metaphor to describe </w:t>
      </w:r>
      <w:r w:rsidR="00B84865">
        <w:rPr>
          <w:rFonts w:cstheme="minorHAnsi"/>
        </w:rPr>
        <w:t xml:space="preserve">translation </w:t>
      </w:r>
      <w:r w:rsidR="009003B2">
        <w:rPr>
          <w:rFonts w:cstheme="minorHAnsi"/>
        </w:rPr>
        <w:t xml:space="preserve">between informal proofs and </w:t>
      </w:r>
      <w:r w:rsidR="003148B7">
        <w:rPr>
          <w:rFonts w:cstheme="minorHAnsi"/>
        </w:rPr>
        <w:t xml:space="preserve">formal derivations </w:t>
      </w:r>
      <w:r w:rsidR="00BB70F1">
        <w:rPr>
          <w:rFonts w:cstheme="minorHAnsi"/>
        </w:rPr>
        <w:t>with the aim of</w:t>
      </w:r>
      <w:r w:rsidR="00B84865">
        <w:rPr>
          <w:rFonts w:cstheme="minorHAnsi"/>
        </w:rPr>
        <w:t xml:space="preserve"> </w:t>
      </w:r>
      <w:r w:rsidR="009003B2">
        <w:rPr>
          <w:rFonts w:cstheme="minorHAnsi"/>
        </w:rPr>
        <w:t>preserv</w:t>
      </w:r>
      <w:r w:rsidR="00BB70F1">
        <w:rPr>
          <w:rFonts w:cstheme="minorHAnsi"/>
        </w:rPr>
        <w:t>ing</w:t>
      </w:r>
      <w:r w:rsidR="009003B2">
        <w:rPr>
          <w:rFonts w:cstheme="minorHAnsi"/>
        </w:rPr>
        <w:t xml:space="preserve"> the Standard View</w:t>
      </w:r>
      <w:r w:rsidR="003148B7">
        <w:rPr>
          <w:rFonts w:cstheme="minorHAnsi"/>
        </w:rPr>
        <w:t>, it might be less question-begging to work up a general account of intra-mathematical translation</w:t>
      </w:r>
      <w:r w:rsidR="00A261F7">
        <w:rPr>
          <w:rFonts w:cstheme="minorHAnsi"/>
        </w:rPr>
        <w:t xml:space="preserve"> on a broad evidence-base</w:t>
      </w:r>
      <w:r w:rsidR="003148B7">
        <w:rPr>
          <w:rFonts w:cstheme="minorHAnsi"/>
        </w:rPr>
        <w:t xml:space="preserve">, and </w:t>
      </w:r>
      <w:r w:rsidR="004978D7">
        <w:rPr>
          <w:rFonts w:cstheme="minorHAnsi"/>
        </w:rPr>
        <w:t xml:space="preserve">then </w:t>
      </w:r>
      <w:r w:rsidR="003148B7">
        <w:rPr>
          <w:rFonts w:cstheme="minorHAnsi"/>
        </w:rPr>
        <w:t xml:space="preserve">see what it </w:t>
      </w:r>
      <w:r w:rsidR="00A261F7">
        <w:rPr>
          <w:rFonts w:cstheme="minorHAnsi"/>
        </w:rPr>
        <w:t xml:space="preserve">says about the special case </w:t>
      </w:r>
      <w:r w:rsidR="00F07E78">
        <w:rPr>
          <w:rFonts w:cstheme="minorHAnsi"/>
        </w:rPr>
        <w:t xml:space="preserve">of translations of proofs into formal derivations.  </w:t>
      </w:r>
      <w:r w:rsidR="001B109F">
        <w:rPr>
          <w:rFonts w:cstheme="minorHAnsi"/>
        </w:rPr>
        <w:t xml:space="preserve"> </w:t>
      </w:r>
    </w:p>
    <w:p w14:paraId="0D8D6F32" w14:textId="47F856DC" w:rsidR="00800CD3" w:rsidRDefault="00412A03" w:rsidP="008D471F">
      <w:pPr>
        <w:autoSpaceDE w:val="0"/>
        <w:autoSpaceDN w:val="0"/>
        <w:adjustRightInd w:val="0"/>
        <w:rPr>
          <w:rFonts w:cstheme="minorHAnsi"/>
        </w:rPr>
      </w:pPr>
      <w:r>
        <w:rPr>
          <w:rFonts w:cstheme="minorHAnsi"/>
        </w:rPr>
        <w:t>T</w:t>
      </w:r>
      <w:r w:rsidR="00366E84" w:rsidRPr="008D471F">
        <w:rPr>
          <w:rFonts w:cstheme="minorHAnsi"/>
        </w:rPr>
        <w:t xml:space="preserve">his view of mathematics as </w:t>
      </w:r>
      <w:r w:rsidR="00BE6AC8" w:rsidRPr="008D471F">
        <w:rPr>
          <w:rFonts w:cstheme="minorHAnsi"/>
        </w:rPr>
        <w:t xml:space="preserve">a meaningful human </w:t>
      </w:r>
      <w:r w:rsidR="00495EF2">
        <w:rPr>
          <w:rFonts w:cstheme="minorHAnsi"/>
        </w:rPr>
        <w:t xml:space="preserve">reason-giving </w:t>
      </w:r>
      <w:r w:rsidR="00BE6AC8" w:rsidRPr="008D471F">
        <w:rPr>
          <w:rFonts w:cstheme="minorHAnsi"/>
        </w:rPr>
        <w:t xml:space="preserve">activity </w:t>
      </w:r>
      <w:r>
        <w:rPr>
          <w:rFonts w:cstheme="minorHAnsi"/>
        </w:rPr>
        <w:t>appears in places</w:t>
      </w:r>
      <w:r w:rsidR="00BE6AC8" w:rsidRPr="008D471F">
        <w:rPr>
          <w:rFonts w:cstheme="minorHAnsi"/>
        </w:rPr>
        <w:t xml:space="preserve"> in Avigad’s article.  </w:t>
      </w:r>
      <w:r w:rsidR="000F6FBA" w:rsidRPr="008D471F">
        <w:rPr>
          <w:rFonts w:cstheme="minorHAnsi"/>
        </w:rPr>
        <w:t xml:space="preserve">He notes that mathematical proofs </w:t>
      </w:r>
      <w:r w:rsidR="003264C0" w:rsidRPr="008D471F">
        <w:rPr>
          <w:rFonts w:cstheme="minorHAnsi"/>
        </w:rPr>
        <w:t xml:space="preserve">written for human use </w:t>
      </w:r>
      <w:r w:rsidR="000F6FBA" w:rsidRPr="008D471F">
        <w:rPr>
          <w:rFonts w:cstheme="minorHAnsi"/>
        </w:rPr>
        <w:t xml:space="preserve">are robust </w:t>
      </w:r>
      <w:r w:rsidR="003264C0" w:rsidRPr="008D471F">
        <w:rPr>
          <w:rFonts w:cstheme="minorHAnsi"/>
        </w:rPr>
        <w:t xml:space="preserve">in the sense that that they can survive </w:t>
      </w:r>
      <w:r w:rsidR="0098627A" w:rsidRPr="008D471F">
        <w:rPr>
          <w:rFonts w:cstheme="minorHAnsi"/>
        </w:rPr>
        <w:t xml:space="preserve">errors of syntax and abuses of notation—in fact, abusing notation </w:t>
      </w:r>
      <w:r w:rsidR="006C1F82" w:rsidRPr="008D471F">
        <w:rPr>
          <w:rFonts w:cstheme="minorHAnsi"/>
        </w:rPr>
        <w:t>tactically is an important mathematical skill</w:t>
      </w:r>
      <w:r w:rsidR="00823A44" w:rsidRPr="008D471F">
        <w:rPr>
          <w:rFonts w:cstheme="minorHAnsi"/>
        </w:rPr>
        <w:t>, but this thought makes no sense if proofs are syntactic items</w:t>
      </w:r>
      <w:r w:rsidR="00FA693B" w:rsidRPr="008D471F">
        <w:rPr>
          <w:rFonts w:cstheme="minorHAnsi"/>
        </w:rPr>
        <w:t xml:space="preserve">.  They’re also insensitive to minor </w:t>
      </w:r>
      <w:r w:rsidR="005D53C3" w:rsidRPr="008D471F">
        <w:rPr>
          <w:rFonts w:cstheme="minorHAnsi"/>
        </w:rPr>
        <w:t>mistakes in calculations or localised reasoning, because readers can correct the errors</w:t>
      </w:r>
      <w:r w:rsidR="00F97190">
        <w:rPr>
          <w:rFonts w:cstheme="minorHAnsi"/>
        </w:rPr>
        <w:t xml:space="preserve"> (as Avigad observes)</w:t>
      </w:r>
      <w:r w:rsidR="005D53C3" w:rsidRPr="008D471F">
        <w:rPr>
          <w:rFonts w:cstheme="minorHAnsi"/>
        </w:rPr>
        <w:t xml:space="preserve">.  </w:t>
      </w:r>
      <w:r w:rsidR="00F73CC2" w:rsidRPr="008D471F">
        <w:rPr>
          <w:rFonts w:cstheme="minorHAnsi"/>
        </w:rPr>
        <w:t xml:space="preserve">This can only be because readers understand what the </w:t>
      </w:r>
      <w:r w:rsidR="005C66EE">
        <w:rPr>
          <w:rFonts w:cstheme="minorHAnsi"/>
        </w:rPr>
        <w:t xml:space="preserve">inferences are </w:t>
      </w:r>
      <w:r w:rsidR="00F73CC2" w:rsidRPr="008D471F">
        <w:rPr>
          <w:rFonts w:cstheme="minorHAnsi"/>
        </w:rPr>
        <w:t xml:space="preserve">about </w:t>
      </w:r>
      <w:r w:rsidR="008D471F" w:rsidRPr="008D471F">
        <w:rPr>
          <w:rFonts w:cstheme="minorHAnsi"/>
        </w:rPr>
        <w:t xml:space="preserve">and are not simply processing </w:t>
      </w:r>
      <w:r w:rsidR="009C1D60">
        <w:rPr>
          <w:rFonts w:cstheme="minorHAnsi"/>
        </w:rPr>
        <w:t>symbol strings</w:t>
      </w:r>
      <w:r w:rsidR="008D471F" w:rsidRPr="008D471F">
        <w:rPr>
          <w:rFonts w:cstheme="minorHAnsi"/>
        </w:rPr>
        <w:t xml:space="preserve"> syntactically.  </w:t>
      </w:r>
      <w:r w:rsidR="009B3EF1">
        <w:rPr>
          <w:rFonts w:cstheme="minorHAnsi"/>
        </w:rPr>
        <w:t xml:space="preserve"> </w:t>
      </w:r>
      <w:r w:rsidR="00315128">
        <w:rPr>
          <w:rFonts w:cstheme="minorHAnsi"/>
        </w:rPr>
        <w:t>Some of Avigad’s heuristics—an</w:t>
      </w:r>
      <w:r w:rsidR="008D471F" w:rsidRPr="008D471F">
        <w:rPr>
          <w:rFonts w:cstheme="minorHAnsi"/>
        </w:rPr>
        <w:t>alogy</w:t>
      </w:r>
      <w:r w:rsidR="008D471F" w:rsidRPr="00315128">
        <w:rPr>
          <w:rFonts w:cstheme="minorHAnsi"/>
        </w:rPr>
        <w:t xml:space="preserve">, </w:t>
      </w:r>
      <w:r w:rsidR="008D471F" w:rsidRPr="008D471F">
        <w:rPr>
          <w:rFonts w:cstheme="minorHAnsi"/>
        </w:rPr>
        <w:t>generalisation</w:t>
      </w:r>
      <w:r w:rsidR="008D471F" w:rsidRPr="00315128">
        <w:rPr>
          <w:rFonts w:cstheme="minorHAnsi"/>
        </w:rPr>
        <w:t>, abstraction, exemplification, classification and visualisation</w:t>
      </w:r>
      <w:r w:rsidR="00315128" w:rsidRPr="00315128">
        <w:rPr>
          <w:rFonts w:cstheme="minorHAnsi"/>
        </w:rPr>
        <w:t>—only mak</w:t>
      </w:r>
      <w:r w:rsidR="00315128">
        <w:rPr>
          <w:rFonts w:cstheme="minorHAnsi"/>
        </w:rPr>
        <w:t xml:space="preserve">e sense </w:t>
      </w:r>
      <w:r w:rsidR="00D65027">
        <w:rPr>
          <w:rFonts w:cstheme="minorHAnsi"/>
        </w:rPr>
        <w:t xml:space="preserve">as </w:t>
      </w:r>
      <w:r w:rsidR="00F223D3">
        <w:rPr>
          <w:rFonts w:cstheme="minorHAnsi"/>
        </w:rPr>
        <w:t xml:space="preserve">strategies for handling </w:t>
      </w:r>
      <w:r w:rsidR="0066082B">
        <w:rPr>
          <w:rFonts w:cstheme="minorHAnsi"/>
        </w:rPr>
        <w:t xml:space="preserve">meaningful mathematical content.  </w:t>
      </w:r>
      <w:r w:rsidR="00E83ECD">
        <w:rPr>
          <w:rFonts w:cstheme="minorHAnsi"/>
        </w:rPr>
        <w:t>An analogy is not</w:t>
      </w:r>
      <w:r w:rsidR="00C12A6E">
        <w:rPr>
          <w:rFonts w:cstheme="minorHAnsi"/>
        </w:rPr>
        <w:t xml:space="preserve">, at the point where it is useful, a syntactic relation.  </w:t>
      </w:r>
      <w:r w:rsidR="00C04C94">
        <w:rPr>
          <w:rFonts w:cstheme="minorHAnsi"/>
        </w:rPr>
        <w:t>Strategic generalisation is not something a machine can do</w:t>
      </w:r>
      <w:r w:rsidR="000E409F">
        <w:rPr>
          <w:rFonts w:cstheme="minorHAnsi"/>
        </w:rPr>
        <w:t>, not least because</w:t>
      </w:r>
      <w:r w:rsidR="00C04C94">
        <w:rPr>
          <w:rFonts w:cstheme="minorHAnsi"/>
        </w:rPr>
        <w:t xml:space="preserve"> very often more than one generalisation is available</w:t>
      </w:r>
      <w:r w:rsidR="00B562EB">
        <w:rPr>
          <w:rFonts w:cstheme="minorHAnsi"/>
        </w:rPr>
        <w:t xml:space="preserve"> (for example, if you know something about </w:t>
      </w:r>
      <w:r w:rsidR="00FE2B00">
        <w:rPr>
          <w:rFonts w:cstheme="minorHAnsi"/>
        </w:rPr>
        <w:t>equilateral</w:t>
      </w:r>
      <w:r w:rsidR="00B562EB">
        <w:rPr>
          <w:rFonts w:cstheme="minorHAnsi"/>
        </w:rPr>
        <w:t xml:space="preserve"> triangles, you might generalise to other planar</w:t>
      </w:r>
      <w:r w:rsidR="00953A82">
        <w:rPr>
          <w:rFonts w:cstheme="minorHAnsi"/>
        </w:rPr>
        <w:t xml:space="preserve"> regular</w:t>
      </w:r>
      <w:r w:rsidR="00B562EB">
        <w:rPr>
          <w:rFonts w:cstheme="minorHAnsi"/>
        </w:rPr>
        <w:t xml:space="preserve"> </w:t>
      </w:r>
      <w:r w:rsidR="001529C7">
        <w:rPr>
          <w:rFonts w:cstheme="minorHAnsi"/>
        </w:rPr>
        <w:t xml:space="preserve">polygons or you might generalise to </w:t>
      </w:r>
      <w:r w:rsidR="00C50692">
        <w:rPr>
          <w:rFonts w:cstheme="minorHAnsi"/>
        </w:rPr>
        <w:t>simplexes</w:t>
      </w:r>
      <w:r w:rsidR="001529C7">
        <w:rPr>
          <w:rFonts w:cstheme="minorHAnsi"/>
        </w:rPr>
        <w:t xml:space="preserve"> in higher dimensions)</w:t>
      </w:r>
      <w:r w:rsidR="00AB4053">
        <w:rPr>
          <w:rFonts w:cstheme="minorHAnsi"/>
        </w:rPr>
        <w:t xml:space="preserve">.  </w:t>
      </w:r>
      <w:r w:rsidR="003C5F2E">
        <w:rPr>
          <w:rFonts w:cstheme="minorHAnsi"/>
        </w:rPr>
        <w:t>Similarly, n</w:t>
      </w:r>
      <w:r w:rsidR="008775DB">
        <w:rPr>
          <w:rFonts w:cstheme="minorHAnsi"/>
        </w:rPr>
        <w:t xml:space="preserve">oticing that there is a structure in common that </w:t>
      </w:r>
      <w:r w:rsidR="003C5F2E">
        <w:rPr>
          <w:rFonts w:cstheme="minorHAnsi"/>
        </w:rPr>
        <w:t>is open to axiomatisation</w:t>
      </w:r>
      <w:r w:rsidR="00E168B4">
        <w:rPr>
          <w:rFonts w:cstheme="minorHAnsi"/>
        </w:rPr>
        <w:t>, identifying examples that will be both tractable and informative</w:t>
      </w:r>
      <w:r w:rsidR="00283A09">
        <w:rPr>
          <w:rFonts w:cstheme="minorHAnsi"/>
        </w:rPr>
        <w:t>,</w:t>
      </w:r>
      <w:r w:rsidR="00E168B4">
        <w:rPr>
          <w:rFonts w:cstheme="minorHAnsi"/>
        </w:rPr>
        <w:t xml:space="preserve"> and </w:t>
      </w:r>
      <w:r w:rsidR="00283A09">
        <w:rPr>
          <w:rFonts w:cstheme="minorHAnsi"/>
        </w:rPr>
        <w:t xml:space="preserve">classifying in a way that carves the domain </w:t>
      </w:r>
      <w:r w:rsidR="00455E22">
        <w:rPr>
          <w:rFonts w:cstheme="minorHAnsi"/>
        </w:rPr>
        <w:t xml:space="preserve">at the joints </w:t>
      </w:r>
      <w:r w:rsidR="007B4A39">
        <w:rPr>
          <w:rFonts w:cstheme="minorHAnsi"/>
        </w:rPr>
        <w:t xml:space="preserve">all depend on familiarity with and understanding of </w:t>
      </w:r>
      <w:r w:rsidR="0092430C">
        <w:rPr>
          <w:rFonts w:cstheme="minorHAnsi"/>
        </w:rPr>
        <w:t xml:space="preserve">mathematical </w:t>
      </w:r>
      <w:r w:rsidR="007B4A39">
        <w:rPr>
          <w:rFonts w:cstheme="minorHAnsi"/>
        </w:rPr>
        <w:t xml:space="preserve">content.  It’s true that these activities are preparations for </w:t>
      </w:r>
      <w:r w:rsidR="00F77791">
        <w:rPr>
          <w:rFonts w:cstheme="minorHAnsi"/>
        </w:rPr>
        <w:lastRenderedPageBreak/>
        <w:t>proving rather than</w:t>
      </w:r>
      <w:r w:rsidR="00F6796F">
        <w:rPr>
          <w:rFonts w:cstheme="minorHAnsi"/>
        </w:rPr>
        <w:t xml:space="preserve"> parts of proofs.  However, it is implausible to suppose that the same mathematical </w:t>
      </w:r>
      <w:r w:rsidR="00A91AE2">
        <w:rPr>
          <w:rFonts w:cstheme="minorHAnsi"/>
        </w:rPr>
        <w:t xml:space="preserve">content suddenly switches from being richly significant to </w:t>
      </w:r>
      <w:r w:rsidR="0008644D">
        <w:rPr>
          <w:rFonts w:cstheme="minorHAnsi"/>
        </w:rPr>
        <w:t>become</w:t>
      </w:r>
      <w:r w:rsidR="00A91AE2">
        <w:rPr>
          <w:rFonts w:cstheme="minorHAnsi"/>
        </w:rPr>
        <w:t xml:space="preserve"> </w:t>
      </w:r>
      <w:r w:rsidR="00927DA8">
        <w:rPr>
          <w:rFonts w:cstheme="minorHAnsi"/>
        </w:rPr>
        <w:t xml:space="preserve">a series of syntactic operations when it is </w:t>
      </w:r>
      <w:r w:rsidR="00CD35DE">
        <w:rPr>
          <w:rFonts w:cstheme="minorHAnsi"/>
        </w:rPr>
        <w:t xml:space="preserve">tidied up and </w:t>
      </w:r>
      <w:r w:rsidR="004F4229">
        <w:rPr>
          <w:rFonts w:cstheme="minorHAnsi"/>
        </w:rPr>
        <w:t>arranged into a proof.</w:t>
      </w:r>
      <w:r w:rsidR="004C2BC3">
        <w:rPr>
          <w:rStyle w:val="FootnoteReference"/>
          <w:rFonts w:cstheme="minorHAnsi"/>
        </w:rPr>
        <w:footnoteReference w:id="21"/>
      </w:r>
      <w:r w:rsidR="004F4229">
        <w:rPr>
          <w:rFonts w:cstheme="minorHAnsi"/>
        </w:rPr>
        <w:t xml:space="preserve"> </w:t>
      </w:r>
      <w:r w:rsidR="00C04C94">
        <w:rPr>
          <w:rFonts w:cstheme="minorHAnsi"/>
        </w:rPr>
        <w:t xml:space="preserve"> </w:t>
      </w:r>
      <w:r w:rsidR="004E756B">
        <w:rPr>
          <w:rFonts w:cstheme="minorHAnsi"/>
        </w:rPr>
        <w:t xml:space="preserve">One of </w:t>
      </w:r>
      <w:r w:rsidR="00722F37">
        <w:rPr>
          <w:rFonts w:cstheme="minorHAnsi"/>
        </w:rPr>
        <w:t>Avigad’s</w:t>
      </w:r>
      <w:r w:rsidR="004E756B">
        <w:rPr>
          <w:rFonts w:cstheme="minorHAnsi"/>
        </w:rPr>
        <w:t xml:space="preserve"> metaphors </w:t>
      </w:r>
      <w:r w:rsidR="00800CD3">
        <w:rPr>
          <w:rFonts w:cstheme="minorHAnsi"/>
        </w:rPr>
        <w:t xml:space="preserve">makes the very point: </w:t>
      </w:r>
    </w:p>
    <w:p w14:paraId="18982886" w14:textId="2EE3742D" w:rsidR="008D471F" w:rsidRPr="00315128" w:rsidRDefault="00800CD3" w:rsidP="00800CD3">
      <w:pPr>
        <w:autoSpaceDE w:val="0"/>
        <w:autoSpaceDN w:val="0"/>
        <w:adjustRightInd w:val="0"/>
        <w:ind w:left="720"/>
        <w:rPr>
          <w:rFonts w:cstheme="minorHAnsi"/>
        </w:rPr>
      </w:pPr>
      <w:r>
        <w:t xml:space="preserve">Comparing proof to a narrative allows us to draw on intuitions regarding the distinction between the plot and its syntactic presentation. After reading </w:t>
      </w:r>
      <w:r w:rsidRPr="00800CD3">
        <w:rPr>
          <w:i/>
          <w:iCs/>
        </w:rPr>
        <w:t>Pride and Prejudice</w:t>
      </w:r>
      <w:r>
        <w:t xml:space="preserve">, we can reliably make the claims about the characters and their motives, but we cannot reliably make claims about the number of occurrences of the letter </w:t>
      </w:r>
      <w:r w:rsidR="00AE5756">
        <w:t>‘</w:t>
      </w:r>
      <w:r>
        <w:t>p.</w:t>
      </w:r>
      <w:r w:rsidR="00AE5756">
        <w:t>’</w:t>
      </w:r>
      <w:r>
        <w:t xml:space="preserve"> If the judgment as to the correctness of a proof is more like the former, we have a chance; if it is more like the latter, it is hopeless. </w:t>
      </w:r>
      <w:r w:rsidR="00EF5885">
        <w:t xml:space="preserve"> (202</w:t>
      </w:r>
      <w:r w:rsidR="007E209B">
        <w:t>0, p. 8)</w:t>
      </w:r>
    </w:p>
    <w:p w14:paraId="2E165661" w14:textId="3A8EE419" w:rsidR="000E5D18" w:rsidRDefault="009A7584" w:rsidP="00070D76">
      <w:pPr>
        <w:autoSpaceDE w:val="0"/>
        <w:autoSpaceDN w:val="0"/>
        <w:adjustRightInd w:val="0"/>
        <w:rPr>
          <w:rFonts w:cstheme="minorHAnsi"/>
        </w:rPr>
      </w:pPr>
      <w:r>
        <w:rPr>
          <w:rFonts w:cstheme="minorHAnsi"/>
        </w:rPr>
        <w:t xml:space="preserve">Evidently, </w:t>
      </w:r>
      <w:r w:rsidR="00A55968">
        <w:rPr>
          <w:rFonts w:cstheme="minorHAnsi"/>
        </w:rPr>
        <w:t xml:space="preserve">Avigad favours the former option: </w:t>
      </w:r>
      <w:r w:rsidR="00AB5410">
        <w:rPr>
          <w:rFonts w:cstheme="minorHAnsi"/>
        </w:rPr>
        <w:t xml:space="preserve">thinking about the correctness of a proof is </w:t>
      </w:r>
      <w:r w:rsidR="00440462">
        <w:rPr>
          <w:rFonts w:cstheme="minorHAnsi"/>
        </w:rPr>
        <w:t xml:space="preserve">more </w:t>
      </w:r>
      <w:r w:rsidR="00AB5410">
        <w:rPr>
          <w:rFonts w:cstheme="minorHAnsi"/>
        </w:rPr>
        <w:t>like making judgments about the plot and characters of a novel</w:t>
      </w:r>
      <w:r w:rsidR="00440462">
        <w:rPr>
          <w:rFonts w:cstheme="minorHAnsi"/>
        </w:rPr>
        <w:t xml:space="preserve">, than it is like guessing how many times a letter occurs in the manuscript.  </w:t>
      </w:r>
      <w:r w:rsidR="008D2315">
        <w:rPr>
          <w:rFonts w:cstheme="minorHAnsi"/>
        </w:rPr>
        <w:t xml:space="preserve">This thought, however, undermines </w:t>
      </w:r>
      <w:r w:rsidR="00C05EE7">
        <w:rPr>
          <w:rFonts w:cstheme="minorHAnsi"/>
        </w:rPr>
        <w:t xml:space="preserve">the metaphors in his paper that encourage syntactic readings of informal proofs.  The relation between the plot of a novel and the typescript is not </w:t>
      </w:r>
      <w:r w:rsidR="00031335">
        <w:rPr>
          <w:rFonts w:cstheme="minorHAnsi"/>
        </w:rPr>
        <w:t xml:space="preserve">like data-compression or code-compiling.  </w:t>
      </w:r>
      <w:r w:rsidR="00195E76">
        <w:rPr>
          <w:rFonts w:cstheme="minorHAnsi"/>
        </w:rPr>
        <w:t xml:space="preserve">Turning a </w:t>
      </w:r>
      <w:r w:rsidR="00922436">
        <w:rPr>
          <w:rFonts w:cstheme="minorHAnsi"/>
        </w:rPr>
        <w:t>plot-and-character idea into a fully written out novel is not a routine translation, in any sense of ‘routine’</w:t>
      </w:r>
      <w:r w:rsidR="004A2611">
        <w:rPr>
          <w:rFonts w:cstheme="minorHAnsi"/>
        </w:rPr>
        <w:t xml:space="preserve">, let alone in the </w:t>
      </w:r>
      <w:r w:rsidR="005C1C83">
        <w:rPr>
          <w:rFonts w:cstheme="minorHAnsi"/>
        </w:rPr>
        <w:t>sense that Hamami develops in his paper</w:t>
      </w:r>
      <w:r w:rsidR="00922436">
        <w:rPr>
          <w:rFonts w:cstheme="minorHAnsi"/>
        </w:rPr>
        <w:t xml:space="preserve">.  </w:t>
      </w:r>
    </w:p>
    <w:p w14:paraId="56242401" w14:textId="5FE7164F" w:rsidR="00AD3CCA" w:rsidRDefault="003C025B" w:rsidP="00CF5225">
      <w:pPr>
        <w:autoSpaceDE w:val="0"/>
        <w:autoSpaceDN w:val="0"/>
        <w:adjustRightInd w:val="0"/>
        <w:rPr>
          <w:rFonts w:cstheme="minorHAnsi"/>
        </w:rPr>
      </w:pPr>
      <w:r w:rsidRPr="00CF5225">
        <w:rPr>
          <w:rFonts w:cstheme="minorHAnsi"/>
        </w:rPr>
        <w:t>To fix ideas, consider this example</w:t>
      </w:r>
      <w:r w:rsidR="004A696B">
        <w:rPr>
          <w:rFonts w:cstheme="minorHAnsi"/>
        </w:rPr>
        <w:t>: p</w:t>
      </w:r>
      <w:r w:rsidR="003C44AD" w:rsidRPr="00CF5225">
        <w:rPr>
          <w:rFonts w:cstheme="minorHAnsi"/>
        </w:rPr>
        <w:t xml:space="preserve">rove that given </w:t>
      </w:r>
      <w:r w:rsidR="000A512C" w:rsidRPr="00CF5225">
        <w:rPr>
          <w:rFonts w:cstheme="minorHAnsi"/>
        </w:rPr>
        <w:t xml:space="preserve">any </w:t>
      </w:r>
      <w:r w:rsidR="003C44AD" w:rsidRPr="00CF5225">
        <w:rPr>
          <w:rFonts w:cstheme="minorHAnsi"/>
        </w:rPr>
        <w:t xml:space="preserve">two potatoes, there is a </w:t>
      </w:r>
      <w:r w:rsidR="00855A61" w:rsidRPr="00CF5225">
        <w:rPr>
          <w:rFonts w:cstheme="minorHAnsi"/>
        </w:rPr>
        <w:t xml:space="preserve">closed </w:t>
      </w:r>
      <w:r w:rsidR="00375857" w:rsidRPr="00CF5225">
        <w:rPr>
          <w:rFonts w:cstheme="minorHAnsi"/>
        </w:rPr>
        <w:t xml:space="preserve">loop of the same size and shape on both </w:t>
      </w:r>
      <w:r w:rsidR="004A696B">
        <w:rPr>
          <w:rFonts w:cstheme="minorHAnsi"/>
        </w:rPr>
        <w:t>skins</w:t>
      </w:r>
      <w:r w:rsidR="00375857" w:rsidRPr="00CF5225">
        <w:rPr>
          <w:rFonts w:cstheme="minorHAnsi"/>
        </w:rPr>
        <w:t xml:space="preserve">.  </w:t>
      </w:r>
      <w:r w:rsidR="0033659D" w:rsidRPr="00CF5225">
        <w:rPr>
          <w:rFonts w:cstheme="minorHAnsi"/>
        </w:rPr>
        <w:t xml:space="preserve">Like </w:t>
      </w:r>
      <w:r w:rsidR="001B0791" w:rsidRPr="00CF5225">
        <w:rPr>
          <w:rFonts w:cstheme="minorHAnsi"/>
        </w:rPr>
        <w:t xml:space="preserve">many </w:t>
      </w:r>
      <w:r w:rsidR="002D7E07" w:rsidRPr="00CF5225">
        <w:rPr>
          <w:rFonts w:cstheme="minorHAnsi"/>
        </w:rPr>
        <w:t xml:space="preserve">mathematical </w:t>
      </w:r>
      <w:r w:rsidR="0033659D" w:rsidRPr="00CF5225">
        <w:rPr>
          <w:rFonts w:cstheme="minorHAnsi"/>
        </w:rPr>
        <w:t xml:space="preserve">proofs in philosophy </w:t>
      </w:r>
      <w:r w:rsidR="001B0791" w:rsidRPr="00CF5225">
        <w:rPr>
          <w:rFonts w:cstheme="minorHAnsi"/>
        </w:rPr>
        <w:t xml:space="preserve">articles, this is very short and </w:t>
      </w:r>
      <w:r w:rsidR="007B4002" w:rsidRPr="00CF5225">
        <w:rPr>
          <w:rFonts w:cstheme="minorHAnsi"/>
        </w:rPr>
        <w:t>untechnical.  It is in these respects quite unlike typical proofs in research mathematics, but it is nevertheless a mathematical proof</w:t>
      </w:r>
      <w:r w:rsidR="006A08F5" w:rsidRPr="00CF5225">
        <w:rPr>
          <w:rFonts w:cstheme="minorHAnsi"/>
        </w:rPr>
        <w:t xml:space="preserve"> so whatever we say about mathematical proofs in general must be true of it.  The solution is</w:t>
      </w:r>
      <w:r w:rsidR="001247E2">
        <w:rPr>
          <w:rFonts w:cstheme="minorHAnsi"/>
        </w:rPr>
        <w:t xml:space="preserve"> in this</w:t>
      </w:r>
      <w:r w:rsidR="001247E2">
        <w:rPr>
          <w:rStyle w:val="FootnoteReference"/>
          <w:rFonts w:cstheme="minorHAnsi"/>
        </w:rPr>
        <w:footnoteReference w:id="22"/>
      </w:r>
      <w:r w:rsidR="001247E2">
        <w:rPr>
          <w:rFonts w:cstheme="minorHAnsi"/>
        </w:rPr>
        <w:t xml:space="preserve"> footnote.  </w:t>
      </w:r>
      <w:r w:rsidR="002D7E07" w:rsidRPr="00CF5225">
        <w:rPr>
          <w:rFonts w:cstheme="minorHAnsi"/>
        </w:rPr>
        <w:t xml:space="preserve">It is, of course, possible to translate this proof into </w:t>
      </w:r>
      <w:r w:rsidR="00960B45" w:rsidRPr="00CF5225">
        <w:rPr>
          <w:rFonts w:cstheme="minorHAnsi"/>
        </w:rPr>
        <w:t xml:space="preserve">the language of </w:t>
      </w:r>
      <w:r w:rsidR="00FA6256" w:rsidRPr="00CF5225">
        <w:rPr>
          <w:rFonts w:cstheme="minorHAnsi"/>
        </w:rPr>
        <w:t xml:space="preserve">contemporary geometry and thence into a suitable foundational language, so that it </w:t>
      </w:r>
      <w:r w:rsidR="00170F85" w:rsidRPr="00CF5225">
        <w:rPr>
          <w:rFonts w:cstheme="minorHAnsi"/>
        </w:rPr>
        <w:t>no longer relies on spatial intuition</w:t>
      </w:r>
      <w:r w:rsidR="00155586" w:rsidRPr="00CF5225">
        <w:rPr>
          <w:rFonts w:cstheme="minorHAnsi"/>
        </w:rPr>
        <w:t xml:space="preserve"> and the inferences are all applications of inferential rules of the general logic of the chosen foundational idiom.  </w:t>
      </w:r>
      <w:r w:rsidR="0032011B" w:rsidRPr="00CF5225">
        <w:rPr>
          <w:rFonts w:cstheme="minorHAnsi"/>
        </w:rPr>
        <w:t xml:space="preserve">The issue is the nature of this translation.  </w:t>
      </w:r>
      <w:r w:rsidR="00BE748B" w:rsidRPr="00CF5225">
        <w:rPr>
          <w:rFonts w:cstheme="minorHAnsi"/>
        </w:rPr>
        <w:t xml:space="preserve">According to Hamami, and </w:t>
      </w:r>
      <w:r w:rsidR="00BD7C7F" w:rsidRPr="00CF5225">
        <w:rPr>
          <w:rFonts w:cstheme="minorHAnsi"/>
        </w:rPr>
        <w:t xml:space="preserve">to Avigad when he follows Hamami, the relation between the proof as offered here and </w:t>
      </w:r>
      <w:r w:rsidR="001E37EC" w:rsidRPr="00CF5225">
        <w:rPr>
          <w:rFonts w:cstheme="minorHAnsi"/>
        </w:rPr>
        <w:t xml:space="preserve">its corresponding derivation is one of data-compression.  </w:t>
      </w:r>
      <w:r w:rsidR="00E2182D" w:rsidRPr="00CF5225">
        <w:rPr>
          <w:rFonts w:cstheme="minorHAnsi"/>
        </w:rPr>
        <w:t xml:space="preserve">For this to be true, </w:t>
      </w:r>
      <w:r w:rsidR="003677DA" w:rsidRPr="00CF5225">
        <w:rPr>
          <w:rFonts w:cstheme="minorHAnsi"/>
        </w:rPr>
        <w:t xml:space="preserve">the proof as written here </w:t>
      </w:r>
      <w:r w:rsidR="00E2182D" w:rsidRPr="00CF5225">
        <w:rPr>
          <w:rFonts w:cstheme="minorHAnsi"/>
        </w:rPr>
        <w:t xml:space="preserve">must </w:t>
      </w:r>
      <w:r w:rsidR="004F3DF5">
        <w:rPr>
          <w:rFonts w:cstheme="minorHAnsi"/>
        </w:rPr>
        <w:t xml:space="preserve">already </w:t>
      </w:r>
      <w:r w:rsidR="00E2182D" w:rsidRPr="00CF5225">
        <w:rPr>
          <w:rFonts w:cstheme="minorHAnsi"/>
        </w:rPr>
        <w:t xml:space="preserve">be a syntactic object, and the reasoning in it must be </w:t>
      </w:r>
      <w:r w:rsidR="008061F6" w:rsidRPr="00CF5225">
        <w:rPr>
          <w:rFonts w:cstheme="minorHAnsi"/>
        </w:rPr>
        <w:t xml:space="preserve">the application of </w:t>
      </w:r>
      <w:r w:rsidR="004C039B" w:rsidRPr="00CF5225">
        <w:rPr>
          <w:rFonts w:cstheme="minorHAnsi"/>
        </w:rPr>
        <w:t xml:space="preserve">wholly general syntactic rules.  </w:t>
      </w:r>
      <w:r w:rsidR="001919E0" w:rsidRPr="00CF5225">
        <w:rPr>
          <w:rFonts w:cstheme="minorHAnsi"/>
        </w:rPr>
        <w:t>It is, of course, possible to conceive of it thus</w:t>
      </w:r>
      <w:r w:rsidR="00360D6F" w:rsidRPr="00CF5225">
        <w:rPr>
          <w:rFonts w:cstheme="minorHAnsi"/>
        </w:rPr>
        <w:t xml:space="preserve">, but in doing so, we would be re-reading it in order to </w:t>
      </w:r>
      <w:r w:rsidR="007F6623" w:rsidRPr="00CF5225">
        <w:rPr>
          <w:rFonts w:cstheme="minorHAnsi"/>
        </w:rPr>
        <w:t xml:space="preserve">save </w:t>
      </w:r>
      <w:r w:rsidR="00360D6F" w:rsidRPr="00CF5225">
        <w:rPr>
          <w:rFonts w:cstheme="minorHAnsi"/>
        </w:rPr>
        <w:t xml:space="preserve">a philosophical theory </w:t>
      </w:r>
      <w:r w:rsidR="007F6623" w:rsidRPr="00CF5225">
        <w:rPr>
          <w:rFonts w:cstheme="minorHAnsi"/>
        </w:rPr>
        <w:t>from refutation</w:t>
      </w:r>
      <w:r w:rsidR="001919E0" w:rsidRPr="00CF5225">
        <w:rPr>
          <w:rFonts w:cstheme="minorHAnsi"/>
        </w:rPr>
        <w:t xml:space="preserve">.  </w:t>
      </w:r>
      <w:r w:rsidR="007F6623" w:rsidRPr="00CF5225">
        <w:rPr>
          <w:rFonts w:cstheme="minorHAnsi"/>
        </w:rPr>
        <w:t xml:space="preserve">Alternatively, we could take it to be what it seems to be, namely, a piece of </w:t>
      </w:r>
      <w:r w:rsidR="008507A2" w:rsidRPr="00CF5225">
        <w:rPr>
          <w:rFonts w:cstheme="minorHAnsi"/>
        </w:rPr>
        <w:t xml:space="preserve">spatial reasoning that works not by manipulating </w:t>
      </w:r>
      <w:r w:rsidR="004A03E9" w:rsidRPr="00CF5225">
        <w:rPr>
          <w:rFonts w:cstheme="minorHAnsi"/>
        </w:rPr>
        <w:t xml:space="preserve">meaningless </w:t>
      </w:r>
      <w:r w:rsidR="00F17059">
        <w:rPr>
          <w:rFonts w:cstheme="minorHAnsi"/>
        </w:rPr>
        <w:t>symbol strings</w:t>
      </w:r>
      <w:r w:rsidR="004A03E9" w:rsidRPr="00CF5225">
        <w:rPr>
          <w:rFonts w:cstheme="minorHAnsi"/>
        </w:rPr>
        <w:t xml:space="preserve"> </w:t>
      </w:r>
      <w:r w:rsidR="00426636" w:rsidRPr="00CF5225">
        <w:rPr>
          <w:rFonts w:cstheme="minorHAnsi"/>
        </w:rPr>
        <w:t xml:space="preserve">but rather by manipulating imagined potato surfaces.  </w:t>
      </w:r>
    </w:p>
    <w:p w14:paraId="1B940A58" w14:textId="167B9FD5" w:rsidR="00B4509D" w:rsidRDefault="00E466B3" w:rsidP="00070D76">
      <w:pPr>
        <w:autoSpaceDE w:val="0"/>
        <w:autoSpaceDN w:val="0"/>
        <w:adjustRightInd w:val="0"/>
      </w:pPr>
      <w:r w:rsidRPr="00CF5225">
        <w:rPr>
          <w:rFonts w:cstheme="minorHAnsi"/>
        </w:rPr>
        <w:t xml:space="preserve">This brings me to </w:t>
      </w:r>
      <w:r w:rsidR="00BD0CA8">
        <w:rPr>
          <w:rFonts w:cstheme="minorHAnsi"/>
        </w:rPr>
        <w:t>another</w:t>
      </w:r>
      <w:r w:rsidRPr="00CF5225">
        <w:rPr>
          <w:rFonts w:cstheme="minorHAnsi"/>
        </w:rPr>
        <w:t xml:space="preserve"> </w:t>
      </w:r>
      <w:r w:rsidR="00BD0CA8">
        <w:rPr>
          <w:rFonts w:cstheme="minorHAnsi"/>
        </w:rPr>
        <w:t>difficulty</w:t>
      </w:r>
      <w:r w:rsidR="00FA019F" w:rsidRPr="00CF5225">
        <w:rPr>
          <w:rFonts w:cstheme="minorHAnsi"/>
        </w:rPr>
        <w:t xml:space="preserve"> Hamami’s </w:t>
      </w:r>
      <w:r w:rsidR="002E3201">
        <w:rPr>
          <w:rFonts w:cstheme="minorHAnsi"/>
        </w:rPr>
        <w:t xml:space="preserve">computational </w:t>
      </w:r>
      <w:r w:rsidR="00FA019F" w:rsidRPr="00CF5225">
        <w:rPr>
          <w:rFonts w:cstheme="minorHAnsi"/>
        </w:rPr>
        <w:t xml:space="preserve">picture of the translation between informal proof and </w:t>
      </w:r>
      <w:r w:rsidR="00CF5225" w:rsidRPr="00CF5225">
        <w:rPr>
          <w:rFonts w:cstheme="minorHAnsi"/>
        </w:rPr>
        <w:t xml:space="preserve">formal derivation: it </w:t>
      </w:r>
      <w:r w:rsidR="002D7146">
        <w:rPr>
          <w:rFonts w:cstheme="minorHAnsi"/>
        </w:rPr>
        <w:t>u</w:t>
      </w:r>
      <w:r w:rsidR="00CF5225" w:rsidRPr="00CF5225">
        <w:rPr>
          <w:rFonts w:cstheme="minorHAnsi"/>
        </w:rPr>
        <w:t>ndersells the achievement of the foundational programmes</w:t>
      </w:r>
      <w:r w:rsidR="002E3201">
        <w:rPr>
          <w:rFonts w:cstheme="minorHAnsi"/>
        </w:rPr>
        <w:t xml:space="preserve"> in mathematics</w:t>
      </w:r>
      <w:r w:rsidR="00CF5225">
        <w:rPr>
          <w:rFonts w:cstheme="minorHAnsi"/>
        </w:rPr>
        <w:t>.</w:t>
      </w:r>
      <w:r w:rsidR="001940B0">
        <w:rPr>
          <w:rFonts w:cstheme="minorHAnsi"/>
        </w:rPr>
        <w:t xml:space="preserve">  Avigad sometimes wonders aloud</w:t>
      </w:r>
      <w:r w:rsidR="002E3201">
        <w:rPr>
          <w:rStyle w:val="FootnoteReference"/>
          <w:rFonts w:cstheme="minorHAnsi"/>
        </w:rPr>
        <w:footnoteReference w:id="23"/>
      </w:r>
      <w:r w:rsidR="001940B0">
        <w:rPr>
          <w:rFonts w:cstheme="minorHAnsi"/>
        </w:rPr>
        <w:t xml:space="preserve"> why </w:t>
      </w:r>
      <w:r w:rsidR="00CB09F1">
        <w:rPr>
          <w:rFonts w:cstheme="minorHAnsi"/>
        </w:rPr>
        <w:t xml:space="preserve">critics of the Standard View seem to want </w:t>
      </w:r>
      <w:r w:rsidR="00CB09F1">
        <w:rPr>
          <w:rFonts w:cstheme="minorHAnsi"/>
        </w:rPr>
        <w:lastRenderedPageBreak/>
        <w:t xml:space="preserve">to disregard the great advances in rigour achieved by twentieth-century mathematics.  </w:t>
      </w:r>
      <w:r w:rsidR="00365F03">
        <w:rPr>
          <w:rFonts w:cstheme="minorHAnsi"/>
        </w:rPr>
        <w:t xml:space="preserve">It is </w:t>
      </w:r>
      <w:r w:rsidR="00527F33">
        <w:rPr>
          <w:rFonts w:cstheme="minorHAnsi"/>
        </w:rPr>
        <w:t>wonderful</w:t>
      </w:r>
      <w:r w:rsidR="00365F03">
        <w:rPr>
          <w:rFonts w:cstheme="minorHAnsi"/>
        </w:rPr>
        <w:t xml:space="preserve"> that </w:t>
      </w:r>
      <w:r w:rsidR="00F02AC0">
        <w:rPr>
          <w:rFonts w:cstheme="minorHAnsi"/>
        </w:rPr>
        <w:t xml:space="preserve">it is </w:t>
      </w:r>
      <w:r w:rsidR="00E94A39">
        <w:rPr>
          <w:rFonts w:cstheme="minorHAnsi"/>
        </w:rPr>
        <w:t xml:space="preserve">now </w:t>
      </w:r>
      <w:r w:rsidR="00F02AC0">
        <w:rPr>
          <w:rFonts w:cstheme="minorHAnsi"/>
        </w:rPr>
        <w:t xml:space="preserve">possible in principle to check any piece of mathematical reasoning mechanically, that </w:t>
      </w:r>
      <w:r w:rsidR="00FC22BA">
        <w:rPr>
          <w:rFonts w:cstheme="minorHAnsi"/>
        </w:rPr>
        <w:t>mathematicians can pursue piecemeal formalisation as far as they need to in any given case</w:t>
      </w:r>
      <w:r w:rsidR="00130BA0">
        <w:rPr>
          <w:rFonts w:cstheme="minorHAnsi"/>
        </w:rPr>
        <w:t xml:space="preserve">, and that there is a growing library of fully formal proofs of </w:t>
      </w:r>
      <w:r w:rsidR="006D5E46">
        <w:rPr>
          <w:rFonts w:cstheme="minorHAnsi"/>
        </w:rPr>
        <w:t>significant theorems.</w:t>
      </w:r>
      <w:r w:rsidR="00E054C5">
        <w:rPr>
          <w:rStyle w:val="FootnoteReference"/>
          <w:rFonts w:cstheme="minorHAnsi"/>
        </w:rPr>
        <w:footnoteReference w:id="24"/>
      </w:r>
      <w:r w:rsidR="006D5E46">
        <w:rPr>
          <w:rFonts w:cstheme="minorHAnsi"/>
        </w:rPr>
        <w:t xml:space="preserve">  However, if we think of mathematics as carried out by humans as </w:t>
      </w:r>
      <w:r w:rsidR="00203AB4">
        <w:rPr>
          <w:rFonts w:cstheme="minorHAnsi"/>
        </w:rPr>
        <w:t xml:space="preserve">syntactic processing, as the data-compression and </w:t>
      </w:r>
      <w:r w:rsidR="002774AF">
        <w:rPr>
          <w:rFonts w:cstheme="minorHAnsi"/>
        </w:rPr>
        <w:t xml:space="preserve">code-compilation metaphors require, then this becomes less of </w:t>
      </w:r>
      <w:r w:rsidR="00BA0042">
        <w:rPr>
          <w:rFonts w:cstheme="minorHAnsi"/>
        </w:rPr>
        <w:t xml:space="preserve">an achievement.  </w:t>
      </w:r>
      <w:r w:rsidR="00172757">
        <w:rPr>
          <w:rFonts w:cstheme="minorHAnsi"/>
        </w:rPr>
        <w:t xml:space="preserve">If all mathematical thinking is and always was </w:t>
      </w:r>
      <w:r w:rsidR="00B37BA8">
        <w:rPr>
          <w:rFonts w:cstheme="minorHAnsi"/>
        </w:rPr>
        <w:t xml:space="preserve">syntactic processing, then the great foundational programmes did nothing more than set up the compilation tables.  </w:t>
      </w:r>
      <w:r w:rsidR="00BA0042">
        <w:rPr>
          <w:rFonts w:cstheme="minorHAnsi"/>
        </w:rPr>
        <w:t xml:space="preserve">The real wonder, the deeply significant achievement, is that </w:t>
      </w:r>
      <w:r w:rsidR="004C3368">
        <w:rPr>
          <w:rFonts w:cstheme="minorHAnsi"/>
        </w:rPr>
        <w:t xml:space="preserve">it is </w:t>
      </w:r>
      <w:r w:rsidR="001B7590">
        <w:rPr>
          <w:rFonts w:cstheme="minorHAnsi"/>
        </w:rPr>
        <w:t xml:space="preserve">now </w:t>
      </w:r>
      <w:r w:rsidR="004C3368">
        <w:rPr>
          <w:rFonts w:cstheme="minorHAnsi"/>
        </w:rPr>
        <w:t>possible, with enough work, to check even the most richly human mathematics by machine.  It</w:t>
      </w:r>
      <w:r w:rsidR="00EB2901">
        <w:rPr>
          <w:rFonts w:cstheme="minorHAnsi"/>
        </w:rPr>
        <w:t xml:space="preserve"> i</w:t>
      </w:r>
      <w:r w:rsidR="004C3368">
        <w:rPr>
          <w:rFonts w:cstheme="minorHAnsi"/>
        </w:rPr>
        <w:t xml:space="preserve">s as if we could </w:t>
      </w:r>
      <w:r w:rsidR="00EE7A24">
        <w:rPr>
          <w:rFonts w:cstheme="minorHAnsi"/>
        </w:rPr>
        <w:t xml:space="preserve">judge the </w:t>
      </w:r>
      <w:r w:rsidR="001879EF">
        <w:rPr>
          <w:rFonts w:cstheme="minorHAnsi"/>
        </w:rPr>
        <w:t xml:space="preserve">coherence of the plot of a novel by </w:t>
      </w:r>
      <w:r w:rsidR="007B53DC">
        <w:rPr>
          <w:rFonts w:cstheme="minorHAnsi"/>
        </w:rPr>
        <w:t>asking</w:t>
      </w:r>
      <w:r w:rsidR="001879EF">
        <w:rPr>
          <w:rFonts w:cstheme="minorHAnsi"/>
        </w:rPr>
        <w:t xml:space="preserve"> a computer to count the </w:t>
      </w:r>
      <w:r w:rsidR="0079223C">
        <w:rPr>
          <w:rFonts w:cstheme="minorHAnsi"/>
        </w:rPr>
        <w:t xml:space="preserve">‘p’s in the manuscript.  </w:t>
      </w:r>
      <w:r w:rsidR="002C5705">
        <w:rPr>
          <w:rFonts w:cstheme="minorHAnsi"/>
        </w:rPr>
        <w:t>Hamami’s view of translation under</w:t>
      </w:r>
      <w:r w:rsidR="008A27AE">
        <w:rPr>
          <w:rFonts w:cstheme="minorHAnsi"/>
        </w:rPr>
        <w:t>values this achievement</w:t>
      </w:r>
      <w:r w:rsidR="00212345">
        <w:rPr>
          <w:rFonts w:cstheme="minorHAnsi"/>
        </w:rPr>
        <w:t xml:space="preserve"> and misdescribes the work involved in preparing a proof for mechanical checking</w:t>
      </w:r>
      <w:r w:rsidR="008A27AE">
        <w:rPr>
          <w:rFonts w:cstheme="minorHAnsi"/>
        </w:rPr>
        <w:t xml:space="preserve">.  </w:t>
      </w:r>
      <w:r w:rsidR="0086229D">
        <w:rPr>
          <w:rFonts w:cstheme="minorHAnsi"/>
        </w:rPr>
        <w:t xml:space="preserve">In </w:t>
      </w:r>
      <w:r w:rsidR="008A27AE">
        <w:rPr>
          <w:rFonts w:cstheme="minorHAnsi"/>
        </w:rPr>
        <w:t xml:space="preserve">Avigad’s </w:t>
      </w:r>
      <w:r w:rsidR="0086229D">
        <w:rPr>
          <w:rFonts w:cstheme="minorHAnsi"/>
        </w:rPr>
        <w:t xml:space="preserve">paper, there is already a </w:t>
      </w:r>
      <w:r w:rsidR="003B3D2F">
        <w:rPr>
          <w:rFonts w:cstheme="minorHAnsi"/>
        </w:rPr>
        <w:t>hint</w:t>
      </w:r>
      <w:r w:rsidR="0086229D">
        <w:rPr>
          <w:rFonts w:cstheme="minorHAnsi"/>
        </w:rPr>
        <w:t xml:space="preserve"> </w:t>
      </w:r>
      <w:r w:rsidR="003B3D2F">
        <w:rPr>
          <w:rFonts w:cstheme="minorHAnsi"/>
        </w:rPr>
        <w:t xml:space="preserve">about </w:t>
      </w:r>
      <w:r w:rsidR="0086229D">
        <w:rPr>
          <w:rFonts w:cstheme="minorHAnsi"/>
        </w:rPr>
        <w:t xml:space="preserve">how </w:t>
      </w:r>
      <w:r w:rsidR="003B3D2F">
        <w:rPr>
          <w:rFonts w:cstheme="minorHAnsi"/>
        </w:rPr>
        <w:t>the formalisation of meaningful human mathematics</w:t>
      </w:r>
      <w:r w:rsidR="0086229D">
        <w:rPr>
          <w:rFonts w:cstheme="minorHAnsi"/>
        </w:rPr>
        <w:t xml:space="preserve"> is possible: </w:t>
      </w:r>
      <w:r w:rsidR="00242198">
        <w:rPr>
          <w:rFonts w:cstheme="minorHAnsi"/>
        </w:rPr>
        <w:t xml:space="preserve">many of the </w:t>
      </w:r>
      <w:r w:rsidR="003850B9">
        <w:rPr>
          <w:rFonts w:cstheme="minorHAnsi"/>
        </w:rPr>
        <w:t xml:space="preserve">heuristics </w:t>
      </w:r>
      <w:r w:rsidR="00386932">
        <w:rPr>
          <w:rFonts w:cstheme="minorHAnsi"/>
        </w:rPr>
        <w:t xml:space="preserve">described in the observational core of Avigad’s paper simultaneously support the rigour of the informal proof </w:t>
      </w:r>
      <w:r w:rsidR="00386932">
        <w:rPr>
          <w:rFonts w:cstheme="minorHAnsi"/>
          <w:i/>
          <w:iCs/>
        </w:rPr>
        <w:t>and</w:t>
      </w:r>
      <w:r w:rsidR="00386932">
        <w:t xml:space="preserve"> prepare it for </w:t>
      </w:r>
      <w:r w:rsidR="00F71E3C">
        <w:t xml:space="preserve">translation into </w:t>
      </w:r>
      <w:r w:rsidR="00E32478">
        <w:t xml:space="preserve">a more formal idiom.  </w:t>
      </w:r>
      <w:r w:rsidR="00431DBC">
        <w:t xml:space="preserve">Following this clue may help us to understand </w:t>
      </w:r>
      <w:r w:rsidR="00713D7F">
        <w:t xml:space="preserve">how </w:t>
      </w:r>
      <w:r w:rsidR="006F72A6">
        <w:t xml:space="preserve">machine </w:t>
      </w:r>
      <w:r w:rsidR="00713D7F">
        <w:t xml:space="preserve">proof assistants are useful to mathematicians, but only if we resist </w:t>
      </w:r>
      <w:r w:rsidR="0035466A">
        <w:t>any</w:t>
      </w:r>
      <w:r w:rsidR="00713D7F">
        <w:t xml:space="preserve"> temptation to </w:t>
      </w:r>
      <w:r w:rsidR="00CB2D9D">
        <w:t>begin</w:t>
      </w:r>
      <w:r w:rsidR="00713D7F">
        <w:t xml:space="preserve"> by positing that </w:t>
      </w:r>
      <w:r w:rsidR="00B27B8D">
        <w:t xml:space="preserve">human </w:t>
      </w:r>
      <w:r w:rsidR="00713D7F">
        <w:t xml:space="preserve">mathematicians were </w:t>
      </w:r>
      <w:r w:rsidR="006F72A6">
        <w:t>machines</w:t>
      </w:r>
      <w:r w:rsidR="00713D7F">
        <w:t xml:space="preserve"> all along.  </w:t>
      </w:r>
      <w:r w:rsidR="00F53483">
        <w:t xml:space="preserve"> </w:t>
      </w:r>
    </w:p>
    <w:p w14:paraId="7F08258D" w14:textId="1D7FB1B5" w:rsidR="00D8332C" w:rsidRDefault="00D8332C" w:rsidP="00D8332C">
      <w:pPr>
        <w:pStyle w:val="Heading1"/>
        <w:numPr>
          <w:ilvl w:val="0"/>
          <w:numId w:val="5"/>
        </w:numPr>
      </w:pPr>
      <w:r>
        <w:t xml:space="preserve">Conclusion </w:t>
      </w:r>
    </w:p>
    <w:p w14:paraId="46D138E2" w14:textId="64858CF4" w:rsidR="002819EF" w:rsidRPr="002819EF" w:rsidRDefault="00957F7B" w:rsidP="002819EF">
      <w:r>
        <w:t>I have argued</w:t>
      </w:r>
      <w:r w:rsidR="00AC5DE8">
        <w:t xml:space="preserve"> for two claims in this paper.  The first is that </w:t>
      </w:r>
      <w:r w:rsidR="00246631">
        <w:t xml:space="preserve">the observational core of Avigad </w:t>
      </w:r>
      <w:r w:rsidR="00807A38">
        <w:t xml:space="preserve">(2020) is independent of the Standard View </w:t>
      </w:r>
      <w:r w:rsidR="00FE62E6">
        <w:t xml:space="preserve">that formalisability is the criterion of correctness for mathematical proofs.  </w:t>
      </w:r>
      <w:r w:rsidR="00520341">
        <w:t>In doing so, I disting</w:t>
      </w:r>
      <w:r w:rsidR="002A5891">
        <w:t xml:space="preserve">uished between ‘strong’ versions of the Standard View that </w:t>
      </w:r>
      <w:r w:rsidR="00A46695">
        <w:t xml:space="preserve">claim that sound informal proofs are, in spite of appearances, </w:t>
      </w:r>
      <w:r w:rsidR="00996EDA">
        <w:t xml:space="preserve">really syntactic objects </w:t>
      </w:r>
      <w:r w:rsidR="000B6C3C">
        <w:t xml:space="preserve">and that when mathematicians read them, they’re doing some sort of syntactic processing, and </w:t>
      </w:r>
      <w:r w:rsidR="00CC20F0">
        <w:t>‘</w:t>
      </w:r>
      <w:r w:rsidR="000B6C3C">
        <w:t>weaker’</w:t>
      </w:r>
      <w:r w:rsidR="00CC20F0">
        <w:t xml:space="preserve"> versions that don’t have that commitment.  </w:t>
      </w:r>
      <w:r w:rsidR="00FF2862">
        <w:t>My</w:t>
      </w:r>
      <w:r w:rsidR="000070C4">
        <w:t xml:space="preserve"> second claim </w:t>
      </w:r>
      <w:r w:rsidR="0079309D">
        <w:t xml:space="preserve">is that </w:t>
      </w:r>
      <w:r w:rsidR="005F46F7">
        <w:t xml:space="preserve">Avigad, in his (2020), havers between these </w:t>
      </w:r>
      <w:r w:rsidR="00222B83">
        <w:t>two versions of the Standard View</w:t>
      </w:r>
      <w:r w:rsidR="00D66D25">
        <w:t xml:space="preserve">.  He is not alone in this—the tension between these two options </w:t>
      </w:r>
      <w:r w:rsidR="00190916">
        <w:t xml:space="preserve">is </w:t>
      </w:r>
      <w:r w:rsidR="00551E49">
        <w:t xml:space="preserve">present in the </w:t>
      </w:r>
      <w:r w:rsidR="00432FCD">
        <w:t xml:space="preserve">debate from Mac Lane onwards.  For the discussion to advance, proponents of the </w:t>
      </w:r>
      <w:r w:rsidR="007C58BA">
        <w:t xml:space="preserve">Standard View need to specify which version they </w:t>
      </w:r>
      <w:r w:rsidR="006B65B8">
        <w:t xml:space="preserve">endorse.  </w:t>
      </w:r>
    </w:p>
    <w:p w14:paraId="33616BD0" w14:textId="4B5FF920" w:rsidR="00653040" w:rsidRPr="00A9716C" w:rsidRDefault="0001634E" w:rsidP="0001634E">
      <w:pPr>
        <w:pStyle w:val="Heading1"/>
      </w:pPr>
      <w:r>
        <w:t>References</w:t>
      </w:r>
    </w:p>
    <w:p w14:paraId="0D8C019D" w14:textId="3A1F8476" w:rsidR="000E4135" w:rsidRPr="00554302" w:rsidRDefault="000E4135" w:rsidP="00554302">
      <w:pPr>
        <w:spacing w:after="120" w:line="240" w:lineRule="auto"/>
        <w:ind w:left="720" w:hanging="720"/>
        <w:rPr>
          <w:rFonts w:cstheme="minorHAnsi"/>
          <w:i/>
          <w:iCs/>
          <w:color w:val="333333"/>
          <w:shd w:val="clear" w:color="auto" w:fill="FCFCFC"/>
        </w:rPr>
      </w:pPr>
      <w:r w:rsidRPr="00554302">
        <w:rPr>
          <w:rFonts w:cstheme="minorHAnsi"/>
          <w:color w:val="333333"/>
          <w:shd w:val="clear" w:color="auto" w:fill="FCFCFC"/>
        </w:rPr>
        <w:t>Avigad, J</w:t>
      </w:r>
      <w:r w:rsidR="007D49BE" w:rsidRPr="00554302">
        <w:rPr>
          <w:rFonts w:cstheme="minorHAnsi"/>
          <w:color w:val="333333"/>
          <w:shd w:val="clear" w:color="auto" w:fill="FCFCFC"/>
        </w:rPr>
        <w:t>eremy</w:t>
      </w:r>
      <w:r w:rsidRPr="00554302">
        <w:rPr>
          <w:rFonts w:cstheme="minorHAnsi"/>
          <w:color w:val="333333"/>
          <w:shd w:val="clear" w:color="auto" w:fill="FCFCFC"/>
        </w:rPr>
        <w:t xml:space="preserve"> </w:t>
      </w:r>
      <w:r w:rsidR="005A7784" w:rsidRPr="00554302">
        <w:rPr>
          <w:rFonts w:cstheme="minorHAnsi"/>
          <w:color w:val="333333"/>
          <w:shd w:val="clear" w:color="auto" w:fill="FCFCFC"/>
        </w:rPr>
        <w:t xml:space="preserve">(2020) </w:t>
      </w:r>
      <w:r w:rsidRPr="00554302">
        <w:rPr>
          <w:rFonts w:cstheme="minorHAnsi"/>
          <w:color w:val="333333"/>
          <w:shd w:val="clear" w:color="auto" w:fill="FCFCFC"/>
        </w:rPr>
        <w:t>Reliability of mathematical</w:t>
      </w:r>
      <w:r w:rsidR="005A7784" w:rsidRPr="00554302">
        <w:rPr>
          <w:rFonts w:cstheme="minorHAnsi"/>
          <w:color w:val="333333"/>
          <w:shd w:val="clear" w:color="auto" w:fill="FCFCFC"/>
        </w:rPr>
        <w:t xml:space="preserve"> i</w:t>
      </w:r>
      <w:r w:rsidRPr="00554302">
        <w:rPr>
          <w:rFonts w:cstheme="minorHAnsi"/>
          <w:color w:val="333333"/>
          <w:shd w:val="clear" w:color="auto" w:fill="FCFCFC"/>
        </w:rPr>
        <w:t>nference. </w:t>
      </w:r>
      <w:r w:rsidRPr="00554302">
        <w:rPr>
          <w:rFonts w:cstheme="minorHAnsi"/>
          <w:i/>
          <w:iCs/>
          <w:color w:val="333333"/>
          <w:shd w:val="clear" w:color="auto" w:fill="FCFCFC"/>
        </w:rPr>
        <w:t>Synthese</w:t>
      </w:r>
      <w:r w:rsidR="005A7784" w:rsidRPr="00554302">
        <w:rPr>
          <w:rFonts w:cstheme="minorHAnsi"/>
          <w:color w:val="333333"/>
          <w:shd w:val="clear" w:color="auto" w:fill="FCFCFC"/>
        </w:rPr>
        <w:t xml:space="preserve"> </w:t>
      </w:r>
      <w:hyperlink r:id="rId11" w:history="1">
        <w:r w:rsidRPr="00554302">
          <w:rPr>
            <w:rStyle w:val="Hyperlink"/>
            <w:rFonts w:cstheme="minorHAnsi"/>
            <w:shd w:val="clear" w:color="auto" w:fill="FCFCFC"/>
          </w:rPr>
          <w:t>https://doi.org/10.1007/s11229-019-02524-y</w:t>
        </w:r>
      </w:hyperlink>
    </w:p>
    <w:p w14:paraId="7EF3E9B8" w14:textId="0748BDD9" w:rsidR="00A56135" w:rsidRPr="00554302" w:rsidRDefault="00A56135" w:rsidP="00554302">
      <w:pPr>
        <w:autoSpaceDE w:val="0"/>
        <w:autoSpaceDN w:val="0"/>
        <w:adjustRightInd w:val="0"/>
        <w:spacing w:after="120" w:line="240" w:lineRule="auto"/>
        <w:ind w:left="720" w:hanging="720"/>
        <w:rPr>
          <w:rFonts w:cstheme="minorHAnsi"/>
        </w:rPr>
      </w:pPr>
      <w:r w:rsidRPr="00554302">
        <w:rPr>
          <w:rFonts w:cstheme="minorHAnsi"/>
        </w:rPr>
        <w:t>Azzouni</w:t>
      </w:r>
      <w:r w:rsidR="006810B8" w:rsidRPr="00554302">
        <w:rPr>
          <w:rFonts w:cstheme="minorHAnsi"/>
        </w:rPr>
        <w:t>,</w:t>
      </w:r>
      <w:r w:rsidRPr="00554302">
        <w:rPr>
          <w:rFonts w:cstheme="minorHAnsi"/>
        </w:rPr>
        <w:t xml:space="preserve"> </w:t>
      </w:r>
      <w:r w:rsidR="006810B8" w:rsidRPr="00554302">
        <w:rPr>
          <w:rFonts w:cstheme="minorHAnsi"/>
        </w:rPr>
        <w:t xml:space="preserve">Jody (2004) </w:t>
      </w:r>
      <w:r w:rsidRPr="00554302">
        <w:rPr>
          <w:rFonts w:cstheme="minorHAnsi"/>
        </w:rPr>
        <w:t xml:space="preserve">The derivation-indicator view of mathematical practice. </w:t>
      </w:r>
      <w:r w:rsidRPr="00554302">
        <w:rPr>
          <w:rFonts w:cstheme="minorHAnsi"/>
          <w:i/>
          <w:iCs/>
        </w:rPr>
        <w:t>Philosophia</w:t>
      </w:r>
      <w:r w:rsidR="00831A00" w:rsidRPr="00554302">
        <w:rPr>
          <w:rFonts w:cstheme="minorHAnsi"/>
          <w:i/>
          <w:iCs/>
        </w:rPr>
        <w:t xml:space="preserve"> </w:t>
      </w:r>
      <w:r w:rsidRPr="00554302">
        <w:rPr>
          <w:rFonts w:cstheme="minorHAnsi"/>
          <w:i/>
          <w:iCs/>
        </w:rPr>
        <w:t>Mathematica</w:t>
      </w:r>
      <w:r w:rsidRPr="00554302">
        <w:rPr>
          <w:rFonts w:cstheme="minorHAnsi"/>
        </w:rPr>
        <w:t>, 12(3):81–105.</w:t>
      </w:r>
    </w:p>
    <w:p w14:paraId="5AEB39D6" w14:textId="1281DC89" w:rsidR="00B72FCB" w:rsidRPr="00554302" w:rsidRDefault="00D17771" w:rsidP="00554302">
      <w:pPr>
        <w:spacing w:after="120" w:line="240" w:lineRule="auto"/>
        <w:ind w:left="720" w:hanging="720"/>
        <w:rPr>
          <w:rFonts w:cstheme="minorHAnsi"/>
        </w:rPr>
      </w:pPr>
      <w:r w:rsidRPr="00554302">
        <w:rPr>
          <w:rFonts w:cstheme="minorHAnsi"/>
        </w:rPr>
        <w:t>Azzouni</w:t>
      </w:r>
      <w:r w:rsidR="006810B8" w:rsidRPr="00554302">
        <w:rPr>
          <w:rFonts w:cstheme="minorHAnsi"/>
        </w:rPr>
        <w:t>,</w:t>
      </w:r>
      <w:r w:rsidRPr="00554302">
        <w:rPr>
          <w:rFonts w:cstheme="minorHAnsi"/>
        </w:rPr>
        <w:t xml:space="preserve"> J</w:t>
      </w:r>
      <w:r w:rsidR="007D49BE" w:rsidRPr="00554302">
        <w:rPr>
          <w:rFonts w:cstheme="minorHAnsi"/>
        </w:rPr>
        <w:t>ody</w:t>
      </w:r>
      <w:r w:rsidRPr="00554302">
        <w:rPr>
          <w:rFonts w:cstheme="minorHAnsi"/>
        </w:rPr>
        <w:t xml:space="preserve"> </w:t>
      </w:r>
      <w:r w:rsidR="00894067" w:rsidRPr="00554302">
        <w:rPr>
          <w:rFonts w:cstheme="minorHAnsi"/>
        </w:rPr>
        <w:t>(</w:t>
      </w:r>
      <w:r w:rsidR="006D5958" w:rsidRPr="00554302">
        <w:rPr>
          <w:rFonts w:cstheme="minorHAnsi"/>
        </w:rPr>
        <w:t>2009</w:t>
      </w:r>
      <w:r w:rsidR="00894067" w:rsidRPr="00554302">
        <w:rPr>
          <w:rFonts w:cstheme="minorHAnsi"/>
        </w:rPr>
        <w:t>)</w:t>
      </w:r>
      <w:r w:rsidR="006D5958" w:rsidRPr="00554302">
        <w:rPr>
          <w:rFonts w:cstheme="minorHAnsi"/>
        </w:rPr>
        <w:t xml:space="preserve"> </w:t>
      </w:r>
      <w:r w:rsidRPr="00554302">
        <w:rPr>
          <w:rFonts w:cstheme="minorHAnsi"/>
        </w:rPr>
        <w:t xml:space="preserve">Why do informal proofs conform to formal norms? </w:t>
      </w:r>
      <w:r w:rsidRPr="00554302">
        <w:rPr>
          <w:rFonts w:cstheme="minorHAnsi"/>
          <w:i/>
          <w:iCs/>
        </w:rPr>
        <w:t>Foundations of Science</w:t>
      </w:r>
      <w:r w:rsidRPr="00554302">
        <w:rPr>
          <w:rFonts w:cstheme="minorHAnsi"/>
        </w:rPr>
        <w:t>, 14(1</w:t>
      </w:r>
      <w:r w:rsidR="006D5958" w:rsidRPr="00554302">
        <w:rPr>
          <w:rFonts w:cstheme="minorHAnsi"/>
        </w:rPr>
        <w:noBreakHyphen/>
      </w:r>
      <w:r w:rsidRPr="00554302">
        <w:rPr>
          <w:rFonts w:cstheme="minorHAnsi"/>
        </w:rPr>
        <w:t>2):9–26.</w:t>
      </w:r>
    </w:p>
    <w:p w14:paraId="1AF630B0" w14:textId="7AC5A763" w:rsidR="008E36EB" w:rsidRPr="00554302" w:rsidRDefault="008E36EB" w:rsidP="00554302">
      <w:pPr>
        <w:spacing w:after="120" w:line="240" w:lineRule="auto"/>
        <w:ind w:left="720" w:hanging="720"/>
        <w:rPr>
          <w:rFonts w:cstheme="minorHAnsi"/>
        </w:rPr>
      </w:pPr>
      <w:r w:rsidRPr="00554302">
        <w:rPr>
          <w:rFonts w:cstheme="minorHAnsi"/>
          <w:color w:val="222222"/>
          <w:shd w:val="clear" w:color="auto" w:fill="FFFFFF"/>
        </w:rPr>
        <w:t>Azzouni, J. (2017). Does reason evolve?(Does the reasoning in mathematics evolve?). In </w:t>
      </w:r>
      <w:r w:rsidRPr="00554302">
        <w:rPr>
          <w:rFonts w:cstheme="minorHAnsi"/>
          <w:i/>
          <w:iCs/>
          <w:color w:val="222222"/>
          <w:shd w:val="clear" w:color="auto" w:fill="FFFFFF"/>
        </w:rPr>
        <w:t>Humanizing mathematics and its philosophy</w:t>
      </w:r>
      <w:r w:rsidRPr="00554302">
        <w:rPr>
          <w:rFonts w:cstheme="minorHAnsi"/>
          <w:color w:val="222222"/>
          <w:shd w:val="clear" w:color="auto" w:fill="FFFFFF"/>
        </w:rPr>
        <w:t> (pp. 253-289). Birkhäuser, Cham.</w:t>
      </w:r>
    </w:p>
    <w:p w14:paraId="66A309FA" w14:textId="70ADF28A" w:rsidR="00222D82" w:rsidRPr="00554302" w:rsidRDefault="00222D82" w:rsidP="00554302">
      <w:pPr>
        <w:spacing w:after="120" w:line="240" w:lineRule="auto"/>
        <w:ind w:left="720" w:hanging="720"/>
        <w:rPr>
          <w:rFonts w:cstheme="minorHAnsi"/>
        </w:rPr>
      </w:pPr>
      <w:r w:rsidRPr="00554302">
        <w:rPr>
          <w:rFonts w:cstheme="minorHAnsi"/>
          <w:color w:val="222222"/>
          <w:shd w:val="clear" w:color="auto" w:fill="FFFFFF"/>
        </w:rPr>
        <w:t>Bourbaki, N. (1949). Foundations of mathematics for the working mathematician. </w:t>
      </w:r>
      <w:r w:rsidRPr="00554302">
        <w:rPr>
          <w:rFonts w:cstheme="minorHAnsi"/>
          <w:i/>
          <w:iCs/>
          <w:color w:val="222222"/>
          <w:shd w:val="clear" w:color="auto" w:fill="FFFFFF"/>
        </w:rPr>
        <w:t>The Journal of Symbolic Logic</w:t>
      </w:r>
      <w:r w:rsidRPr="00554302">
        <w:rPr>
          <w:rFonts w:cstheme="minorHAnsi"/>
          <w:color w:val="222222"/>
          <w:shd w:val="clear" w:color="auto" w:fill="FFFFFF"/>
        </w:rPr>
        <w:t> , </w:t>
      </w:r>
      <w:r w:rsidRPr="00554302">
        <w:rPr>
          <w:rFonts w:cstheme="minorHAnsi"/>
          <w:i/>
          <w:iCs/>
          <w:color w:val="222222"/>
          <w:shd w:val="clear" w:color="auto" w:fill="FFFFFF"/>
        </w:rPr>
        <w:t>14</w:t>
      </w:r>
      <w:r w:rsidRPr="00554302">
        <w:rPr>
          <w:rFonts w:cstheme="minorHAnsi"/>
          <w:color w:val="222222"/>
          <w:shd w:val="clear" w:color="auto" w:fill="FFFFFF"/>
        </w:rPr>
        <w:t> (1), 1-8.</w:t>
      </w:r>
    </w:p>
    <w:p w14:paraId="192F5E86" w14:textId="54E22539" w:rsidR="00666F2C" w:rsidRPr="00554302" w:rsidRDefault="00666F2C" w:rsidP="00554302">
      <w:pPr>
        <w:spacing w:after="120" w:line="240" w:lineRule="auto"/>
        <w:ind w:left="720" w:hanging="720"/>
        <w:rPr>
          <w:rFonts w:cstheme="minorHAnsi"/>
        </w:rPr>
      </w:pPr>
      <w:r w:rsidRPr="00554302">
        <w:rPr>
          <w:rFonts w:cstheme="minorHAnsi"/>
          <w:color w:val="222222"/>
          <w:shd w:val="clear" w:color="auto" w:fill="FFFFFF"/>
        </w:rPr>
        <w:t>Brouwer, L. E. J. (1913). Intuitionism and formalism. </w:t>
      </w:r>
      <w:r w:rsidRPr="00554302">
        <w:rPr>
          <w:rFonts w:cstheme="minorHAnsi"/>
          <w:i/>
          <w:iCs/>
          <w:color w:val="222222"/>
          <w:shd w:val="clear" w:color="auto" w:fill="FFFFFF"/>
        </w:rPr>
        <w:t>Bulletin of the American Mathematical Society</w:t>
      </w:r>
      <w:r w:rsidRPr="00554302">
        <w:rPr>
          <w:rFonts w:cstheme="minorHAnsi"/>
          <w:color w:val="222222"/>
          <w:shd w:val="clear" w:color="auto" w:fill="FFFFFF"/>
        </w:rPr>
        <w:t>, </w:t>
      </w:r>
      <w:r w:rsidRPr="00554302">
        <w:rPr>
          <w:rFonts w:cstheme="minorHAnsi"/>
          <w:i/>
          <w:iCs/>
          <w:color w:val="222222"/>
          <w:shd w:val="clear" w:color="auto" w:fill="FFFFFF"/>
        </w:rPr>
        <w:t>20</w:t>
      </w:r>
      <w:r w:rsidRPr="00554302">
        <w:rPr>
          <w:rFonts w:cstheme="minorHAnsi"/>
          <w:color w:val="222222"/>
          <w:shd w:val="clear" w:color="auto" w:fill="FFFFFF"/>
        </w:rPr>
        <w:t>(2), 81-96.</w:t>
      </w:r>
    </w:p>
    <w:p w14:paraId="535AF112" w14:textId="7F999E9D" w:rsidR="00FF597D" w:rsidRPr="00D64B76" w:rsidRDefault="00FF597D" w:rsidP="00D64B76">
      <w:pPr>
        <w:pStyle w:val="Heading2"/>
        <w:shd w:val="clear" w:color="auto" w:fill="FFFFFF"/>
        <w:spacing w:before="0" w:after="120" w:line="240" w:lineRule="auto"/>
        <w:ind w:left="720" w:hanging="720"/>
        <w:textAlignment w:val="baseline"/>
        <w:rPr>
          <w:rFonts w:asciiTheme="minorHAnsi" w:hAnsiTheme="minorHAnsi" w:cstheme="minorHAnsi"/>
          <w:color w:val="auto"/>
          <w:sz w:val="22"/>
          <w:szCs w:val="22"/>
        </w:rPr>
      </w:pPr>
      <w:r w:rsidRPr="00D64B76">
        <w:rPr>
          <w:rFonts w:asciiTheme="minorHAnsi" w:hAnsiTheme="minorHAnsi" w:cstheme="minorHAnsi"/>
          <w:color w:val="auto"/>
          <w:sz w:val="22"/>
          <w:szCs w:val="22"/>
        </w:rPr>
        <w:lastRenderedPageBreak/>
        <w:t xml:space="preserve">Buzzard, Kevin </w:t>
      </w:r>
      <w:r w:rsidR="00894067" w:rsidRPr="00D64B76">
        <w:rPr>
          <w:rFonts w:asciiTheme="minorHAnsi" w:hAnsiTheme="minorHAnsi" w:cstheme="minorHAnsi"/>
          <w:color w:val="auto"/>
          <w:sz w:val="22"/>
          <w:szCs w:val="22"/>
        </w:rPr>
        <w:t>(</w:t>
      </w:r>
      <w:r w:rsidRPr="00D64B76">
        <w:rPr>
          <w:rFonts w:asciiTheme="minorHAnsi" w:hAnsiTheme="minorHAnsi" w:cstheme="minorHAnsi"/>
          <w:color w:val="auto"/>
          <w:sz w:val="22"/>
          <w:szCs w:val="22"/>
        </w:rPr>
        <w:t>2020</w:t>
      </w:r>
      <w:r w:rsidR="00894067" w:rsidRPr="00D64B76">
        <w:rPr>
          <w:rFonts w:asciiTheme="minorHAnsi" w:hAnsiTheme="minorHAnsi" w:cstheme="minorHAnsi"/>
          <w:color w:val="auto"/>
          <w:sz w:val="22"/>
          <w:szCs w:val="22"/>
        </w:rPr>
        <w:t>)</w:t>
      </w:r>
      <w:r w:rsidRPr="00D64B76">
        <w:rPr>
          <w:rFonts w:asciiTheme="minorHAnsi" w:hAnsiTheme="minorHAnsi" w:cstheme="minorHAnsi"/>
          <w:color w:val="auto"/>
          <w:sz w:val="22"/>
          <w:szCs w:val="22"/>
        </w:rPr>
        <w:t xml:space="preserve"> </w:t>
      </w:r>
      <w:hyperlink r:id="rId12" w:history="1">
        <w:r w:rsidRPr="00D64B76">
          <w:rPr>
            <w:rStyle w:val="Hyperlink"/>
            <w:rFonts w:asciiTheme="minorHAnsi" w:hAnsiTheme="minorHAnsi" w:cstheme="minorHAnsi"/>
            <w:color w:val="auto"/>
            <w:sz w:val="22"/>
            <w:szCs w:val="22"/>
            <w:bdr w:val="none" w:sz="0" w:space="0" w:color="auto" w:frame="1"/>
          </w:rPr>
          <w:t>Two types of universe for two types of mathematician</w:t>
        </w:r>
      </w:hyperlink>
      <w:r w:rsidRPr="00D64B76">
        <w:rPr>
          <w:rFonts w:asciiTheme="minorHAnsi" w:hAnsiTheme="minorHAnsi" w:cstheme="minorHAnsi"/>
          <w:color w:val="auto"/>
          <w:sz w:val="22"/>
          <w:szCs w:val="22"/>
        </w:rPr>
        <w:t xml:space="preserve"> </w:t>
      </w:r>
      <w:r w:rsidR="00452BAE" w:rsidRPr="00D64B76">
        <w:rPr>
          <w:rFonts w:asciiTheme="minorHAnsi" w:hAnsiTheme="minorHAnsi" w:cstheme="minorHAnsi"/>
          <w:color w:val="auto"/>
          <w:sz w:val="22"/>
          <w:szCs w:val="22"/>
        </w:rPr>
        <w:t xml:space="preserve">Entry in blog </w:t>
      </w:r>
      <w:proofErr w:type="spellStart"/>
      <w:r w:rsidR="00452BAE" w:rsidRPr="00D64B76">
        <w:rPr>
          <w:rFonts w:asciiTheme="minorHAnsi" w:hAnsiTheme="minorHAnsi" w:cstheme="minorHAnsi"/>
          <w:i/>
          <w:iCs/>
          <w:color w:val="auto"/>
          <w:sz w:val="22"/>
          <w:szCs w:val="22"/>
        </w:rPr>
        <w:t>Xenaproject</w:t>
      </w:r>
      <w:proofErr w:type="spellEnd"/>
      <w:r w:rsidR="00452BAE" w:rsidRPr="00D64B76">
        <w:rPr>
          <w:rFonts w:asciiTheme="minorHAnsi" w:hAnsiTheme="minorHAnsi" w:cstheme="minorHAnsi"/>
          <w:color w:val="auto"/>
          <w:sz w:val="22"/>
          <w:szCs w:val="22"/>
        </w:rPr>
        <w:t xml:space="preserve">.  </w:t>
      </w:r>
      <w:r w:rsidRPr="00D64B76">
        <w:rPr>
          <w:rStyle w:val="meta-prep"/>
          <w:rFonts w:asciiTheme="minorHAnsi" w:hAnsiTheme="minorHAnsi" w:cstheme="minorHAnsi"/>
          <w:color w:val="auto"/>
          <w:sz w:val="22"/>
          <w:szCs w:val="22"/>
          <w:bdr w:val="none" w:sz="0" w:space="0" w:color="auto" w:frame="1"/>
        </w:rPr>
        <w:t>Posted on</w:t>
      </w:r>
      <w:r w:rsidRPr="00D64B76">
        <w:rPr>
          <w:rFonts w:asciiTheme="minorHAnsi" w:hAnsiTheme="minorHAnsi" w:cstheme="minorHAnsi"/>
          <w:color w:val="auto"/>
          <w:sz w:val="22"/>
          <w:szCs w:val="22"/>
        </w:rPr>
        <w:t> </w:t>
      </w:r>
      <w:hyperlink r:id="rId13" w:tooltip="12:52 pm" w:history="1">
        <w:r w:rsidRPr="00D64B76">
          <w:rPr>
            <w:rStyle w:val="entry-date"/>
            <w:rFonts w:asciiTheme="minorHAnsi" w:hAnsiTheme="minorHAnsi" w:cstheme="minorHAnsi"/>
            <w:color w:val="auto"/>
            <w:sz w:val="22"/>
            <w:szCs w:val="22"/>
            <w:bdr w:val="none" w:sz="0" w:space="0" w:color="auto" w:frame="1"/>
          </w:rPr>
          <w:t>July 23, 2020</w:t>
        </w:r>
      </w:hyperlink>
      <w:r w:rsidRPr="00D64B76">
        <w:rPr>
          <w:rFonts w:asciiTheme="minorHAnsi" w:hAnsiTheme="minorHAnsi" w:cstheme="minorHAnsi"/>
          <w:color w:val="auto"/>
          <w:sz w:val="22"/>
          <w:szCs w:val="22"/>
        </w:rPr>
        <w:t xml:space="preserve">.  </w:t>
      </w:r>
      <w:hyperlink r:id="rId14" w:history="1">
        <w:r w:rsidRPr="00D64B76">
          <w:rPr>
            <w:rStyle w:val="Hyperlink"/>
            <w:rFonts w:asciiTheme="minorHAnsi" w:hAnsiTheme="minorHAnsi" w:cstheme="minorHAnsi"/>
            <w:sz w:val="22"/>
            <w:szCs w:val="22"/>
          </w:rPr>
          <w:t>https://xenaproject.wordpress.com/2020/07/23/two-types-of-universe-for-two-types-of-mathematician/</w:t>
        </w:r>
      </w:hyperlink>
      <w:r w:rsidRPr="00D64B76">
        <w:rPr>
          <w:rFonts w:asciiTheme="minorHAnsi" w:hAnsiTheme="minorHAnsi" w:cstheme="minorHAnsi"/>
          <w:sz w:val="22"/>
          <w:szCs w:val="22"/>
        </w:rPr>
        <w:t xml:space="preserve"> </w:t>
      </w:r>
      <w:r w:rsidRPr="00D64B76">
        <w:rPr>
          <w:rFonts w:asciiTheme="minorHAnsi" w:hAnsiTheme="minorHAnsi" w:cstheme="minorHAnsi"/>
          <w:color w:val="auto"/>
          <w:sz w:val="22"/>
          <w:szCs w:val="22"/>
        </w:rPr>
        <w:t>Accessed: 23/07/2020</w:t>
      </w:r>
    </w:p>
    <w:p w14:paraId="4366F4A8" w14:textId="0F0ED6DF" w:rsidR="00076A62" w:rsidRPr="00D64B76" w:rsidRDefault="00076A62" w:rsidP="00D64B76">
      <w:pPr>
        <w:spacing w:after="120"/>
        <w:ind w:left="720" w:hanging="720"/>
        <w:rPr>
          <w:rFonts w:cstheme="minorHAnsi"/>
        </w:rPr>
      </w:pPr>
      <w:r w:rsidRPr="00D64B76">
        <w:rPr>
          <w:rFonts w:cstheme="minorHAnsi"/>
          <w:color w:val="222222"/>
          <w:shd w:val="clear" w:color="auto" w:fill="FFFFFF"/>
        </w:rPr>
        <w:t xml:space="preserve">Castelvecchi, D. (2021). Mathematicians welcome computer-assisted proof </w:t>
      </w:r>
      <w:r w:rsidRPr="00D64B76">
        <w:rPr>
          <w:rFonts w:cstheme="minorHAnsi"/>
          <w:i/>
          <w:iCs/>
          <w:color w:val="222222"/>
          <w:shd w:val="clear" w:color="auto" w:fill="FFFFFF"/>
        </w:rPr>
        <w:t>Nature</w:t>
      </w:r>
      <w:r w:rsidRPr="00D64B76">
        <w:rPr>
          <w:rFonts w:cstheme="minorHAnsi"/>
          <w:color w:val="222222"/>
          <w:shd w:val="clear" w:color="auto" w:fill="FFFFFF"/>
        </w:rPr>
        <w:t>.</w:t>
      </w:r>
      <w:r w:rsidR="00D479F6" w:rsidRPr="00D64B76">
        <w:rPr>
          <w:rFonts w:cstheme="minorHAnsi"/>
          <w:color w:val="222222"/>
          <w:shd w:val="clear" w:color="auto" w:fill="FFFFFF"/>
        </w:rPr>
        <w:t xml:space="preserve"> Vol. </w:t>
      </w:r>
      <w:r w:rsidR="00D64B76" w:rsidRPr="00D64B76">
        <w:rPr>
          <w:rFonts w:cstheme="minorHAnsi"/>
          <w:color w:val="222222"/>
          <w:shd w:val="clear" w:color="auto" w:fill="FFFFFF"/>
        </w:rPr>
        <w:t>595, pp. 18</w:t>
      </w:r>
      <w:r w:rsidR="00D64B76">
        <w:rPr>
          <w:rFonts w:cstheme="minorHAnsi"/>
          <w:color w:val="222222"/>
          <w:shd w:val="clear" w:color="auto" w:fill="FFFFFF"/>
        </w:rPr>
        <w:noBreakHyphen/>
      </w:r>
      <w:r w:rsidR="00D64B76" w:rsidRPr="00D64B76">
        <w:rPr>
          <w:rFonts w:cstheme="minorHAnsi"/>
          <w:color w:val="222222"/>
          <w:shd w:val="clear" w:color="auto" w:fill="FFFFFF"/>
        </w:rPr>
        <w:t>19.</w:t>
      </w:r>
    </w:p>
    <w:p w14:paraId="19BDFB06" w14:textId="48D476EE" w:rsidR="000A0212" w:rsidRPr="00D64B76" w:rsidRDefault="000A0212" w:rsidP="00D64B76">
      <w:pPr>
        <w:spacing w:after="120" w:line="240" w:lineRule="auto"/>
        <w:ind w:left="720" w:hanging="720"/>
        <w:rPr>
          <w:rFonts w:cstheme="minorHAnsi"/>
        </w:rPr>
      </w:pPr>
      <w:proofErr w:type="spellStart"/>
      <w:r w:rsidRPr="00D64B76">
        <w:rPr>
          <w:rFonts w:cstheme="minorHAnsi"/>
          <w:color w:val="222222"/>
          <w:shd w:val="clear" w:color="auto" w:fill="FFFFFF"/>
        </w:rPr>
        <w:t>Connes</w:t>
      </w:r>
      <w:proofErr w:type="spellEnd"/>
      <w:r w:rsidRPr="00D64B76">
        <w:rPr>
          <w:rFonts w:cstheme="minorHAnsi"/>
          <w:color w:val="222222"/>
          <w:shd w:val="clear" w:color="auto" w:fill="FFFFFF"/>
        </w:rPr>
        <w:t xml:space="preserve">, A., </w:t>
      </w:r>
      <w:proofErr w:type="spellStart"/>
      <w:r w:rsidRPr="00D64B76">
        <w:rPr>
          <w:rFonts w:cstheme="minorHAnsi"/>
          <w:color w:val="222222"/>
          <w:shd w:val="clear" w:color="auto" w:fill="FFFFFF"/>
        </w:rPr>
        <w:t>Lichnerowicz</w:t>
      </w:r>
      <w:proofErr w:type="spellEnd"/>
      <w:r w:rsidRPr="00D64B76">
        <w:rPr>
          <w:rFonts w:cstheme="minorHAnsi"/>
          <w:color w:val="222222"/>
          <w:shd w:val="clear" w:color="auto" w:fill="FFFFFF"/>
        </w:rPr>
        <w:t xml:space="preserve">, A., &amp; </w:t>
      </w:r>
      <w:proofErr w:type="spellStart"/>
      <w:r w:rsidRPr="00D64B76">
        <w:rPr>
          <w:rFonts w:cstheme="minorHAnsi"/>
          <w:color w:val="222222"/>
          <w:shd w:val="clear" w:color="auto" w:fill="FFFFFF"/>
        </w:rPr>
        <w:t>Schützenberger</w:t>
      </w:r>
      <w:proofErr w:type="spellEnd"/>
      <w:r w:rsidRPr="00D64B76">
        <w:rPr>
          <w:rFonts w:cstheme="minorHAnsi"/>
          <w:color w:val="222222"/>
          <w:shd w:val="clear" w:color="auto" w:fill="FFFFFF"/>
        </w:rPr>
        <w:t xml:space="preserve">, M. P. (2001). </w:t>
      </w:r>
      <w:r w:rsidRPr="00D64B76">
        <w:rPr>
          <w:rFonts w:cstheme="minorHAnsi"/>
          <w:i/>
          <w:iCs/>
          <w:color w:val="222222"/>
          <w:shd w:val="clear" w:color="auto" w:fill="FFFFFF"/>
        </w:rPr>
        <w:t>Triangle of thoughts</w:t>
      </w:r>
      <w:r w:rsidRPr="00D64B76">
        <w:rPr>
          <w:rFonts w:cstheme="minorHAnsi"/>
          <w:color w:val="222222"/>
          <w:shd w:val="clear" w:color="auto" w:fill="FFFFFF"/>
        </w:rPr>
        <w:t>.</w:t>
      </w:r>
      <w:r w:rsidR="00983D32" w:rsidRPr="00D64B76">
        <w:rPr>
          <w:rFonts w:cstheme="minorHAnsi"/>
          <w:color w:val="222222"/>
          <w:shd w:val="clear" w:color="auto" w:fill="FFFFFF"/>
        </w:rPr>
        <w:t xml:space="preserve">  Providence, RI: American Mathematical Society.  </w:t>
      </w:r>
      <w:r w:rsidR="00075BE5" w:rsidRPr="00D64B76">
        <w:rPr>
          <w:rFonts w:cstheme="minorHAnsi"/>
          <w:color w:val="222222"/>
          <w:shd w:val="clear" w:color="auto" w:fill="FFFFFF"/>
        </w:rPr>
        <w:t xml:space="preserve">French Original: </w:t>
      </w:r>
      <w:r w:rsidR="00DE1423" w:rsidRPr="00D64B76">
        <w:rPr>
          <w:rFonts w:cstheme="minorHAnsi"/>
          <w:i/>
          <w:iCs/>
          <w:color w:val="222222"/>
          <w:shd w:val="clear" w:color="auto" w:fill="FFFFFF"/>
        </w:rPr>
        <w:t>Triangle de pensées</w:t>
      </w:r>
      <w:r w:rsidR="00DE1423" w:rsidRPr="00D64B76">
        <w:rPr>
          <w:rFonts w:cstheme="minorHAnsi"/>
          <w:color w:val="222222"/>
          <w:shd w:val="clear" w:color="auto" w:fill="FFFFFF"/>
        </w:rPr>
        <w:t xml:space="preserve">. </w:t>
      </w:r>
      <w:r w:rsidR="00EA06B0" w:rsidRPr="00D64B76">
        <w:rPr>
          <w:rFonts w:cstheme="minorHAnsi"/>
          <w:color w:val="222222"/>
          <w:shd w:val="clear" w:color="auto" w:fill="FFFFFF"/>
        </w:rPr>
        <w:t xml:space="preserve">Paris : </w:t>
      </w:r>
      <w:r w:rsidR="00DE1423" w:rsidRPr="00D64B76">
        <w:rPr>
          <w:rFonts w:cstheme="minorHAnsi"/>
          <w:color w:val="222222"/>
          <w:shd w:val="clear" w:color="auto" w:fill="FFFFFF"/>
        </w:rPr>
        <w:t>Odile Jacob</w:t>
      </w:r>
      <w:r w:rsidR="00EA06B0" w:rsidRPr="00D64B76">
        <w:rPr>
          <w:rFonts w:cstheme="minorHAnsi"/>
          <w:color w:val="222222"/>
          <w:shd w:val="clear" w:color="auto" w:fill="FFFFFF"/>
        </w:rPr>
        <w:t>, 2000</w:t>
      </w:r>
      <w:r w:rsidR="00DE1423" w:rsidRPr="00D64B76">
        <w:rPr>
          <w:rFonts w:cstheme="minorHAnsi"/>
          <w:color w:val="222222"/>
          <w:shd w:val="clear" w:color="auto" w:fill="FFFFFF"/>
        </w:rPr>
        <w:t>.</w:t>
      </w:r>
    </w:p>
    <w:p w14:paraId="6C53991C" w14:textId="24AD2707" w:rsidR="00A741FB" w:rsidRDefault="00A741FB" w:rsidP="00D64B76">
      <w:pPr>
        <w:spacing w:after="120" w:line="240" w:lineRule="auto"/>
        <w:ind w:left="720" w:hanging="720"/>
        <w:rPr>
          <w:rFonts w:cstheme="minorHAnsi"/>
        </w:rPr>
      </w:pPr>
      <w:r w:rsidRPr="00D64B76">
        <w:rPr>
          <w:rFonts w:cstheme="minorHAnsi"/>
        </w:rPr>
        <w:t>Det</w:t>
      </w:r>
      <w:r w:rsidRPr="00554302">
        <w:rPr>
          <w:rFonts w:cstheme="minorHAnsi"/>
        </w:rPr>
        <w:t>lefsen</w:t>
      </w:r>
      <w:r w:rsidR="007D49BE" w:rsidRPr="00554302">
        <w:rPr>
          <w:rFonts w:cstheme="minorHAnsi"/>
        </w:rPr>
        <w:t>,</w:t>
      </w:r>
      <w:r w:rsidRPr="00554302">
        <w:rPr>
          <w:rFonts w:cstheme="minorHAnsi"/>
        </w:rPr>
        <w:t xml:space="preserve"> </w:t>
      </w:r>
      <w:r w:rsidR="007D49BE" w:rsidRPr="00554302">
        <w:rPr>
          <w:rFonts w:cstheme="minorHAnsi"/>
        </w:rPr>
        <w:t>Michael</w:t>
      </w:r>
      <w:r w:rsidRPr="00554302">
        <w:rPr>
          <w:rFonts w:cstheme="minorHAnsi"/>
        </w:rPr>
        <w:t xml:space="preserve"> </w:t>
      </w:r>
      <w:r w:rsidR="00894067" w:rsidRPr="00554302">
        <w:rPr>
          <w:rFonts w:cstheme="minorHAnsi"/>
        </w:rPr>
        <w:t>(</w:t>
      </w:r>
      <w:r w:rsidRPr="00554302">
        <w:rPr>
          <w:rFonts w:cstheme="minorHAnsi"/>
        </w:rPr>
        <w:t>2008</w:t>
      </w:r>
      <w:r w:rsidR="00894067" w:rsidRPr="00554302">
        <w:rPr>
          <w:rFonts w:cstheme="minorHAnsi"/>
        </w:rPr>
        <w:t>)</w:t>
      </w:r>
      <w:r w:rsidR="000E29A2" w:rsidRPr="00554302">
        <w:rPr>
          <w:rFonts w:cstheme="minorHAnsi"/>
        </w:rPr>
        <w:t xml:space="preserve"> </w:t>
      </w:r>
      <w:r w:rsidRPr="00554302">
        <w:rPr>
          <w:rFonts w:cstheme="minorHAnsi"/>
        </w:rPr>
        <w:t xml:space="preserve">Proof: Its nature and significance. In Bonnie Gold and Roger A. Simons, editors, </w:t>
      </w:r>
      <w:r w:rsidRPr="00554302">
        <w:rPr>
          <w:rFonts w:cstheme="minorHAnsi"/>
          <w:i/>
          <w:iCs/>
        </w:rPr>
        <w:t>Proof and Other Dilemmas: Mathematics and Philosophy</w:t>
      </w:r>
      <w:r w:rsidRPr="00554302">
        <w:rPr>
          <w:rFonts w:cstheme="minorHAnsi"/>
        </w:rPr>
        <w:t>, pages 3–32. Mathematical Association of America.</w:t>
      </w:r>
    </w:p>
    <w:p w14:paraId="06443D46" w14:textId="77777777" w:rsidR="00184B5C" w:rsidRDefault="00184B5C" w:rsidP="00184B5C">
      <w:pPr>
        <w:spacing w:after="120"/>
        <w:ind w:left="720" w:hanging="720"/>
        <w:rPr>
          <w:rFonts w:eastAsia="Times New Roman" w:cstheme="minorHAnsi"/>
          <w:lang w:val="en" w:eastAsia="en-GB"/>
        </w:rPr>
      </w:pPr>
      <w:r>
        <w:rPr>
          <w:rFonts w:eastAsia="Times New Roman" w:cstheme="minorHAnsi"/>
          <w:lang w:val="en" w:eastAsia="en-GB"/>
        </w:rPr>
        <w:t xml:space="preserve">De Toffoli, S. (2017). ‘Chasing’ the diagram—the use of visualizations in algebraic reasoning. </w:t>
      </w:r>
      <w:r>
        <w:rPr>
          <w:rFonts w:eastAsia="Times New Roman" w:cstheme="minorHAnsi"/>
          <w:i/>
          <w:iCs/>
          <w:lang w:val="en" w:eastAsia="en-GB"/>
        </w:rPr>
        <w:t>The Review of Symbolic Logic,</w:t>
      </w:r>
      <w:r>
        <w:rPr>
          <w:rFonts w:eastAsia="Times New Roman" w:cstheme="minorHAnsi"/>
          <w:lang w:val="en" w:eastAsia="en-GB"/>
        </w:rPr>
        <w:t xml:space="preserve"> </w:t>
      </w:r>
      <w:r>
        <w:rPr>
          <w:rFonts w:eastAsia="Times New Roman" w:cstheme="minorHAnsi"/>
          <w:i/>
          <w:iCs/>
          <w:lang w:val="en" w:eastAsia="en-GB"/>
        </w:rPr>
        <w:t>10</w:t>
      </w:r>
      <w:r>
        <w:rPr>
          <w:rFonts w:eastAsia="Times New Roman" w:cstheme="minorHAnsi"/>
          <w:lang w:val="en" w:eastAsia="en-GB"/>
        </w:rPr>
        <w:t xml:space="preserve">(1), 158-186. </w:t>
      </w:r>
    </w:p>
    <w:p w14:paraId="2D9BDAC5" w14:textId="2C0C3953" w:rsidR="00EC0190" w:rsidRDefault="00EC0190" w:rsidP="00554302">
      <w:pPr>
        <w:spacing w:after="120"/>
        <w:ind w:left="720" w:hanging="720"/>
        <w:rPr>
          <w:rFonts w:cstheme="minorHAnsi"/>
        </w:rPr>
      </w:pPr>
      <w:r w:rsidRPr="00554302">
        <w:rPr>
          <w:rFonts w:cstheme="minorHAnsi"/>
        </w:rPr>
        <w:t xml:space="preserve">Feferman, S. (2012) “And so on...: reasoning with infinite diagrams”  </w:t>
      </w:r>
      <w:r w:rsidRPr="00554302">
        <w:rPr>
          <w:rFonts w:cstheme="minorHAnsi"/>
          <w:i/>
        </w:rPr>
        <w:t>Synthese</w:t>
      </w:r>
      <w:r w:rsidRPr="00554302">
        <w:rPr>
          <w:rFonts w:cstheme="minorHAnsi"/>
        </w:rPr>
        <w:t xml:space="preserve"> 186: 371. doi:10.1007/s11229-011-9985-6</w:t>
      </w:r>
    </w:p>
    <w:p w14:paraId="482A09DC" w14:textId="77777777" w:rsidR="006A6355" w:rsidRDefault="006A6355" w:rsidP="006A6355">
      <w:pPr>
        <w:spacing w:after="100" w:afterAutospacing="1"/>
        <w:ind w:left="720" w:hanging="720"/>
        <w:rPr>
          <w:rFonts w:cstheme="minorHAnsi"/>
          <w:lang w:val="fr-FR"/>
        </w:rPr>
      </w:pPr>
      <w:r>
        <w:rPr>
          <w:rStyle w:val="familyname"/>
          <w:rFonts w:cstheme="minorHAnsi"/>
          <w:lang w:val="fr-FR"/>
        </w:rPr>
        <w:t>Giardino</w:t>
      </w:r>
      <w:r>
        <w:rPr>
          <w:rFonts w:cstheme="minorHAnsi"/>
          <w:lang w:val="fr-FR"/>
        </w:rPr>
        <w:t xml:space="preserve">, Valeria (2017) «L’imagination manipulatoire en mathématique», </w:t>
      </w:r>
      <w:r>
        <w:rPr>
          <w:rStyle w:val="Emphasis"/>
          <w:rFonts w:cstheme="minorHAnsi"/>
          <w:lang w:val="fr-FR"/>
        </w:rPr>
        <w:t>Bulletin d'Analyse Phénoménologique</w:t>
      </w:r>
      <w:r>
        <w:rPr>
          <w:rFonts w:cstheme="minorHAnsi"/>
          <w:lang w:val="fr-FR"/>
        </w:rPr>
        <w:t xml:space="preserve"> [En ligne], Volume 13, Numéro 2: L'acte d'imagination: Approches phénoménologiques (Actes n°10)</w:t>
      </w:r>
    </w:p>
    <w:p w14:paraId="06387168" w14:textId="0D0A8F70" w:rsidR="00197511" w:rsidRPr="00554302" w:rsidRDefault="00197511" w:rsidP="00554302">
      <w:pPr>
        <w:pStyle w:val="NormalWeb"/>
        <w:spacing w:before="0" w:beforeAutospacing="0" w:after="120" w:afterAutospacing="0"/>
        <w:ind w:left="480" w:hanging="480"/>
        <w:rPr>
          <w:rFonts w:asciiTheme="minorHAnsi" w:hAnsiTheme="minorHAnsi" w:cstheme="minorHAnsi"/>
          <w:sz w:val="22"/>
          <w:szCs w:val="22"/>
        </w:rPr>
      </w:pPr>
      <w:r w:rsidRPr="00554302">
        <w:rPr>
          <w:rFonts w:asciiTheme="minorHAnsi" w:hAnsiTheme="minorHAnsi" w:cstheme="minorHAnsi"/>
          <w:sz w:val="22"/>
          <w:szCs w:val="22"/>
        </w:rPr>
        <w:t>Hales, T</w:t>
      </w:r>
      <w:r w:rsidR="00DC67F2" w:rsidRPr="00554302">
        <w:rPr>
          <w:rFonts w:asciiTheme="minorHAnsi" w:hAnsiTheme="minorHAnsi" w:cstheme="minorHAnsi"/>
          <w:sz w:val="22"/>
          <w:szCs w:val="22"/>
        </w:rPr>
        <w:t>homas</w:t>
      </w:r>
      <w:r w:rsidRPr="00554302">
        <w:rPr>
          <w:rFonts w:asciiTheme="minorHAnsi" w:hAnsiTheme="minorHAnsi" w:cstheme="minorHAnsi"/>
          <w:sz w:val="22"/>
          <w:szCs w:val="22"/>
        </w:rPr>
        <w:t xml:space="preserve">. C. (2012). </w:t>
      </w:r>
      <w:r w:rsidRPr="00554302">
        <w:rPr>
          <w:rFonts w:asciiTheme="minorHAnsi" w:hAnsiTheme="minorHAnsi" w:cstheme="minorHAnsi"/>
          <w:i/>
          <w:iCs/>
          <w:sz w:val="22"/>
          <w:szCs w:val="22"/>
        </w:rPr>
        <w:t>Dense Sphere Packings : a Blueprint for Formal Proofs.</w:t>
      </w:r>
      <w:r w:rsidRPr="00554302">
        <w:rPr>
          <w:rFonts w:asciiTheme="minorHAnsi" w:hAnsiTheme="minorHAnsi" w:cstheme="minorHAnsi"/>
          <w:sz w:val="22"/>
          <w:szCs w:val="22"/>
        </w:rPr>
        <w:t xml:space="preserve">  Cambridge University Press.</w:t>
      </w:r>
    </w:p>
    <w:p w14:paraId="7ED725AD" w14:textId="4B9A5B3D" w:rsidR="00C46E43" w:rsidRPr="00554302" w:rsidRDefault="00C46E43" w:rsidP="00554302">
      <w:pPr>
        <w:spacing w:after="120" w:line="240" w:lineRule="auto"/>
        <w:ind w:left="720" w:hanging="720"/>
        <w:rPr>
          <w:rFonts w:cstheme="minorHAnsi"/>
        </w:rPr>
      </w:pPr>
      <w:r w:rsidRPr="00554302">
        <w:rPr>
          <w:rFonts w:cstheme="minorHAnsi"/>
        </w:rPr>
        <w:t>Hamami</w:t>
      </w:r>
      <w:r w:rsidR="008708DF" w:rsidRPr="00554302">
        <w:rPr>
          <w:rFonts w:cstheme="minorHAnsi"/>
        </w:rPr>
        <w:t>,</w:t>
      </w:r>
      <w:r w:rsidRPr="00554302">
        <w:rPr>
          <w:rFonts w:cstheme="minorHAnsi"/>
        </w:rPr>
        <w:t xml:space="preserve"> Yacin </w:t>
      </w:r>
      <w:r w:rsidR="007D49BE" w:rsidRPr="00554302">
        <w:rPr>
          <w:rFonts w:cstheme="minorHAnsi"/>
        </w:rPr>
        <w:t xml:space="preserve">(2019) </w:t>
      </w:r>
      <w:r w:rsidR="00AE5756" w:rsidRPr="00554302">
        <w:rPr>
          <w:rFonts w:cstheme="minorHAnsi"/>
        </w:rPr>
        <w:t>‘</w:t>
      </w:r>
      <w:r w:rsidRPr="00554302">
        <w:rPr>
          <w:rFonts w:cstheme="minorHAnsi"/>
        </w:rPr>
        <w:t xml:space="preserve">Mathematical </w:t>
      </w:r>
      <w:r w:rsidR="007D49BE" w:rsidRPr="00554302">
        <w:rPr>
          <w:rFonts w:cstheme="minorHAnsi"/>
        </w:rPr>
        <w:t>Rigor</w:t>
      </w:r>
      <w:r w:rsidRPr="00554302">
        <w:rPr>
          <w:rFonts w:cstheme="minorHAnsi"/>
        </w:rPr>
        <w:t xml:space="preserve"> and </w:t>
      </w:r>
      <w:r w:rsidR="007D49BE" w:rsidRPr="00554302">
        <w:rPr>
          <w:rFonts w:cstheme="minorHAnsi"/>
        </w:rPr>
        <w:t>Proof,</w:t>
      </w:r>
      <w:r w:rsidR="00AE5756" w:rsidRPr="00554302">
        <w:rPr>
          <w:rFonts w:cstheme="minorHAnsi"/>
        </w:rPr>
        <w:t>’</w:t>
      </w:r>
      <w:r w:rsidR="007D49BE" w:rsidRPr="00554302">
        <w:rPr>
          <w:rFonts w:cstheme="minorHAnsi"/>
        </w:rPr>
        <w:t> </w:t>
      </w:r>
      <w:r w:rsidR="007D49BE" w:rsidRPr="00554302">
        <w:rPr>
          <w:rFonts w:cstheme="minorHAnsi"/>
          <w:i/>
          <w:iCs/>
        </w:rPr>
        <w:t>The</w:t>
      </w:r>
      <w:r w:rsidRPr="00554302">
        <w:rPr>
          <w:rFonts w:cstheme="minorHAnsi"/>
          <w:i/>
        </w:rPr>
        <w:t xml:space="preserve"> Review of Symbolic Logic</w:t>
      </w:r>
      <w:r w:rsidR="007D49BE" w:rsidRPr="00554302">
        <w:rPr>
          <w:rFonts w:cstheme="minorHAnsi"/>
        </w:rPr>
        <w:t>, Cambridge University Press, pp. 1–41.</w:t>
      </w:r>
    </w:p>
    <w:p w14:paraId="7BAB04E7" w14:textId="55A21FE4" w:rsidR="00621028" w:rsidRPr="00554302" w:rsidRDefault="00621028" w:rsidP="00554302">
      <w:pPr>
        <w:spacing w:after="120" w:line="240" w:lineRule="auto"/>
        <w:ind w:left="720" w:hanging="720"/>
        <w:rPr>
          <w:rFonts w:cstheme="minorHAnsi"/>
        </w:rPr>
      </w:pPr>
      <w:r w:rsidRPr="00554302">
        <w:rPr>
          <w:rFonts w:cstheme="minorHAnsi"/>
        </w:rPr>
        <w:t>Hamkins, Joel D. (</w:t>
      </w:r>
      <w:r w:rsidR="005E55B6" w:rsidRPr="00554302">
        <w:rPr>
          <w:rFonts w:cstheme="minorHAnsi"/>
        </w:rPr>
        <w:t xml:space="preserve">2020) </w:t>
      </w:r>
      <w:r w:rsidR="005E55B6" w:rsidRPr="00554302">
        <w:rPr>
          <w:rFonts w:cstheme="minorHAnsi"/>
          <w:i/>
          <w:iCs/>
        </w:rPr>
        <w:t>Lectures on the philosophy of mathematics.</w:t>
      </w:r>
      <w:r w:rsidR="005E55B6" w:rsidRPr="00554302">
        <w:rPr>
          <w:rFonts w:cstheme="minorHAnsi"/>
        </w:rPr>
        <w:t xml:space="preserve">  MIT Press.  </w:t>
      </w:r>
    </w:p>
    <w:p w14:paraId="0B605EC3" w14:textId="77777777" w:rsidR="00610B8F" w:rsidRPr="00554302" w:rsidRDefault="00610B8F" w:rsidP="00554302">
      <w:pPr>
        <w:autoSpaceDE w:val="0"/>
        <w:autoSpaceDN w:val="0"/>
        <w:adjustRightInd w:val="0"/>
        <w:spacing w:after="120"/>
        <w:ind w:left="720" w:hanging="720"/>
        <w:rPr>
          <w:rFonts w:cstheme="minorHAnsi"/>
        </w:rPr>
      </w:pPr>
      <w:r w:rsidRPr="00554302">
        <w:rPr>
          <w:rFonts w:cstheme="minorHAnsi"/>
        </w:rPr>
        <w:t xml:space="preserve">Hersh, Reuben (1997) Prove—Once More and Again </w:t>
      </w:r>
      <w:r w:rsidRPr="00554302">
        <w:rPr>
          <w:rFonts w:cstheme="minorHAnsi"/>
          <w:i/>
          <w:iCs/>
        </w:rPr>
        <w:t xml:space="preserve">Philosophia Mathematica </w:t>
      </w:r>
      <w:r w:rsidRPr="00554302">
        <w:rPr>
          <w:rFonts w:cstheme="minorHAnsi"/>
        </w:rPr>
        <w:t>(III) 5(2): 153-165.</w:t>
      </w:r>
    </w:p>
    <w:p w14:paraId="004BEF7B" w14:textId="1A2CFA6A" w:rsidR="0094300D" w:rsidRDefault="0094300D" w:rsidP="00554302">
      <w:pPr>
        <w:spacing w:after="120" w:line="240" w:lineRule="auto"/>
        <w:ind w:left="720" w:hanging="720"/>
        <w:rPr>
          <w:rFonts w:cstheme="minorHAnsi"/>
        </w:rPr>
      </w:pPr>
      <w:r w:rsidRPr="00554302">
        <w:rPr>
          <w:rFonts w:cstheme="minorHAnsi"/>
        </w:rPr>
        <w:t>Hilbert, David (1927) The Foundations of Mathematics</w:t>
      </w:r>
      <w:r w:rsidR="002211AE" w:rsidRPr="00554302">
        <w:rPr>
          <w:rFonts w:cstheme="minorHAnsi"/>
        </w:rPr>
        <w:t>.  Translated in van Heijenoort</w:t>
      </w:r>
      <w:r w:rsidR="002A13C2" w:rsidRPr="00554302">
        <w:rPr>
          <w:rFonts w:cstheme="minorHAnsi"/>
        </w:rPr>
        <w:t xml:space="preserve"> (ed) </w:t>
      </w:r>
      <w:r w:rsidR="002A13C2" w:rsidRPr="00554302">
        <w:rPr>
          <w:rFonts w:cstheme="minorHAnsi"/>
          <w:i/>
          <w:iCs/>
        </w:rPr>
        <w:t>From Frege to Gödel: a source book in mathematical logic, 1879-1931</w:t>
      </w:r>
      <w:r w:rsidR="00F56B37" w:rsidRPr="00554302">
        <w:rPr>
          <w:rFonts w:cstheme="minorHAnsi"/>
        </w:rPr>
        <w:t xml:space="preserve">.  </w:t>
      </w:r>
      <w:r w:rsidR="00A26B74" w:rsidRPr="00554302">
        <w:rPr>
          <w:rFonts w:cstheme="minorHAnsi"/>
        </w:rPr>
        <w:t xml:space="preserve">Harvard, 1967, 1999.  </w:t>
      </w:r>
    </w:p>
    <w:p w14:paraId="4A8F7DF0" w14:textId="1CEF7F59" w:rsidR="006050FB" w:rsidRPr="006050FB" w:rsidRDefault="006050FB" w:rsidP="00554302">
      <w:pPr>
        <w:spacing w:after="120" w:line="240" w:lineRule="auto"/>
        <w:ind w:left="720" w:hanging="720"/>
        <w:rPr>
          <w:rFonts w:cstheme="minorHAnsi"/>
        </w:rPr>
      </w:pPr>
      <w:r>
        <w:rPr>
          <w:rFonts w:cstheme="minorHAnsi"/>
        </w:rPr>
        <w:t xml:space="preserve">Kahneman, Daniel (2012) </w:t>
      </w:r>
      <w:r>
        <w:rPr>
          <w:rFonts w:cstheme="minorHAnsi"/>
          <w:i/>
          <w:iCs/>
        </w:rPr>
        <w:t>Thinking Fast and Slow.</w:t>
      </w:r>
      <w:r>
        <w:rPr>
          <w:rFonts w:cstheme="minorHAnsi"/>
        </w:rPr>
        <w:t xml:space="preserve">  Penguin.  </w:t>
      </w:r>
    </w:p>
    <w:p w14:paraId="042180DF" w14:textId="5969E30B" w:rsidR="00F0277B" w:rsidRPr="00554302" w:rsidRDefault="00EE1D4B" w:rsidP="00554302">
      <w:pPr>
        <w:spacing w:after="120" w:line="240" w:lineRule="auto"/>
        <w:ind w:left="720" w:hanging="720"/>
        <w:rPr>
          <w:rStyle w:val="Hyperlink"/>
          <w:rFonts w:cstheme="minorHAnsi"/>
        </w:rPr>
      </w:pPr>
      <w:r w:rsidRPr="00554302">
        <w:rPr>
          <w:rFonts w:cstheme="minorHAnsi"/>
        </w:rPr>
        <w:t xml:space="preserve">Kalai, Gil </w:t>
      </w:r>
      <w:r w:rsidR="00894067" w:rsidRPr="00554302">
        <w:rPr>
          <w:rFonts w:cstheme="minorHAnsi"/>
        </w:rPr>
        <w:t>(</w:t>
      </w:r>
      <w:r w:rsidRPr="00554302">
        <w:rPr>
          <w:rFonts w:cstheme="minorHAnsi"/>
        </w:rPr>
        <w:t>2008</w:t>
      </w:r>
      <w:r w:rsidR="00894067" w:rsidRPr="00554302">
        <w:rPr>
          <w:rFonts w:cstheme="minorHAnsi"/>
        </w:rPr>
        <w:t>)</w:t>
      </w:r>
      <w:r w:rsidRPr="00554302">
        <w:rPr>
          <w:rFonts w:cstheme="minorHAnsi"/>
        </w:rPr>
        <w:t xml:space="preserve"> Can Category Theory Serve as the Foundation of Mathematics? </w:t>
      </w:r>
      <w:r w:rsidR="00460B97" w:rsidRPr="00554302">
        <w:rPr>
          <w:rFonts w:cstheme="minorHAnsi"/>
        </w:rPr>
        <w:t xml:space="preserve">Entry in blog </w:t>
      </w:r>
      <w:r w:rsidR="00460B97" w:rsidRPr="00554302">
        <w:rPr>
          <w:rFonts w:cstheme="minorHAnsi"/>
          <w:i/>
          <w:iCs/>
        </w:rPr>
        <w:t>Combinatorics and More</w:t>
      </w:r>
      <w:r w:rsidR="00460B97" w:rsidRPr="00554302">
        <w:rPr>
          <w:rFonts w:cstheme="minorHAnsi"/>
        </w:rPr>
        <w:t xml:space="preserve">, </w:t>
      </w:r>
      <w:hyperlink r:id="rId15" w:history="1">
        <w:r w:rsidR="00190360" w:rsidRPr="00554302">
          <w:rPr>
            <w:rStyle w:val="Hyperlink"/>
            <w:rFonts w:cstheme="minorHAnsi"/>
          </w:rPr>
          <w:t>https://gilkalai.wordpress.com/2008/12/04/can-category-theory-serve-as-the-foundation-of-mathematics/</w:t>
        </w:r>
      </w:hyperlink>
    </w:p>
    <w:p w14:paraId="290EE63E" w14:textId="03E390FB" w:rsidR="00554302" w:rsidRDefault="00554302" w:rsidP="00554302">
      <w:pPr>
        <w:spacing w:after="120"/>
        <w:ind w:left="720" w:hanging="720"/>
        <w:rPr>
          <w:rFonts w:cstheme="minorHAnsi"/>
        </w:rPr>
      </w:pPr>
      <w:r w:rsidRPr="00554302">
        <w:rPr>
          <w:rStyle w:val="name"/>
          <w:rFonts w:cstheme="minorHAnsi"/>
        </w:rPr>
        <w:t>Larvor</w:t>
      </w:r>
      <w:r w:rsidRPr="00554302">
        <w:rPr>
          <w:rFonts w:cstheme="minorHAnsi"/>
        </w:rPr>
        <w:t xml:space="preserve">, Brendan (2012) “How to think about informal proofs” </w:t>
      </w:r>
      <w:r w:rsidRPr="00554302">
        <w:rPr>
          <w:rFonts w:cstheme="minorHAnsi"/>
          <w:i/>
          <w:iCs/>
        </w:rPr>
        <w:t>Synthese</w:t>
      </w:r>
      <w:r w:rsidRPr="00554302">
        <w:rPr>
          <w:rFonts w:cstheme="minorHAnsi"/>
        </w:rPr>
        <w:t xml:space="preserve"> 187 (2):715-730. </w:t>
      </w:r>
    </w:p>
    <w:p w14:paraId="4C3DA827" w14:textId="7A7F9C06" w:rsidR="001B083B" w:rsidRPr="004D6C1E" w:rsidRDefault="001B083B" w:rsidP="00554302">
      <w:pPr>
        <w:spacing w:after="120"/>
        <w:ind w:left="720" w:hanging="720"/>
        <w:rPr>
          <w:rFonts w:cstheme="minorHAnsi"/>
        </w:rPr>
      </w:pPr>
      <w:r w:rsidRPr="004D6C1E">
        <w:rPr>
          <w:rFonts w:cstheme="minorHAnsi"/>
          <w:color w:val="333333"/>
          <w:shd w:val="clear" w:color="auto" w:fill="FCFCFC"/>
        </w:rPr>
        <w:t>Larvor, B</w:t>
      </w:r>
      <w:r w:rsidR="004D6C1E" w:rsidRPr="004D6C1E">
        <w:rPr>
          <w:rFonts w:cstheme="minorHAnsi"/>
          <w:color w:val="333333"/>
          <w:shd w:val="clear" w:color="auto" w:fill="FCFCFC"/>
        </w:rPr>
        <w:t>rendan (2019)</w:t>
      </w:r>
      <w:r w:rsidRPr="004D6C1E">
        <w:rPr>
          <w:rFonts w:cstheme="minorHAnsi"/>
          <w:color w:val="333333"/>
          <w:shd w:val="clear" w:color="auto" w:fill="FCFCFC"/>
        </w:rPr>
        <w:t xml:space="preserve"> From Euclidean geometry to knots and nets. </w:t>
      </w:r>
      <w:r w:rsidRPr="004D6C1E">
        <w:rPr>
          <w:rFonts w:cstheme="minorHAnsi"/>
          <w:i/>
          <w:iCs/>
          <w:color w:val="333333"/>
          <w:shd w:val="clear" w:color="auto" w:fill="FCFCFC"/>
        </w:rPr>
        <w:t>Synthese</w:t>
      </w:r>
      <w:r w:rsidRPr="004D6C1E">
        <w:rPr>
          <w:rFonts w:cstheme="minorHAnsi"/>
          <w:color w:val="333333"/>
          <w:shd w:val="clear" w:color="auto" w:fill="FCFCFC"/>
        </w:rPr>
        <w:t> </w:t>
      </w:r>
      <w:r w:rsidRPr="004D6C1E">
        <w:rPr>
          <w:rFonts w:cstheme="minorHAnsi"/>
          <w:b/>
          <w:bCs/>
          <w:color w:val="333333"/>
          <w:shd w:val="clear" w:color="auto" w:fill="FCFCFC"/>
        </w:rPr>
        <w:t>196, </w:t>
      </w:r>
      <w:r w:rsidRPr="004D6C1E">
        <w:rPr>
          <w:rFonts w:cstheme="minorHAnsi"/>
          <w:color w:val="333333"/>
          <w:shd w:val="clear" w:color="auto" w:fill="FCFCFC"/>
        </w:rPr>
        <w:t>2715</w:t>
      </w:r>
      <w:r w:rsidR="004D6C1E" w:rsidRPr="004D6C1E">
        <w:rPr>
          <w:rFonts w:cstheme="minorHAnsi"/>
          <w:color w:val="333333"/>
          <w:shd w:val="clear" w:color="auto" w:fill="FCFCFC"/>
        </w:rPr>
        <w:t>-</w:t>
      </w:r>
      <w:r w:rsidRPr="004D6C1E">
        <w:rPr>
          <w:rFonts w:cstheme="minorHAnsi"/>
          <w:color w:val="333333"/>
          <w:shd w:val="clear" w:color="auto" w:fill="FCFCFC"/>
        </w:rPr>
        <w:t>2736</w:t>
      </w:r>
      <w:r w:rsidR="004D6C1E" w:rsidRPr="004D6C1E">
        <w:rPr>
          <w:rFonts w:cstheme="minorHAnsi"/>
          <w:color w:val="333333"/>
          <w:shd w:val="clear" w:color="auto" w:fill="FCFCFC"/>
        </w:rPr>
        <w:t>.</w:t>
      </w:r>
    </w:p>
    <w:p w14:paraId="430C283D" w14:textId="5017BAC2" w:rsidR="00677B50" w:rsidRDefault="00677B50" w:rsidP="00554302">
      <w:pPr>
        <w:spacing w:after="120"/>
        <w:ind w:left="720" w:hanging="720"/>
        <w:rPr>
          <w:rFonts w:cstheme="minorHAnsi"/>
        </w:rPr>
      </w:pPr>
      <w:r w:rsidRPr="00554302">
        <w:rPr>
          <w:rFonts w:cstheme="minorHAnsi"/>
        </w:rPr>
        <w:t xml:space="preserve">Mac Lane, S. 1986. </w:t>
      </w:r>
      <w:r w:rsidRPr="00554302">
        <w:rPr>
          <w:rFonts w:cstheme="minorHAnsi"/>
          <w:i/>
          <w:iCs/>
        </w:rPr>
        <w:t>Mathematics: Form and Function.</w:t>
      </w:r>
      <w:r w:rsidRPr="00554302">
        <w:rPr>
          <w:rFonts w:cstheme="minorHAnsi"/>
        </w:rPr>
        <w:t xml:space="preserve">  New York: Springer.  </w:t>
      </w:r>
    </w:p>
    <w:p w14:paraId="05B2804B" w14:textId="754D940D" w:rsidR="0005385B" w:rsidRDefault="0005385B" w:rsidP="0005385B">
      <w:pPr>
        <w:autoSpaceDE w:val="0"/>
        <w:autoSpaceDN w:val="0"/>
        <w:adjustRightInd w:val="0"/>
        <w:spacing w:after="100" w:afterAutospacing="1"/>
        <w:ind w:left="720" w:hanging="720"/>
        <w:rPr>
          <w:rFonts w:cs="CMR9"/>
        </w:rPr>
      </w:pPr>
      <w:r>
        <w:rPr>
          <w:rFonts w:cs="CMR9"/>
        </w:rPr>
        <w:t xml:space="preserve">Manders, Ken (2008) The Euclidean diagram. </w:t>
      </w:r>
      <w:r>
        <w:rPr>
          <w:rFonts w:cs="CMTI9"/>
        </w:rPr>
        <w:t xml:space="preserve">Mancosu, P., </w:t>
      </w:r>
      <w:r>
        <w:rPr>
          <w:rFonts w:cs="CMTI9"/>
          <w:i/>
        </w:rPr>
        <w:t>The Philosophy of Mathematical Practice</w:t>
      </w:r>
      <w:r>
        <w:rPr>
          <w:rFonts w:cs="CMTI9"/>
        </w:rPr>
        <w:t>, Oxford University Press 2008</w:t>
      </w:r>
      <w:r>
        <w:rPr>
          <w:rFonts w:cs="CMR9"/>
        </w:rPr>
        <w:t>, pages 80–133, 1995.</w:t>
      </w:r>
    </w:p>
    <w:p w14:paraId="194FCCFA" w14:textId="680AD1DE" w:rsidR="0079248D" w:rsidRPr="00554302" w:rsidRDefault="0079248D" w:rsidP="00554302">
      <w:pPr>
        <w:spacing w:after="120"/>
        <w:ind w:left="720" w:hanging="720"/>
        <w:rPr>
          <w:rFonts w:cstheme="minorHAnsi"/>
        </w:rPr>
      </w:pPr>
      <w:r w:rsidRPr="00554302">
        <w:rPr>
          <w:rFonts w:cstheme="minorHAnsi"/>
        </w:rPr>
        <w:t xml:space="preserve">McLarty, Colin </w:t>
      </w:r>
      <w:r w:rsidR="00B62756" w:rsidRPr="00554302">
        <w:rPr>
          <w:rFonts w:cstheme="minorHAnsi"/>
        </w:rPr>
        <w:t xml:space="preserve">(1997) Poincaré: Mathematics, Logic and Intuition. </w:t>
      </w:r>
      <w:r w:rsidR="00B62756" w:rsidRPr="00554302">
        <w:rPr>
          <w:rFonts w:cstheme="minorHAnsi"/>
          <w:i/>
          <w:iCs/>
        </w:rPr>
        <w:t>Philosophia Mathematica</w:t>
      </w:r>
      <w:r w:rsidR="00AA4725" w:rsidRPr="00554302">
        <w:rPr>
          <w:rFonts w:cstheme="minorHAnsi"/>
          <w:i/>
          <w:iCs/>
        </w:rPr>
        <w:t xml:space="preserve"> </w:t>
      </w:r>
      <w:r w:rsidR="00AA4725" w:rsidRPr="00554302">
        <w:rPr>
          <w:rFonts w:cstheme="minorHAnsi"/>
        </w:rPr>
        <w:t>5(2) pp. </w:t>
      </w:r>
      <w:r w:rsidR="003330FC" w:rsidRPr="00554302">
        <w:rPr>
          <w:rFonts w:cstheme="minorHAnsi"/>
        </w:rPr>
        <w:t xml:space="preserve">97-115. </w:t>
      </w:r>
    </w:p>
    <w:p w14:paraId="28FC8427" w14:textId="26D798CA" w:rsidR="00E650E1" w:rsidRPr="00554302" w:rsidRDefault="00E650E1" w:rsidP="00554302">
      <w:pPr>
        <w:autoSpaceDE w:val="0"/>
        <w:autoSpaceDN w:val="0"/>
        <w:adjustRightInd w:val="0"/>
        <w:spacing w:after="120" w:line="240" w:lineRule="auto"/>
        <w:ind w:left="720" w:hanging="720"/>
        <w:rPr>
          <w:rStyle w:val="Hyperlink"/>
          <w:rFonts w:cstheme="minorHAnsi"/>
          <w:lang w:val="fr-FR"/>
        </w:rPr>
      </w:pPr>
      <w:r w:rsidRPr="00554302">
        <w:rPr>
          <w:rFonts w:cstheme="minorHAnsi"/>
        </w:rPr>
        <w:lastRenderedPageBreak/>
        <w:t>Poincaré, Henri (1902)</w:t>
      </w:r>
      <w:r w:rsidR="001C3B84" w:rsidRPr="00554302">
        <w:rPr>
          <w:rFonts w:cstheme="minorHAnsi"/>
        </w:rPr>
        <w:t xml:space="preserve"> On the nature of mathematical reasoning.  </w:t>
      </w:r>
      <w:r w:rsidR="00703689" w:rsidRPr="00554302">
        <w:rPr>
          <w:rFonts w:cstheme="minorHAnsi"/>
        </w:rPr>
        <w:t xml:space="preserve">Excerpt from </w:t>
      </w:r>
      <w:r w:rsidR="00703689" w:rsidRPr="00554302">
        <w:rPr>
          <w:rFonts w:cstheme="minorHAnsi"/>
          <w:i/>
          <w:iCs/>
        </w:rPr>
        <w:t>Science and Hypothesis</w:t>
      </w:r>
      <w:r w:rsidR="00703689" w:rsidRPr="00554302">
        <w:rPr>
          <w:rFonts w:cstheme="minorHAnsi"/>
        </w:rPr>
        <w:t>, reprinted in Benacerraf</w:t>
      </w:r>
      <w:r w:rsidR="005247E7" w:rsidRPr="00554302">
        <w:rPr>
          <w:rFonts w:cstheme="minorHAnsi"/>
        </w:rPr>
        <w:t xml:space="preserve"> &amp; Putnam (eds) </w:t>
      </w:r>
      <w:r w:rsidR="005247E7" w:rsidRPr="00554302">
        <w:rPr>
          <w:rFonts w:cstheme="minorHAnsi"/>
          <w:i/>
          <w:iCs/>
        </w:rPr>
        <w:t>Philosophy of Mathematics: Selected Readings.</w:t>
      </w:r>
      <w:r w:rsidR="005247E7" w:rsidRPr="00554302">
        <w:rPr>
          <w:rFonts w:cstheme="minorHAnsi"/>
        </w:rPr>
        <w:t xml:space="preserve"> </w:t>
      </w:r>
      <w:r w:rsidR="00AD6A22" w:rsidRPr="00554302">
        <w:rPr>
          <w:rFonts w:cstheme="minorHAnsi"/>
          <w:lang w:val="fr-FR"/>
        </w:rPr>
        <w:t>2</w:t>
      </w:r>
      <w:r w:rsidR="00AD6A22" w:rsidRPr="00554302">
        <w:rPr>
          <w:rFonts w:cstheme="minorHAnsi"/>
          <w:vertAlign w:val="superscript"/>
          <w:lang w:val="fr-FR"/>
        </w:rPr>
        <w:t>nd</w:t>
      </w:r>
      <w:r w:rsidR="00AD6A22" w:rsidRPr="00554302">
        <w:rPr>
          <w:rFonts w:cstheme="minorHAnsi"/>
          <w:lang w:val="fr-FR"/>
        </w:rPr>
        <w:t xml:space="preserve"> Edition, Cambridge </w:t>
      </w:r>
      <w:proofErr w:type="spellStart"/>
      <w:r w:rsidR="00AD6A22" w:rsidRPr="00554302">
        <w:rPr>
          <w:rFonts w:cstheme="minorHAnsi"/>
          <w:lang w:val="fr-FR"/>
        </w:rPr>
        <w:t>University</w:t>
      </w:r>
      <w:proofErr w:type="spellEnd"/>
      <w:r w:rsidR="00AD6A22" w:rsidRPr="00554302">
        <w:rPr>
          <w:rFonts w:cstheme="minorHAnsi"/>
          <w:lang w:val="fr-FR"/>
        </w:rPr>
        <w:t xml:space="preserve"> </w:t>
      </w:r>
      <w:proofErr w:type="spellStart"/>
      <w:r w:rsidR="00AD6A22" w:rsidRPr="00554302">
        <w:rPr>
          <w:rFonts w:cstheme="minorHAnsi"/>
          <w:lang w:val="fr-FR"/>
        </w:rPr>
        <w:t>Press</w:t>
      </w:r>
      <w:proofErr w:type="spellEnd"/>
      <w:r w:rsidR="00AD6A22" w:rsidRPr="00554302">
        <w:rPr>
          <w:rFonts w:cstheme="minorHAnsi"/>
          <w:lang w:val="fr-FR"/>
        </w:rPr>
        <w:t xml:space="preserve">, 1983.  </w:t>
      </w:r>
    </w:p>
    <w:p w14:paraId="20A34DEB" w14:textId="2063CA2B" w:rsidR="00FC28E6" w:rsidRPr="00554302" w:rsidRDefault="00FC28E6" w:rsidP="00554302">
      <w:pPr>
        <w:autoSpaceDE w:val="0"/>
        <w:autoSpaceDN w:val="0"/>
        <w:adjustRightInd w:val="0"/>
        <w:spacing w:after="120" w:line="240" w:lineRule="auto"/>
        <w:ind w:left="720" w:hanging="720"/>
        <w:rPr>
          <w:rFonts w:cstheme="minorHAnsi"/>
        </w:rPr>
      </w:pPr>
      <w:r w:rsidRPr="00554302">
        <w:rPr>
          <w:rFonts w:cstheme="minorHAnsi"/>
          <w:lang w:val="fr-FR"/>
        </w:rPr>
        <w:t>Poincaré</w:t>
      </w:r>
      <w:r w:rsidR="00367EF4" w:rsidRPr="00554302">
        <w:rPr>
          <w:rFonts w:cstheme="minorHAnsi"/>
          <w:lang w:val="fr-FR"/>
        </w:rPr>
        <w:t>,</w:t>
      </w:r>
      <w:r w:rsidRPr="00554302">
        <w:rPr>
          <w:rFonts w:cstheme="minorHAnsi"/>
          <w:lang w:val="fr-FR"/>
        </w:rPr>
        <w:t xml:space="preserve"> </w:t>
      </w:r>
      <w:r w:rsidR="00367EF4" w:rsidRPr="00554302">
        <w:rPr>
          <w:rFonts w:cstheme="minorHAnsi"/>
          <w:lang w:val="fr-FR"/>
        </w:rPr>
        <w:t xml:space="preserve">Henri </w:t>
      </w:r>
      <w:r w:rsidRPr="00554302">
        <w:rPr>
          <w:rFonts w:cstheme="minorHAnsi"/>
          <w:lang w:val="fr-FR"/>
        </w:rPr>
        <w:t xml:space="preserve">(1908) </w:t>
      </w:r>
      <w:r w:rsidRPr="00554302">
        <w:rPr>
          <w:rFonts w:cstheme="minorHAnsi"/>
          <w:i/>
          <w:iCs/>
          <w:lang w:val="fr-FR"/>
        </w:rPr>
        <w:t>Science et Méthode</w:t>
      </w:r>
      <w:r w:rsidRPr="00554302">
        <w:rPr>
          <w:rFonts w:cstheme="minorHAnsi"/>
          <w:lang w:val="fr-FR"/>
        </w:rPr>
        <w:t xml:space="preserve">. </w:t>
      </w:r>
      <w:r w:rsidRPr="00554302">
        <w:rPr>
          <w:rFonts w:cstheme="minorHAnsi"/>
        </w:rPr>
        <w:t>Ernest Flammarion, Paris. Translated</w:t>
      </w:r>
      <w:r w:rsidR="00831A00" w:rsidRPr="00554302">
        <w:rPr>
          <w:rFonts w:cstheme="minorHAnsi"/>
        </w:rPr>
        <w:t xml:space="preserve"> </w:t>
      </w:r>
      <w:r w:rsidRPr="00554302">
        <w:rPr>
          <w:rFonts w:cstheme="minorHAnsi"/>
        </w:rPr>
        <w:t xml:space="preserve">into English by Francis Maitland as </w:t>
      </w:r>
      <w:r w:rsidRPr="00554302">
        <w:rPr>
          <w:rFonts w:cstheme="minorHAnsi"/>
          <w:i/>
          <w:iCs/>
        </w:rPr>
        <w:t>Science and Method</w:t>
      </w:r>
      <w:r w:rsidRPr="00554302">
        <w:rPr>
          <w:rFonts w:cstheme="minorHAnsi"/>
        </w:rPr>
        <w:t>, Thomas Nelson &amp; Sons,</w:t>
      </w:r>
      <w:r w:rsidR="00831A00" w:rsidRPr="00554302">
        <w:rPr>
          <w:rFonts w:cstheme="minorHAnsi"/>
        </w:rPr>
        <w:t xml:space="preserve"> </w:t>
      </w:r>
      <w:r w:rsidRPr="00554302">
        <w:rPr>
          <w:rFonts w:cstheme="minorHAnsi"/>
        </w:rPr>
        <w:t xml:space="preserve">London, 1914. </w:t>
      </w:r>
    </w:p>
    <w:p w14:paraId="31DBD95E" w14:textId="1FA0EB95" w:rsidR="00ED03F7" w:rsidRPr="00554302" w:rsidRDefault="00286FB4" w:rsidP="00554302">
      <w:pPr>
        <w:autoSpaceDE w:val="0"/>
        <w:autoSpaceDN w:val="0"/>
        <w:adjustRightInd w:val="0"/>
        <w:spacing w:after="120" w:line="240" w:lineRule="auto"/>
        <w:ind w:left="720" w:hanging="720"/>
        <w:rPr>
          <w:rFonts w:cstheme="minorHAnsi"/>
        </w:rPr>
      </w:pPr>
      <w:r w:rsidRPr="00554302">
        <w:rPr>
          <w:rFonts w:cstheme="minorHAnsi"/>
        </w:rPr>
        <w:t>Rav</w:t>
      </w:r>
      <w:r w:rsidR="00367EF4" w:rsidRPr="00554302">
        <w:rPr>
          <w:rFonts w:cstheme="minorHAnsi"/>
        </w:rPr>
        <w:t>,</w:t>
      </w:r>
      <w:r w:rsidRPr="00554302">
        <w:rPr>
          <w:rFonts w:cstheme="minorHAnsi"/>
        </w:rPr>
        <w:t xml:space="preserve"> </w:t>
      </w:r>
      <w:r w:rsidR="00367EF4" w:rsidRPr="00554302">
        <w:rPr>
          <w:rFonts w:cstheme="minorHAnsi"/>
        </w:rPr>
        <w:t xml:space="preserve">Yehuda </w:t>
      </w:r>
      <w:r w:rsidRPr="00554302">
        <w:rPr>
          <w:rFonts w:cstheme="minorHAnsi"/>
        </w:rPr>
        <w:t xml:space="preserve">(1999) Why do we prove theorems? </w:t>
      </w:r>
      <w:r w:rsidRPr="00554302">
        <w:rPr>
          <w:rFonts w:cstheme="minorHAnsi"/>
          <w:i/>
          <w:iCs/>
        </w:rPr>
        <w:t>Philosophia Mathematica</w:t>
      </w:r>
      <w:r w:rsidRPr="00554302">
        <w:rPr>
          <w:rFonts w:cstheme="minorHAnsi"/>
        </w:rPr>
        <w:t>, 7(3):5–41.</w:t>
      </w:r>
    </w:p>
    <w:p w14:paraId="401C2630" w14:textId="77777777" w:rsidR="00954393" w:rsidRDefault="00540F8C" w:rsidP="00954393">
      <w:pPr>
        <w:spacing w:after="120" w:line="240" w:lineRule="auto"/>
        <w:ind w:left="720" w:hanging="720"/>
        <w:rPr>
          <w:rFonts w:ascii="Helvetica" w:hAnsi="Helvetica" w:cs="Helvetica"/>
          <w:color w:val="181817"/>
          <w:shd w:val="clear" w:color="auto" w:fill="CAE7FF"/>
        </w:rPr>
      </w:pPr>
      <w:r w:rsidRPr="00554302">
        <w:rPr>
          <w:rFonts w:cstheme="minorHAnsi"/>
        </w:rPr>
        <w:t xml:space="preserve">Tanswell, F. (2015) A Problem with the Dependence of Informal Proofs on Formal Proofs.  </w:t>
      </w:r>
      <w:r w:rsidRPr="00554302">
        <w:rPr>
          <w:rFonts w:cstheme="minorHAnsi"/>
          <w:i/>
          <w:iCs/>
        </w:rPr>
        <w:t xml:space="preserve">Philosophia Mathematica </w:t>
      </w:r>
      <w:r w:rsidRPr="00554302">
        <w:rPr>
          <w:rFonts w:cstheme="minorHAnsi"/>
        </w:rPr>
        <w:t>(III) 23(3): 295-310.</w:t>
      </w:r>
      <w:r w:rsidR="00954393" w:rsidRPr="00954393">
        <w:rPr>
          <w:rFonts w:ascii="Helvetica" w:hAnsi="Helvetica" w:cs="Helvetica"/>
          <w:color w:val="181817"/>
          <w:shd w:val="clear" w:color="auto" w:fill="CAE7FF"/>
        </w:rPr>
        <w:t xml:space="preserve"> </w:t>
      </w:r>
    </w:p>
    <w:p w14:paraId="1EEB9CA2" w14:textId="77777777" w:rsidR="00A630A0" w:rsidRPr="00A630A0" w:rsidRDefault="00A630A0" w:rsidP="00A630A0">
      <w:pPr>
        <w:spacing w:after="120" w:line="240" w:lineRule="auto"/>
        <w:ind w:left="720" w:hanging="720"/>
        <w:rPr>
          <w:rFonts w:cstheme="minorHAnsi"/>
        </w:rPr>
      </w:pPr>
      <w:r w:rsidRPr="00A630A0">
        <w:rPr>
          <w:rFonts w:cstheme="minorHAnsi"/>
        </w:rPr>
        <w:t>Tatton-Brown, O. (2020). Rigour and Proof. </w:t>
      </w:r>
      <w:r w:rsidRPr="00A630A0">
        <w:rPr>
          <w:rFonts w:cstheme="minorHAnsi"/>
          <w:i/>
          <w:iCs/>
        </w:rPr>
        <w:t>The Review of Symbolic Logic,</w:t>
      </w:r>
      <w:r w:rsidRPr="00A630A0">
        <w:rPr>
          <w:rFonts w:cstheme="minorHAnsi"/>
        </w:rPr>
        <w:t> 1-29. doi:10.1017/S1755020320000398</w:t>
      </w:r>
    </w:p>
    <w:p w14:paraId="4A8AA3D3" w14:textId="3038A9D4" w:rsidR="0015384E" w:rsidRPr="00FF597D" w:rsidRDefault="00A630A0" w:rsidP="009153AF">
      <w:pPr>
        <w:spacing w:after="120" w:line="240" w:lineRule="auto"/>
        <w:ind w:left="720" w:hanging="720"/>
        <w:rPr>
          <w:rFonts w:cstheme="minorHAnsi"/>
        </w:rPr>
      </w:pPr>
      <w:r w:rsidRPr="00A630A0">
        <w:rPr>
          <w:rFonts w:cstheme="minorHAnsi"/>
        </w:rPr>
        <w:t>Zach, Richard (2019) "Hilbert’s Program", </w:t>
      </w:r>
      <w:r w:rsidRPr="00A630A0">
        <w:rPr>
          <w:rFonts w:cstheme="minorHAnsi"/>
          <w:i/>
          <w:iCs/>
        </w:rPr>
        <w:t xml:space="preserve">The Stanford </w:t>
      </w:r>
      <w:proofErr w:type="spellStart"/>
      <w:r w:rsidRPr="00A630A0">
        <w:rPr>
          <w:rFonts w:cstheme="minorHAnsi"/>
          <w:i/>
          <w:iCs/>
        </w:rPr>
        <w:t>Encyclopedia</w:t>
      </w:r>
      <w:proofErr w:type="spellEnd"/>
      <w:r w:rsidRPr="00A630A0">
        <w:rPr>
          <w:rFonts w:cstheme="minorHAnsi"/>
          <w:i/>
          <w:iCs/>
        </w:rPr>
        <w:t xml:space="preserve"> of Philosophy </w:t>
      </w:r>
      <w:r w:rsidRPr="00A630A0">
        <w:rPr>
          <w:rFonts w:cstheme="minorHAnsi"/>
        </w:rPr>
        <w:t>(Fall 2019 Edition), Edward N. Zalta (ed.)</w:t>
      </w:r>
    </w:p>
    <w:sectPr w:rsidR="0015384E" w:rsidRPr="00FF597D" w:rsidSect="00FB2991">
      <w:footerReference w:type="default" r:id="rId16"/>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20822" w14:textId="77777777" w:rsidR="009A34B1" w:rsidRDefault="009A34B1" w:rsidP="008F0A3F">
      <w:pPr>
        <w:spacing w:after="0" w:line="240" w:lineRule="auto"/>
      </w:pPr>
      <w:r>
        <w:separator/>
      </w:r>
    </w:p>
  </w:endnote>
  <w:endnote w:type="continuationSeparator" w:id="0">
    <w:p w14:paraId="2C68DD15" w14:textId="77777777" w:rsidR="009A34B1" w:rsidRDefault="009A34B1" w:rsidP="008F0A3F">
      <w:pPr>
        <w:spacing w:after="0" w:line="240" w:lineRule="auto"/>
      </w:pPr>
      <w:r>
        <w:continuationSeparator/>
      </w:r>
    </w:p>
  </w:endnote>
  <w:endnote w:type="continuationNotice" w:id="1">
    <w:p w14:paraId="7AD14613" w14:textId="77777777" w:rsidR="009A34B1" w:rsidRDefault="009A34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de">
    <w:altName w:val="Calibri"/>
    <w:charset w:val="00"/>
    <w:family w:val="swiss"/>
    <w:pitch w:val="default"/>
    <w:sig w:usb0="00000003" w:usb1="00000000" w:usb2="00000000" w:usb3="00000000" w:csb0="00000001" w:csb1="00000000"/>
  </w:font>
  <w:font w:name="Times-Roman">
    <w:altName w:val="Calibri"/>
    <w:charset w:val="00"/>
    <w:family w:val="auto"/>
    <w:pitch w:val="default"/>
    <w:sig w:usb0="00000003" w:usb1="00000000" w:usb2="00000000" w:usb3="00000000" w:csb0="00000001" w:csb1="00000000"/>
  </w:font>
  <w:font w:name="Fp">
    <w:charset w:val="00"/>
    <w:family w:val="auto"/>
    <w:pitch w:val="default"/>
    <w:sig w:usb0="00000003" w:usb1="00000000" w:usb2="00000000" w:usb3="00000000" w:csb0="00000001" w:csb1="00000000"/>
  </w:font>
  <w:font w:name="CMR9">
    <w:charset w:val="00"/>
    <w:family w:val="swiss"/>
    <w:pitch w:val="default"/>
    <w:sig w:usb0="00000003" w:usb1="00000000" w:usb2="00000000" w:usb3="00000000" w:csb0="00000001" w:csb1="00000000"/>
  </w:font>
  <w:font w:name="CMTI9">
    <w:charset w:val="00"/>
    <w:family w:val="swiss"/>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752907"/>
      <w:docPartObj>
        <w:docPartGallery w:val="Page Numbers (Bottom of Page)"/>
        <w:docPartUnique/>
      </w:docPartObj>
    </w:sdtPr>
    <w:sdtEndPr>
      <w:rPr>
        <w:noProof/>
      </w:rPr>
    </w:sdtEndPr>
    <w:sdtContent>
      <w:p w14:paraId="5C914739" w14:textId="0903EAF9" w:rsidR="00512EF4" w:rsidRDefault="00512E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5E5363" w14:textId="77777777" w:rsidR="00512EF4" w:rsidRDefault="0051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C5229" w14:textId="77777777" w:rsidR="009A34B1" w:rsidRDefault="009A34B1" w:rsidP="008F0A3F">
      <w:pPr>
        <w:spacing w:after="0" w:line="240" w:lineRule="auto"/>
      </w:pPr>
      <w:r>
        <w:separator/>
      </w:r>
    </w:p>
  </w:footnote>
  <w:footnote w:type="continuationSeparator" w:id="0">
    <w:p w14:paraId="43B2D8AA" w14:textId="77777777" w:rsidR="009A34B1" w:rsidRDefault="009A34B1" w:rsidP="008F0A3F">
      <w:pPr>
        <w:spacing w:after="0" w:line="240" w:lineRule="auto"/>
      </w:pPr>
      <w:r>
        <w:continuationSeparator/>
      </w:r>
    </w:p>
  </w:footnote>
  <w:footnote w:type="continuationNotice" w:id="1">
    <w:p w14:paraId="01DAF788" w14:textId="77777777" w:rsidR="009A34B1" w:rsidRDefault="009A34B1">
      <w:pPr>
        <w:spacing w:after="0" w:line="240" w:lineRule="auto"/>
      </w:pPr>
    </w:p>
  </w:footnote>
  <w:footnote w:id="2">
    <w:p w14:paraId="5E7C8111" w14:textId="4BCFE311" w:rsidR="000025DB" w:rsidRPr="000025DB" w:rsidRDefault="000025DB">
      <w:pPr>
        <w:pStyle w:val="FootnoteText"/>
      </w:pPr>
      <w:r>
        <w:rPr>
          <w:rStyle w:val="FootnoteReference"/>
        </w:rPr>
        <w:footnoteRef/>
      </w:r>
      <w:r>
        <w:t xml:space="preserve"> I am grateful </w:t>
      </w:r>
      <w:r w:rsidR="00B70FEC">
        <w:t xml:space="preserve">for valuable comments </w:t>
      </w:r>
      <w:r w:rsidR="00B25ECE">
        <w:t xml:space="preserve">to two anonymous reviewers and to </w:t>
      </w:r>
      <w:r w:rsidR="00EC2CB9">
        <w:t xml:space="preserve">audience members at </w:t>
      </w:r>
      <w:r w:rsidR="003F54B9">
        <w:t xml:space="preserve">a </w:t>
      </w:r>
      <w:r w:rsidR="00EC2CB9">
        <w:t>conference</w:t>
      </w:r>
      <w:r w:rsidR="00B70FEC">
        <w:t xml:space="preserve"> in January 2021 organised by </w:t>
      </w:r>
      <w:r w:rsidR="00B70FEC">
        <w:rPr>
          <w:rFonts w:eastAsia="Times New Roman"/>
        </w:rPr>
        <w:t>Silvia De Toffoli</w:t>
      </w:r>
      <w:r w:rsidR="00FE05B7">
        <w:t>.</w:t>
      </w:r>
    </w:p>
  </w:footnote>
  <w:footnote w:id="3">
    <w:p w14:paraId="689FCAC4" w14:textId="1B17AA53" w:rsidR="00424C95" w:rsidRPr="00424C95" w:rsidRDefault="00424C95">
      <w:pPr>
        <w:pStyle w:val="FootnoteText"/>
      </w:pPr>
      <w:r>
        <w:rPr>
          <w:rStyle w:val="FootnoteReference"/>
        </w:rPr>
        <w:footnoteRef/>
      </w:r>
      <w:r>
        <w:t xml:space="preserve"> See </w:t>
      </w:r>
      <w:r>
        <w:rPr>
          <w:rFonts w:cstheme="minorHAnsi"/>
        </w:rPr>
        <w:t xml:space="preserve">Hilbert (1927), especially pp. </w:t>
      </w:r>
      <w:r w:rsidR="00763067">
        <w:rPr>
          <w:rFonts w:cstheme="minorHAnsi"/>
        </w:rPr>
        <w:t>472-</w:t>
      </w:r>
      <w:r w:rsidR="00536867">
        <w:rPr>
          <w:rFonts w:cstheme="minorHAnsi"/>
        </w:rPr>
        <w:t>4</w:t>
      </w:r>
      <w:r w:rsidR="00763067">
        <w:rPr>
          <w:rFonts w:cstheme="minorHAnsi"/>
        </w:rPr>
        <w:t xml:space="preserve"> of van Heijenoort (ed.) for his </w:t>
      </w:r>
      <w:r w:rsidR="00DC5214">
        <w:rPr>
          <w:rFonts w:cstheme="minorHAnsi"/>
        </w:rPr>
        <w:t>polemic</w:t>
      </w:r>
      <w:r w:rsidR="00536867">
        <w:rPr>
          <w:rFonts w:cstheme="minorHAnsi"/>
        </w:rPr>
        <w:t>s</w:t>
      </w:r>
      <w:r w:rsidR="00DC5214">
        <w:rPr>
          <w:rFonts w:cstheme="minorHAnsi"/>
        </w:rPr>
        <w:t xml:space="preserve"> against Poincaré</w:t>
      </w:r>
      <w:r w:rsidR="00536867">
        <w:rPr>
          <w:rFonts w:cstheme="minorHAnsi"/>
        </w:rPr>
        <w:t xml:space="preserve"> and Brouwer</w:t>
      </w:r>
      <w:r w:rsidR="00DC5214">
        <w:rPr>
          <w:rFonts w:cstheme="minorHAnsi"/>
        </w:rPr>
        <w:t>.</w:t>
      </w:r>
      <w:r w:rsidR="0018711A">
        <w:rPr>
          <w:rFonts w:cstheme="minorHAnsi"/>
        </w:rPr>
        <w:t xml:space="preserve">  Hilbert’s philosophy of mathematics </w:t>
      </w:r>
      <w:r w:rsidR="006A53BF">
        <w:rPr>
          <w:rFonts w:cstheme="minorHAnsi"/>
        </w:rPr>
        <w:t xml:space="preserve">is much richer than here presented, and </w:t>
      </w:r>
      <w:r w:rsidR="00356C27">
        <w:rPr>
          <w:rFonts w:cstheme="minorHAnsi"/>
        </w:rPr>
        <w:t>includes</w:t>
      </w:r>
      <w:r w:rsidR="006A53BF">
        <w:rPr>
          <w:rFonts w:cstheme="minorHAnsi"/>
        </w:rPr>
        <w:t xml:space="preserve"> a conception of finitary mathematics </w:t>
      </w:r>
      <w:r w:rsidR="00AC01B4">
        <w:rPr>
          <w:rFonts w:cstheme="minorHAnsi"/>
        </w:rPr>
        <w:t xml:space="preserve">as contentful, </w:t>
      </w:r>
      <w:r w:rsidR="000D7864">
        <w:rPr>
          <w:rFonts w:cstheme="minorHAnsi"/>
        </w:rPr>
        <w:t xml:space="preserve">that is, not wholly syntactic.  See Zach (2019).  </w:t>
      </w:r>
    </w:p>
  </w:footnote>
  <w:footnote w:id="4">
    <w:p w14:paraId="75C2208C" w14:textId="26CBFB7B" w:rsidR="00275649" w:rsidRPr="00275649" w:rsidRDefault="00275649">
      <w:pPr>
        <w:pStyle w:val="FootnoteText"/>
        <w:rPr>
          <w:lang w:val="en-US"/>
        </w:rPr>
      </w:pPr>
      <w:r>
        <w:rPr>
          <w:rStyle w:val="FootnoteReference"/>
        </w:rPr>
        <w:footnoteRef/>
      </w:r>
      <w:r>
        <w:t xml:space="preserve"> </w:t>
      </w:r>
      <w:r>
        <w:rPr>
          <w:lang w:val="en-US"/>
        </w:rPr>
        <w:t xml:space="preserve">Bourbaki (1948). </w:t>
      </w:r>
    </w:p>
  </w:footnote>
  <w:footnote w:id="5">
    <w:p w14:paraId="0BE8576E" w14:textId="2F22E57A" w:rsidR="00050600" w:rsidRPr="00A955F4" w:rsidRDefault="00050600">
      <w:pPr>
        <w:pStyle w:val="FootnoteText"/>
      </w:pPr>
      <w:r>
        <w:rPr>
          <w:rStyle w:val="FootnoteReference"/>
        </w:rPr>
        <w:footnoteRef/>
      </w:r>
      <w:r>
        <w:t xml:space="preserve"> </w:t>
      </w:r>
      <w:r w:rsidRPr="00AD6A22">
        <w:rPr>
          <w:rFonts w:cstheme="minorHAnsi"/>
        </w:rPr>
        <w:t>Poincaré (1908).</w:t>
      </w:r>
      <w:r w:rsidR="00AD6A22" w:rsidRPr="00AD6A22">
        <w:rPr>
          <w:rFonts w:cstheme="minorHAnsi"/>
        </w:rPr>
        <w:t xml:space="preserve">  O</w:t>
      </w:r>
      <w:r w:rsidR="00A955F4">
        <w:rPr>
          <w:rFonts w:cstheme="minorHAnsi"/>
        </w:rPr>
        <w:t>n his conception of proof, “</w:t>
      </w:r>
      <w:r w:rsidR="00A955F4">
        <w:rPr>
          <w:rFonts w:cstheme="minorHAnsi"/>
          <w:i/>
          <w:iCs/>
        </w:rPr>
        <w:t>Verification</w:t>
      </w:r>
      <w:r w:rsidR="00A955F4">
        <w:rPr>
          <w:rFonts w:cstheme="minorHAnsi"/>
        </w:rPr>
        <w:t xml:space="preserve"> </w:t>
      </w:r>
      <w:r w:rsidR="004A2DDC">
        <w:rPr>
          <w:rFonts w:cstheme="minorHAnsi"/>
        </w:rPr>
        <w:t xml:space="preserve">differs from proof precisely because it is analytical,… </w:t>
      </w:r>
      <w:r w:rsidR="00AA6DE4">
        <w:rPr>
          <w:rFonts w:cstheme="minorHAnsi"/>
        </w:rPr>
        <w:t>I</w:t>
      </w:r>
      <w:r w:rsidR="004A2DDC">
        <w:rPr>
          <w:rFonts w:cstheme="minorHAnsi"/>
        </w:rPr>
        <w:t>t leads to nothing</w:t>
      </w:r>
      <w:r w:rsidR="00AA6DE4">
        <w:rPr>
          <w:rFonts w:cstheme="minorHAnsi"/>
        </w:rPr>
        <w:t xml:space="preserve"> </w:t>
      </w:r>
      <w:r w:rsidR="004A2DDC">
        <w:rPr>
          <w:rFonts w:cstheme="minorHAnsi"/>
        </w:rPr>
        <w:t xml:space="preserve">because </w:t>
      </w:r>
      <w:r w:rsidR="00AA6DE4">
        <w:rPr>
          <w:rFonts w:cstheme="minorHAnsi"/>
        </w:rPr>
        <w:t>the conclusion is nothing but the premisses translated into another language.  A real proof</w:t>
      </w:r>
      <w:r w:rsidR="005F474A">
        <w:rPr>
          <w:rFonts w:cstheme="minorHAnsi"/>
        </w:rPr>
        <w:t>, on the other hand, is fruitful because the conclusion is in a sense more general than the premisses.” (</w:t>
      </w:r>
      <w:r w:rsidR="00547810">
        <w:rPr>
          <w:rFonts w:cstheme="minorHAnsi"/>
        </w:rPr>
        <w:t xml:space="preserve">1902, p. 396 in Benacerraf &amp; Putnam).  </w:t>
      </w:r>
      <w:r w:rsidR="003330FC">
        <w:rPr>
          <w:rFonts w:cstheme="minorHAnsi"/>
        </w:rPr>
        <w:t xml:space="preserve">For a nuanced discussion of Poincaré’s </w:t>
      </w:r>
      <w:r w:rsidR="00F01E98">
        <w:rPr>
          <w:rFonts w:cstheme="minorHAnsi"/>
        </w:rPr>
        <w:t>view</w:t>
      </w:r>
      <w:r w:rsidR="0023326C">
        <w:rPr>
          <w:rFonts w:cstheme="minorHAnsi"/>
        </w:rPr>
        <w:t>s</w:t>
      </w:r>
      <w:r w:rsidR="00F01E98">
        <w:rPr>
          <w:rFonts w:cstheme="minorHAnsi"/>
        </w:rPr>
        <w:t xml:space="preserve"> o</w:t>
      </w:r>
      <w:r w:rsidR="0023326C">
        <w:rPr>
          <w:rFonts w:cstheme="minorHAnsi"/>
        </w:rPr>
        <w:t>n</w:t>
      </w:r>
      <w:r w:rsidR="00F01E98">
        <w:rPr>
          <w:rFonts w:cstheme="minorHAnsi"/>
        </w:rPr>
        <w:t xml:space="preserve"> formal logic, see McLarty (1997).</w:t>
      </w:r>
    </w:p>
  </w:footnote>
  <w:footnote w:id="6">
    <w:p w14:paraId="2BA0BB97" w14:textId="16966276" w:rsidR="002D6CA5" w:rsidRPr="002D6CA5" w:rsidRDefault="002D6CA5" w:rsidP="006A5155">
      <w:pPr>
        <w:autoSpaceDE w:val="0"/>
        <w:autoSpaceDN w:val="0"/>
        <w:adjustRightInd w:val="0"/>
        <w:spacing w:after="0" w:line="240" w:lineRule="auto"/>
      </w:pPr>
      <w:r>
        <w:rPr>
          <w:rStyle w:val="FootnoteReference"/>
        </w:rPr>
        <w:footnoteRef/>
      </w:r>
      <w:r>
        <w:t xml:space="preserve"> </w:t>
      </w:r>
      <w:r w:rsidR="006A5155" w:rsidRPr="005D126D">
        <w:rPr>
          <w:rFonts w:cstheme="minorHAnsi"/>
          <w:sz w:val="20"/>
          <w:szCs w:val="20"/>
        </w:rPr>
        <w:t>“The question where mathematical exactness does exist, is answered differently by the two sides; the intuitionist says: in the human intellect, the formalist says: on paper.” Brouwer (</w:t>
      </w:r>
      <w:r w:rsidR="004C11D5" w:rsidRPr="005D126D">
        <w:rPr>
          <w:rFonts w:cstheme="minorHAnsi"/>
          <w:sz w:val="20"/>
          <w:szCs w:val="20"/>
        </w:rPr>
        <w:t>1913) p. 83.</w:t>
      </w:r>
    </w:p>
  </w:footnote>
  <w:footnote w:id="7">
    <w:p w14:paraId="759395D0" w14:textId="5983FD51" w:rsidR="005969B7" w:rsidRPr="0024672F" w:rsidRDefault="005969B7" w:rsidP="005969B7">
      <w:pPr>
        <w:pStyle w:val="FootnoteText"/>
      </w:pPr>
      <w:r>
        <w:rPr>
          <w:rStyle w:val="FootnoteReference"/>
        </w:rPr>
        <w:footnoteRef/>
      </w:r>
      <w:r>
        <w:t xml:space="preserve"> Typically, there are lots of derivations that might formalise a given proof, and sometimes they vary sufficiently to make trouble for Feferman’s claim that </w:t>
      </w:r>
      <w:r>
        <w:rPr>
          <w:i/>
          <w:iCs/>
        </w:rPr>
        <w:t>the</w:t>
      </w:r>
      <w:r>
        <w:t xml:space="preserve"> corresponding derivation captures </w:t>
      </w:r>
      <w:r>
        <w:rPr>
          <w:i/>
          <w:iCs/>
        </w:rPr>
        <w:t>the</w:t>
      </w:r>
      <w:r>
        <w:t xml:space="preserve"> logical structure of the informal proof.  S</w:t>
      </w:r>
      <w:r w:rsidR="001E14BD">
        <w:t>e</w:t>
      </w:r>
      <w:r>
        <w:t xml:space="preserve">e Tanswell (2015) for cases.  </w:t>
      </w:r>
    </w:p>
  </w:footnote>
  <w:footnote w:id="8">
    <w:p w14:paraId="66DEB2E0" w14:textId="77DE8DC2" w:rsidR="004A6546" w:rsidRPr="00B96AC7" w:rsidRDefault="004A6546" w:rsidP="004A6546">
      <w:pPr>
        <w:pStyle w:val="FootnoteText"/>
      </w:pPr>
      <w:r>
        <w:rPr>
          <w:rStyle w:val="FootnoteReference"/>
        </w:rPr>
        <w:footnoteRef/>
      </w:r>
      <w:r>
        <w:t xml:space="preserve"> Azzouni modified his view considerably in his (2009)</w:t>
      </w:r>
      <w:r w:rsidR="00130E08">
        <w:t xml:space="preserve"> and (2017)</w:t>
      </w:r>
      <w:r>
        <w:t>.  Nevertheless, his phrase ‘derivation-indicator’ has taken on a life beyond his writing.  Since Avigad’s most recent work is the focus of the present paper, it</w:t>
      </w:r>
      <w:r w:rsidR="005B079F">
        <w:t xml:space="preserve"> i</w:t>
      </w:r>
      <w:r>
        <w:t xml:space="preserve">s worth noting that Azzouni lists Avigad among the acknowledgements of his (2009) paper.  </w:t>
      </w:r>
    </w:p>
  </w:footnote>
  <w:footnote w:id="9">
    <w:p w14:paraId="3E001527" w14:textId="06B1A7E7" w:rsidR="00F91345" w:rsidRPr="00F91345" w:rsidRDefault="00F91345">
      <w:pPr>
        <w:pStyle w:val="FootnoteText"/>
      </w:pPr>
      <w:r>
        <w:rPr>
          <w:rStyle w:val="FootnoteReference"/>
        </w:rPr>
        <w:footnoteRef/>
      </w:r>
      <w:r>
        <w:t xml:space="preserve"> </w:t>
      </w:r>
      <w:r>
        <w:rPr>
          <w:rFonts w:cstheme="minorHAnsi"/>
          <w:color w:val="131413"/>
        </w:rPr>
        <w:t>Azzouni, 2009, p. 25.  Italics in original.</w:t>
      </w:r>
    </w:p>
  </w:footnote>
  <w:footnote w:id="10">
    <w:p w14:paraId="5871CD44" w14:textId="1E6DDEFD" w:rsidR="00706447" w:rsidRPr="00706447" w:rsidRDefault="00706447">
      <w:pPr>
        <w:pStyle w:val="FootnoteText"/>
      </w:pPr>
      <w:r>
        <w:rPr>
          <w:rStyle w:val="FootnoteReference"/>
        </w:rPr>
        <w:footnoteRef/>
      </w:r>
      <w:r>
        <w:t xml:space="preserve"> Of course, belie</w:t>
      </w:r>
      <w:r w:rsidR="003218FF">
        <w:t xml:space="preserve">fs about non-existent formal derivations can be causally effective, </w:t>
      </w:r>
      <w:r w:rsidR="0037646D">
        <w:t xml:space="preserve">and </w:t>
      </w:r>
      <w:r w:rsidR="006030E6">
        <w:t xml:space="preserve">Azzouni makes moves in that direction in his (2017). </w:t>
      </w:r>
      <w:r w:rsidR="0037646D">
        <w:t xml:space="preserve"> There, he </w:t>
      </w:r>
      <w:r w:rsidR="001D4BFA">
        <w:t xml:space="preserve">attempts to rescue </w:t>
      </w:r>
      <w:r w:rsidR="00AA2523">
        <w:t>his</w:t>
      </w:r>
      <w:r w:rsidR="001D4BFA">
        <w:t xml:space="preserve"> claim</w:t>
      </w:r>
      <w:r w:rsidR="00A433F1">
        <w:t>—t</w:t>
      </w:r>
      <w:r w:rsidR="001D4BFA">
        <w:t xml:space="preserve">hat in reading an informal proof, mathematicians </w:t>
      </w:r>
      <w:r w:rsidR="00772BBA">
        <w:t xml:space="preserve">are </w:t>
      </w:r>
      <w:r w:rsidR="00D717E9">
        <w:t xml:space="preserve">unconsciously </w:t>
      </w:r>
      <w:r w:rsidR="00772BBA">
        <w:t>recognising algorithmic processes</w:t>
      </w:r>
      <w:r w:rsidR="00A433F1">
        <w:t>—b</w:t>
      </w:r>
      <w:r w:rsidR="00772BBA">
        <w:t xml:space="preserve">y </w:t>
      </w:r>
      <w:r w:rsidR="00D717E9">
        <w:t xml:space="preserve">suggesting that the objects of </w:t>
      </w:r>
      <w:r w:rsidR="00D61DC5">
        <w:t xml:space="preserve">the </w:t>
      </w:r>
      <w:r w:rsidR="00D717E9">
        <w:t>algorithm</w:t>
      </w:r>
      <w:r w:rsidR="00485C7E">
        <w:t>s</w:t>
      </w:r>
      <w:r w:rsidR="00D717E9">
        <w:t xml:space="preserve"> </w:t>
      </w:r>
      <w:r w:rsidR="00D61DC5">
        <w:t xml:space="preserve">need not be linguistic </w:t>
      </w:r>
      <w:r w:rsidR="00FC606A">
        <w:t xml:space="preserve">strings.  This </w:t>
      </w:r>
      <w:r w:rsidR="00454601">
        <w:t xml:space="preserve">thought is already in </w:t>
      </w:r>
      <w:r w:rsidR="0011218D">
        <w:t xml:space="preserve">the literature, </w:t>
      </w:r>
      <w:r w:rsidR="005A594F">
        <w:t>e.g.,</w:t>
      </w:r>
      <w:r w:rsidR="0011218D">
        <w:t xml:space="preserve"> De Toffoli (2017), Giardino (2017)</w:t>
      </w:r>
      <w:r w:rsidR="008F6A6C">
        <w:t xml:space="preserve">, </w:t>
      </w:r>
      <w:r w:rsidR="00D40D20">
        <w:t>Larvor (2012)</w:t>
      </w:r>
      <w:r w:rsidR="00464745">
        <w:t xml:space="preserve">, and Manders (2008) </w:t>
      </w:r>
      <w:r w:rsidR="008F6A6C">
        <w:t xml:space="preserve">except </w:t>
      </w:r>
      <w:r w:rsidR="00B704FE">
        <w:t xml:space="preserve">that Azzouni re-presents </w:t>
      </w:r>
      <w:r w:rsidR="0011218D">
        <w:t xml:space="preserve">manipulations </w:t>
      </w:r>
      <w:r w:rsidR="002D73C1">
        <w:t>as algorithmic processes.  Th</w:t>
      </w:r>
      <w:r w:rsidR="00485C7E">
        <w:t>at</w:t>
      </w:r>
      <w:r w:rsidR="002D73C1">
        <w:t xml:space="preserve"> may work for Azzouni, but it comes at the cost of </w:t>
      </w:r>
      <w:r w:rsidR="006331BD">
        <w:t>separating his thesis (</w:t>
      </w:r>
      <w:r w:rsidR="00BF6A3B">
        <w:t xml:space="preserve">reading mathematical </w:t>
      </w:r>
      <w:r w:rsidR="006331BD">
        <w:t>proof</w:t>
      </w:r>
      <w:r w:rsidR="00BF6A3B">
        <w:t>s</w:t>
      </w:r>
      <w:r w:rsidR="006331BD">
        <w:t xml:space="preserve"> is algorithm-recognition) from </w:t>
      </w:r>
      <w:r w:rsidR="001E4FEF">
        <w:t>the</w:t>
      </w:r>
      <w:r w:rsidR="006331BD">
        <w:t xml:space="preserve"> </w:t>
      </w:r>
      <w:r w:rsidR="003440F7">
        <w:t xml:space="preserve">idea </w:t>
      </w:r>
      <w:r w:rsidR="00BC7652">
        <w:t xml:space="preserve">that </w:t>
      </w:r>
      <w:r w:rsidR="00AC29E3">
        <w:t>informal proofs are always-already</w:t>
      </w:r>
      <w:r w:rsidR="00D534BD">
        <w:t xml:space="preserve"> formed </w:t>
      </w:r>
      <w:r w:rsidR="00AC29E3">
        <w:t xml:space="preserve">in something like first-order logic with ZFC.  </w:t>
      </w:r>
      <w:r w:rsidR="00474A4F">
        <w:t xml:space="preserve">He knows this, and makes moves to reconnect the two </w:t>
      </w:r>
      <w:r w:rsidR="00D534BD">
        <w:t xml:space="preserve">claims </w:t>
      </w:r>
      <w:r w:rsidR="00474A4F">
        <w:t xml:space="preserve">in the later sections of his paper.  </w:t>
      </w:r>
    </w:p>
  </w:footnote>
  <w:footnote w:id="11">
    <w:p w14:paraId="678CC278" w14:textId="726CC235" w:rsidR="009B0568" w:rsidRDefault="009B0568">
      <w:pPr>
        <w:pStyle w:val="FootnoteText"/>
      </w:pPr>
      <w:r>
        <w:rPr>
          <w:rStyle w:val="FootnoteReference"/>
        </w:rPr>
        <w:footnoteRef/>
      </w:r>
      <w:r>
        <w:t xml:space="preserve"> This point has been raised in a helpfully clear way by Zoe Ashton</w:t>
      </w:r>
      <w:r w:rsidR="00D61B51">
        <w:t xml:space="preserve"> (PhD thesis, forthcoming).  It is not a topic of the present paper</w:t>
      </w:r>
      <w:r w:rsidR="009C582C">
        <w:t>, but it</w:t>
      </w:r>
      <w:r w:rsidR="00DD5434">
        <w:t xml:space="preserve"> i</w:t>
      </w:r>
      <w:r w:rsidR="009C582C">
        <w:t xml:space="preserve">s easy to see where one might start.  Formalisation does all sorts of work in mathematics aside from securing proofs, such as sharpening </w:t>
      </w:r>
      <w:r w:rsidR="00BC1E4E">
        <w:t xml:space="preserve">and deepening </w:t>
      </w:r>
      <w:r w:rsidR="009C582C">
        <w:t xml:space="preserve">ideas and preparing them for </w:t>
      </w:r>
      <w:r w:rsidR="006648D3">
        <w:t>communication (</w:t>
      </w:r>
      <w:r w:rsidR="00BC1E4E">
        <w:t>see Hamkins pp. </w:t>
      </w:r>
      <w:r w:rsidR="00184E00">
        <w:t xml:space="preserve">162-3). </w:t>
      </w:r>
      <w:r w:rsidR="00CC53C4">
        <w:t xml:space="preserve"> It</w:t>
      </w:r>
      <w:r w:rsidR="004D7227">
        <w:t xml:space="preserve"> </w:t>
      </w:r>
      <w:r w:rsidR="002D0C5F">
        <w:t xml:space="preserve">is distinctive of </w:t>
      </w:r>
      <w:r w:rsidR="004D7227">
        <w:t>modern mathematics (</w:t>
      </w:r>
      <w:r w:rsidR="00EA3D99">
        <w:t xml:space="preserve">roughly, </w:t>
      </w:r>
      <w:r w:rsidR="004D7227">
        <w:t>Hilbert and after)</w:t>
      </w:r>
      <w:r w:rsidR="002D0C5F">
        <w:t xml:space="preserve">.  Moreover, </w:t>
      </w:r>
      <w:r w:rsidR="002101DB">
        <w:t xml:space="preserve">proof theory (the branch of formal logic) </w:t>
      </w:r>
      <w:r w:rsidR="00F56CCB">
        <w:t>supplies</w:t>
      </w:r>
      <w:r w:rsidR="00601591">
        <w:t xml:space="preserve"> mathematical model</w:t>
      </w:r>
      <w:r w:rsidR="00F56CCB">
        <w:t>s</w:t>
      </w:r>
      <w:r w:rsidR="00601591">
        <w:t xml:space="preserve"> of mathematical reasoning.  </w:t>
      </w:r>
      <w:r w:rsidR="00E15125">
        <w:t>One</w:t>
      </w:r>
      <w:r w:rsidR="00EB79F5">
        <w:t xml:space="preserve"> might say that proof theory is what mathematics has to say about proof.  It is not then surprising </w:t>
      </w:r>
      <w:r w:rsidR="00200A0E">
        <w:t>that</w:t>
      </w:r>
      <w:r w:rsidR="00EB79F5">
        <w:t xml:space="preserve"> it is also what many mathematicians have to say about proof.  </w:t>
      </w:r>
      <w:r w:rsidR="00AF62DB">
        <w:t>This is Hersh’s line (</w:t>
      </w:r>
      <w:r w:rsidR="00C215BE">
        <w:t>1997 p. 154)</w:t>
      </w:r>
      <w:r w:rsidR="00DD1058">
        <w:t>:</w:t>
      </w:r>
      <w:r w:rsidR="005B038F">
        <w:t xml:space="preserve"> the mathematician who insists on the Standard View is like </w:t>
      </w:r>
      <w:r w:rsidR="00A34D24">
        <w:t>the economist who forgets that his model of the economy is only a model.</w:t>
      </w:r>
      <w:r w:rsidR="005106F0">
        <w:t xml:space="preserve">  Hersh calls for the model to be tested.  Perhaps </w:t>
      </w:r>
      <w:r w:rsidR="00EB655B">
        <w:t xml:space="preserve">current work on digital proof assistants is an answer to that call.  </w:t>
      </w:r>
    </w:p>
    <w:p w14:paraId="51635AF9" w14:textId="599341B8" w:rsidR="00E25C92" w:rsidRPr="009B0568" w:rsidRDefault="003700F4">
      <w:pPr>
        <w:pStyle w:val="FootnoteText"/>
      </w:pPr>
      <w:r>
        <w:t>A philosopher in the Rav tendency might argue thus: m</w:t>
      </w:r>
      <w:r w:rsidR="00804822">
        <w:t>athematicians f</w:t>
      </w:r>
      <w:r w:rsidR="00E25C92">
        <w:t>ormali</w:t>
      </w:r>
      <w:r w:rsidR="00804822">
        <w:t>se</w:t>
      </w:r>
      <w:r w:rsidR="007F0986">
        <w:t>, but the art of it is tacit knowledge</w:t>
      </w:r>
      <w:r w:rsidR="00657E46">
        <w:t xml:space="preserve">.  It is not a </w:t>
      </w:r>
      <w:proofErr w:type="spellStart"/>
      <w:r w:rsidR="00AA0A24">
        <w:t>summatively</w:t>
      </w:r>
      <w:proofErr w:type="spellEnd"/>
      <w:r w:rsidR="00657E46">
        <w:t xml:space="preserve"> assessed part of mathematical training</w:t>
      </w:r>
      <w:r w:rsidR="009F7CED">
        <w:t xml:space="preserve"> (s</w:t>
      </w:r>
      <w:r w:rsidR="00A630A0">
        <w:t xml:space="preserve">ee Tatton-Brown (2020) for an account of </w:t>
      </w:r>
      <w:r w:rsidR="00B47256">
        <w:t>how it is learned</w:t>
      </w:r>
      <w:r w:rsidR="009F7CED">
        <w:t>)</w:t>
      </w:r>
      <w:r w:rsidR="00B47256">
        <w:t xml:space="preserve">.  </w:t>
      </w:r>
      <w:r w:rsidR="0031557D">
        <w:t xml:space="preserve">Mathematicians who have entirely internalised </w:t>
      </w:r>
      <w:r w:rsidR="00DB7F3A">
        <w:t xml:space="preserve">the art of formalisation may feel that they’re doing almost nothing, something ‘routine’, rather as a virtuoso jazz musician might insist that they’re not thinking about </w:t>
      </w:r>
      <w:r w:rsidR="004F737C">
        <w:t xml:space="preserve">music theory or technique while improvising.  </w:t>
      </w:r>
    </w:p>
  </w:footnote>
  <w:footnote w:id="12">
    <w:p w14:paraId="26FCD98C" w14:textId="1192C851" w:rsidR="007B33A4" w:rsidRPr="007B33A4" w:rsidRDefault="007B33A4">
      <w:pPr>
        <w:pStyle w:val="FootnoteText"/>
      </w:pPr>
      <w:r>
        <w:rPr>
          <w:rStyle w:val="FootnoteReference"/>
        </w:rPr>
        <w:footnoteRef/>
      </w:r>
      <w:r>
        <w:t xml:space="preserve"> Some anecdotal corroboration for </w:t>
      </w:r>
      <w:r w:rsidR="00E57A6A">
        <w:t xml:space="preserve">some of these points may be found here: </w:t>
      </w:r>
      <w:hyperlink r:id="rId1" w:history="1">
        <w:r w:rsidR="00E57A6A" w:rsidRPr="0078087D">
          <w:rPr>
            <w:rStyle w:val="Hyperlink"/>
          </w:rPr>
          <w:t>https://mathoverflow.net/questions/338607/why-doesnt-mathematics-collapse-even-though-humans-quite-often-make-mistakes-in</w:t>
        </w:r>
      </w:hyperlink>
      <w:r w:rsidR="00E57A6A">
        <w:t xml:space="preserve"> </w:t>
      </w:r>
    </w:p>
  </w:footnote>
  <w:footnote w:id="13">
    <w:p w14:paraId="12E96DBB" w14:textId="0AD6E0B0" w:rsidR="00CF6058" w:rsidRPr="00CF6058" w:rsidRDefault="00CF6058">
      <w:pPr>
        <w:pStyle w:val="FootnoteText"/>
      </w:pPr>
      <w:r>
        <w:rPr>
          <w:rStyle w:val="FootnoteReference"/>
        </w:rPr>
        <w:footnoteRef/>
      </w:r>
      <w:r>
        <w:t xml:space="preserve"> I will indulge in a joke about the </w:t>
      </w:r>
      <w:r w:rsidR="0044109D">
        <w:t xml:space="preserve">creative </w:t>
      </w:r>
      <w:r>
        <w:t>tension between 3 and 5.  There are two sorts of mathematicians</w:t>
      </w:r>
      <w:r w:rsidR="00DA0FEA">
        <w:t xml:space="preserve">: the ones who, when presented with a new mathematical structure ask, </w:t>
      </w:r>
      <w:r w:rsidR="0074489A">
        <w:t>‘</w:t>
      </w:r>
      <w:r w:rsidR="00DA0FEA">
        <w:t>What is an example of this?</w:t>
      </w:r>
      <w:r w:rsidR="0074489A">
        <w:t>’</w:t>
      </w:r>
      <w:r w:rsidR="00DA0FEA">
        <w:t xml:space="preserve"> and the ones who ask, </w:t>
      </w:r>
      <w:r w:rsidR="0074489A">
        <w:t>‘</w:t>
      </w:r>
      <w:r w:rsidR="00DA0FEA">
        <w:t>What is this an example of?</w:t>
      </w:r>
      <w:r w:rsidR="0074489A">
        <w:t>’</w:t>
      </w:r>
      <w:r w:rsidR="00DA0FEA">
        <w:t xml:space="preserve">  </w:t>
      </w:r>
    </w:p>
  </w:footnote>
  <w:footnote w:id="14">
    <w:p w14:paraId="07B9EE0B" w14:textId="734326F9" w:rsidR="004935AB" w:rsidRPr="00437F7D" w:rsidRDefault="004935AB" w:rsidP="004935AB">
      <w:pPr>
        <w:pStyle w:val="FootnoteText"/>
        <w:rPr>
          <w:lang w:val="en-US"/>
        </w:rPr>
      </w:pPr>
      <w:r>
        <w:rPr>
          <w:rStyle w:val="FootnoteReference"/>
        </w:rPr>
        <w:footnoteRef/>
      </w:r>
      <w:r>
        <w:t xml:space="preserve"> </w:t>
      </w:r>
      <w:r>
        <w:rPr>
          <w:lang w:val="en-US"/>
        </w:rPr>
        <w:t>I owe this observation to a comment by Dirk Schlimm</w:t>
      </w:r>
      <w:r w:rsidR="005E63A8">
        <w:rPr>
          <w:lang w:val="en-US"/>
        </w:rPr>
        <w:t xml:space="preserve"> at the 2020 meeting of the Association for the Philosophy of Mathematical Practice</w:t>
      </w:r>
      <w:r w:rsidR="00837A38">
        <w:rPr>
          <w:lang w:val="en-US"/>
        </w:rPr>
        <w:t>, during the Q&amp;A of Avigad’s presentation of his paper</w:t>
      </w:r>
      <w:r>
        <w:rPr>
          <w:lang w:val="en-US"/>
        </w:rPr>
        <w:t xml:space="preserve">. </w:t>
      </w:r>
    </w:p>
  </w:footnote>
  <w:footnote w:id="15">
    <w:p w14:paraId="1A13240C" w14:textId="18BDC43E" w:rsidR="007B45B0" w:rsidRPr="007B45B0" w:rsidRDefault="007B45B0">
      <w:pPr>
        <w:pStyle w:val="FootnoteText"/>
      </w:pPr>
      <w:r>
        <w:rPr>
          <w:rStyle w:val="FootnoteReference"/>
        </w:rPr>
        <w:footnoteRef/>
      </w:r>
      <w:r>
        <w:t xml:space="preserve"> </w:t>
      </w:r>
      <w:r w:rsidR="000263AD">
        <w:t>S</w:t>
      </w:r>
      <w:r>
        <w:t xml:space="preserve">ee </w:t>
      </w:r>
      <w:r w:rsidR="004D6C1E">
        <w:t>Larvor (</w:t>
      </w:r>
      <w:r w:rsidR="00496266">
        <w:t>2012, 2019).</w:t>
      </w:r>
    </w:p>
  </w:footnote>
  <w:footnote w:id="16">
    <w:p w14:paraId="6C085981" w14:textId="1320D1A6" w:rsidR="00331D52" w:rsidRPr="00331D52" w:rsidRDefault="00331D52">
      <w:pPr>
        <w:pStyle w:val="FootnoteText"/>
        <w:rPr>
          <w:lang w:val="en-US"/>
        </w:rPr>
      </w:pPr>
      <w:r>
        <w:rPr>
          <w:rStyle w:val="FootnoteReference"/>
        </w:rPr>
        <w:footnoteRef/>
      </w:r>
      <w:r>
        <w:t xml:space="preserve"> </w:t>
      </w:r>
      <w:r>
        <w:rPr>
          <w:lang w:val="en-US"/>
        </w:rPr>
        <w:t xml:space="preserve">Avigad says that, </w:t>
      </w:r>
      <w:r w:rsidR="0074489A">
        <w:rPr>
          <w:lang w:val="en-US"/>
        </w:rPr>
        <w:t>‘</w:t>
      </w:r>
      <w:r>
        <w:rPr>
          <w:lang w:val="en-US"/>
        </w:rPr>
        <w:t xml:space="preserve">Hamami’s </w:t>
      </w:r>
      <w:r w:rsidR="00B80658">
        <w:rPr>
          <w:lang w:val="en-US"/>
        </w:rPr>
        <w:t>model is essentially correct</w:t>
      </w:r>
      <w:r w:rsidR="00BB117A">
        <w:rPr>
          <w:lang w:val="en-US"/>
        </w:rPr>
        <w:t>…</w:t>
      </w:r>
      <w:r w:rsidR="0074489A">
        <w:rPr>
          <w:lang w:val="en-US"/>
        </w:rPr>
        <w:t>’</w:t>
      </w:r>
      <w:r w:rsidR="00BB117A">
        <w:rPr>
          <w:lang w:val="en-US"/>
        </w:rPr>
        <w:t xml:space="preserve"> </w:t>
      </w:r>
      <w:r w:rsidR="004A27F7">
        <w:rPr>
          <w:lang w:val="en-US"/>
        </w:rPr>
        <w:t xml:space="preserve">(2020, p. 15). </w:t>
      </w:r>
      <w:r w:rsidR="00BB117A">
        <w:rPr>
          <w:lang w:val="en-US"/>
        </w:rPr>
        <w:t xml:space="preserve"> </w:t>
      </w:r>
      <w:r w:rsidR="003E54B9">
        <w:rPr>
          <w:lang w:val="en-US"/>
        </w:rPr>
        <w:t xml:space="preserve">‘Essentially’ here warns us not to </w:t>
      </w:r>
      <w:r w:rsidR="005331A3">
        <w:rPr>
          <w:lang w:val="en-US"/>
        </w:rPr>
        <w:t xml:space="preserve">hold Avigad responsible for </w:t>
      </w:r>
      <w:r w:rsidR="003E54B9">
        <w:rPr>
          <w:lang w:val="en-US"/>
        </w:rPr>
        <w:t xml:space="preserve">every </w:t>
      </w:r>
      <w:r w:rsidR="003032FB">
        <w:rPr>
          <w:lang w:val="en-US"/>
        </w:rPr>
        <w:t xml:space="preserve">nuance of Hamami’s </w:t>
      </w:r>
      <w:r w:rsidR="005331A3">
        <w:rPr>
          <w:lang w:val="en-US"/>
        </w:rPr>
        <w:t>elaboration of the Standard View</w:t>
      </w:r>
      <w:r w:rsidR="00715AF9">
        <w:rPr>
          <w:lang w:val="en-US"/>
        </w:rPr>
        <w:t>.</w:t>
      </w:r>
    </w:p>
  </w:footnote>
  <w:footnote w:id="17">
    <w:p w14:paraId="509657B3" w14:textId="6AC2CC20" w:rsidR="00D64447" w:rsidRPr="00D64447" w:rsidRDefault="00D64447">
      <w:pPr>
        <w:pStyle w:val="FootnoteText"/>
        <w:rPr>
          <w:lang w:val="en-US"/>
        </w:rPr>
      </w:pPr>
      <w:r>
        <w:rPr>
          <w:rStyle w:val="FootnoteReference"/>
        </w:rPr>
        <w:footnoteRef/>
      </w:r>
      <w:r>
        <w:t xml:space="preserve"> </w:t>
      </w:r>
      <w:r>
        <w:rPr>
          <w:lang w:val="en-US"/>
        </w:rPr>
        <w:t xml:space="preserve">From the abstract.  Italics in original.  </w:t>
      </w:r>
    </w:p>
  </w:footnote>
  <w:footnote w:id="18">
    <w:p w14:paraId="6896F6D5" w14:textId="66041808" w:rsidR="00141E67" w:rsidRPr="00141E67" w:rsidRDefault="00141E67">
      <w:pPr>
        <w:pStyle w:val="FootnoteText"/>
        <w:rPr>
          <w:lang w:val="en-US"/>
        </w:rPr>
      </w:pPr>
      <w:r>
        <w:rPr>
          <w:rStyle w:val="FootnoteReference"/>
        </w:rPr>
        <w:footnoteRef/>
      </w:r>
      <w:r>
        <w:t xml:space="preserve"> </w:t>
      </w:r>
      <w:r w:rsidR="006D3AFA">
        <w:rPr>
          <w:lang w:val="en-US"/>
        </w:rPr>
        <w:t xml:space="preserve">Hamami credits this analogy to Gil Kalai </w:t>
      </w:r>
      <w:r w:rsidR="00195E3C">
        <w:rPr>
          <w:lang w:val="en-US"/>
        </w:rPr>
        <w:t>(Kalai 2008).</w:t>
      </w:r>
      <w:r w:rsidR="00921A88">
        <w:rPr>
          <w:lang w:val="en-US"/>
        </w:rPr>
        <w:t xml:space="preserve">  </w:t>
      </w:r>
      <w:r w:rsidR="00622122" w:rsidRPr="00622122">
        <w:rPr>
          <w:lang w:val="en-US"/>
        </w:rPr>
        <w:t>(</w:t>
      </w:r>
      <w:r w:rsidR="002075D7" w:rsidRPr="00622122">
        <w:rPr>
          <w:lang w:val="en-US"/>
        </w:rPr>
        <w:t xml:space="preserve">Hamami </w:t>
      </w:r>
      <w:r w:rsidR="00440CED" w:rsidRPr="00622122">
        <w:rPr>
          <w:lang w:val="en-US"/>
        </w:rPr>
        <w:t>2019</w:t>
      </w:r>
      <w:r w:rsidR="009C1EF9">
        <w:rPr>
          <w:lang w:val="en-US"/>
        </w:rPr>
        <w:t>,</w:t>
      </w:r>
      <w:r w:rsidR="00440CED" w:rsidRPr="00622122">
        <w:rPr>
          <w:lang w:val="en-US"/>
        </w:rPr>
        <w:t xml:space="preserve"> p. 30</w:t>
      </w:r>
      <w:r w:rsidR="00622122" w:rsidRPr="00622122">
        <w:rPr>
          <w:lang w:val="en-US"/>
        </w:rPr>
        <w:t>)</w:t>
      </w:r>
      <w:r w:rsidR="00EF5885">
        <w:rPr>
          <w:lang w:val="en-US"/>
        </w:rPr>
        <w:t>.</w:t>
      </w:r>
    </w:p>
  </w:footnote>
  <w:footnote w:id="19">
    <w:p w14:paraId="5167817E" w14:textId="646E40B9" w:rsidR="00F71196" w:rsidRPr="00F71196" w:rsidRDefault="00F71196">
      <w:pPr>
        <w:pStyle w:val="FootnoteText"/>
        <w:rPr>
          <w:lang w:val="en-US"/>
        </w:rPr>
      </w:pPr>
      <w:r>
        <w:rPr>
          <w:rStyle w:val="FootnoteReference"/>
        </w:rPr>
        <w:footnoteRef/>
      </w:r>
      <w:r>
        <w:t xml:space="preserve"> </w:t>
      </w:r>
      <w:r>
        <w:rPr>
          <w:lang w:val="en-US"/>
        </w:rPr>
        <w:t xml:space="preserve">See, </w:t>
      </w:r>
      <w:r>
        <w:t>e.g., De Toffoli (2017), Giardino (2017), and Manders (2008).</w:t>
      </w:r>
    </w:p>
  </w:footnote>
  <w:footnote w:id="20">
    <w:p w14:paraId="48C10D37" w14:textId="157CECB1" w:rsidR="00CB5B97" w:rsidRPr="00395D9D" w:rsidRDefault="00CB5B97" w:rsidP="00CB5B97">
      <w:pPr>
        <w:pStyle w:val="FootnoteText"/>
      </w:pPr>
      <w:r>
        <w:rPr>
          <w:rStyle w:val="FootnoteReference"/>
        </w:rPr>
        <w:footnoteRef/>
      </w:r>
      <w:r>
        <w:t xml:space="preserve"> </w:t>
      </w:r>
      <w:r w:rsidR="00AA2A78">
        <w:t xml:space="preserve">Unpublished paper.  </w:t>
      </w:r>
      <w:r w:rsidRPr="00395D9D">
        <w:t xml:space="preserve">Though this paper is unpublished, it </w:t>
      </w:r>
      <w:r>
        <w:t xml:space="preserve">is a developed piece of work and benefits from two decades of refinement.  We may therefore treat it as a reasonably reliable expression of Manders’ view.  </w:t>
      </w:r>
      <w:r w:rsidRPr="00395D9D">
        <w:t xml:space="preserve"> </w:t>
      </w:r>
    </w:p>
  </w:footnote>
  <w:footnote w:id="21">
    <w:p w14:paraId="7B322527" w14:textId="5C222EBF" w:rsidR="004C2BC3" w:rsidRPr="004C2BC3" w:rsidRDefault="004C2BC3" w:rsidP="00DE61D5">
      <w:pPr>
        <w:pStyle w:val="FootnoteText"/>
      </w:pPr>
      <w:r>
        <w:rPr>
          <w:rStyle w:val="FootnoteReference"/>
        </w:rPr>
        <w:footnoteRef/>
      </w:r>
      <w:r>
        <w:t xml:space="preserve"> </w:t>
      </w:r>
      <w:r w:rsidR="00877706">
        <w:t xml:space="preserve">Though it can </w:t>
      </w:r>
      <w:r w:rsidR="00AD2A25">
        <w:t xml:space="preserve">sometimes </w:t>
      </w:r>
      <w:r w:rsidR="00877706">
        <w:t xml:space="preserve">feel that way.  </w:t>
      </w:r>
      <w:r w:rsidR="00382986">
        <w:t xml:space="preserve">Here is Alain </w:t>
      </w:r>
      <w:proofErr w:type="spellStart"/>
      <w:r w:rsidR="00382986">
        <w:t>Connes</w:t>
      </w:r>
      <w:proofErr w:type="spellEnd"/>
      <w:r w:rsidR="00DE61D5">
        <w:t xml:space="preserve">, </w:t>
      </w:r>
      <w:r w:rsidR="0074489A">
        <w:t>‘</w:t>
      </w:r>
      <w:r w:rsidR="00A41870">
        <w:t>…when a mathematician works, he is in fact reflecting up on a certain field, in which he encounters mathematical beings</w:t>
      </w:r>
      <w:r w:rsidR="005F50C0">
        <w:t xml:space="preserve">, and ends up playing with them, until they become familiar to him… After a time… either </w:t>
      </w:r>
      <w:r w:rsidR="00DE6109">
        <w:t>we get nowhere,… or e</w:t>
      </w:r>
      <w:r w:rsidR="002535BE">
        <w:t>l</w:t>
      </w:r>
      <w:r w:rsidR="00DE6109">
        <w:t>se we manage to get hold of some result</w:t>
      </w:r>
      <w:r w:rsidR="00DE6109" w:rsidRPr="008924D8">
        <w:t>.  Then begins the onerous task</w:t>
      </w:r>
      <w:r w:rsidR="00A15884" w:rsidRPr="008924D8">
        <w:t>—the obligation to write up for the benefit of the mathematical community a polished article that is as compelling as possible.</w:t>
      </w:r>
      <w:r w:rsidR="0074489A">
        <w:t>’</w:t>
      </w:r>
      <w:r w:rsidR="00AD2902" w:rsidRPr="008924D8">
        <w:t xml:space="preserve"> (</w:t>
      </w:r>
      <w:proofErr w:type="spellStart"/>
      <w:r w:rsidR="00AD2902" w:rsidRPr="008924D8">
        <w:rPr>
          <w:rFonts w:cstheme="minorHAnsi"/>
          <w:color w:val="222222"/>
          <w:shd w:val="clear" w:color="auto" w:fill="FFFFFF"/>
        </w:rPr>
        <w:t>Connes</w:t>
      </w:r>
      <w:proofErr w:type="spellEnd"/>
      <w:r w:rsidR="00AD2902" w:rsidRPr="008924D8">
        <w:rPr>
          <w:rFonts w:cstheme="minorHAnsi"/>
          <w:color w:val="222222"/>
          <w:shd w:val="clear" w:color="auto" w:fill="FFFFFF"/>
        </w:rPr>
        <w:t xml:space="preserve">, </w:t>
      </w:r>
      <w:proofErr w:type="spellStart"/>
      <w:r w:rsidR="00AD2902" w:rsidRPr="008924D8">
        <w:rPr>
          <w:rFonts w:cstheme="minorHAnsi"/>
          <w:color w:val="222222"/>
          <w:shd w:val="clear" w:color="auto" w:fill="FFFFFF"/>
        </w:rPr>
        <w:t>Lichnerowicz</w:t>
      </w:r>
      <w:proofErr w:type="spellEnd"/>
      <w:r w:rsidR="00AD2902" w:rsidRPr="008924D8">
        <w:rPr>
          <w:rFonts w:cstheme="minorHAnsi"/>
          <w:color w:val="222222"/>
          <w:shd w:val="clear" w:color="auto" w:fill="FFFFFF"/>
        </w:rPr>
        <w:t xml:space="preserve">, &amp; </w:t>
      </w:r>
      <w:proofErr w:type="spellStart"/>
      <w:r w:rsidR="00AD2902" w:rsidRPr="008924D8">
        <w:rPr>
          <w:rFonts w:cstheme="minorHAnsi"/>
          <w:color w:val="222222"/>
          <w:shd w:val="clear" w:color="auto" w:fill="FFFFFF"/>
        </w:rPr>
        <w:t>Schützenberger</w:t>
      </w:r>
      <w:proofErr w:type="spellEnd"/>
      <w:r w:rsidR="00AD2902" w:rsidRPr="008924D8">
        <w:rPr>
          <w:rFonts w:cstheme="minorHAnsi"/>
          <w:color w:val="222222"/>
          <w:shd w:val="clear" w:color="auto" w:fill="FFFFFF"/>
        </w:rPr>
        <w:t>, 2001, p. 24f).</w:t>
      </w:r>
      <w:r w:rsidR="008924D8">
        <w:rPr>
          <w:rFonts w:cstheme="minorHAnsi"/>
          <w:color w:val="222222"/>
          <w:shd w:val="clear" w:color="auto" w:fill="FFFFFF"/>
        </w:rPr>
        <w:t xml:space="preserve">  </w:t>
      </w:r>
      <w:proofErr w:type="spellStart"/>
      <w:r w:rsidR="00951647">
        <w:rPr>
          <w:rFonts w:cstheme="minorHAnsi"/>
          <w:color w:val="222222"/>
          <w:shd w:val="clear" w:color="auto" w:fill="FFFFFF"/>
        </w:rPr>
        <w:t>Connes</w:t>
      </w:r>
      <w:proofErr w:type="spellEnd"/>
      <w:r w:rsidR="00951647">
        <w:rPr>
          <w:rFonts w:cstheme="minorHAnsi"/>
          <w:color w:val="222222"/>
          <w:shd w:val="clear" w:color="auto" w:fill="FFFFFF"/>
        </w:rPr>
        <w:t xml:space="preserve"> insists that these are </w:t>
      </w:r>
      <w:r w:rsidR="00242331">
        <w:rPr>
          <w:rFonts w:cstheme="minorHAnsi"/>
          <w:color w:val="222222"/>
          <w:shd w:val="clear" w:color="auto" w:fill="FFFFFF"/>
        </w:rPr>
        <w:t xml:space="preserve">two wholly distinct types of activity.  Nevertheless, one supplies materials for the other—untranslated.  </w:t>
      </w:r>
    </w:p>
  </w:footnote>
  <w:footnote w:id="22">
    <w:p w14:paraId="246FBA88" w14:textId="33E57D84" w:rsidR="001247E2" w:rsidRPr="001247E2" w:rsidRDefault="001247E2">
      <w:pPr>
        <w:pStyle w:val="FootnoteText"/>
        <w:rPr>
          <w:lang w:val="en-US"/>
        </w:rPr>
      </w:pPr>
      <w:r>
        <w:rPr>
          <w:rStyle w:val="FootnoteReference"/>
        </w:rPr>
        <w:footnoteRef/>
      </w:r>
      <w:r>
        <w:t xml:space="preserve"> I</w:t>
      </w:r>
      <w:r w:rsidRPr="00CF5225">
        <w:rPr>
          <w:rFonts w:cstheme="minorHAnsi"/>
        </w:rPr>
        <w:t xml:space="preserve">magine pushing one potato surface into the other, so that they intersect.  The intersection is the required common loop.  </w:t>
      </w:r>
      <w:r w:rsidR="004875A8">
        <w:rPr>
          <w:rFonts w:cstheme="minorHAnsi"/>
        </w:rPr>
        <w:t xml:space="preserve">Proof taken from Tim Gowers’ </w:t>
      </w:r>
      <w:proofErr w:type="spellStart"/>
      <w:r w:rsidR="004875A8">
        <w:rPr>
          <w:rFonts w:cstheme="minorHAnsi"/>
        </w:rPr>
        <w:t>Twitterfeed</w:t>
      </w:r>
      <w:proofErr w:type="spellEnd"/>
      <w:r w:rsidR="004875A8">
        <w:rPr>
          <w:rFonts w:cstheme="minorHAnsi"/>
        </w:rPr>
        <w:t xml:space="preserve">.  </w:t>
      </w:r>
    </w:p>
  </w:footnote>
  <w:footnote w:id="23">
    <w:p w14:paraId="420B7BAF" w14:textId="4F776C85" w:rsidR="002E3201" w:rsidRPr="002E3201" w:rsidRDefault="002E3201">
      <w:pPr>
        <w:pStyle w:val="FootnoteText"/>
        <w:rPr>
          <w:lang w:val="en-US"/>
        </w:rPr>
      </w:pPr>
      <w:r>
        <w:rPr>
          <w:rStyle w:val="FootnoteReference"/>
        </w:rPr>
        <w:footnoteRef/>
      </w:r>
      <w:r>
        <w:t xml:space="preserve"> </w:t>
      </w:r>
      <w:r w:rsidR="0051140A">
        <w:rPr>
          <w:lang w:val="en-US"/>
        </w:rPr>
        <w:t>Personal communication</w:t>
      </w:r>
      <w:r w:rsidR="00B348AC">
        <w:rPr>
          <w:lang w:val="en-US"/>
        </w:rPr>
        <w:t xml:space="preserve"> at the APMP conference in Zurich, 2020</w:t>
      </w:r>
      <w:r w:rsidR="0051140A">
        <w:rPr>
          <w:lang w:val="en-US"/>
        </w:rPr>
        <w:t xml:space="preserve">. </w:t>
      </w:r>
    </w:p>
  </w:footnote>
  <w:footnote w:id="24">
    <w:p w14:paraId="0551140C" w14:textId="29D4C337" w:rsidR="00E054C5" w:rsidRPr="00E054C5" w:rsidRDefault="00E054C5">
      <w:pPr>
        <w:pStyle w:val="FootnoteText"/>
        <w:rPr>
          <w:lang w:val="en-US"/>
        </w:rPr>
      </w:pPr>
      <w:r>
        <w:rPr>
          <w:rStyle w:val="FootnoteReference"/>
        </w:rPr>
        <w:footnoteRef/>
      </w:r>
      <w:r>
        <w:t xml:space="preserve"> </w:t>
      </w:r>
      <w:r w:rsidRPr="00E054C5">
        <w:rPr>
          <w:lang w:val="en-US"/>
        </w:rPr>
        <w:t xml:space="preserve">For a spectacular recent example, see </w:t>
      </w:r>
      <w:r w:rsidRPr="00E054C5">
        <w:rPr>
          <w:rFonts w:cstheme="minorHAnsi"/>
          <w:color w:val="222222"/>
          <w:shd w:val="clear" w:color="auto" w:fill="FFFFFF"/>
        </w:rPr>
        <w:t>Castelvecchi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684D7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329B4"/>
    <w:multiLevelType w:val="hybridMultilevel"/>
    <w:tmpl w:val="4D8E9C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C33A76"/>
    <w:multiLevelType w:val="hybridMultilevel"/>
    <w:tmpl w:val="DFAA0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2A35B1"/>
    <w:multiLevelType w:val="hybridMultilevel"/>
    <w:tmpl w:val="BD7E46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B24267"/>
    <w:multiLevelType w:val="hybridMultilevel"/>
    <w:tmpl w:val="30F6C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5F5B73"/>
    <w:multiLevelType w:val="hybridMultilevel"/>
    <w:tmpl w:val="28128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0666470">
    <w:abstractNumId w:val="5"/>
  </w:num>
  <w:num w:numId="2" w16cid:durableId="1485008674">
    <w:abstractNumId w:val="1"/>
  </w:num>
  <w:num w:numId="3" w16cid:durableId="1949727896">
    <w:abstractNumId w:val="2"/>
  </w:num>
  <w:num w:numId="4" w16cid:durableId="1710757104">
    <w:abstractNumId w:val="4"/>
  </w:num>
  <w:num w:numId="5" w16cid:durableId="545723690">
    <w:abstractNumId w:val="3"/>
  </w:num>
  <w:num w:numId="6" w16cid:durableId="247882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E71"/>
    <w:rsid w:val="00002052"/>
    <w:rsid w:val="000025DB"/>
    <w:rsid w:val="00002B2D"/>
    <w:rsid w:val="0000450F"/>
    <w:rsid w:val="000046AB"/>
    <w:rsid w:val="000051DD"/>
    <w:rsid w:val="000062FF"/>
    <w:rsid w:val="000070C4"/>
    <w:rsid w:val="00010D91"/>
    <w:rsid w:val="00011980"/>
    <w:rsid w:val="00012002"/>
    <w:rsid w:val="00012979"/>
    <w:rsid w:val="000129C5"/>
    <w:rsid w:val="00013CC7"/>
    <w:rsid w:val="00014CF7"/>
    <w:rsid w:val="0001634E"/>
    <w:rsid w:val="00022466"/>
    <w:rsid w:val="000263AD"/>
    <w:rsid w:val="00026704"/>
    <w:rsid w:val="00026FB9"/>
    <w:rsid w:val="00031335"/>
    <w:rsid w:val="0003405E"/>
    <w:rsid w:val="000354A8"/>
    <w:rsid w:val="00036662"/>
    <w:rsid w:val="00037B1B"/>
    <w:rsid w:val="0004084A"/>
    <w:rsid w:val="00040D6B"/>
    <w:rsid w:val="00042544"/>
    <w:rsid w:val="000443DF"/>
    <w:rsid w:val="000456DD"/>
    <w:rsid w:val="00050600"/>
    <w:rsid w:val="0005385B"/>
    <w:rsid w:val="000548CC"/>
    <w:rsid w:val="000550A9"/>
    <w:rsid w:val="0005572A"/>
    <w:rsid w:val="000558A5"/>
    <w:rsid w:val="000575AA"/>
    <w:rsid w:val="00057CFA"/>
    <w:rsid w:val="00060F4E"/>
    <w:rsid w:val="000619DE"/>
    <w:rsid w:val="00061F7C"/>
    <w:rsid w:val="000641C5"/>
    <w:rsid w:val="000656B5"/>
    <w:rsid w:val="000667F9"/>
    <w:rsid w:val="000672F1"/>
    <w:rsid w:val="00067C6E"/>
    <w:rsid w:val="00070D76"/>
    <w:rsid w:val="00073068"/>
    <w:rsid w:val="000735E0"/>
    <w:rsid w:val="00073B4D"/>
    <w:rsid w:val="00075BE5"/>
    <w:rsid w:val="00076259"/>
    <w:rsid w:val="00076322"/>
    <w:rsid w:val="00076A62"/>
    <w:rsid w:val="00081BBE"/>
    <w:rsid w:val="00085A12"/>
    <w:rsid w:val="0008644D"/>
    <w:rsid w:val="00087B26"/>
    <w:rsid w:val="000908FD"/>
    <w:rsid w:val="000948F2"/>
    <w:rsid w:val="0009521D"/>
    <w:rsid w:val="00096816"/>
    <w:rsid w:val="00096D10"/>
    <w:rsid w:val="000A0212"/>
    <w:rsid w:val="000A1661"/>
    <w:rsid w:val="000A2A61"/>
    <w:rsid w:val="000A4928"/>
    <w:rsid w:val="000A4D25"/>
    <w:rsid w:val="000A512C"/>
    <w:rsid w:val="000A6BBB"/>
    <w:rsid w:val="000A765A"/>
    <w:rsid w:val="000B0B97"/>
    <w:rsid w:val="000B6C3C"/>
    <w:rsid w:val="000B7899"/>
    <w:rsid w:val="000C11C7"/>
    <w:rsid w:val="000C4294"/>
    <w:rsid w:val="000D0325"/>
    <w:rsid w:val="000D1D8A"/>
    <w:rsid w:val="000D25F8"/>
    <w:rsid w:val="000D6A77"/>
    <w:rsid w:val="000D6FA1"/>
    <w:rsid w:val="000D7864"/>
    <w:rsid w:val="000E00EF"/>
    <w:rsid w:val="000E05CA"/>
    <w:rsid w:val="000E188B"/>
    <w:rsid w:val="000E29A2"/>
    <w:rsid w:val="000E409F"/>
    <w:rsid w:val="000E4135"/>
    <w:rsid w:val="000E4417"/>
    <w:rsid w:val="000E47D6"/>
    <w:rsid w:val="000E4856"/>
    <w:rsid w:val="000E51BC"/>
    <w:rsid w:val="000E5986"/>
    <w:rsid w:val="000E5D18"/>
    <w:rsid w:val="000E6464"/>
    <w:rsid w:val="000E6F09"/>
    <w:rsid w:val="000E7DD8"/>
    <w:rsid w:val="000F043A"/>
    <w:rsid w:val="000F12DD"/>
    <w:rsid w:val="000F6441"/>
    <w:rsid w:val="000F6FBA"/>
    <w:rsid w:val="00100599"/>
    <w:rsid w:val="0010147E"/>
    <w:rsid w:val="0010242E"/>
    <w:rsid w:val="00104138"/>
    <w:rsid w:val="00104DF0"/>
    <w:rsid w:val="00105B10"/>
    <w:rsid w:val="0010648F"/>
    <w:rsid w:val="001071F5"/>
    <w:rsid w:val="00107B57"/>
    <w:rsid w:val="0011218D"/>
    <w:rsid w:val="0011236D"/>
    <w:rsid w:val="00114642"/>
    <w:rsid w:val="001164BC"/>
    <w:rsid w:val="0011685F"/>
    <w:rsid w:val="00122BB2"/>
    <w:rsid w:val="001236AB"/>
    <w:rsid w:val="00124079"/>
    <w:rsid w:val="001247E2"/>
    <w:rsid w:val="00127CA9"/>
    <w:rsid w:val="0013063A"/>
    <w:rsid w:val="00130BA0"/>
    <w:rsid w:val="00130E08"/>
    <w:rsid w:val="001316FF"/>
    <w:rsid w:val="00131E87"/>
    <w:rsid w:val="00133CBC"/>
    <w:rsid w:val="001350CE"/>
    <w:rsid w:val="0013661E"/>
    <w:rsid w:val="00136BE4"/>
    <w:rsid w:val="00137277"/>
    <w:rsid w:val="001411CB"/>
    <w:rsid w:val="00141432"/>
    <w:rsid w:val="00141ADE"/>
    <w:rsid w:val="00141E67"/>
    <w:rsid w:val="00144C33"/>
    <w:rsid w:val="00147CAA"/>
    <w:rsid w:val="001520AA"/>
    <w:rsid w:val="0015234A"/>
    <w:rsid w:val="001529C7"/>
    <w:rsid w:val="0015384E"/>
    <w:rsid w:val="00153C46"/>
    <w:rsid w:val="00155304"/>
    <w:rsid w:val="00155586"/>
    <w:rsid w:val="001572DA"/>
    <w:rsid w:val="00162F4E"/>
    <w:rsid w:val="001634E4"/>
    <w:rsid w:val="00166A98"/>
    <w:rsid w:val="00170F85"/>
    <w:rsid w:val="00172757"/>
    <w:rsid w:val="0017344C"/>
    <w:rsid w:val="001775B9"/>
    <w:rsid w:val="0018079B"/>
    <w:rsid w:val="001807F6"/>
    <w:rsid w:val="0018111C"/>
    <w:rsid w:val="001816D9"/>
    <w:rsid w:val="001835B1"/>
    <w:rsid w:val="00184B5C"/>
    <w:rsid w:val="00184E00"/>
    <w:rsid w:val="00185B4C"/>
    <w:rsid w:val="001861E0"/>
    <w:rsid w:val="0018666F"/>
    <w:rsid w:val="0018711A"/>
    <w:rsid w:val="001879EF"/>
    <w:rsid w:val="00187AEF"/>
    <w:rsid w:val="00190360"/>
    <w:rsid w:val="00190916"/>
    <w:rsid w:val="001919E0"/>
    <w:rsid w:val="00193183"/>
    <w:rsid w:val="00193B14"/>
    <w:rsid w:val="001940B0"/>
    <w:rsid w:val="00194B19"/>
    <w:rsid w:val="00195E3C"/>
    <w:rsid w:val="00195E76"/>
    <w:rsid w:val="00197511"/>
    <w:rsid w:val="001A3615"/>
    <w:rsid w:val="001A3755"/>
    <w:rsid w:val="001A5C59"/>
    <w:rsid w:val="001A6D2A"/>
    <w:rsid w:val="001A6E43"/>
    <w:rsid w:val="001A7883"/>
    <w:rsid w:val="001B0096"/>
    <w:rsid w:val="001B0584"/>
    <w:rsid w:val="001B0791"/>
    <w:rsid w:val="001B083B"/>
    <w:rsid w:val="001B109F"/>
    <w:rsid w:val="001B3A55"/>
    <w:rsid w:val="001B4045"/>
    <w:rsid w:val="001B422B"/>
    <w:rsid w:val="001B66CD"/>
    <w:rsid w:val="001B7590"/>
    <w:rsid w:val="001C16C1"/>
    <w:rsid w:val="001C2E22"/>
    <w:rsid w:val="001C3B84"/>
    <w:rsid w:val="001C5D1D"/>
    <w:rsid w:val="001C6DE4"/>
    <w:rsid w:val="001C78D2"/>
    <w:rsid w:val="001D065F"/>
    <w:rsid w:val="001D3C99"/>
    <w:rsid w:val="001D4BFA"/>
    <w:rsid w:val="001D7CE8"/>
    <w:rsid w:val="001E12F2"/>
    <w:rsid w:val="001E14BD"/>
    <w:rsid w:val="001E2BA7"/>
    <w:rsid w:val="001E37EC"/>
    <w:rsid w:val="001E4FEF"/>
    <w:rsid w:val="001E5FF9"/>
    <w:rsid w:val="001E64B6"/>
    <w:rsid w:val="001F29C6"/>
    <w:rsid w:val="001F4861"/>
    <w:rsid w:val="001F48CE"/>
    <w:rsid w:val="001F53DC"/>
    <w:rsid w:val="001F6908"/>
    <w:rsid w:val="002000A7"/>
    <w:rsid w:val="00200A0E"/>
    <w:rsid w:val="00201053"/>
    <w:rsid w:val="00203AB4"/>
    <w:rsid w:val="002075D7"/>
    <w:rsid w:val="002101DB"/>
    <w:rsid w:val="002101EC"/>
    <w:rsid w:val="00210AE7"/>
    <w:rsid w:val="00212345"/>
    <w:rsid w:val="0021265A"/>
    <w:rsid w:val="0022015E"/>
    <w:rsid w:val="002207AF"/>
    <w:rsid w:val="00220F29"/>
    <w:rsid w:val="002211AE"/>
    <w:rsid w:val="0022154F"/>
    <w:rsid w:val="002218C8"/>
    <w:rsid w:val="00222B83"/>
    <w:rsid w:val="00222D82"/>
    <w:rsid w:val="00222EBE"/>
    <w:rsid w:val="002304F1"/>
    <w:rsid w:val="00232380"/>
    <w:rsid w:val="00232BF5"/>
    <w:rsid w:val="0023326C"/>
    <w:rsid w:val="0023473E"/>
    <w:rsid w:val="002350D4"/>
    <w:rsid w:val="002408E4"/>
    <w:rsid w:val="00240F0F"/>
    <w:rsid w:val="002420CF"/>
    <w:rsid w:val="00242198"/>
    <w:rsid w:val="00242331"/>
    <w:rsid w:val="00242612"/>
    <w:rsid w:val="00242D38"/>
    <w:rsid w:val="00245D10"/>
    <w:rsid w:val="00246631"/>
    <w:rsid w:val="0024672F"/>
    <w:rsid w:val="00247052"/>
    <w:rsid w:val="00250A64"/>
    <w:rsid w:val="00252D38"/>
    <w:rsid w:val="002535BE"/>
    <w:rsid w:val="00254406"/>
    <w:rsid w:val="00254649"/>
    <w:rsid w:val="002612B0"/>
    <w:rsid w:val="0026272A"/>
    <w:rsid w:val="0026275A"/>
    <w:rsid w:val="0026290A"/>
    <w:rsid w:val="00264155"/>
    <w:rsid w:val="002673B5"/>
    <w:rsid w:val="00270F85"/>
    <w:rsid w:val="00271C21"/>
    <w:rsid w:val="00275649"/>
    <w:rsid w:val="0027584F"/>
    <w:rsid w:val="002765E8"/>
    <w:rsid w:val="002774AF"/>
    <w:rsid w:val="002819EF"/>
    <w:rsid w:val="0028238B"/>
    <w:rsid w:val="002838B0"/>
    <w:rsid w:val="00283A09"/>
    <w:rsid w:val="00285A65"/>
    <w:rsid w:val="00286FB4"/>
    <w:rsid w:val="00291449"/>
    <w:rsid w:val="0029220B"/>
    <w:rsid w:val="002937EE"/>
    <w:rsid w:val="00293D6B"/>
    <w:rsid w:val="002A0230"/>
    <w:rsid w:val="002A13C2"/>
    <w:rsid w:val="002A4990"/>
    <w:rsid w:val="002A5891"/>
    <w:rsid w:val="002A5E12"/>
    <w:rsid w:val="002A6852"/>
    <w:rsid w:val="002B0CD9"/>
    <w:rsid w:val="002B18F7"/>
    <w:rsid w:val="002B3A2B"/>
    <w:rsid w:val="002B5816"/>
    <w:rsid w:val="002B5850"/>
    <w:rsid w:val="002B672E"/>
    <w:rsid w:val="002B6D76"/>
    <w:rsid w:val="002C2AE4"/>
    <w:rsid w:val="002C2FE2"/>
    <w:rsid w:val="002C36DB"/>
    <w:rsid w:val="002C45D0"/>
    <w:rsid w:val="002C4F6B"/>
    <w:rsid w:val="002C5705"/>
    <w:rsid w:val="002C59C3"/>
    <w:rsid w:val="002D0C5F"/>
    <w:rsid w:val="002D2687"/>
    <w:rsid w:val="002D3732"/>
    <w:rsid w:val="002D6CA5"/>
    <w:rsid w:val="002D7146"/>
    <w:rsid w:val="002D73C1"/>
    <w:rsid w:val="002D7884"/>
    <w:rsid w:val="002D7E07"/>
    <w:rsid w:val="002E3201"/>
    <w:rsid w:val="002E3657"/>
    <w:rsid w:val="002E55B9"/>
    <w:rsid w:val="002E5890"/>
    <w:rsid w:val="002E678D"/>
    <w:rsid w:val="002E7930"/>
    <w:rsid w:val="002F0C92"/>
    <w:rsid w:val="002F3037"/>
    <w:rsid w:val="002F4961"/>
    <w:rsid w:val="002F4DFC"/>
    <w:rsid w:val="002F5365"/>
    <w:rsid w:val="002F5FE4"/>
    <w:rsid w:val="00300486"/>
    <w:rsid w:val="0030165E"/>
    <w:rsid w:val="00301D78"/>
    <w:rsid w:val="003026D5"/>
    <w:rsid w:val="003029A7"/>
    <w:rsid w:val="00303198"/>
    <w:rsid w:val="003032FB"/>
    <w:rsid w:val="00303330"/>
    <w:rsid w:val="003044D2"/>
    <w:rsid w:val="00305969"/>
    <w:rsid w:val="0030600E"/>
    <w:rsid w:val="00313BFA"/>
    <w:rsid w:val="003148B7"/>
    <w:rsid w:val="00314923"/>
    <w:rsid w:val="00315128"/>
    <w:rsid w:val="0031557D"/>
    <w:rsid w:val="0032011B"/>
    <w:rsid w:val="00320945"/>
    <w:rsid w:val="003218FF"/>
    <w:rsid w:val="00321BAC"/>
    <w:rsid w:val="00321C71"/>
    <w:rsid w:val="00322B7F"/>
    <w:rsid w:val="0032554B"/>
    <w:rsid w:val="0032579B"/>
    <w:rsid w:val="003264C0"/>
    <w:rsid w:val="0032733A"/>
    <w:rsid w:val="00330CF7"/>
    <w:rsid w:val="00331D52"/>
    <w:rsid w:val="003330FC"/>
    <w:rsid w:val="00333F7C"/>
    <w:rsid w:val="0033659D"/>
    <w:rsid w:val="0033742F"/>
    <w:rsid w:val="0033744F"/>
    <w:rsid w:val="00341AEC"/>
    <w:rsid w:val="003440F7"/>
    <w:rsid w:val="0034630F"/>
    <w:rsid w:val="00347C60"/>
    <w:rsid w:val="003500F8"/>
    <w:rsid w:val="00351D2D"/>
    <w:rsid w:val="00352DAD"/>
    <w:rsid w:val="00354205"/>
    <w:rsid w:val="0035466A"/>
    <w:rsid w:val="003558F1"/>
    <w:rsid w:val="00356C27"/>
    <w:rsid w:val="00360934"/>
    <w:rsid w:val="00360C89"/>
    <w:rsid w:val="00360D6F"/>
    <w:rsid w:val="00362BDB"/>
    <w:rsid w:val="00364417"/>
    <w:rsid w:val="00364E19"/>
    <w:rsid w:val="00364E43"/>
    <w:rsid w:val="00365F03"/>
    <w:rsid w:val="00366E84"/>
    <w:rsid w:val="00367353"/>
    <w:rsid w:val="003677DA"/>
    <w:rsid w:val="00367EF4"/>
    <w:rsid w:val="003700F4"/>
    <w:rsid w:val="003712E3"/>
    <w:rsid w:val="00371E48"/>
    <w:rsid w:val="00371EB4"/>
    <w:rsid w:val="00372CE5"/>
    <w:rsid w:val="00372F75"/>
    <w:rsid w:val="003730FC"/>
    <w:rsid w:val="00375857"/>
    <w:rsid w:val="00375983"/>
    <w:rsid w:val="00375DB3"/>
    <w:rsid w:val="0037630F"/>
    <w:rsid w:val="00376410"/>
    <w:rsid w:val="0037646D"/>
    <w:rsid w:val="003765DF"/>
    <w:rsid w:val="00377839"/>
    <w:rsid w:val="00382986"/>
    <w:rsid w:val="00384988"/>
    <w:rsid w:val="003850B9"/>
    <w:rsid w:val="00386932"/>
    <w:rsid w:val="00386B33"/>
    <w:rsid w:val="00387D7E"/>
    <w:rsid w:val="0039302F"/>
    <w:rsid w:val="003A43FE"/>
    <w:rsid w:val="003A4455"/>
    <w:rsid w:val="003A55C5"/>
    <w:rsid w:val="003A7731"/>
    <w:rsid w:val="003B0B73"/>
    <w:rsid w:val="003B0CCA"/>
    <w:rsid w:val="003B16CA"/>
    <w:rsid w:val="003B1C19"/>
    <w:rsid w:val="003B3D2F"/>
    <w:rsid w:val="003B3E69"/>
    <w:rsid w:val="003B44D3"/>
    <w:rsid w:val="003B4A33"/>
    <w:rsid w:val="003B52FF"/>
    <w:rsid w:val="003B637F"/>
    <w:rsid w:val="003B6C4D"/>
    <w:rsid w:val="003B6EFD"/>
    <w:rsid w:val="003C025B"/>
    <w:rsid w:val="003C1BC8"/>
    <w:rsid w:val="003C2AB4"/>
    <w:rsid w:val="003C44AD"/>
    <w:rsid w:val="003C5F2E"/>
    <w:rsid w:val="003C7F5E"/>
    <w:rsid w:val="003D144D"/>
    <w:rsid w:val="003D32E8"/>
    <w:rsid w:val="003D3BE3"/>
    <w:rsid w:val="003D6AE6"/>
    <w:rsid w:val="003D730F"/>
    <w:rsid w:val="003D7A58"/>
    <w:rsid w:val="003E0563"/>
    <w:rsid w:val="003E153A"/>
    <w:rsid w:val="003E3BA4"/>
    <w:rsid w:val="003E4D2B"/>
    <w:rsid w:val="003E509B"/>
    <w:rsid w:val="003E54B9"/>
    <w:rsid w:val="003E7E61"/>
    <w:rsid w:val="003F2F9D"/>
    <w:rsid w:val="003F4A33"/>
    <w:rsid w:val="003F513B"/>
    <w:rsid w:val="003F530A"/>
    <w:rsid w:val="003F54B9"/>
    <w:rsid w:val="00400838"/>
    <w:rsid w:val="0040137C"/>
    <w:rsid w:val="0040561A"/>
    <w:rsid w:val="004109BA"/>
    <w:rsid w:val="00412724"/>
    <w:rsid w:val="00412A03"/>
    <w:rsid w:val="004131C7"/>
    <w:rsid w:val="00414D0D"/>
    <w:rsid w:val="00416A28"/>
    <w:rsid w:val="00417BEF"/>
    <w:rsid w:val="00421DB4"/>
    <w:rsid w:val="00423428"/>
    <w:rsid w:val="00424C95"/>
    <w:rsid w:val="004251E2"/>
    <w:rsid w:val="004264A5"/>
    <w:rsid w:val="00426636"/>
    <w:rsid w:val="00427052"/>
    <w:rsid w:val="004318E0"/>
    <w:rsid w:val="00431DBC"/>
    <w:rsid w:val="00432FCD"/>
    <w:rsid w:val="004344AE"/>
    <w:rsid w:val="00437F7D"/>
    <w:rsid w:val="004401A1"/>
    <w:rsid w:val="00440462"/>
    <w:rsid w:val="00440770"/>
    <w:rsid w:val="00440CED"/>
    <w:rsid w:val="0044109D"/>
    <w:rsid w:val="0044197A"/>
    <w:rsid w:val="0044482A"/>
    <w:rsid w:val="004468E1"/>
    <w:rsid w:val="00446A9E"/>
    <w:rsid w:val="00446E0E"/>
    <w:rsid w:val="00447CEE"/>
    <w:rsid w:val="00447FBB"/>
    <w:rsid w:val="00450055"/>
    <w:rsid w:val="00450A84"/>
    <w:rsid w:val="004513C9"/>
    <w:rsid w:val="00452BAE"/>
    <w:rsid w:val="00454601"/>
    <w:rsid w:val="00455E22"/>
    <w:rsid w:val="00456631"/>
    <w:rsid w:val="004567B3"/>
    <w:rsid w:val="00456FBB"/>
    <w:rsid w:val="004573C3"/>
    <w:rsid w:val="00460B97"/>
    <w:rsid w:val="00464745"/>
    <w:rsid w:val="00464E5F"/>
    <w:rsid w:val="00465FA0"/>
    <w:rsid w:val="00466471"/>
    <w:rsid w:val="00472DF2"/>
    <w:rsid w:val="004748CA"/>
    <w:rsid w:val="00474A4F"/>
    <w:rsid w:val="00474A9D"/>
    <w:rsid w:val="00475DCE"/>
    <w:rsid w:val="0047794A"/>
    <w:rsid w:val="00477F18"/>
    <w:rsid w:val="00481A52"/>
    <w:rsid w:val="00482343"/>
    <w:rsid w:val="00485C7E"/>
    <w:rsid w:val="004874A7"/>
    <w:rsid w:val="004875A8"/>
    <w:rsid w:val="00490339"/>
    <w:rsid w:val="00490B77"/>
    <w:rsid w:val="004935AB"/>
    <w:rsid w:val="00495EF2"/>
    <w:rsid w:val="00496266"/>
    <w:rsid w:val="004978D7"/>
    <w:rsid w:val="004A03E9"/>
    <w:rsid w:val="004A0D64"/>
    <w:rsid w:val="004A2611"/>
    <w:rsid w:val="004A2720"/>
    <w:rsid w:val="004A27F7"/>
    <w:rsid w:val="004A2DDC"/>
    <w:rsid w:val="004A34CB"/>
    <w:rsid w:val="004A6546"/>
    <w:rsid w:val="004A6775"/>
    <w:rsid w:val="004A696B"/>
    <w:rsid w:val="004B063A"/>
    <w:rsid w:val="004B2848"/>
    <w:rsid w:val="004B2BDB"/>
    <w:rsid w:val="004B33FF"/>
    <w:rsid w:val="004B45B3"/>
    <w:rsid w:val="004B7CA9"/>
    <w:rsid w:val="004C039B"/>
    <w:rsid w:val="004C03B9"/>
    <w:rsid w:val="004C0FCE"/>
    <w:rsid w:val="004C11D5"/>
    <w:rsid w:val="004C179D"/>
    <w:rsid w:val="004C2BC3"/>
    <w:rsid w:val="004C3368"/>
    <w:rsid w:val="004C4D3C"/>
    <w:rsid w:val="004C5557"/>
    <w:rsid w:val="004C65DC"/>
    <w:rsid w:val="004C667D"/>
    <w:rsid w:val="004D0B24"/>
    <w:rsid w:val="004D4834"/>
    <w:rsid w:val="004D6C1E"/>
    <w:rsid w:val="004D7227"/>
    <w:rsid w:val="004D7D61"/>
    <w:rsid w:val="004E28A7"/>
    <w:rsid w:val="004E3F93"/>
    <w:rsid w:val="004E681E"/>
    <w:rsid w:val="004E756B"/>
    <w:rsid w:val="004F025B"/>
    <w:rsid w:val="004F035A"/>
    <w:rsid w:val="004F3995"/>
    <w:rsid w:val="004F3DF5"/>
    <w:rsid w:val="004F3EB9"/>
    <w:rsid w:val="004F3F99"/>
    <w:rsid w:val="004F4229"/>
    <w:rsid w:val="004F474B"/>
    <w:rsid w:val="004F6605"/>
    <w:rsid w:val="004F7321"/>
    <w:rsid w:val="004F737C"/>
    <w:rsid w:val="005011D6"/>
    <w:rsid w:val="00501586"/>
    <w:rsid w:val="00502592"/>
    <w:rsid w:val="00502928"/>
    <w:rsid w:val="00503E37"/>
    <w:rsid w:val="00504B35"/>
    <w:rsid w:val="00504CFB"/>
    <w:rsid w:val="005068B7"/>
    <w:rsid w:val="0050781E"/>
    <w:rsid w:val="00507CD0"/>
    <w:rsid w:val="005106F0"/>
    <w:rsid w:val="0051140A"/>
    <w:rsid w:val="00511CC0"/>
    <w:rsid w:val="00512499"/>
    <w:rsid w:val="00512EF4"/>
    <w:rsid w:val="00513823"/>
    <w:rsid w:val="0051777A"/>
    <w:rsid w:val="00517F0D"/>
    <w:rsid w:val="00520341"/>
    <w:rsid w:val="00522935"/>
    <w:rsid w:val="0052445E"/>
    <w:rsid w:val="005247E7"/>
    <w:rsid w:val="005258BD"/>
    <w:rsid w:val="00525D82"/>
    <w:rsid w:val="005260DA"/>
    <w:rsid w:val="00527345"/>
    <w:rsid w:val="00527F33"/>
    <w:rsid w:val="005301CA"/>
    <w:rsid w:val="005302D2"/>
    <w:rsid w:val="005307CF"/>
    <w:rsid w:val="00531807"/>
    <w:rsid w:val="005327FA"/>
    <w:rsid w:val="005331A3"/>
    <w:rsid w:val="0053450E"/>
    <w:rsid w:val="00534EDB"/>
    <w:rsid w:val="00535CAF"/>
    <w:rsid w:val="0053643D"/>
    <w:rsid w:val="00536867"/>
    <w:rsid w:val="00540F8C"/>
    <w:rsid w:val="00541151"/>
    <w:rsid w:val="00542251"/>
    <w:rsid w:val="005433C3"/>
    <w:rsid w:val="00543C45"/>
    <w:rsid w:val="00543F69"/>
    <w:rsid w:val="0054655A"/>
    <w:rsid w:val="005468F4"/>
    <w:rsid w:val="00546EE4"/>
    <w:rsid w:val="00547810"/>
    <w:rsid w:val="0054787B"/>
    <w:rsid w:val="005508BE"/>
    <w:rsid w:val="00551E49"/>
    <w:rsid w:val="0055277F"/>
    <w:rsid w:val="00552DEA"/>
    <w:rsid w:val="00554302"/>
    <w:rsid w:val="00557E9B"/>
    <w:rsid w:val="005619EA"/>
    <w:rsid w:val="0056345D"/>
    <w:rsid w:val="00564899"/>
    <w:rsid w:val="00564ED9"/>
    <w:rsid w:val="00564FCE"/>
    <w:rsid w:val="00567708"/>
    <w:rsid w:val="00570C4B"/>
    <w:rsid w:val="00571F4B"/>
    <w:rsid w:val="00573029"/>
    <w:rsid w:val="005730EE"/>
    <w:rsid w:val="005756D5"/>
    <w:rsid w:val="00575FDB"/>
    <w:rsid w:val="0057622F"/>
    <w:rsid w:val="00576876"/>
    <w:rsid w:val="005802BD"/>
    <w:rsid w:val="00584A42"/>
    <w:rsid w:val="00591336"/>
    <w:rsid w:val="00592DA3"/>
    <w:rsid w:val="00594962"/>
    <w:rsid w:val="00594984"/>
    <w:rsid w:val="00596383"/>
    <w:rsid w:val="005969B7"/>
    <w:rsid w:val="005A0B02"/>
    <w:rsid w:val="005A10A8"/>
    <w:rsid w:val="005A13A1"/>
    <w:rsid w:val="005A18F9"/>
    <w:rsid w:val="005A32DC"/>
    <w:rsid w:val="005A51C7"/>
    <w:rsid w:val="005A594F"/>
    <w:rsid w:val="005A75CB"/>
    <w:rsid w:val="005A7784"/>
    <w:rsid w:val="005A7E8E"/>
    <w:rsid w:val="005B038F"/>
    <w:rsid w:val="005B079F"/>
    <w:rsid w:val="005B1100"/>
    <w:rsid w:val="005B30A9"/>
    <w:rsid w:val="005B31A0"/>
    <w:rsid w:val="005B34BF"/>
    <w:rsid w:val="005B49E7"/>
    <w:rsid w:val="005B5C3F"/>
    <w:rsid w:val="005B6169"/>
    <w:rsid w:val="005C0799"/>
    <w:rsid w:val="005C0CD4"/>
    <w:rsid w:val="005C11AE"/>
    <w:rsid w:val="005C1C0A"/>
    <w:rsid w:val="005C1C83"/>
    <w:rsid w:val="005C339B"/>
    <w:rsid w:val="005C33EC"/>
    <w:rsid w:val="005C3E3B"/>
    <w:rsid w:val="005C50D4"/>
    <w:rsid w:val="005C526B"/>
    <w:rsid w:val="005C57D6"/>
    <w:rsid w:val="005C66EE"/>
    <w:rsid w:val="005D0BD8"/>
    <w:rsid w:val="005D10F6"/>
    <w:rsid w:val="005D126D"/>
    <w:rsid w:val="005D47B0"/>
    <w:rsid w:val="005D52FC"/>
    <w:rsid w:val="005D53C3"/>
    <w:rsid w:val="005D7FDC"/>
    <w:rsid w:val="005E083B"/>
    <w:rsid w:val="005E1D18"/>
    <w:rsid w:val="005E3383"/>
    <w:rsid w:val="005E55B6"/>
    <w:rsid w:val="005E63A8"/>
    <w:rsid w:val="005F1549"/>
    <w:rsid w:val="005F46F7"/>
    <w:rsid w:val="005F474A"/>
    <w:rsid w:val="005F50C0"/>
    <w:rsid w:val="005F5776"/>
    <w:rsid w:val="00600CE6"/>
    <w:rsid w:val="00600DDB"/>
    <w:rsid w:val="0060125E"/>
    <w:rsid w:val="00601591"/>
    <w:rsid w:val="006018EB"/>
    <w:rsid w:val="00601D6F"/>
    <w:rsid w:val="006030E6"/>
    <w:rsid w:val="006050FB"/>
    <w:rsid w:val="00606E1F"/>
    <w:rsid w:val="00610B8F"/>
    <w:rsid w:val="00612CE2"/>
    <w:rsid w:val="00613A7A"/>
    <w:rsid w:val="00613DB8"/>
    <w:rsid w:val="006140D9"/>
    <w:rsid w:val="00615BFB"/>
    <w:rsid w:val="00616F07"/>
    <w:rsid w:val="0062036E"/>
    <w:rsid w:val="00620AD9"/>
    <w:rsid w:val="00621028"/>
    <w:rsid w:val="00622122"/>
    <w:rsid w:val="00624ECB"/>
    <w:rsid w:val="00625AEB"/>
    <w:rsid w:val="00625C77"/>
    <w:rsid w:val="00626065"/>
    <w:rsid w:val="00626665"/>
    <w:rsid w:val="0063009B"/>
    <w:rsid w:val="00632CEE"/>
    <w:rsid w:val="006331BD"/>
    <w:rsid w:val="006345E9"/>
    <w:rsid w:val="00637766"/>
    <w:rsid w:val="00641682"/>
    <w:rsid w:val="0064195F"/>
    <w:rsid w:val="00642996"/>
    <w:rsid w:val="00642E71"/>
    <w:rsid w:val="006439BB"/>
    <w:rsid w:val="0064479B"/>
    <w:rsid w:val="006458FB"/>
    <w:rsid w:val="006475B3"/>
    <w:rsid w:val="006500F1"/>
    <w:rsid w:val="00650B42"/>
    <w:rsid w:val="00650B8F"/>
    <w:rsid w:val="00650F1B"/>
    <w:rsid w:val="00653040"/>
    <w:rsid w:val="006531A3"/>
    <w:rsid w:val="006532BC"/>
    <w:rsid w:val="00655881"/>
    <w:rsid w:val="00655C3D"/>
    <w:rsid w:val="00657E46"/>
    <w:rsid w:val="0066082B"/>
    <w:rsid w:val="00661C3C"/>
    <w:rsid w:val="00663E27"/>
    <w:rsid w:val="0066469C"/>
    <w:rsid w:val="006648D3"/>
    <w:rsid w:val="00666F2C"/>
    <w:rsid w:val="00667F4C"/>
    <w:rsid w:val="006712D2"/>
    <w:rsid w:val="0067277D"/>
    <w:rsid w:val="00672950"/>
    <w:rsid w:val="00677B50"/>
    <w:rsid w:val="006810B8"/>
    <w:rsid w:val="006825C8"/>
    <w:rsid w:val="00682EFF"/>
    <w:rsid w:val="00685940"/>
    <w:rsid w:val="00685F61"/>
    <w:rsid w:val="00686A07"/>
    <w:rsid w:val="00687199"/>
    <w:rsid w:val="00687CC7"/>
    <w:rsid w:val="00690640"/>
    <w:rsid w:val="00692C3C"/>
    <w:rsid w:val="00693D39"/>
    <w:rsid w:val="0069474F"/>
    <w:rsid w:val="00697334"/>
    <w:rsid w:val="006A08F5"/>
    <w:rsid w:val="006A15BA"/>
    <w:rsid w:val="006A28A5"/>
    <w:rsid w:val="006A39E8"/>
    <w:rsid w:val="006A5155"/>
    <w:rsid w:val="006A53BF"/>
    <w:rsid w:val="006A6355"/>
    <w:rsid w:val="006A75D2"/>
    <w:rsid w:val="006B2B12"/>
    <w:rsid w:val="006B31EF"/>
    <w:rsid w:val="006B413C"/>
    <w:rsid w:val="006B65B8"/>
    <w:rsid w:val="006B7023"/>
    <w:rsid w:val="006B7AD2"/>
    <w:rsid w:val="006C1F82"/>
    <w:rsid w:val="006C22A5"/>
    <w:rsid w:val="006C3325"/>
    <w:rsid w:val="006D077E"/>
    <w:rsid w:val="006D233C"/>
    <w:rsid w:val="006D287D"/>
    <w:rsid w:val="006D3AFA"/>
    <w:rsid w:val="006D3F82"/>
    <w:rsid w:val="006D40BC"/>
    <w:rsid w:val="006D4298"/>
    <w:rsid w:val="006D5958"/>
    <w:rsid w:val="006D5E46"/>
    <w:rsid w:val="006D796F"/>
    <w:rsid w:val="006D7BBC"/>
    <w:rsid w:val="006E187E"/>
    <w:rsid w:val="006E4670"/>
    <w:rsid w:val="006E59FB"/>
    <w:rsid w:val="006E7A30"/>
    <w:rsid w:val="006F0DB3"/>
    <w:rsid w:val="006F29AC"/>
    <w:rsid w:val="006F2EC9"/>
    <w:rsid w:val="006F72A6"/>
    <w:rsid w:val="00700C70"/>
    <w:rsid w:val="00702F60"/>
    <w:rsid w:val="00703689"/>
    <w:rsid w:val="00706018"/>
    <w:rsid w:val="007060D6"/>
    <w:rsid w:val="00706447"/>
    <w:rsid w:val="007079B1"/>
    <w:rsid w:val="00711EA4"/>
    <w:rsid w:val="00713D7F"/>
    <w:rsid w:val="007154F8"/>
    <w:rsid w:val="00715AF9"/>
    <w:rsid w:val="00715B5D"/>
    <w:rsid w:val="00716EBA"/>
    <w:rsid w:val="00717E97"/>
    <w:rsid w:val="00720DBF"/>
    <w:rsid w:val="007218DB"/>
    <w:rsid w:val="00722F37"/>
    <w:rsid w:val="00723FA8"/>
    <w:rsid w:val="00724B7B"/>
    <w:rsid w:val="00726456"/>
    <w:rsid w:val="0073487B"/>
    <w:rsid w:val="0073565D"/>
    <w:rsid w:val="00736D40"/>
    <w:rsid w:val="00737A35"/>
    <w:rsid w:val="00737C28"/>
    <w:rsid w:val="007413FD"/>
    <w:rsid w:val="007433CB"/>
    <w:rsid w:val="0074489A"/>
    <w:rsid w:val="007461B2"/>
    <w:rsid w:val="007461EF"/>
    <w:rsid w:val="00746AD9"/>
    <w:rsid w:val="0074766F"/>
    <w:rsid w:val="00750505"/>
    <w:rsid w:val="00754C5C"/>
    <w:rsid w:val="00763067"/>
    <w:rsid w:val="00764F85"/>
    <w:rsid w:val="0076666A"/>
    <w:rsid w:val="0076794A"/>
    <w:rsid w:val="007719D3"/>
    <w:rsid w:val="00772BBA"/>
    <w:rsid w:val="00777B2F"/>
    <w:rsid w:val="0078057D"/>
    <w:rsid w:val="00786C9A"/>
    <w:rsid w:val="00787713"/>
    <w:rsid w:val="0079223C"/>
    <w:rsid w:val="0079248D"/>
    <w:rsid w:val="0079309D"/>
    <w:rsid w:val="00794A31"/>
    <w:rsid w:val="00794F1B"/>
    <w:rsid w:val="007958DD"/>
    <w:rsid w:val="00795C0E"/>
    <w:rsid w:val="00797448"/>
    <w:rsid w:val="0079744A"/>
    <w:rsid w:val="007A0085"/>
    <w:rsid w:val="007A63C3"/>
    <w:rsid w:val="007A6C48"/>
    <w:rsid w:val="007A73A3"/>
    <w:rsid w:val="007B33A4"/>
    <w:rsid w:val="007B3414"/>
    <w:rsid w:val="007B4002"/>
    <w:rsid w:val="007B41E2"/>
    <w:rsid w:val="007B45B0"/>
    <w:rsid w:val="007B4A39"/>
    <w:rsid w:val="007B53DC"/>
    <w:rsid w:val="007B757D"/>
    <w:rsid w:val="007B783E"/>
    <w:rsid w:val="007C192C"/>
    <w:rsid w:val="007C20DE"/>
    <w:rsid w:val="007C58BA"/>
    <w:rsid w:val="007D1921"/>
    <w:rsid w:val="007D49BE"/>
    <w:rsid w:val="007E0295"/>
    <w:rsid w:val="007E02A2"/>
    <w:rsid w:val="007E04A5"/>
    <w:rsid w:val="007E1029"/>
    <w:rsid w:val="007E209B"/>
    <w:rsid w:val="007E28C0"/>
    <w:rsid w:val="007E4922"/>
    <w:rsid w:val="007E5430"/>
    <w:rsid w:val="007E69EE"/>
    <w:rsid w:val="007E6D27"/>
    <w:rsid w:val="007F0986"/>
    <w:rsid w:val="007F28D1"/>
    <w:rsid w:val="007F3145"/>
    <w:rsid w:val="007F6623"/>
    <w:rsid w:val="007F70A9"/>
    <w:rsid w:val="00800CD3"/>
    <w:rsid w:val="008012F7"/>
    <w:rsid w:val="00801849"/>
    <w:rsid w:val="008021F9"/>
    <w:rsid w:val="008030DA"/>
    <w:rsid w:val="00804822"/>
    <w:rsid w:val="008061F6"/>
    <w:rsid w:val="0080736D"/>
    <w:rsid w:val="0080765E"/>
    <w:rsid w:val="00807A38"/>
    <w:rsid w:val="008108E3"/>
    <w:rsid w:val="00813934"/>
    <w:rsid w:val="00814685"/>
    <w:rsid w:val="00817065"/>
    <w:rsid w:val="008202A8"/>
    <w:rsid w:val="008204FB"/>
    <w:rsid w:val="00820568"/>
    <w:rsid w:val="0082314F"/>
    <w:rsid w:val="00823A44"/>
    <w:rsid w:val="008250D1"/>
    <w:rsid w:val="008251D1"/>
    <w:rsid w:val="0082696E"/>
    <w:rsid w:val="00831A00"/>
    <w:rsid w:val="00831A2A"/>
    <w:rsid w:val="008331F6"/>
    <w:rsid w:val="00837A38"/>
    <w:rsid w:val="00837BDA"/>
    <w:rsid w:val="00837DD8"/>
    <w:rsid w:val="008411A9"/>
    <w:rsid w:val="00842AA4"/>
    <w:rsid w:val="00845627"/>
    <w:rsid w:val="00845C6F"/>
    <w:rsid w:val="0084745A"/>
    <w:rsid w:val="008505E9"/>
    <w:rsid w:val="008507A2"/>
    <w:rsid w:val="00851C0F"/>
    <w:rsid w:val="0085297E"/>
    <w:rsid w:val="00854441"/>
    <w:rsid w:val="00854C92"/>
    <w:rsid w:val="00855A61"/>
    <w:rsid w:val="008564DD"/>
    <w:rsid w:val="00857BA0"/>
    <w:rsid w:val="00860ABC"/>
    <w:rsid w:val="0086186B"/>
    <w:rsid w:val="0086229D"/>
    <w:rsid w:val="00864EA8"/>
    <w:rsid w:val="00866ECC"/>
    <w:rsid w:val="00867C7A"/>
    <w:rsid w:val="008708DF"/>
    <w:rsid w:val="00873DCE"/>
    <w:rsid w:val="00873F65"/>
    <w:rsid w:val="00874849"/>
    <w:rsid w:val="008757B3"/>
    <w:rsid w:val="008757D4"/>
    <w:rsid w:val="00875D0B"/>
    <w:rsid w:val="008769A7"/>
    <w:rsid w:val="008775DB"/>
    <w:rsid w:val="00877706"/>
    <w:rsid w:val="00882A7A"/>
    <w:rsid w:val="00883310"/>
    <w:rsid w:val="00887519"/>
    <w:rsid w:val="008879B0"/>
    <w:rsid w:val="008924D8"/>
    <w:rsid w:val="008924EB"/>
    <w:rsid w:val="008938DA"/>
    <w:rsid w:val="00894067"/>
    <w:rsid w:val="0089796C"/>
    <w:rsid w:val="008A16D6"/>
    <w:rsid w:val="008A27AE"/>
    <w:rsid w:val="008A373E"/>
    <w:rsid w:val="008A4BBE"/>
    <w:rsid w:val="008A64DD"/>
    <w:rsid w:val="008B3358"/>
    <w:rsid w:val="008B3E92"/>
    <w:rsid w:val="008B5274"/>
    <w:rsid w:val="008B6C9F"/>
    <w:rsid w:val="008C2966"/>
    <w:rsid w:val="008D043C"/>
    <w:rsid w:val="008D12E7"/>
    <w:rsid w:val="008D1C7C"/>
    <w:rsid w:val="008D2315"/>
    <w:rsid w:val="008D471F"/>
    <w:rsid w:val="008D4F30"/>
    <w:rsid w:val="008D595C"/>
    <w:rsid w:val="008D59BF"/>
    <w:rsid w:val="008D620C"/>
    <w:rsid w:val="008D7905"/>
    <w:rsid w:val="008E09D7"/>
    <w:rsid w:val="008E1264"/>
    <w:rsid w:val="008E1A0A"/>
    <w:rsid w:val="008E213D"/>
    <w:rsid w:val="008E279F"/>
    <w:rsid w:val="008E36EB"/>
    <w:rsid w:val="008E4919"/>
    <w:rsid w:val="008E5509"/>
    <w:rsid w:val="008E6E53"/>
    <w:rsid w:val="008E75D6"/>
    <w:rsid w:val="008F0A3F"/>
    <w:rsid w:val="008F17CD"/>
    <w:rsid w:val="008F21AA"/>
    <w:rsid w:val="008F40EA"/>
    <w:rsid w:val="008F5251"/>
    <w:rsid w:val="008F61F0"/>
    <w:rsid w:val="008F6A6C"/>
    <w:rsid w:val="008F72D8"/>
    <w:rsid w:val="009003B2"/>
    <w:rsid w:val="0090243A"/>
    <w:rsid w:val="00902C8A"/>
    <w:rsid w:val="00903B1D"/>
    <w:rsid w:val="009067BE"/>
    <w:rsid w:val="0091407A"/>
    <w:rsid w:val="009153AF"/>
    <w:rsid w:val="00917381"/>
    <w:rsid w:val="00921A88"/>
    <w:rsid w:val="00922436"/>
    <w:rsid w:val="0092430C"/>
    <w:rsid w:val="009264E7"/>
    <w:rsid w:val="00927779"/>
    <w:rsid w:val="00927DA8"/>
    <w:rsid w:val="0093062F"/>
    <w:rsid w:val="0093256A"/>
    <w:rsid w:val="00932FC5"/>
    <w:rsid w:val="00934545"/>
    <w:rsid w:val="00934770"/>
    <w:rsid w:val="00935CBA"/>
    <w:rsid w:val="0093676D"/>
    <w:rsid w:val="00940445"/>
    <w:rsid w:val="0094149A"/>
    <w:rsid w:val="009425C8"/>
    <w:rsid w:val="00942A43"/>
    <w:rsid w:val="0094300D"/>
    <w:rsid w:val="00943861"/>
    <w:rsid w:val="00943E31"/>
    <w:rsid w:val="009454C1"/>
    <w:rsid w:val="009476FD"/>
    <w:rsid w:val="00950417"/>
    <w:rsid w:val="00950695"/>
    <w:rsid w:val="00950DB3"/>
    <w:rsid w:val="00951647"/>
    <w:rsid w:val="00953A82"/>
    <w:rsid w:val="00954241"/>
    <w:rsid w:val="00954393"/>
    <w:rsid w:val="009572DC"/>
    <w:rsid w:val="00957F7B"/>
    <w:rsid w:val="00960B45"/>
    <w:rsid w:val="00962E06"/>
    <w:rsid w:val="00963325"/>
    <w:rsid w:val="00963440"/>
    <w:rsid w:val="00964CF4"/>
    <w:rsid w:val="00965C75"/>
    <w:rsid w:val="00971295"/>
    <w:rsid w:val="009714C0"/>
    <w:rsid w:val="00975C18"/>
    <w:rsid w:val="00975FAB"/>
    <w:rsid w:val="00976279"/>
    <w:rsid w:val="009773D1"/>
    <w:rsid w:val="00977CF3"/>
    <w:rsid w:val="00982887"/>
    <w:rsid w:val="00983D32"/>
    <w:rsid w:val="009844B3"/>
    <w:rsid w:val="0098627A"/>
    <w:rsid w:val="0098715D"/>
    <w:rsid w:val="00991C82"/>
    <w:rsid w:val="00995425"/>
    <w:rsid w:val="00996EDA"/>
    <w:rsid w:val="009A0690"/>
    <w:rsid w:val="009A0F71"/>
    <w:rsid w:val="009A29C7"/>
    <w:rsid w:val="009A34B1"/>
    <w:rsid w:val="009A5221"/>
    <w:rsid w:val="009A6039"/>
    <w:rsid w:val="009A7584"/>
    <w:rsid w:val="009B0568"/>
    <w:rsid w:val="009B0F44"/>
    <w:rsid w:val="009B15AF"/>
    <w:rsid w:val="009B2B7B"/>
    <w:rsid w:val="009B2C4D"/>
    <w:rsid w:val="009B3EF1"/>
    <w:rsid w:val="009B5939"/>
    <w:rsid w:val="009B6D90"/>
    <w:rsid w:val="009C1406"/>
    <w:rsid w:val="009C1D60"/>
    <w:rsid w:val="009C1EF9"/>
    <w:rsid w:val="009C582C"/>
    <w:rsid w:val="009C6D8C"/>
    <w:rsid w:val="009D1B4E"/>
    <w:rsid w:val="009D3EF6"/>
    <w:rsid w:val="009D46AA"/>
    <w:rsid w:val="009D4EB8"/>
    <w:rsid w:val="009D5845"/>
    <w:rsid w:val="009D5B5A"/>
    <w:rsid w:val="009E5F86"/>
    <w:rsid w:val="009E6234"/>
    <w:rsid w:val="009E7912"/>
    <w:rsid w:val="009F05CD"/>
    <w:rsid w:val="009F08D8"/>
    <w:rsid w:val="009F1CDD"/>
    <w:rsid w:val="009F50BA"/>
    <w:rsid w:val="009F5E81"/>
    <w:rsid w:val="009F7CED"/>
    <w:rsid w:val="00A014A6"/>
    <w:rsid w:val="00A01C47"/>
    <w:rsid w:val="00A04D30"/>
    <w:rsid w:val="00A05B08"/>
    <w:rsid w:val="00A05BCE"/>
    <w:rsid w:val="00A0780D"/>
    <w:rsid w:val="00A117B6"/>
    <w:rsid w:val="00A12785"/>
    <w:rsid w:val="00A15884"/>
    <w:rsid w:val="00A16B21"/>
    <w:rsid w:val="00A17B6D"/>
    <w:rsid w:val="00A20B44"/>
    <w:rsid w:val="00A22113"/>
    <w:rsid w:val="00A229F2"/>
    <w:rsid w:val="00A2388F"/>
    <w:rsid w:val="00A23D8A"/>
    <w:rsid w:val="00A24233"/>
    <w:rsid w:val="00A261F7"/>
    <w:rsid w:val="00A26B74"/>
    <w:rsid w:val="00A31822"/>
    <w:rsid w:val="00A32D54"/>
    <w:rsid w:val="00A34D24"/>
    <w:rsid w:val="00A3500E"/>
    <w:rsid w:val="00A35DDC"/>
    <w:rsid w:val="00A40621"/>
    <w:rsid w:val="00A41870"/>
    <w:rsid w:val="00A433F1"/>
    <w:rsid w:val="00A45373"/>
    <w:rsid w:val="00A456C9"/>
    <w:rsid w:val="00A46695"/>
    <w:rsid w:val="00A47CC5"/>
    <w:rsid w:val="00A5079C"/>
    <w:rsid w:val="00A55968"/>
    <w:rsid w:val="00A56135"/>
    <w:rsid w:val="00A57754"/>
    <w:rsid w:val="00A62403"/>
    <w:rsid w:val="00A630A0"/>
    <w:rsid w:val="00A6396A"/>
    <w:rsid w:val="00A63CD5"/>
    <w:rsid w:val="00A705A3"/>
    <w:rsid w:val="00A70ABC"/>
    <w:rsid w:val="00A7145F"/>
    <w:rsid w:val="00A72542"/>
    <w:rsid w:val="00A72CD0"/>
    <w:rsid w:val="00A741FB"/>
    <w:rsid w:val="00A75830"/>
    <w:rsid w:val="00A76318"/>
    <w:rsid w:val="00A805FC"/>
    <w:rsid w:val="00A8164D"/>
    <w:rsid w:val="00A82BA9"/>
    <w:rsid w:val="00A84378"/>
    <w:rsid w:val="00A85941"/>
    <w:rsid w:val="00A86983"/>
    <w:rsid w:val="00A90EA6"/>
    <w:rsid w:val="00A90EDD"/>
    <w:rsid w:val="00A91AE2"/>
    <w:rsid w:val="00A92D74"/>
    <w:rsid w:val="00A93A31"/>
    <w:rsid w:val="00A955F4"/>
    <w:rsid w:val="00A96C67"/>
    <w:rsid w:val="00A9716C"/>
    <w:rsid w:val="00AA0A24"/>
    <w:rsid w:val="00AA0B0B"/>
    <w:rsid w:val="00AA12AC"/>
    <w:rsid w:val="00AA1B11"/>
    <w:rsid w:val="00AA2523"/>
    <w:rsid w:val="00AA2A78"/>
    <w:rsid w:val="00AA4725"/>
    <w:rsid w:val="00AA6486"/>
    <w:rsid w:val="00AA6DE4"/>
    <w:rsid w:val="00AA70F3"/>
    <w:rsid w:val="00AA78DA"/>
    <w:rsid w:val="00AB2580"/>
    <w:rsid w:val="00AB4053"/>
    <w:rsid w:val="00AB5242"/>
    <w:rsid w:val="00AB5410"/>
    <w:rsid w:val="00AB54BE"/>
    <w:rsid w:val="00AC0198"/>
    <w:rsid w:val="00AC01B4"/>
    <w:rsid w:val="00AC132A"/>
    <w:rsid w:val="00AC14A9"/>
    <w:rsid w:val="00AC29E3"/>
    <w:rsid w:val="00AC30D2"/>
    <w:rsid w:val="00AC4FB6"/>
    <w:rsid w:val="00AC562B"/>
    <w:rsid w:val="00AC5DE8"/>
    <w:rsid w:val="00AD284C"/>
    <w:rsid w:val="00AD2902"/>
    <w:rsid w:val="00AD2A25"/>
    <w:rsid w:val="00AD3CCA"/>
    <w:rsid w:val="00AD6219"/>
    <w:rsid w:val="00AD6716"/>
    <w:rsid w:val="00AD6A22"/>
    <w:rsid w:val="00AD6EFC"/>
    <w:rsid w:val="00AE086D"/>
    <w:rsid w:val="00AE139E"/>
    <w:rsid w:val="00AE1755"/>
    <w:rsid w:val="00AE467C"/>
    <w:rsid w:val="00AE4ADA"/>
    <w:rsid w:val="00AE5756"/>
    <w:rsid w:val="00AE5B25"/>
    <w:rsid w:val="00AE753D"/>
    <w:rsid w:val="00AF15D4"/>
    <w:rsid w:val="00AF2B0F"/>
    <w:rsid w:val="00AF4C6F"/>
    <w:rsid w:val="00AF62DB"/>
    <w:rsid w:val="00B01999"/>
    <w:rsid w:val="00B04BEB"/>
    <w:rsid w:val="00B05903"/>
    <w:rsid w:val="00B075CB"/>
    <w:rsid w:val="00B07659"/>
    <w:rsid w:val="00B10859"/>
    <w:rsid w:val="00B145EE"/>
    <w:rsid w:val="00B16E9D"/>
    <w:rsid w:val="00B2050C"/>
    <w:rsid w:val="00B218D5"/>
    <w:rsid w:val="00B24491"/>
    <w:rsid w:val="00B25018"/>
    <w:rsid w:val="00B25ECE"/>
    <w:rsid w:val="00B27B8D"/>
    <w:rsid w:val="00B32BF6"/>
    <w:rsid w:val="00B348AC"/>
    <w:rsid w:val="00B34BFD"/>
    <w:rsid w:val="00B373E1"/>
    <w:rsid w:val="00B378A1"/>
    <w:rsid w:val="00B37B2A"/>
    <w:rsid w:val="00B37BA8"/>
    <w:rsid w:val="00B40FF5"/>
    <w:rsid w:val="00B44CA8"/>
    <w:rsid w:val="00B4509D"/>
    <w:rsid w:val="00B4539D"/>
    <w:rsid w:val="00B45E4B"/>
    <w:rsid w:val="00B47256"/>
    <w:rsid w:val="00B47F4F"/>
    <w:rsid w:val="00B50BA9"/>
    <w:rsid w:val="00B50DAD"/>
    <w:rsid w:val="00B50FF0"/>
    <w:rsid w:val="00B5228F"/>
    <w:rsid w:val="00B52DEB"/>
    <w:rsid w:val="00B52F38"/>
    <w:rsid w:val="00B562EB"/>
    <w:rsid w:val="00B62756"/>
    <w:rsid w:val="00B666BF"/>
    <w:rsid w:val="00B66DBD"/>
    <w:rsid w:val="00B67DB5"/>
    <w:rsid w:val="00B704FE"/>
    <w:rsid w:val="00B70B0B"/>
    <w:rsid w:val="00B70FEC"/>
    <w:rsid w:val="00B72FCB"/>
    <w:rsid w:val="00B739A4"/>
    <w:rsid w:val="00B7419A"/>
    <w:rsid w:val="00B74A76"/>
    <w:rsid w:val="00B752F0"/>
    <w:rsid w:val="00B75984"/>
    <w:rsid w:val="00B765EE"/>
    <w:rsid w:val="00B80658"/>
    <w:rsid w:val="00B82E73"/>
    <w:rsid w:val="00B82EC1"/>
    <w:rsid w:val="00B83200"/>
    <w:rsid w:val="00B83C69"/>
    <w:rsid w:val="00B84865"/>
    <w:rsid w:val="00B85D5E"/>
    <w:rsid w:val="00B87E1F"/>
    <w:rsid w:val="00B918D6"/>
    <w:rsid w:val="00B9274A"/>
    <w:rsid w:val="00B96AC7"/>
    <w:rsid w:val="00B96CA2"/>
    <w:rsid w:val="00BA0042"/>
    <w:rsid w:val="00BA0A94"/>
    <w:rsid w:val="00BA43AC"/>
    <w:rsid w:val="00BB0A26"/>
    <w:rsid w:val="00BB117A"/>
    <w:rsid w:val="00BB3551"/>
    <w:rsid w:val="00BB4188"/>
    <w:rsid w:val="00BB70F1"/>
    <w:rsid w:val="00BC1E4E"/>
    <w:rsid w:val="00BC1FE5"/>
    <w:rsid w:val="00BC31B2"/>
    <w:rsid w:val="00BC401E"/>
    <w:rsid w:val="00BC4BE4"/>
    <w:rsid w:val="00BC701B"/>
    <w:rsid w:val="00BC7291"/>
    <w:rsid w:val="00BC7652"/>
    <w:rsid w:val="00BC7AAE"/>
    <w:rsid w:val="00BD0CA8"/>
    <w:rsid w:val="00BD2EBF"/>
    <w:rsid w:val="00BD63E9"/>
    <w:rsid w:val="00BD7B4E"/>
    <w:rsid w:val="00BD7C7F"/>
    <w:rsid w:val="00BE20B1"/>
    <w:rsid w:val="00BE6AC8"/>
    <w:rsid w:val="00BE748B"/>
    <w:rsid w:val="00BE788C"/>
    <w:rsid w:val="00BF000F"/>
    <w:rsid w:val="00BF332D"/>
    <w:rsid w:val="00BF4420"/>
    <w:rsid w:val="00BF5180"/>
    <w:rsid w:val="00BF6124"/>
    <w:rsid w:val="00BF6394"/>
    <w:rsid w:val="00BF6A3B"/>
    <w:rsid w:val="00BF6CC0"/>
    <w:rsid w:val="00BF7755"/>
    <w:rsid w:val="00BF78BC"/>
    <w:rsid w:val="00BF7ECE"/>
    <w:rsid w:val="00C04C94"/>
    <w:rsid w:val="00C05EE7"/>
    <w:rsid w:val="00C0726B"/>
    <w:rsid w:val="00C0774F"/>
    <w:rsid w:val="00C106AA"/>
    <w:rsid w:val="00C10DEC"/>
    <w:rsid w:val="00C11B39"/>
    <w:rsid w:val="00C12A6E"/>
    <w:rsid w:val="00C15591"/>
    <w:rsid w:val="00C158A8"/>
    <w:rsid w:val="00C20CE6"/>
    <w:rsid w:val="00C215BE"/>
    <w:rsid w:val="00C21781"/>
    <w:rsid w:val="00C22F18"/>
    <w:rsid w:val="00C249EA"/>
    <w:rsid w:val="00C25B26"/>
    <w:rsid w:val="00C26D19"/>
    <w:rsid w:val="00C31E8B"/>
    <w:rsid w:val="00C36848"/>
    <w:rsid w:val="00C36E8B"/>
    <w:rsid w:val="00C43690"/>
    <w:rsid w:val="00C455E5"/>
    <w:rsid w:val="00C469E3"/>
    <w:rsid w:val="00C46E43"/>
    <w:rsid w:val="00C479FA"/>
    <w:rsid w:val="00C50692"/>
    <w:rsid w:val="00C52EEF"/>
    <w:rsid w:val="00C534B5"/>
    <w:rsid w:val="00C53BF3"/>
    <w:rsid w:val="00C53D52"/>
    <w:rsid w:val="00C61A00"/>
    <w:rsid w:val="00C61FD6"/>
    <w:rsid w:val="00C62AC5"/>
    <w:rsid w:val="00C65F68"/>
    <w:rsid w:val="00C66C50"/>
    <w:rsid w:val="00C712A3"/>
    <w:rsid w:val="00C7285B"/>
    <w:rsid w:val="00C763FE"/>
    <w:rsid w:val="00C7657E"/>
    <w:rsid w:val="00C76EB3"/>
    <w:rsid w:val="00C81D78"/>
    <w:rsid w:val="00C832B5"/>
    <w:rsid w:val="00C8749F"/>
    <w:rsid w:val="00C94353"/>
    <w:rsid w:val="00C9472F"/>
    <w:rsid w:val="00C95394"/>
    <w:rsid w:val="00C956FB"/>
    <w:rsid w:val="00C96B4C"/>
    <w:rsid w:val="00C97198"/>
    <w:rsid w:val="00CA5E6E"/>
    <w:rsid w:val="00CB09F1"/>
    <w:rsid w:val="00CB100A"/>
    <w:rsid w:val="00CB1252"/>
    <w:rsid w:val="00CB1B29"/>
    <w:rsid w:val="00CB2247"/>
    <w:rsid w:val="00CB2D9D"/>
    <w:rsid w:val="00CB4444"/>
    <w:rsid w:val="00CB5B97"/>
    <w:rsid w:val="00CB5F07"/>
    <w:rsid w:val="00CB682D"/>
    <w:rsid w:val="00CB6F08"/>
    <w:rsid w:val="00CC1185"/>
    <w:rsid w:val="00CC20F0"/>
    <w:rsid w:val="00CC53C4"/>
    <w:rsid w:val="00CD0202"/>
    <w:rsid w:val="00CD0644"/>
    <w:rsid w:val="00CD2CFE"/>
    <w:rsid w:val="00CD35DE"/>
    <w:rsid w:val="00CD39BE"/>
    <w:rsid w:val="00CD54E6"/>
    <w:rsid w:val="00CE4650"/>
    <w:rsid w:val="00CE4C37"/>
    <w:rsid w:val="00CE5BD6"/>
    <w:rsid w:val="00CE6452"/>
    <w:rsid w:val="00CE6948"/>
    <w:rsid w:val="00CE6B8C"/>
    <w:rsid w:val="00CE7F3D"/>
    <w:rsid w:val="00CF0720"/>
    <w:rsid w:val="00CF2571"/>
    <w:rsid w:val="00CF3AE2"/>
    <w:rsid w:val="00CF4817"/>
    <w:rsid w:val="00CF5225"/>
    <w:rsid w:val="00CF53C2"/>
    <w:rsid w:val="00CF56EC"/>
    <w:rsid w:val="00CF5E6C"/>
    <w:rsid w:val="00CF6058"/>
    <w:rsid w:val="00CF666C"/>
    <w:rsid w:val="00CF72BE"/>
    <w:rsid w:val="00CF7815"/>
    <w:rsid w:val="00D00AE4"/>
    <w:rsid w:val="00D03341"/>
    <w:rsid w:val="00D05367"/>
    <w:rsid w:val="00D05EC8"/>
    <w:rsid w:val="00D060AC"/>
    <w:rsid w:val="00D0740E"/>
    <w:rsid w:val="00D1031E"/>
    <w:rsid w:val="00D10873"/>
    <w:rsid w:val="00D10FA6"/>
    <w:rsid w:val="00D14342"/>
    <w:rsid w:val="00D159AF"/>
    <w:rsid w:val="00D17771"/>
    <w:rsid w:val="00D17940"/>
    <w:rsid w:val="00D21B0C"/>
    <w:rsid w:val="00D22DD4"/>
    <w:rsid w:val="00D23AC0"/>
    <w:rsid w:val="00D245AE"/>
    <w:rsid w:val="00D24AB8"/>
    <w:rsid w:val="00D30195"/>
    <w:rsid w:val="00D31495"/>
    <w:rsid w:val="00D3283A"/>
    <w:rsid w:val="00D32C80"/>
    <w:rsid w:val="00D34B4D"/>
    <w:rsid w:val="00D35A45"/>
    <w:rsid w:val="00D375BA"/>
    <w:rsid w:val="00D37DA7"/>
    <w:rsid w:val="00D40D20"/>
    <w:rsid w:val="00D42480"/>
    <w:rsid w:val="00D479F6"/>
    <w:rsid w:val="00D534BD"/>
    <w:rsid w:val="00D551E5"/>
    <w:rsid w:val="00D61A4F"/>
    <w:rsid w:val="00D61B51"/>
    <w:rsid w:val="00D61DC5"/>
    <w:rsid w:val="00D62C02"/>
    <w:rsid w:val="00D64447"/>
    <w:rsid w:val="00D64B76"/>
    <w:rsid w:val="00D65027"/>
    <w:rsid w:val="00D66D25"/>
    <w:rsid w:val="00D66ED8"/>
    <w:rsid w:val="00D717E9"/>
    <w:rsid w:val="00D72F57"/>
    <w:rsid w:val="00D736F7"/>
    <w:rsid w:val="00D738E8"/>
    <w:rsid w:val="00D81B63"/>
    <w:rsid w:val="00D8332C"/>
    <w:rsid w:val="00D87B0D"/>
    <w:rsid w:val="00D921F0"/>
    <w:rsid w:val="00D94449"/>
    <w:rsid w:val="00D947C8"/>
    <w:rsid w:val="00D97C11"/>
    <w:rsid w:val="00D97EA1"/>
    <w:rsid w:val="00DA0A59"/>
    <w:rsid w:val="00DA0FEA"/>
    <w:rsid w:val="00DA17FC"/>
    <w:rsid w:val="00DA3105"/>
    <w:rsid w:val="00DA3D0A"/>
    <w:rsid w:val="00DA49AB"/>
    <w:rsid w:val="00DA5863"/>
    <w:rsid w:val="00DA6B28"/>
    <w:rsid w:val="00DB1BC7"/>
    <w:rsid w:val="00DB3B9D"/>
    <w:rsid w:val="00DB45D4"/>
    <w:rsid w:val="00DB48A5"/>
    <w:rsid w:val="00DB78E4"/>
    <w:rsid w:val="00DB7E18"/>
    <w:rsid w:val="00DB7F3A"/>
    <w:rsid w:val="00DC4EB8"/>
    <w:rsid w:val="00DC5214"/>
    <w:rsid w:val="00DC67F2"/>
    <w:rsid w:val="00DD1058"/>
    <w:rsid w:val="00DD13AC"/>
    <w:rsid w:val="00DD16DE"/>
    <w:rsid w:val="00DD4222"/>
    <w:rsid w:val="00DD5434"/>
    <w:rsid w:val="00DD5E5E"/>
    <w:rsid w:val="00DD63C3"/>
    <w:rsid w:val="00DE05EB"/>
    <w:rsid w:val="00DE1423"/>
    <w:rsid w:val="00DE186B"/>
    <w:rsid w:val="00DE3102"/>
    <w:rsid w:val="00DE5070"/>
    <w:rsid w:val="00DE54BE"/>
    <w:rsid w:val="00DE6109"/>
    <w:rsid w:val="00DE61D5"/>
    <w:rsid w:val="00DF2F10"/>
    <w:rsid w:val="00E0074E"/>
    <w:rsid w:val="00E00969"/>
    <w:rsid w:val="00E01EFA"/>
    <w:rsid w:val="00E0280F"/>
    <w:rsid w:val="00E03035"/>
    <w:rsid w:val="00E034E4"/>
    <w:rsid w:val="00E054C5"/>
    <w:rsid w:val="00E11524"/>
    <w:rsid w:val="00E1353E"/>
    <w:rsid w:val="00E14E5A"/>
    <w:rsid w:val="00E15125"/>
    <w:rsid w:val="00E15ACF"/>
    <w:rsid w:val="00E168B4"/>
    <w:rsid w:val="00E2182D"/>
    <w:rsid w:val="00E218D0"/>
    <w:rsid w:val="00E22429"/>
    <w:rsid w:val="00E224EF"/>
    <w:rsid w:val="00E2307D"/>
    <w:rsid w:val="00E25C92"/>
    <w:rsid w:val="00E269E2"/>
    <w:rsid w:val="00E272E6"/>
    <w:rsid w:val="00E2752B"/>
    <w:rsid w:val="00E30848"/>
    <w:rsid w:val="00E3157B"/>
    <w:rsid w:val="00E32478"/>
    <w:rsid w:val="00E33C4C"/>
    <w:rsid w:val="00E41AE9"/>
    <w:rsid w:val="00E426D8"/>
    <w:rsid w:val="00E442F6"/>
    <w:rsid w:val="00E446D3"/>
    <w:rsid w:val="00E457AE"/>
    <w:rsid w:val="00E466B3"/>
    <w:rsid w:val="00E478AE"/>
    <w:rsid w:val="00E52C03"/>
    <w:rsid w:val="00E53D7D"/>
    <w:rsid w:val="00E5558F"/>
    <w:rsid w:val="00E560E0"/>
    <w:rsid w:val="00E57A6A"/>
    <w:rsid w:val="00E57E6E"/>
    <w:rsid w:val="00E61E44"/>
    <w:rsid w:val="00E63F4E"/>
    <w:rsid w:val="00E64F15"/>
    <w:rsid w:val="00E650E1"/>
    <w:rsid w:val="00E6640B"/>
    <w:rsid w:val="00E7152A"/>
    <w:rsid w:val="00E72775"/>
    <w:rsid w:val="00E744EC"/>
    <w:rsid w:val="00E74E43"/>
    <w:rsid w:val="00E7781D"/>
    <w:rsid w:val="00E8009D"/>
    <w:rsid w:val="00E8228F"/>
    <w:rsid w:val="00E827CE"/>
    <w:rsid w:val="00E828F7"/>
    <w:rsid w:val="00E834EC"/>
    <w:rsid w:val="00E837DE"/>
    <w:rsid w:val="00E83ECD"/>
    <w:rsid w:val="00E8501A"/>
    <w:rsid w:val="00E85B97"/>
    <w:rsid w:val="00E865E4"/>
    <w:rsid w:val="00E86700"/>
    <w:rsid w:val="00E86AF8"/>
    <w:rsid w:val="00E911F4"/>
    <w:rsid w:val="00E93B8C"/>
    <w:rsid w:val="00E94138"/>
    <w:rsid w:val="00E94A39"/>
    <w:rsid w:val="00E95DA7"/>
    <w:rsid w:val="00EA06B0"/>
    <w:rsid w:val="00EA3D99"/>
    <w:rsid w:val="00EA6ECF"/>
    <w:rsid w:val="00EA7C7C"/>
    <w:rsid w:val="00EB02CF"/>
    <w:rsid w:val="00EB0379"/>
    <w:rsid w:val="00EB1FD8"/>
    <w:rsid w:val="00EB21B8"/>
    <w:rsid w:val="00EB24E9"/>
    <w:rsid w:val="00EB2901"/>
    <w:rsid w:val="00EB655B"/>
    <w:rsid w:val="00EB7583"/>
    <w:rsid w:val="00EB79F5"/>
    <w:rsid w:val="00EC0190"/>
    <w:rsid w:val="00EC21EE"/>
    <w:rsid w:val="00EC2CB9"/>
    <w:rsid w:val="00EC3D95"/>
    <w:rsid w:val="00EC4D0F"/>
    <w:rsid w:val="00EC57CE"/>
    <w:rsid w:val="00EC63C1"/>
    <w:rsid w:val="00ED03F7"/>
    <w:rsid w:val="00ED299F"/>
    <w:rsid w:val="00ED320D"/>
    <w:rsid w:val="00ED33E4"/>
    <w:rsid w:val="00ED5511"/>
    <w:rsid w:val="00ED7BA0"/>
    <w:rsid w:val="00ED7C68"/>
    <w:rsid w:val="00ED7E1A"/>
    <w:rsid w:val="00EE1741"/>
    <w:rsid w:val="00EE1D4B"/>
    <w:rsid w:val="00EE22E7"/>
    <w:rsid w:val="00EE43C3"/>
    <w:rsid w:val="00EE4470"/>
    <w:rsid w:val="00EE4EE0"/>
    <w:rsid w:val="00EE5C8B"/>
    <w:rsid w:val="00EE7A24"/>
    <w:rsid w:val="00EF5167"/>
    <w:rsid w:val="00EF5885"/>
    <w:rsid w:val="00EF63D0"/>
    <w:rsid w:val="00EF6B07"/>
    <w:rsid w:val="00F000FC"/>
    <w:rsid w:val="00F0015B"/>
    <w:rsid w:val="00F01E98"/>
    <w:rsid w:val="00F0277B"/>
    <w:rsid w:val="00F02AC0"/>
    <w:rsid w:val="00F0397C"/>
    <w:rsid w:val="00F0706E"/>
    <w:rsid w:val="00F07E78"/>
    <w:rsid w:val="00F07E7F"/>
    <w:rsid w:val="00F1075B"/>
    <w:rsid w:val="00F134D2"/>
    <w:rsid w:val="00F15878"/>
    <w:rsid w:val="00F158BA"/>
    <w:rsid w:val="00F17059"/>
    <w:rsid w:val="00F20010"/>
    <w:rsid w:val="00F20CF0"/>
    <w:rsid w:val="00F20FFA"/>
    <w:rsid w:val="00F21726"/>
    <w:rsid w:val="00F21BFA"/>
    <w:rsid w:val="00F223D3"/>
    <w:rsid w:val="00F23268"/>
    <w:rsid w:val="00F264F5"/>
    <w:rsid w:val="00F3051E"/>
    <w:rsid w:val="00F30DB0"/>
    <w:rsid w:val="00F31CC7"/>
    <w:rsid w:val="00F32626"/>
    <w:rsid w:val="00F32E88"/>
    <w:rsid w:val="00F33583"/>
    <w:rsid w:val="00F33C26"/>
    <w:rsid w:val="00F341EF"/>
    <w:rsid w:val="00F359C0"/>
    <w:rsid w:val="00F36C4E"/>
    <w:rsid w:val="00F36F00"/>
    <w:rsid w:val="00F4090F"/>
    <w:rsid w:val="00F40AE3"/>
    <w:rsid w:val="00F42303"/>
    <w:rsid w:val="00F4369F"/>
    <w:rsid w:val="00F4429B"/>
    <w:rsid w:val="00F447EB"/>
    <w:rsid w:val="00F448BF"/>
    <w:rsid w:val="00F46861"/>
    <w:rsid w:val="00F46BDD"/>
    <w:rsid w:val="00F50F15"/>
    <w:rsid w:val="00F51759"/>
    <w:rsid w:val="00F5183F"/>
    <w:rsid w:val="00F525E2"/>
    <w:rsid w:val="00F52FB8"/>
    <w:rsid w:val="00F53111"/>
    <w:rsid w:val="00F53483"/>
    <w:rsid w:val="00F55974"/>
    <w:rsid w:val="00F563D1"/>
    <w:rsid w:val="00F56B37"/>
    <w:rsid w:val="00F56CCB"/>
    <w:rsid w:val="00F61BD7"/>
    <w:rsid w:val="00F6244D"/>
    <w:rsid w:val="00F64B97"/>
    <w:rsid w:val="00F6714A"/>
    <w:rsid w:val="00F6796F"/>
    <w:rsid w:val="00F71196"/>
    <w:rsid w:val="00F71434"/>
    <w:rsid w:val="00F71E3C"/>
    <w:rsid w:val="00F725AF"/>
    <w:rsid w:val="00F73CC2"/>
    <w:rsid w:val="00F77791"/>
    <w:rsid w:val="00F80C8A"/>
    <w:rsid w:val="00F839EB"/>
    <w:rsid w:val="00F8423D"/>
    <w:rsid w:val="00F8563F"/>
    <w:rsid w:val="00F8656C"/>
    <w:rsid w:val="00F91345"/>
    <w:rsid w:val="00F914D8"/>
    <w:rsid w:val="00F960E2"/>
    <w:rsid w:val="00F97190"/>
    <w:rsid w:val="00FA019F"/>
    <w:rsid w:val="00FA05CE"/>
    <w:rsid w:val="00FA14DF"/>
    <w:rsid w:val="00FA4DC0"/>
    <w:rsid w:val="00FA6256"/>
    <w:rsid w:val="00FA693B"/>
    <w:rsid w:val="00FA72A8"/>
    <w:rsid w:val="00FA73B2"/>
    <w:rsid w:val="00FA75E8"/>
    <w:rsid w:val="00FA7DEF"/>
    <w:rsid w:val="00FB0C20"/>
    <w:rsid w:val="00FB16FF"/>
    <w:rsid w:val="00FB2991"/>
    <w:rsid w:val="00FB2F8A"/>
    <w:rsid w:val="00FB33A5"/>
    <w:rsid w:val="00FB38FF"/>
    <w:rsid w:val="00FB50E2"/>
    <w:rsid w:val="00FC22BA"/>
    <w:rsid w:val="00FC28E6"/>
    <w:rsid w:val="00FC43A4"/>
    <w:rsid w:val="00FC5A05"/>
    <w:rsid w:val="00FC606A"/>
    <w:rsid w:val="00FC6784"/>
    <w:rsid w:val="00FC7800"/>
    <w:rsid w:val="00FD49A2"/>
    <w:rsid w:val="00FD4D59"/>
    <w:rsid w:val="00FD5228"/>
    <w:rsid w:val="00FD52BF"/>
    <w:rsid w:val="00FD6E7A"/>
    <w:rsid w:val="00FD76AC"/>
    <w:rsid w:val="00FD7935"/>
    <w:rsid w:val="00FD7C7E"/>
    <w:rsid w:val="00FD7D1E"/>
    <w:rsid w:val="00FE05B7"/>
    <w:rsid w:val="00FE1661"/>
    <w:rsid w:val="00FE2B00"/>
    <w:rsid w:val="00FE5C88"/>
    <w:rsid w:val="00FE62E6"/>
    <w:rsid w:val="00FE6E0E"/>
    <w:rsid w:val="00FE7F12"/>
    <w:rsid w:val="00FF2862"/>
    <w:rsid w:val="00FF3839"/>
    <w:rsid w:val="00FF597D"/>
    <w:rsid w:val="00FF5CC1"/>
    <w:rsid w:val="00FF7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5643C"/>
  <w15:chartTrackingRefBased/>
  <w15:docId w15:val="{FFDD1FB4-0CF0-4C1A-A38C-F6729CBD9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3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131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64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4DD"/>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unhideWhenUsed/>
    <w:rsid w:val="008F0A3F"/>
    <w:pPr>
      <w:spacing w:after="0" w:line="240" w:lineRule="auto"/>
    </w:pPr>
    <w:rPr>
      <w:sz w:val="20"/>
      <w:szCs w:val="20"/>
    </w:rPr>
  </w:style>
  <w:style w:type="character" w:customStyle="1" w:styleId="FootnoteTextChar">
    <w:name w:val="Footnote Text Char"/>
    <w:basedOn w:val="DefaultParagraphFont"/>
    <w:link w:val="FootnoteText"/>
    <w:uiPriority w:val="99"/>
    <w:rsid w:val="008F0A3F"/>
    <w:rPr>
      <w:sz w:val="20"/>
      <w:szCs w:val="20"/>
    </w:rPr>
  </w:style>
  <w:style w:type="character" w:styleId="FootnoteReference">
    <w:name w:val="footnote reference"/>
    <w:basedOn w:val="DefaultParagraphFont"/>
    <w:uiPriority w:val="99"/>
    <w:unhideWhenUsed/>
    <w:rsid w:val="008F0A3F"/>
    <w:rPr>
      <w:vertAlign w:val="superscript"/>
    </w:rPr>
  </w:style>
  <w:style w:type="character" w:customStyle="1" w:styleId="Heading1Char">
    <w:name w:val="Heading 1 Char"/>
    <w:basedOn w:val="DefaultParagraphFont"/>
    <w:link w:val="Heading1"/>
    <w:uiPriority w:val="9"/>
    <w:rsid w:val="0001634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131C7"/>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9F1CDD"/>
    <w:rPr>
      <w:sz w:val="16"/>
      <w:szCs w:val="16"/>
    </w:rPr>
  </w:style>
  <w:style w:type="paragraph" w:styleId="CommentText">
    <w:name w:val="annotation text"/>
    <w:basedOn w:val="Normal"/>
    <w:link w:val="CommentTextChar"/>
    <w:uiPriority w:val="99"/>
    <w:semiHidden/>
    <w:unhideWhenUsed/>
    <w:rsid w:val="009F1CDD"/>
    <w:pPr>
      <w:spacing w:line="240" w:lineRule="auto"/>
    </w:pPr>
    <w:rPr>
      <w:sz w:val="20"/>
      <w:szCs w:val="20"/>
    </w:rPr>
  </w:style>
  <w:style w:type="character" w:customStyle="1" w:styleId="CommentTextChar">
    <w:name w:val="Comment Text Char"/>
    <w:basedOn w:val="DefaultParagraphFont"/>
    <w:link w:val="CommentText"/>
    <w:uiPriority w:val="99"/>
    <w:semiHidden/>
    <w:rsid w:val="009F1CDD"/>
    <w:rPr>
      <w:sz w:val="20"/>
      <w:szCs w:val="20"/>
    </w:rPr>
  </w:style>
  <w:style w:type="paragraph" w:styleId="CommentSubject">
    <w:name w:val="annotation subject"/>
    <w:basedOn w:val="CommentText"/>
    <w:next w:val="CommentText"/>
    <w:link w:val="CommentSubjectChar"/>
    <w:uiPriority w:val="99"/>
    <w:semiHidden/>
    <w:unhideWhenUsed/>
    <w:rsid w:val="009F1CDD"/>
    <w:rPr>
      <w:b/>
      <w:bCs/>
    </w:rPr>
  </w:style>
  <w:style w:type="character" w:customStyle="1" w:styleId="CommentSubjectChar">
    <w:name w:val="Comment Subject Char"/>
    <w:basedOn w:val="CommentTextChar"/>
    <w:link w:val="CommentSubject"/>
    <w:uiPriority w:val="99"/>
    <w:semiHidden/>
    <w:rsid w:val="009F1CDD"/>
    <w:rPr>
      <w:b/>
      <w:bCs/>
      <w:sz w:val="20"/>
      <w:szCs w:val="20"/>
    </w:rPr>
  </w:style>
  <w:style w:type="paragraph" w:styleId="BalloonText">
    <w:name w:val="Balloon Text"/>
    <w:basedOn w:val="Normal"/>
    <w:link w:val="BalloonTextChar"/>
    <w:uiPriority w:val="99"/>
    <w:semiHidden/>
    <w:unhideWhenUsed/>
    <w:rsid w:val="009F1C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CDD"/>
    <w:rPr>
      <w:rFonts w:ascii="Segoe UI" w:hAnsi="Segoe UI" w:cs="Segoe UI"/>
      <w:sz w:val="18"/>
      <w:szCs w:val="18"/>
    </w:rPr>
  </w:style>
  <w:style w:type="paragraph" w:styleId="ListParagraph">
    <w:name w:val="List Paragraph"/>
    <w:basedOn w:val="Normal"/>
    <w:uiPriority w:val="34"/>
    <w:qFormat/>
    <w:rsid w:val="00474A9D"/>
    <w:pPr>
      <w:ind w:left="720"/>
      <w:contextualSpacing/>
    </w:pPr>
  </w:style>
  <w:style w:type="paragraph" w:styleId="Header">
    <w:name w:val="header"/>
    <w:basedOn w:val="Normal"/>
    <w:link w:val="HeaderChar"/>
    <w:uiPriority w:val="99"/>
    <w:unhideWhenUsed/>
    <w:rsid w:val="00512E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EF4"/>
  </w:style>
  <w:style w:type="paragraph" w:styleId="Footer">
    <w:name w:val="footer"/>
    <w:basedOn w:val="Normal"/>
    <w:link w:val="FooterChar"/>
    <w:uiPriority w:val="99"/>
    <w:unhideWhenUsed/>
    <w:rsid w:val="00512E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EF4"/>
  </w:style>
  <w:style w:type="character" w:styleId="Hyperlink">
    <w:name w:val="Hyperlink"/>
    <w:basedOn w:val="DefaultParagraphFont"/>
    <w:uiPriority w:val="99"/>
    <w:unhideWhenUsed/>
    <w:rsid w:val="00190360"/>
    <w:rPr>
      <w:color w:val="0000FF"/>
      <w:u w:val="single"/>
    </w:rPr>
  </w:style>
  <w:style w:type="character" w:customStyle="1" w:styleId="meta-prep">
    <w:name w:val="meta-prep"/>
    <w:basedOn w:val="DefaultParagraphFont"/>
    <w:rsid w:val="00ED03F7"/>
  </w:style>
  <w:style w:type="character" w:customStyle="1" w:styleId="entry-date">
    <w:name w:val="entry-date"/>
    <w:basedOn w:val="DefaultParagraphFont"/>
    <w:rsid w:val="00ED03F7"/>
  </w:style>
  <w:style w:type="character" w:styleId="UnresolvedMention">
    <w:name w:val="Unresolved Mention"/>
    <w:basedOn w:val="DefaultParagraphFont"/>
    <w:uiPriority w:val="99"/>
    <w:semiHidden/>
    <w:unhideWhenUsed/>
    <w:rsid w:val="00CF56EC"/>
    <w:rPr>
      <w:color w:val="605E5C"/>
      <w:shd w:val="clear" w:color="auto" w:fill="E1DFDD"/>
    </w:rPr>
  </w:style>
  <w:style w:type="character" w:styleId="FollowedHyperlink">
    <w:name w:val="FollowedHyperlink"/>
    <w:basedOn w:val="DefaultParagraphFont"/>
    <w:uiPriority w:val="99"/>
    <w:semiHidden/>
    <w:unhideWhenUsed/>
    <w:rsid w:val="005D47B0"/>
    <w:rPr>
      <w:color w:val="954F72" w:themeColor="followedHyperlink"/>
      <w:u w:val="single"/>
    </w:rPr>
  </w:style>
  <w:style w:type="character" w:styleId="PlaceholderText">
    <w:name w:val="Placeholder Text"/>
    <w:basedOn w:val="DefaultParagraphFont"/>
    <w:uiPriority w:val="99"/>
    <w:semiHidden/>
    <w:rsid w:val="000672F1"/>
    <w:rPr>
      <w:color w:val="808080"/>
    </w:rPr>
  </w:style>
  <w:style w:type="character" w:styleId="LineNumber">
    <w:name w:val="line number"/>
    <w:basedOn w:val="DefaultParagraphFont"/>
    <w:uiPriority w:val="99"/>
    <w:semiHidden/>
    <w:unhideWhenUsed/>
    <w:rsid w:val="00FB2991"/>
  </w:style>
  <w:style w:type="paragraph" w:styleId="NormalWeb">
    <w:name w:val="Normal (Web)"/>
    <w:basedOn w:val="Normal"/>
    <w:uiPriority w:val="99"/>
    <w:semiHidden/>
    <w:unhideWhenUsed/>
    <w:rsid w:val="0015384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uiPriority w:val="99"/>
    <w:semiHidden/>
    <w:rsid w:val="0015384E"/>
    <w:pPr>
      <w:autoSpaceDE w:val="0"/>
      <w:autoSpaceDN w:val="0"/>
      <w:adjustRightInd w:val="0"/>
      <w:spacing w:after="0" w:line="240" w:lineRule="auto"/>
    </w:pPr>
    <w:rPr>
      <w:rFonts w:ascii="Code" w:hAnsi="Code" w:cs="Code"/>
      <w:color w:val="000000"/>
      <w:sz w:val="24"/>
      <w:szCs w:val="24"/>
    </w:rPr>
  </w:style>
  <w:style w:type="paragraph" w:customStyle="1" w:styleId="page-range">
    <w:name w:val="page-range"/>
    <w:basedOn w:val="Normal"/>
    <w:uiPriority w:val="99"/>
    <w:semiHidden/>
    <w:rsid w:val="001538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ame">
    <w:name w:val="name"/>
    <w:basedOn w:val="DefaultParagraphFont"/>
    <w:rsid w:val="0015384E"/>
  </w:style>
  <w:style w:type="character" w:customStyle="1" w:styleId="lecyear">
    <w:name w:val="lec_year"/>
    <w:basedOn w:val="DefaultParagraphFont"/>
    <w:rsid w:val="0015384E"/>
  </w:style>
  <w:style w:type="character" w:customStyle="1" w:styleId="lecinfo">
    <w:name w:val="lec_info"/>
    <w:basedOn w:val="DefaultParagraphFont"/>
    <w:rsid w:val="0015384E"/>
  </w:style>
  <w:style w:type="character" w:customStyle="1" w:styleId="st">
    <w:name w:val="st"/>
    <w:basedOn w:val="DefaultParagraphFont"/>
    <w:rsid w:val="0015384E"/>
  </w:style>
  <w:style w:type="character" w:customStyle="1" w:styleId="familyname">
    <w:name w:val="familyname"/>
    <w:basedOn w:val="DefaultParagraphFont"/>
    <w:rsid w:val="0015384E"/>
  </w:style>
  <w:style w:type="character" w:styleId="Emphasis">
    <w:name w:val="Emphasis"/>
    <w:basedOn w:val="DefaultParagraphFont"/>
    <w:uiPriority w:val="20"/>
    <w:qFormat/>
    <w:rsid w:val="0015384E"/>
    <w:rPr>
      <w:i/>
      <w:iCs/>
    </w:rPr>
  </w:style>
  <w:style w:type="paragraph" w:styleId="ListBullet">
    <w:name w:val="List Bullet"/>
    <w:basedOn w:val="Normal"/>
    <w:uiPriority w:val="99"/>
    <w:unhideWhenUsed/>
    <w:rsid w:val="008F6A6C"/>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2571">
      <w:bodyDiv w:val="1"/>
      <w:marLeft w:val="0"/>
      <w:marRight w:val="0"/>
      <w:marTop w:val="0"/>
      <w:marBottom w:val="0"/>
      <w:divBdr>
        <w:top w:val="none" w:sz="0" w:space="0" w:color="auto"/>
        <w:left w:val="none" w:sz="0" w:space="0" w:color="auto"/>
        <w:bottom w:val="none" w:sz="0" w:space="0" w:color="auto"/>
        <w:right w:val="none" w:sz="0" w:space="0" w:color="auto"/>
      </w:divBdr>
    </w:div>
    <w:div w:id="892233224">
      <w:bodyDiv w:val="1"/>
      <w:marLeft w:val="0"/>
      <w:marRight w:val="0"/>
      <w:marTop w:val="0"/>
      <w:marBottom w:val="0"/>
      <w:divBdr>
        <w:top w:val="none" w:sz="0" w:space="0" w:color="auto"/>
        <w:left w:val="none" w:sz="0" w:space="0" w:color="auto"/>
        <w:bottom w:val="none" w:sz="0" w:space="0" w:color="auto"/>
        <w:right w:val="none" w:sz="0" w:space="0" w:color="auto"/>
      </w:divBdr>
    </w:div>
    <w:div w:id="1536502780">
      <w:bodyDiv w:val="1"/>
      <w:marLeft w:val="0"/>
      <w:marRight w:val="0"/>
      <w:marTop w:val="0"/>
      <w:marBottom w:val="0"/>
      <w:divBdr>
        <w:top w:val="none" w:sz="0" w:space="0" w:color="auto"/>
        <w:left w:val="none" w:sz="0" w:space="0" w:color="auto"/>
        <w:bottom w:val="none" w:sz="0" w:space="0" w:color="auto"/>
        <w:right w:val="none" w:sz="0" w:space="0" w:color="auto"/>
      </w:divBdr>
      <w:divsChild>
        <w:div w:id="60645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xenaproject.wordpress.com/2020/07/23/two-types-of-universe-for-two-types-of-mathematicia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xenaproject.wordpress.com/2020/07/23/two-types-of-universe-for-two-types-of-mathematicia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07/s11229-019-02524-y" TargetMode="External"/><Relationship Id="rId5" Type="http://schemas.openxmlformats.org/officeDocument/2006/relationships/numbering" Target="numbering.xml"/><Relationship Id="rId15" Type="http://schemas.openxmlformats.org/officeDocument/2006/relationships/hyperlink" Target="https://gilkalai.wordpress.com/2008/12/04/can-category-theory-serve-as-the-foundation-of-mathematic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xenaproject.wordpress.com/2020/07/23/two-types-of-universe-for-two-types-of-mathematicia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mathoverflow.net/questions/338607/why-doesnt-mathematics-collapse-even-though-humans-quite-often-make-mistake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vited_Students xmlns="9df4b6d3-71f8-42f3-a6d0-32b2729c6069" xsi:nil="true"/>
    <Templates xmlns="9df4b6d3-71f8-42f3-a6d0-32b2729c6069" xsi:nil="true"/>
    <CultureName xmlns="9df4b6d3-71f8-42f3-a6d0-32b2729c6069" xsi:nil="true"/>
    <Invited_Teachers xmlns="9df4b6d3-71f8-42f3-a6d0-32b2729c6069" xsi:nil="true"/>
    <Is_Collaboration_Space_Locked xmlns="9df4b6d3-71f8-42f3-a6d0-32b2729c6069" xsi:nil="true"/>
    <Teachers xmlns="9df4b6d3-71f8-42f3-a6d0-32b2729c6069">
      <UserInfo>
        <DisplayName/>
        <AccountId xsi:nil="true"/>
        <AccountType/>
      </UserInfo>
    </Teachers>
    <Student_Groups xmlns="9df4b6d3-71f8-42f3-a6d0-32b2729c6069">
      <UserInfo>
        <DisplayName/>
        <AccountId xsi:nil="true"/>
        <AccountType/>
      </UserInfo>
    </Student_Groups>
    <Has_Teacher_Only_SectionGroup xmlns="9df4b6d3-71f8-42f3-a6d0-32b2729c6069" xsi:nil="true"/>
    <Owner xmlns="9df4b6d3-71f8-42f3-a6d0-32b2729c6069">
      <UserInfo>
        <DisplayName/>
        <AccountId xsi:nil="true"/>
        <AccountType/>
      </UserInfo>
    </Owner>
    <DefaultSectionNames xmlns="9df4b6d3-71f8-42f3-a6d0-32b2729c6069" xsi:nil="true"/>
    <NotebookType xmlns="9df4b6d3-71f8-42f3-a6d0-32b2729c6069" xsi:nil="true"/>
    <FolderType xmlns="9df4b6d3-71f8-42f3-a6d0-32b2729c6069" xsi:nil="true"/>
    <AppVersion xmlns="9df4b6d3-71f8-42f3-a6d0-32b2729c6069" xsi:nil="true"/>
    <Self_Registration_Enabled xmlns="9df4b6d3-71f8-42f3-a6d0-32b2729c6069" xsi:nil="true"/>
    <Students xmlns="9df4b6d3-71f8-42f3-a6d0-32b2729c6069">
      <UserInfo>
        <DisplayName/>
        <AccountId xsi:nil="true"/>
        <AccountType/>
      </UserInfo>
    </Student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F6CA6E36D706408C1FFE4A9C11AFE7" ma:contentTypeVersion="30" ma:contentTypeDescription="Create a new document." ma:contentTypeScope="" ma:versionID="786a67ccdd064f474fb2b5abfcc79b0f">
  <xsd:schema xmlns:xsd="http://www.w3.org/2001/XMLSchema" xmlns:xs="http://www.w3.org/2001/XMLSchema" xmlns:p="http://schemas.microsoft.com/office/2006/metadata/properties" xmlns:ns3="193bb85b-ed1a-447e-8734-24bda7134944" xmlns:ns4="9df4b6d3-71f8-42f3-a6d0-32b2729c6069" targetNamespace="http://schemas.microsoft.com/office/2006/metadata/properties" ma:root="true" ma:fieldsID="fb6dce4ab31c4270d660b1f258631feb" ns3:_="" ns4:_="">
    <xsd:import namespace="193bb85b-ed1a-447e-8734-24bda7134944"/>
    <xsd:import namespace="9df4b6d3-71f8-42f3-a6d0-32b2729c6069"/>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bb85b-ed1a-447e-8734-24bda713494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df4b6d3-71f8-42f3-a6d0-32b2729c6069" elementFormDefault="qualified">
    <xsd:import namespace="http://schemas.microsoft.com/office/2006/documentManagement/types"/>
    <xsd:import namespace="http://schemas.microsoft.com/office/infopath/2007/PartnerControls"/>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6" nillable="true" ma:displayName="Default Section Names" ma:internalName="DefaultSectionNames">
      <xsd:simpleType>
        <xsd:restriction base="dms:Note">
          <xsd:maxLength value="255"/>
        </xsd:restriction>
      </xsd:simpleType>
    </xsd:element>
    <xsd:element name="Templates" ma:index="17" nillable="true" ma:displayName="Templates" ma:internalName="Templates">
      <xsd:simpleType>
        <xsd:restriction base="dms:Note">
          <xsd:maxLength value="255"/>
        </xsd:restriction>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chers" ma:index="2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3" nillable="true" ma:displayName="Invited Teachers" ma:internalName="Invited_Teachers">
      <xsd:simpleType>
        <xsd:restriction base="dms:Note">
          <xsd:maxLength value="255"/>
        </xsd:restriction>
      </xsd:simpleType>
    </xsd:element>
    <xsd:element name="Invited_Students" ma:index="24" nillable="true" ma:displayName="Invited Students" ma:internalName="Invited_Students">
      <xsd:simpleType>
        <xsd:restriction base="dms:Note">
          <xsd:maxLength value="255"/>
        </xsd:restriction>
      </xsd:simpleType>
    </xsd:element>
    <xsd:element name="Self_Registration_Enabled" ma:index="25" nillable="true" ma:displayName="Self Registration Enabled" ma:internalName="Self_Registration_Enabled">
      <xsd:simpleType>
        <xsd:restriction base="dms:Boolean"/>
      </xsd:simpleType>
    </xsd:element>
    <xsd:element name="Has_Teacher_Only_SectionGroup" ma:index="26" nillable="true" ma:displayName="Has Teacher Only SectionGroup" ma:internalName="Has_Teacher_Only_SectionGroup">
      <xsd:simpleType>
        <xsd:restriction base="dms:Boolean"/>
      </xsd:simpleType>
    </xsd:element>
    <xsd:element name="Is_Collaboration_Space_Locked" ma:index="27" nillable="true" ma:displayName="Is Collaboration Space Locked" ma:internalName="Is_Collaboration_Space_Locked">
      <xsd:simpleType>
        <xsd:restriction base="dms:Boolean"/>
      </xsd:simpleType>
    </xsd:element>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AutoTags" ma:index="30" nillable="true" ma:displayName="MediaServiceAutoTags" ma:description="" ma:internalName="MediaServiceAutoTags" ma:readOnly="true">
      <xsd:simpleType>
        <xsd:restriction base="dms:Text"/>
      </xsd:simpleType>
    </xsd:element>
    <xsd:element name="MediaServiceDateTaken" ma:index="31" nillable="true" ma:displayName="MediaServiceDateTaken" ma:hidden="true" ma:internalName="MediaServiceDateTake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Location" ma:index="33" nillable="true" ma:displayNam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B0ABB5-A46C-46E8-800D-533341B7ED0F}">
  <ds:schemaRefs>
    <ds:schemaRef ds:uri="http://schemas.microsoft.com/sharepoint/v3/contenttype/forms"/>
  </ds:schemaRefs>
</ds:datastoreItem>
</file>

<file path=customXml/itemProps2.xml><?xml version="1.0" encoding="utf-8"?>
<ds:datastoreItem xmlns:ds="http://schemas.openxmlformats.org/officeDocument/2006/customXml" ds:itemID="{012DF9F7-5253-4CA3-9F1F-3BA1B1265F79}">
  <ds:schemaRefs>
    <ds:schemaRef ds:uri="http://schemas.openxmlformats.org/officeDocument/2006/bibliography"/>
  </ds:schemaRefs>
</ds:datastoreItem>
</file>

<file path=customXml/itemProps3.xml><?xml version="1.0" encoding="utf-8"?>
<ds:datastoreItem xmlns:ds="http://schemas.openxmlformats.org/officeDocument/2006/customXml" ds:itemID="{9A16A6FF-E8C7-4F01-9297-DB1A49C5384B}">
  <ds:schemaRefs>
    <ds:schemaRef ds:uri="http://schemas.microsoft.com/office/2006/metadata/properties"/>
    <ds:schemaRef ds:uri="http://schemas.microsoft.com/office/infopath/2007/PartnerControls"/>
    <ds:schemaRef ds:uri="9df4b6d3-71f8-42f3-a6d0-32b2729c6069"/>
  </ds:schemaRefs>
</ds:datastoreItem>
</file>

<file path=customXml/itemProps4.xml><?xml version="1.0" encoding="utf-8"?>
<ds:datastoreItem xmlns:ds="http://schemas.openxmlformats.org/officeDocument/2006/customXml" ds:itemID="{C4742ABB-9338-4557-9CAD-70593C173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bb85b-ed1a-447e-8734-24bda7134944"/>
    <ds:schemaRef ds:uri="9df4b6d3-71f8-42f3-a6d0-32b2729c6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14</Pages>
  <Words>6683</Words>
  <Characters>38097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larvor</dc:creator>
  <cp:keywords/>
  <dc:description/>
  <cp:lastModifiedBy>Brendan Larvor</cp:lastModifiedBy>
  <cp:revision>15</cp:revision>
  <dcterms:created xsi:type="dcterms:W3CDTF">2022-07-05T16:50:00Z</dcterms:created>
  <dcterms:modified xsi:type="dcterms:W3CDTF">2022-07-05T17:40:00Z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0x01010060F6CA6E36D706408C1FFE4A9C11AFE7</vt:lpwstr>
  </property>
</Properties>
</file>