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A40CE" w14:textId="77777777" w:rsidR="00936FEF" w:rsidRPr="00936FEF" w:rsidRDefault="00936FEF" w:rsidP="007E699A">
      <w:pPr>
        <w:spacing w:after="0" w:line="480" w:lineRule="auto"/>
        <w:rPr>
          <w:rFonts w:ascii="Times New Roman" w:eastAsia="Times New Roman" w:hAnsi="Times New Roman" w:cs="Times New Roman"/>
          <w:sz w:val="24"/>
          <w:szCs w:val="24"/>
          <w:lang w:eastAsia="en-PH"/>
        </w:rPr>
      </w:pPr>
      <w:r w:rsidRPr="00936FEF">
        <w:rPr>
          <w:rFonts w:ascii="Times New Roman" w:eastAsia="Times New Roman" w:hAnsi="Times New Roman" w:cs="Times New Roman"/>
          <w:color w:val="000000"/>
          <w:sz w:val="24"/>
          <w:szCs w:val="24"/>
          <w:lang w:eastAsia="en-PH"/>
        </w:rPr>
        <w:t>Espino, Lawrence Ray O.</w:t>
      </w:r>
    </w:p>
    <w:p w14:paraId="26B415B6" w14:textId="77777777" w:rsidR="00936FEF" w:rsidRPr="00936FEF" w:rsidRDefault="00936FEF" w:rsidP="007E699A">
      <w:pPr>
        <w:spacing w:after="0" w:line="480" w:lineRule="auto"/>
        <w:rPr>
          <w:rFonts w:ascii="Times New Roman" w:eastAsia="Times New Roman" w:hAnsi="Times New Roman" w:cs="Times New Roman"/>
          <w:sz w:val="24"/>
          <w:szCs w:val="24"/>
          <w:lang w:eastAsia="en-PH"/>
        </w:rPr>
      </w:pPr>
    </w:p>
    <w:p w14:paraId="65B19E6A" w14:textId="77777777" w:rsidR="00936FEF" w:rsidRPr="00936FEF" w:rsidRDefault="00936FEF" w:rsidP="007E699A">
      <w:pPr>
        <w:spacing w:after="0" w:line="480" w:lineRule="auto"/>
        <w:jc w:val="center"/>
        <w:rPr>
          <w:rFonts w:ascii="Times New Roman" w:eastAsia="Times New Roman" w:hAnsi="Times New Roman" w:cs="Times New Roman"/>
          <w:sz w:val="24"/>
          <w:szCs w:val="24"/>
          <w:lang w:eastAsia="en-PH"/>
        </w:rPr>
      </w:pPr>
      <w:r w:rsidRPr="00936FEF">
        <w:rPr>
          <w:rFonts w:ascii="Times New Roman" w:eastAsia="Times New Roman" w:hAnsi="Times New Roman" w:cs="Times New Roman"/>
          <w:color w:val="000000"/>
          <w:sz w:val="24"/>
          <w:szCs w:val="24"/>
          <w:lang w:eastAsia="en-PH"/>
        </w:rPr>
        <w:t xml:space="preserve">A </w:t>
      </w:r>
      <w:proofErr w:type="spellStart"/>
      <w:r w:rsidRPr="00936FEF">
        <w:rPr>
          <w:rFonts w:ascii="Times New Roman" w:eastAsia="Times New Roman" w:hAnsi="Times New Roman" w:cs="Times New Roman"/>
          <w:color w:val="000000"/>
          <w:sz w:val="24"/>
          <w:szCs w:val="24"/>
          <w:lang w:eastAsia="en-PH"/>
        </w:rPr>
        <w:t>Wittgensteinian</w:t>
      </w:r>
      <w:proofErr w:type="spellEnd"/>
      <w:r w:rsidRPr="00936FEF">
        <w:rPr>
          <w:rFonts w:ascii="Times New Roman" w:eastAsia="Times New Roman" w:hAnsi="Times New Roman" w:cs="Times New Roman"/>
          <w:color w:val="000000"/>
          <w:sz w:val="24"/>
          <w:szCs w:val="24"/>
          <w:lang w:eastAsia="en-PH"/>
        </w:rPr>
        <w:t xml:space="preserve"> View of Naturalist Against Non-Naturalist Conceptions of Health</w:t>
      </w:r>
    </w:p>
    <w:p w14:paraId="6A17244B" w14:textId="77777777" w:rsidR="00936FEF" w:rsidRPr="00936FEF" w:rsidRDefault="00936FEF" w:rsidP="007E699A">
      <w:pPr>
        <w:spacing w:after="0" w:line="480" w:lineRule="auto"/>
        <w:rPr>
          <w:rFonts w:ascii="Times New Roman" w:eastAsia="Times New Roman" w:hAnsi="Times New Roman" w:cs="Times New Roman"/>
          <w:sz w:val="24"/>
          <w:szCs w:val="24"/>
          <w:lang w:eastAsia="en-PH"/>
        </w:rPr>
      </w:pPr>
    </w:p>
    <w:p w14:paraId="0CAC20D2" w14:textId="77777777" w:rsidR="00FC6A74" w:rsidRDefault="00936FEF" w:rsidP="00FC6A74">
      <w:pPr>
        <w:spacing w:after="0" w:line="480" w:lineRule="auto"/>
        <w:rPr>
          <w:rFonts w:ascii="Times New Roman" w:eastAsia="Times New Roman" w:hAnsi="Times New Roman" w:cs="Times New Roman"/>
          <w:sz w:val="24"/>
          <w:szCs w:val="24"/>
          <w:lang w:eastAsia="en-PH"/>
        </w:rPr>
      </w:pPr>
      <w:r w:rsidRPr="00936FEF">
        <w:rPr>
          <w:rFonts w:ascii="Times New Roman" w:eastAsia="Times New Roman" w:hAnsi="Times New Roman" w:cs="Times New Roman"/>
          <w:color w:val="000000"/>
          <w:sz w:val="24"/>
          <w:szCs w:val="24"/>
          <w:lang w:eastAsia="en-PH"/>
        </w:rPr>
        <w:t>Abstract:</w:t>
      </w:r>
    </w:p>
    <w:p w14:paraId="584C3905" w14:textId="6D33C8E8" w:rsidR="00FC6A74" w:rsidRDefault="00936FEF" w:rsidP="00FC6A74">
      <w:pPr>
        <w:spacing w:after="0" w:line="480" w:lineRule="auto"/>
        <w:ind w:firstLine="720"/>
        <w:jc w:val="both"/>
        <w:rPr>
          <w:rFonts w:ascii="Times New Roman" w:eastAsia="Times New Roman" w:hAnsi="Times New Roman" w:cs="Times New Roman"/>
          <w:sz w:val="24"/>
          <w:szCs w:val="24"/>
          <w:lang w:eastAsia="en-PH"/>
        </w:rPr>
      </w:pPr>
      <w:proofErr w:type="gramStart"/>
      <w:r w:rsidRPr="00936FEF">
        <w:rPr>
          <w:rFonts w:ascii="Times New Roman" w:eastAsia="Times New Roman" w:hAnsi="Times New Roman" w:cs="Times New Roman"/>
          <w:color w:val="000000"/>
          <w:sz w:val="24"/>
          <w:szCs w:val="24"/>
          <w:lang w:eastAsia="en-PH"/>
        </w:rPr>
        <w:t>In order to</w:t>
      </w:r>
      <w:proofErr w:type="gramEnd"/>
      <w:r w:rsidRPr="00936FEF">
        <w:rPr>
          <w:rFonts w:ascii="Times New Roman" w:eastAsia="Times New Roman" w:hAnsi="Times New Roman" w:cs="Times New Roman"/>
          <w:color w:val="000000"/>
          <w:sz w:val="24"/>
          <w:szCs w:val="24"/>
          <w:lang w:eastAsia="en-PH"/>
        </w:rPr>
        <w:t xml:space="preserve"> provide an answer to the question, “What is health?” I have classified the various answers into two general categories. Each side tries to argue for a particular way in which the term ‘health’ ought to be used. On the one hand, philosophers such as Christopher </w:t>
      </w:r>
      <w:proofErr w:type="spellStart"/>
      <w:r w:rsidRPr="00936FEF">
        <w:rPr>
          <w:rFonts w:ascii="Times New Roman" w:eastAsia="Times New Roman" w:hAnsi="Times New Roman" w:cs="Times New Roman"/>
          <w:color w:val="000000"/>
          <w:sz w:val="24"/>
          <w:szCs w:val="24"/>
          <w:lang w:eastAsia="en-PH"/>
        </w:rPr>
        <w:t>Boorse</w:t>
      </w:r>
      <w:proofErr w:type="spellEnd"/>
      <w:r w:rsidRPr="00936FEF">
        <w:rPr>
          <w:rFonts w:ascii="Times New Roman" w:eastAsia="Times New Roman" w:hAnsi="Times New Roman" w:cs="Times New Roman"/>
          <w:color w:val="000000"/>
          <w:sz w:val="24"/>
          <w:szCs w:val="24"/>
          <w:lang w:eastAsia="en-PH"/>
        </w:rPr>
        <w:t xml:space="preserve"> and Daniel Hausman argue that the ‘health’ concept is best understood as a value-free term belonging to the natural sciences. Under the naturalist conception, the notion of ‘health’ is closely associated with the notions of ‘disease’ or ‘pathology’, where </w:t>
      </w:r>
      <w:r w:rsidR="00ED7DFD">
        <w:rPr>
          <w:rFonts w:ascii="Times New Roman" w:eastAsia="Times New Roman" w:hAnsi="Times New Roman" w:cs="Times New Roman"/>
          <w:color w:val="000000"/>
          <w:sz w:val="24"/>
          <w:szCs w:val="24"/>
          <w:lang w:eastAsia="en-PH"/>
        </w:rPr>
        <w:t>‘health’ is referring to an</w:t>
      </w:r>
      <w:r w:rsidRPr="00936FEF">
        <w:rPr>
          <w:rFonts w:ascii="Times New Roman" w:eastAsia="Times New Roman" w:hAnsi="Times New Roman" w:cs="Times New Roman"/>
          <w:color w:val="000000"/>
          <w:sz w:val="24"/>
          <w:szCs w:val="24"/>
          <w:lang w:eastAsia="en-PH"/>
        </w:rPr>
        <w:t xml:space="preserve"> objective feature of the world. For naturalists, an organism (or one of its systems) </w:t>
      </w:r>
      <w:proofErr w:type="gramStart"/>
      <w:r w:rsidRPr="00936FEF">
        <w:rPr>
          <w:rFonts w:ascii="Times New Roman" w:eastAsia="Times New Roman" w:hAnsi="Times New Roman" w:cs="Times New Roman"/>
          <w:color w:val="000000"/>
          <w:sz w:val="24"/>
          <w:szCs w:val="24"/>
          <w:lang w:eastAsia="en-PH"/>
        </w:rPr>
        <w:t>is considered to be</w:t>
      </w:r>
      <w:proofErr w:type="gramEnd"/>
      <w:r w:rsidRPr="00936FEF">
        <w:rPr>
          <w:rFonts w:ascii="Times New Roman" w:eastAsia="Times New Roman" w:hAnsi="Times New Roman" w:cs="Times New Roman"/>
          <w:color w:val="000000"/>
          <w:sz w:val="24"/>
          <w:szCs w:val="24"/>
          <w:lang w:eastAsia="en-PH"/>
        </w:rPr>
        <w:t xml:space="preserve"> healthy when there is an absence of a pathological condition.</w:t>
      </w:r>
    </w:p>
    <w:p w14:paraId="4C91949C" w14:textId="7A92B5BE" w:rsidR="00936FEF" w:rsidRPr="00936FEF" w:rsidRDefault="00936FEF" w:rsidP="00FC6A74">
      <w:pPr>
        <w:spacing w:after="0" w:line="480" w:lineRule="auto"/>
        <w:ind w:firstLine="720"/>
        <w:jc w:val="both"/>
        <w:rPr>
          <w:rFonts w:ascii="Times New Roman" w:eastAsia="Times New Roman" w:hAnsi="Times New Roman" w:cs="Times New Roman"/>
          <w:sz w:val="24"/>
          <w:szCs w:val="24"/>
          <w:lang w:eastAsia="en-PH"/>
        </w:rPr>
      </w:pPr>
      <w:r w:rsidRPr="00936FEF">
        <w:rPr>
          <w:rFonts w:ascii="Times New Roman" w:eastAsia="Times New Roman" w:hAnsi="Times New Roman" w:cs="Times New Roman"/>
          <w:color w:val="000000"/>
          <w:sz w:val="24"/>
          <w:szCs w:val="24"/>
          <w:lang w:eastAsia="en-PH"/>
        </w:rPr>
        <w:t xml:space="preserve">On the other hand, philosophers such as </w:t>
      </w:r>
      <w:proofErr w:type="spellStart"/>
      <w:r w:rsidRPr="00936FEF">
        <w:rPr>
          <w:rFonts w:ascii="Times New Roman" w:eastAsia="Times New Roman" w:hAnsi="Times New Roman" w:cs="Times New Roman"/>
          <w:color w:val="000000"/>
          <w:sz w:val="24"/>
          <w:szCs w:val="24"/>
          <w:lang w:eastAsia="en-PH"/>
        </w:rPr>
        <w:t>Nordenfelt</w:t>
      </w:r>
      <w:proofErr w:type="spellEnd"/>
      <w:r w:rsidRPr="00936FEF">
        <w:rPr>
          <w:rFonts w:ascii="Times New Roman" w:eastAsia="Times New Roman" w:hAnsi="Times New Roman" w:cs="Times New Roman"/>
          <w:color w:val="000000"/>
          <w:sz w:val="24"/>
          <w:szCs w:val="24"/>
          <w:lang w:eastAsia="en-PH"/>
        </w:rPr>
        <w:t xml:space="preserve"> and </w:t>
      </w:r>
      <w:proofErr w:type="spellStart"/>
      <w:r w:rsidRPr="00936FEF">
        <w:rPr>
          <w:rFonts w:ascii="Times New Roman" w:eastAsia="Times New Roman" w:hAnsi="Times New Roman" w:cs="Times New Roman"/>
          <w:color w:val="000000"/>
          <w:sz w:val="24"/>
          <w:szCs w:val="24"/>
          <w:lang w:eastAsia="en-PH"/>
        </w:rPr>
        <w:t>Svenaeus</w:t>
      </w:r>
      <w:proofErr w:type="spellEnd"/>
      <w:r w:rsidRPr="00936FEF">
        <w:rPr>
          <w:rFonts w:ascii="Times New Roman" w:eastAsia="Times New Roman" w:hAnsi="Times New Roman" w:cs="Times New Roman"/>
          <w:color w:val="000000"/>
          <w:sz w:val="24"/>
          <w:szCs w:val="24"/>
          <w:lang w:eastAsia="en-PH"/>
        </w:rPr>
        <w:t xml:space="preserve"> argue that the ‘health’ concept is best understood as a </w:t>
      </w:r>
      <w:r w:rsidR="00FC6A74">
        <w:rPr>
          <w:rFonts w:ascii="Times New Roman" w:eastAsia="Times New Roman" w:hAnsi="Times New Roman" w:cs="Times New Roman"/>
          <w:color w:val="000000"/>
          <w:sz w:val="24"/>
          <w:szCs w:val="24"/>
          <w:lang w:eastAsia="en-PH"/>
        </w:rPr>
        <w:t xml:space="preserve">value-laden </w:t>
      </w:r>
      <w:r w:rsidRPr="00936FEF">
        <w:rPr>
          <w:rFonts w:ascii="Times New Roman" w:eastAsia="Times New Roman" w:hAnsi="Times New Roman" w:cs="Times New Roman"/>
          <w:color w:val="000000"/>
          <w:sz w:val="24"/>
          <w:szCs w:val="24"/>
          <w:lang w:eastAsia="en-PH"/>
        </w:rPr>
        <w:t>term affected by social and economic pressures. Unlike the naturalists, non-naturalists believe that a particular usage of the term ‘health’ is infused with the values of the speaker.</w:t>
      </w:r>
      <w:r w:rsidR="00ED7DFD">
        <w:rPr>
          <w:rFonts w:ascii="Times New Roman" w:eastAsia="Times New Roman" w:hAnsi="Times New Roman" w:cs="Times New Roman"/>
          <w:color w:val="000000"/>
          <w:sz w:val="24"/>
          <w:szCs w:val="24"/>
          <w:lang w:eastAsia="en-PH"/>
        </w:rPr>
        <w:t xml:space="preserve"> The term ‘health’ is used to refer to a judgement or apprehension that a speaker may have to a particular human being.</w:t>
      </w:r>
      <w:r w:rsidRPr="00936FEF">
        <w:rPr>
          <w:rFonts w:ascii="Times New Roman" w:eastAsia="Times New Roman" w:hAnsi="Times New Roman" w:cs="Times New Roman"/>
          <w:color w:val="000000"/>
          <w:sz w:val="24"/>
          <w:szCs w:val="24"/>
          <w:lang w:eastAsia="en-PH"/>
        </w:rPr>
        <w:t xml:space="preserve"> To say that a condition is ‘healthy’ or ‘unhealthy’ is to </w:t>
      </w:r>
      <w:r w:rsidR="00B36930">
        <w:rPr>
          <w:rFonts w:ascii="Times New Roman" w:eastAsia="Times New Roman" w:hAnsi="Times New Roman" w:cs="Times New Roman"/>
          <w:color w:val="000000"/>
          <w:sz w:val="24"/>
          <w:szCs w:val="24"/>
          <w:lang w:eastAsia="en-PH"/>
        </w:rPr>
        <w:t xml:space="preserve">partially </w:t>
      </w:r>
      <w:r w:rsidRPr="00936FEF">
        <w:rPr>
          <w:rFonts w:ascii="Times New Roman" w:eastAsia="Times New Roman" w:hAnsi="Times New Roman" w:cs="Times New Roman"/>
          <w:color w:val="000000"/>
          <w:sz w:val="24"/>
          <w:szCs w:val="24"/>
          <w:lang w:eastAsia="en-PH"/>
        </w:rPr>
        <w:t xml:space="preserve">mean that the condition is </w:t>
      </w:r>
      <w:r w:rsidR="00ED7DFD">
        <w:rPr>
          <w:rFonts w:ascii="Times New Roman" w:eastAsia="Times New Roman" w:hAnsi="Times New Roman" w:cs="Times New Roman"/>
          <w:color w:val="000000"/>
          <w:sz w:val="24"/>
          <w:szCs w:val="24"/>
          <w:lang w:eastAsia="en-PH"/>
        </w:rPr>
        <w:t xml:space="preserve">‘good’ or ‘bad’ in an extra-biological </w:t>
      </w:r>
      <w:r w:rsidR="00B36930">
        <w:rPr>
          <w:rFonts w:ascii="Times New Roman" w:eastAsia="Times New Roman" w:hAnsi="Times New Roman" w:cs="Times New Roman"/>
          <w:color w:val="000000"/>
          <w:sz w:val="24"/>
          <w:szCs w:val="24"/>
          <w:lang w:eastAsia="en-PH"/>
        </w:rPr>
        <w:t>sense</w:t>
      </w:r>
      <w:r w:rsidRPr="00936FEF">
        <w:rPr>
          <w:rFonts w:ascii="Times New Roman" w:eastAsia="Times New Roman" w:hAnsi="Times New Roman" w:cs="Times New Roman"/>
          <w:color w:val="000000"/>
          <w:sz w:val="24"/>
          <w:szCs w:val="24"/>
          <w:lang w:eastAsia="en-PH"/>
        </w:rPr>
        <w:t xml:space="preserve">. </w:t>
      </w:r>
    </w:p>
    <w:p w14:paraId="3EE43F58" w14:textId="15CD5A01" w:rsidR="008A639E" w:rsidRDefault="00936FEF" w:rsidP="00FC6A74">
      <w:pPr>
        <w:spacing w:after="0" w:line="480" w:lineRule="auto"/>
        <w:ind w:firstLine="720"/>
        <w:jc w:val="both"/>
        <w:rPr>
          <w:rFonts w:ascii="Times New Roman" w:eastAsia="Times New Roman" w:hAnsi="Times New Roman" w:cs="Times New Roman"/>
          <w:color w:val="000000"/>
          <w:sz w:val="24"/>
          <w:szCs w:val="24"/>
          <w:lang w:eastAsia="en-PH"/>
        </w:rPr>
        <w:sectPr w:rsidR="008A639E" w:rsidSect="00733BA5">
          <w:pgSz w:w="12240" w:h="15840"/>
          <w:pgMar w:top="1440" w:right="1440" w:bottom="1440" w:left="1440" w:header="708" w:footer="708" w:gutter="0"/>
          <w:cols w:space="708"/>
          <w:docGrid w:linePitch="360"/>
        </w:sectPr>
      </w:pPr>
      <w:r w:rsidRPr="00936FEF">
        <w:rPr>
          <w:rFonts w:ascii="Times New Roman" w:eastAsia="Times New Roman" w:hAnsi="Times New Roman" w:cs="Times New Roman"/>
          <w:color w:val="000000"/>
          <w:sz w:val="24"/>
          <w:szCs w:val="24"/>
          <w:lang w:eastAsia="en-PH"/>
        </w:rPr>
        <w:t>I argue that, as a question between naturalism and non-naturalism, the question of “What is health?” can be regarded as a pseudo-problem stemming from a superficial similarity between technical and non-technical usages of the ‘health’ term. If philosophers and medical professionals are to have meaningful conversation</w:t>
      </w:r>
      <w:r w:rsidR="00DE3B61">
        <w:rPr>
          <w:rFonts w:ascii="Times New Roman" w:eastAsia="Times New Roman" w:hAnsi="Times New Roman" w:cs="Times New Roman"/>
          <w:color w:val="000000"/>
          <w:sz w:val="24"/>
          <w:szCs w:val="24"/>
          <w:lang w:eastAsia="en-PH"/>
        </w:rPr>
        <w:t>s</w:t>
      </w:r>
      <w:r w:rsidRPr="00936FEF">
        <w:rPr>
          <w:rFonts w:ascii="Times New Roman" w:eastAsia="Times New Roman" w:hAnsi="Times New Roman" w:cs="Times New Roman"/>
          <w:color w:val="000000"/>
          <w:sz w:val="24"/>
          <w:szCs w:val="24"/>
          <w:lang w:eastAsia="en-PH"/>
        </w:rPr>
        <w:t xml:space="preserve"> using the term ‘health’, then they must move past theoretical </w:t>
      </w:r>
      <w:r w:rsidRPr="00936FEF">
        <w:rPr>
          <w:rFonts w:ascii="Times New Roman" w:eastAsia="Times New Roman" w:hAnsi="Times New Roman" w:cs="Times New Roman"/>
          <w:color w:val="000000"/>
          <w:sz w:val="24"/>
          <w:szCs w:val="24"/>
          <w:lang w:eastAsia="en-PH"/>
        </w:rPr>
        <w:lastRenderedPageBreak/>
        <w:t xml:space="preserve">discussions of whether a naturalist or non-naturalist conception of health is ‘more appropriate’. Instead, philosophers of medicine and medical professionals must become conscientious of which sense of health is used in their conversations. Once they become aware and appreciate the different uses of the term ‘health’, the tension between </w:t>
      </w:r>
      <w:r w:rsidR="00ED7DFD">
        <w:rPr>
          <w:rFonts w:ascii="Times New Roman" w:eastAsia="Times New Roman" w:hAnsi="Times New Roman" w:cs="Times New Roman"/>
          <w:color w:val="000000"/>
          <w:sz w:val="24"/>
          <w:szCs w:val="24"/>
          <w:lang w:eastAsia="en-PH"/>
        </w:rPr>
        <w:t>choosing what one ought to mean by the term ‘health’ disappears.</w:t>
      </w:r>
    </w:p>
    <w:p w14:paraId="158D2025" w14:textId="008B1F06" w:rsidR="005E0D0A" w:rsidRPr="005E0D0A" w:rsidRDefault="005E0D0A" w:rsidP="005E0D0A">
      <w:pPr>
        <w:spacing w:after="0" w:line="480" w:lineRule="auto"/>
        <w:jc w:val="both"/>
        <w:rPr>
          <w:rFonts w:ascii="Times New Roman" w:eastAsia="Times New Roman" w:hAnsi="Times New Roman" w:cs="Times New Roman"/>
          <w:b/>
          <w:bCs/>
          <w:color w:val="000000"/>
          <w:sz w:val="24"/>
          <w:szCs w:val="24"/>
          <w:lang w:eastAsia="en-PH"/>
        </w:rPr>
      </w:pPr>
      <w:r>
        <w:rPr>
          <w:rFonts w:ascii="Times New Roman" w:eastAsia="Times New Roman" w:hAnsi="Times New Roman" w:cs="Times New Roman"/>
          <w:b/>
          <w:bCs/>
          <w:color w:val="000000"/>
          <w:sz w:val="24"/>
          <w:szCs w:val="24"/>
          <w:lang w:eastAsia="en-PH"/>
        </w:rPr>
        <w:lastRenderedPageBreak/>
        <w:t>Introduction</w:t>
      </w:r>
    </w:p>
    <w:p w14:paraId="23CB9F87" w14:textId="77777777" w:rsidR="005E0D0A" w:rsidRDefault="005E0D0A" w:rsidP="007E699A">
      <w:pPr>
        <w:spacing w:after="0" w:line="480" w:lineRule="auto"/>
        <w:ind w:firstLine="720"/>
        <w:jc w:val="both"/>
        <w:rPr>
          <w:rFonts w:ascii="Times New Roman" w:eastAsia="Times New Roman" w:hAnsi="Times New Roman" w:cs="Times New Roman"/>
          <w:color w:val="000000"/>
          <w:sz w:val="24"/>
          <w:szCs w:val="24"/>
          <w:lang w:eastAsia="en-PH"/>
        </w:rPr>
      </w:pPr>
    </w:p>
    <w:p w14:paraId="1290E0C0" w14:textId="797C098E" w:rsidR="007E699A" w:rsidRDefault="007E699A" w:rsidP="007E699A">
      <w:pPr>
        <w:spacing w:after="0" w:line="480" w:lineRule="auto"/>
        <w:ind w:firstLine="720"/>
        <w:jc w:val="both"/>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One of the keystone concepts in both medical practice and medical theory is the concept of health.</w:t>
      </w:r>
      <w:r w:rsidR="006E4C92">
        <w:rPr>
          <w:rFonts w:ascii="Times New Roman" w:eastAsia="Times New Roman" w:hAnsi="Times New Roman" w:cs="Times New Roman"/>
          <w:color w:val="000000"/>
          <w:sz w:val="24"/>
          <w:szCs w:val="24"/>
          <w:lang w:eastAsia="en-PH"/>
        </w:rPr>
        <w:t xml:space="preserve"> </w:t>
      </w:r>
      <w:r w:rsidR="003D47EE">
        <w:rPr>
          <w:rFonts w:ascii="Times New Roman" w:eastAsia="Times New Roman" w:hAnsi="Times New Roman" w:cs="Times New Roman"/>
          <w:color w:val="000000"/>
          <w:sz w:val="24"/>
          <w:szCs w:val="24"/>
          <w:lang w:eastAsia="en-PH"/>
        </w:rPr>
        <w:t xml:space="preserve">The </w:t>
      </w:r>
      <w:r>
        <w:rPr>
          <w:rFonts w:ascii="Times New Roman" w:eastAsia="Times New Roman" w:hAnsi="Times New Roman" w:cs="Times New Roman"/>
          <w:color w:val="000000"/>
          <w:sz w:val="24"/>
          <w:szCs w:val="24"/>
          <w:lang w:eastAsia="en-PH"/>
        </w:rPr>
        <w:t>notion of health is what both</w:t>
      </w:r>
      <w:r w:rsidR="002B4FC4">
        <w:rPr>
          <w:rFonts w:ascii="Times New Roman" w:eastAsia="Times New Roman" w:hAnsi="Times New Roman" w:cs="Times New Roman"/>
          <w:color w:val="000000"/>
          <w:sz w:val="24"/>
          <w:szCs w:val="24"/>
          <w:lang w:eastAsia="en-PH"/>
        </w:rPr>
        <w:t xml:space="preserve"> medical</w:t>
      </w:r>
      <w:r>
        <w:rPr>
          <w:rFonts w:ascii="Times New Roman" w:eastAsia="Times New Roman" w:hAnsi="Times New Roman" w:cs="Times New Roman"/>
          <w:color w:val="000000"/>
          <w:sz w:val="24"/>
          <w:szCs w:val="24"/>
          <w:lang w:eastAsia="en-PH"/>
        </w:rPr>
        <w:t xml:space="preserve"> theory and practice are founded upon</w:t>
      </w:r>
      <w:r w:rsidR="003D47EE">
        <w:rPr>
          <w:rFonts w:ascii="Times New Roman" w:eastAsia="Times New Roman" w:hAnsi="Times New Roman" w:cs="Times New Roman"/>
          <w:color w:val="000000"/>
          <w:sz w:val="24"/>
          <w:szCs w:val="24"/>
          <w:lang w:eastAsia="en-PH"/>
        </w:rPr>
        <w:t>. Under the modern view of medical theory</w:t>
      </w:r>
      <w:r w:rsidR="006E4C92">
        <w:rPr>
          <w:rFonts w:ascii="Times New Roman" w:eastAsia="Times New Roman" w:hAnsi="Times New Roman" w:cs="Times New Roman"/>
          <w:color w:val="000000"/>
          <w:sz w:val="24"/>
          <w:szCs w:val="24"/>
          <w:lang w:eastAsia="en-PH"/>
        </w:rPr>
        <w:t>, health is the absence of disease in an organism or system within the organism</w:t>
      </w:r>
      <w:r w:rsidR="00345DBA">
        <w:rPr>
          <w:rFonts w:ascii="Times New Roman" w:eastAsia="Times New Roman" w:hAnsi="Times New Roman" w:cs="Times New Roman"/>
          <w:color w:val="000000"/>
          <w:sz w:val="24"/>
          <w:szCs w:val="24"/>
          <w:lang w:eastAsia="en-PH"/>
        </w:rPr>
        <w:t>,</w:t>
      </w:r>
      <w:r w:rsidR="00345DBA">
        <w:rPr>
          <w:rStyle w:val="FootnoteReference"/>
          <w:rFonts w:ascii="Times New Roman" w:eastAsia="Times New Roman" w:hAnsi="Times New Roman" w:cs="Times New Roman"/>
          <w:color w:val="000000"/>
          <w:sz w:val="24"/>
          <w:szCs w:val="24"/>
          <w:lang w:eastAsia="en-PH"/>
        </w:rPr>
        <w:footnoteReference w:id="1"/>
      </w:r>
      <w:r w:rsidR="00345DBA">
        <w:rPr>
          <w:rFonts w:ascii="Times New Roman" w:eastAsia="Times New Roman" w:hAnsi="Times New Roman" w:cs="Times New Roman"/>
          <w:color w:val="000000"/>
          <w:sz w:val="24"/>
          <w:szCs w:val="24"/>
          <w:lang w:eastAsia="en-PH"/>
        </w:rPr>
        <w:t xml:space="preserve"> where disease is understood to be a</w:t>
      </w:r>
      <w:r w:rsidR="00DE5A27">
        <w:rPr>
          <w:rFonts w:ascii="Times New Roman" w:eastAsia="Times New Roman" w:hAnsi="Times New Roman" w:cs="Times New Roman"/>
          <w:color w:val="000000"/>
          <w:sz w:val="24"/>
          <w:szCs w:val="24"/>
          <w:lang w:eastAsia="en-PH"/>
        </w:rPr>
        <w:t>n atypical</w:t>
      </w:r>
      <w:r w:rsidR="00DE5A27">
        <w:rPr>
          <w:rStyle w:val="FootnoteReference"/>
          <w:rFonts w:ascii="Times New Roman" w:eastAsia="Times New Roman" w:hAnsi="Times New Roman" w:cs="Times New Roman"/>
          <w:color w:val="000000"/>
          <w:sz w:val="24"/>
          <w:szCs w:val="24"/>
          <w:lang w:eastAsia="en-PH"/>
        </w:rPr>
        <w:footnoteReference w:id="2"/>
      </w:r>
      <w:r w:rsidR="00345DBA">
        <w:rPr>
          <w:rFonts w:ascii="Times New Roman" w:eastAsia="Times New Roman" w:hAnsi="Times New Roman" w:cs="Times New Roman"/>
          <w:color w:val="000000"/>
          <w:sz w:val="24"/>
          <w:szCs w:val="24"/>
          <w:lang w:eastAsia="en-PH"/>
        </w:rPr>
        <w:t xml:space="preserve"> states-of-affairs</w:t>
      </w:r>
      <w:r w:rsidR="002B4FC4">
        <w:rPr>
          <w:rFonts w:ascii="Times New Roman" w:eastAsia="Times New Roman" w:hAnsi="Times New Roman" w:cs="Times New Roman"/>
          <w:color w:val="000000"/>
          <w:sz w:val="24"/>
          <w:szCs w:val="24"/>
          <w:lang w:eastAsia="en-PH"/>
        </w:rPr>
        <w:t xml:space="preserve"> of an internal mechanism</w:t>
      </w:r>
      <w:r w:rsidR="00345DBA">
        <w:rPr>
          <w:rFonts w:ascii="Times New Roman" w:eastAsia="Times New Roman" w:hAnsi="Times New Roman" w:cs="Times New Roman"/>
          <w:color w:val="000000"/>
          <w:sz w:val="24"/>
          <w:szCs w:val="24"/>
          <w:lang w:eastAsia="en-PH"/>
        </w:rPr>
        <w:t xml:space="preserve"> </w:t>
      </w:r>
      <w:r w:rsidR="00DE5A27">
        <w:rPr>
          <w:rFonts w:ascii="Times New Roman" w:eastAsia="Times New Roman" w:hAnsi="Times New Roman" w:cs="Times New Roman"/>
          <w:color w:val="000000"/>
          <w:sz w:val="24"/>
          <w:szCs w:val="24"/>
          <w:lang w:eastAsia="en-PH"/>
        </w:rPr>
        <w:t xml:space="preserve">that either reduces the functional efficiency of </w:t>
      </w:r>
      <w:r w:rsidR="002B4FC4">
        <w:rPr>
          <w:rFonts w:ascii="Times New Roman" w:eastAsia="Times New Roman" w:hAnsi="Times New Roman" w:cs="Times New Roman"/>
          <w:color w:val="000000"/>
          <w:sz w:val="24"/>
          <w:szCs w:val="24"/>
          <w:lang w:eastAsia="en-PH"/>
        </w:rPr>
        <w:t>that mechanism</w:t>
      </w:r>
      <w:r w:rsidR="00DE5A27">
        <w:rPr>
          <w:rFonts w:ascii="Times New Roman" w:eastAsia="Times New Roman" w:hAnsi="Times New Roman" w:cs="Times New Roman"/>
          <w:color w:val="000000"/>
          <w:sz w:val="24"/>
          <w:szCs w:val="24"/>
          <w:lang w:eastAsia="en-PH"/>
        </w:rPr>
        <w:t xml:space="preserve"> or decreases </w:t>
      </w:r>
      <w:r w:rsidR="002B4FC4">
        <w:rPr>
          <w:rFonts w:ascii="Times New Roman" w:eastAsia="Times New Roman" w:hAnsi="Times New Roman" w:cs="Times New Roman"/>
          <w:color w:val="000000"/>
          <w:sz w:val="24"/>
          <w:szCs w:val="24"/>
          <w:lang w:eastAsia="en-PH"/>
        </w:rPr>
        <w:t>an organism’s</w:t>
      </w:r>
      <w:r w:rsidR="00DE5A27">
        <w:rPr>
          <w:rFonts w:ascii="Times New Roman" w:eastAsia="Times New Roman" w:hAnsi="Times New Roman" w:cs="Times New Roman"/>
          <w:color w:val="000000"/>
          <w:sz w:val="24"/>
          <w:szCs w:val="24"/>
          <w:lang w:eastAsia="en-PH"/>
        </w:rPr>
        <w:t xml:space="preserve"> chance for survival and reproduction</w:t>
      </w:r>
      <w:r w:rsidR="006E4C92">
        <w:rPr>
          <w:rFonts w:ascii="Times New Roman" w:eastAsia="Times New Roman" w:hAnsi="Times New Roman" w:cs="Times New Roman"/>
          <w:color w:val="000000"/>
          <w:sz w:val="24"/>
          <w:szCs w:val="24"/>
          <w:lang w:eastAsia="en-PH"/>
        </w:rPr>
        <w:t>.</w:t>
      </w:r>
      <w:r w:rsidR="003D47EE">
        <w:rPr>
          <w:rStyle w:val="FootnoteReference"/>
          <w:rFonts w:ascii="Times New Roman" w:eastAsia="Times New Roman" w:hAnsi="Times New Roman" w:cs="Times New Roman"/>
          <w:color w:val="000000"/>
          <w:sz w:val="24"/>
          <w:szCs w:val="24"/>
          <w:lang w:eastAsia="en-PH"/>
        </w:rPr>
        <w:footnoteReference w:id="3"/>
      </w:r>
      <w:r w:rsidR="00DE5A27">
        <w:rPr>
          <w:rFonts w:ascii="Times New Roman" w:eastAsia="Times New Roman" w:hAnsi="Times New Roman" w:cs="Times New Roman"/>
          <w:color w:val="000000"/>
          <w:sz w:val="24"/>
          <w:szCs w:val="24"/>
          <w:lang w:eastAsia="en-PH"/>
        </w:rPr>
        <w:t xml:space="preserve"> Under another light, it can</w:t>
      </w:r>
      <w:r w:rsidR="003D47EE">
        <w:rPr>
          <w:rFonts w:ascii="Times New Roman" w:eastAsia="Times New Roman" w:hAnsi="Times New Roman" w:cs="Times New Roman"/>
          <w:color w:val="000000"/>
          <w:sz w:val="24"/>
          <w:szCs w:val="24"/>
          <w:lang w:eastAsia="en-PH"/>
        </w:rPr>
        <w:t xml:space="preserve"> also be said that</w:t>
      </w:r>
      <w:r w:rsidR="006E4C92">
        <w:rPr>
          <w:rFonts w:ascii="Times New Roman" w:eastAsia="Times New Roman" w:hAnsi="Times New Roman" w:cs="Times New Roman"/>
          <w:color w:val="000000"/>
          <w:sz w:val="24"/>
          <w:szCs w:val="24"/>
          <w:lang w:eastAsia="en-PH"/>
        </w:rPr>
        <w:t xml:space="preserve"> </w:t>
      </w:r>
      <w:r w:rsidR="003D47EE">
        <w:rPr>
          <w:rFonts w:ascii="Times New Roman" w:eastAsia="Times New Roman" w:hAnsi="Times New Roman" w:cs="Times New Roman"/>
          <w:color w:val="000000"/>
          <w:sz w:val="24"/>
          <w:szCs w:val="24"/>
          <w:lang w:eastAsia="en-PH"/>
        </w:rPr>
        <w:t>the aim</w:t>
      </w:r>
      <w:r w:rsidR="00132F05">
        <w:rPr>
          <w:rFonts w:ascii="Times New Roman" w:eastAsia="Times New Roman" w:hAnsi="Times New Roman" w:cs="Times New Roman"/>
          <w:color w:val="000000"/>
          <w:sz w:val="24"/>
          <w:szCs w:val="24"/>
          <w:lang w:eastAsia="en-PH"/>
        </w:rPr>
        <w:t xml:space="preserve"> of</w:t>
      </w:r>
      <w:r w:rsidR="006E4C92">
        <w:rPr>
          <w:rFonts w:ascii="Times New Roman" w:eastAsia="Times New Roman" w:hAnsi="Times New Roman" w:cs="Times New Roman"/>
          <w:color w:val="000000"/>
          <w:sz w:val="24"/>
          <w:szCs w:val="24"/>
          <w:lang w:eastAsia="en-PH"/>
        </w:rPr>
        <w:t xml:space="preserve"> medical practice is to promote health</w:t>
      </w:r>
      <w:r w:rsidR="00DE5A27">
        <w:rPr>
          <w:rFonts w:ascii="Times New Roman" w:eastAsia="Times New Roman" w:hAnsi="Times New Roman" w:cs="Times New Roman"/>
          <w:color w:val="000000"/>
          <w:sz w:val="24"/>
          <w:szCs w:val="24"/>
          <w:lang w:eastAsia="en-PH"/>
        </w:rPr>
        <w:t xml:space="preserve"> in</w:t>
      </w:r>
      <w:r w:rsidR="006E4C92">
        <w:rPr>
          <w:rFonts w:ascii="Times New Roman" w:eastAsia="Times New Roman" w:hAnsi="Times New Roman" w:cs="Times New Roman"/>
          <w:color w:val="000000"/>
          <w:sz w:val="24"/>
          <w:szCs w:val="24"/>
          <w:lang w:eastAsia="en-PH"/>
        </w:rPr>
        <w:t xml:space="preserve"> </w:t>
      </w:r>
      <w:r w:rsidR="003D47EE">
        <w:rPr>
          <w:rFonts w:ascii="Times New Roman" w:eastAsia="Times New Roman" w:hAnsi="Times New Roman" w:cs="Times New Roman"/>
          <w:color w:val="000000"/>
          <w:sz w:val="24"/>
          <w:szCs w:val="24"/>
          <w:lang w:eastAsia="en-PH"/>
        </w:rPr>
        <w:t>some given</w:t>
      </w:r>
      <w:r w:rsidR="006E4C92">
        <w:rPr>
          <w:rFonts w:ascii="Times New Roman" w:eastAsia="Times New Roman" w:hAnsi="Times New Roman" w:cs="Times New Roman"/>
          <w:color w:val="000000"/>
          <w:sz w:val="24"/>
          <w:szCs w:val="24"/>
          <w:lang w:eastAsia="en-PH"/>
        </w:rPr>
        <w:t xml:space="preserve"> sense.</w:t>
      </w:r>
      <w:r w:rsidR="00E67264">
        <w:rPr>
          <w:rStyle w:val="FootnoteReference"/>
          <w:rFonts w:ascii="Times New Roman" w:eastAsia="Times New Roman" w:hAnsi="Times New Roman" w:cs="Times New Roman"/>
          <w:color w:val="000000"/>
          <w:sz w:val="24"/>
          <w:szCs w:val="24"/>
          <w:lang w:eastAsia="en-PH"/>
        </w:rPr>
        <w:footnoteReference w:id="4"/>
      </w:r>
      <w:r w:rsidR="003D47EE">
        <w:rPr>
          <w:rFonts w:ascii="Times New Roman" w:eastAsia="Times New Roman" w:hAnsi="Times New Roman" w:cs="Times New Roman"/>
          <w:color w:val="000000"/>
          <w:sz w:val="24"/>
          <w:szCs w:val="24"/>
          <w:lang w:eastAsia="en-PH"/>
        </w:rPr>
        <w:t xml:space="preserve"> </w:t>
      </w:r>
      <w:r w:rsidR="00785501">
        <w:rPr>
          <w:rFonts w:ascii="Times New Roman" w:eastAsia="Times New Roman" w:hAnsi="Times New Roman" w:cs="Times New Roman"/>
          <w:color w:val="000000"/>
          <w:sz w:val="24"/>
          <w:szCs w:val="24"/>
          <w:lang w:eastAsia="en-PH"/>
        </w:rPr>
        <w:t>The logical negation of health, the state of being</w:t>
      </w:r>
      <w:r w:rsidR="00D5606B">
        <w:rPr>
          <w:rFonts w:ascii="Times New Roman" w:eastAsia="Times New Roman" w:hAnsi="Times New Roman" w:cs="Times New Roman"/>
          <w:color w:val="000000"/>
          <w:sz w:val="24"/>
          <w:szCs w:val="24"/>
          <w:lang w:eastAsia="en-PH"/>
        </w:rPr>
        <w:t xml:space="preserve"> not-healthy</w:t>
      </w:r>
      <w:r w:rsidR="00785501">
        <w:rPr>
          <w:rFonts w:ascii="Times New Roman" w:eastAsia="Times New Roman" w:hAnsi="Times New Roman" w:cs="Times New Roman"/>
          <w:color w:val="000000"/>
          <w:sz w:val="24"/>
          <w:szCs w:val="24"/>
          <w:lang w:eastAsia="en-PH"/>
        </w:rPr>
        <w:t xml:space="preserve">, </w:t>
      </w:r>
      <w:r w:rsidR="00625CD3">
        <w:rPr>
          <w:rFonts w:ascii="Times New Roman" w:eastAsia="Times New Roman" w:hAnsi="Times New Roman" w:cs="Times New Roman"/>
          <w:color w:val="000000"/>
          <w:sz w:val="24"/>
          <w:szCs w:val="24"/>
          <w:lang w:eastAsia="en-PH"/>
        </w:rPr>
        <w:t>can be</w:t>
      </w:r>
      <w:r w:rsidR="00D5606B">
        <w:rPr>
          <w:rFonts w:ascii="Times New Roman" w:eastAsia="Times New Roman" w:hAnsi="Times New Roman" w:cs="Times New Roman"/>
          <w:color w:val="000000"/>
          <w:sz w:val="24"/>
          <w:szCs w:val="24"/>
          <w:lang w:eastAsia="en-PH"/>
        </w:rPr>
        <w:t xml:space="preserve"> </w:t>
      </w:r>
      <w:proofErr w:type="spellStart"/>
      <w:r w:rsidR="009C4703">
        <w:rPr>
          <w:rFonts w:ascii="Times New Roman" w:eastAsia="Times New Roman" w:hAnsi="Times New Roman" w:cs="Times New Roman"/>
          <w:color w:val="000000"/>
          <w:sz w:val="24"/>
          <w:szCs w:val="24"/>
          <w:lang w:eastAsia="en-PH"/>
        </w:rPr>
        <w:t>uncontroversially</w:t>
      </w:r>
      <w:proofErr w:type="spellEnd"/>
      <w:r w:rsidR="009C4703">
        <w:rPr>
          <w:rFonts w:ascii="Times New Roman" w:eastAsia="Times New Roman" w:hAnsi="Times New Roman" w:cs="Times New Roman"/>
          <w:color w:val="000000"/>
          <w:sz w:val="24"/>
          <w:szCs w:val="24"/>
          <w:lang w:eastAsia="en-PH"/>
        </w:rPr>
        <w:t xml:space="preserve"> regarded as the reference of the term ‘unhealthy’</w:t>
      </w:r>
      <w:r>
        <w:rPr>
          <w:rFonts w:ascii="Times New Roman" w:eastAsia="Times New Roman" w:hAnsi="Times New Roman" w:cs="Times New Roman"/>
          <w:color w:val="000000"/>
          <w:sz w:val="24"/>
          <w:szCs w:val="24"/>
          <w:lang w:eastAsia="en-PH"/>
        </w:rPr>
        <w:t>. At first glance, it seems that the notion</w:t>
      </w:r>
      <w:r w:rsidR="009C4703">
        <w:rPr>
          <w:rFonts w:ascii="Times New Roman" w:eastAsia="Times New Roman" w:hAnsi="Times New Roman" w:cs="Times New Roman"/>
          <w:color w:val="000000"/>
          <w:sz w:val="24"/>
          <w:szCs w:val="24"/>
          <w:lang w:eastAsia="en-PH"/>
        </w:rPr>
        <w:t>s</w:t>
      </w:r>
      <w:r>
        <w:rPr>
          <w:rFonts w:ascii="Times New Roman" w:eastAsia="Times New Roman" w:hAnsi="Times New Roman" w:cs="Times New Roman"/>
          <w:color w:val="000000"/>
          <w:sz w:val="24"/>
          <w:szCs w:val="24"/>
          <w:lang w:eastAsia="en-PH"/>
        </w:rPr>
        <w:t xml:space="preserve"> of </w:t>
      </w:r>
      <w:r w:rsidR="009C4703">
        <w:rPr>
          <w:rFonts w:ascii="Times New Roman" w:eastAsia="Times New Roman" w:hAnsi="Times New Roman" w:cs="Times New Roman"/>
          <w:color w:val="000000"/>
          <w:sz w:val="24"/>
          <w:szCs w:val="24"/>
          <w:lang w:eastAsia="en-PH"/>
        </w:rPr>
        <w:t>being healthy and unhealthy</w:t>
      </w:r>
      <w:r>
        <w:rPr>
          <w:rFonts w:ascii="Times New Roman" w:eastAsia="Times New Roman" w:hAnsi="Times New Roman" w:cs="Times New Roman"/>
          <w:color w:val="000000"/>
          <w:sz w:val="24"/>
          <w:szCs w:val="24"/>
          <w:lang w:eastAsia="en-PH"/>
        </w:rPr>
        <w:t xml:space="preserve"> </w:t>
      </w:r>
      <w:r w:rsidR="009C4703">
        <w:rPr>
          <w:rFonts w:ascii="Times New Roman" w:eastAsia="Times New Roman" w:hAnsi="Times New Roman" w:cs="Times New Roman"/>
          <w:color w:val="000000"/>
          <w:sz w:val="24"/>
          <w:szCs w:val="24"/>
          <w:lang w:eastAsia="en-PH"/>
        </w:rPr>
        <w:t>are</w:t>
      </w:r>
      <w:r>
        <w:rPr>
          <w:rFonts w:ascii="Times New Roman" w:eastAsia="Times New Roman" w:hAnsi="Times New Roman" w:cs="Times New Roman"/>
          <w:color w:val="000000"/>
          <w:sz w:val="24"/>
          <w:szCs w:val="24"/>
          <w:lang w:eastAsia="en-PH"/>
        </w:rPr>
        <w:t xml:space="preserve"> </w:t>
      </w:r>
      <w:r w:rsidR="009C4703">
        <w:rPr>
          <w:rFonts w:ascii="Times New Roman" w:eastAsia="Times New Roman" w:hAnsi="Times New Roman" w:cs="Times New Roman"/>
          <w:color w:val="000000"/>
          <w:sz w:val="24"/>
          <w:szCs w:val="24"/>
          <w:lang w:eastAsia="en-PH"/>
        </w:rPr>
        <w:t>intuitive and unproblematic</w:t>
      </w:r>
      <w:r>
        <w:rPr>
          <w:rFonts w:ascii="Times New Roman" w:eastAsia="Times New Roman" w:hAnsi="Times New Roman" w:cs="Times New Roman"/>
          <w:color w:val="000000"/>
          <w:sz w:val="24"/>
          <w:szCs w:val="24"/>
          <w:lang w:eastAsia="en-PH"/>
        </w:rPr>
        <w:t xml:space="preserve">. Almost everyone can universally agree that </w:t>
      </w:r>
      <w:r w:rsidR="00102D95">
        <w:rPr>
          <w:rFonts w:ascii="Times New Roman" w:eastAsia="Times New Roman" w:hAnsi="Times New Roman" w:cs="Times New Roman"/>
          <w:color w:val="000000"/>
          <w:sz w:val="24"/>
          <w:szCs w:val="24"/>
          <w:lang w:eastAsia="en-PH"/>
        </w:rPr>
        <w:t xml:space="preserve">diseases such as tuberculosis </w:t>
      </w:r>
      <w:r>
        <w:rPr>
          <w:rFonts w:ascii="Times New Roman" w:eastAsia="Times New Roman" w:hAnsi="Times New Roman" w:cs="Times New Roman"/>
          <w:color w:val="000000"/>
          <w:sz w:val="24"/>
          <w:szCs w:val="24"/>
          <w:lang w:eastAsia="en-PH"/>
        </w:rPr>
        <w:t>make someone unhealthy, or that a malignant tumor diminishes the health of an individual</w:t>
      </w:r>
      <w:r w:rsidR="00102D95">
        <w:rPr>
          <w:rFonts w:ascii="Times New Roman" w:eastAsia="Times New Roman" w:hAnsi="Times New Roman" w:cs="Times New Roman"/>
          <w:color w:val="000000"/>
          <w:sz w:val="24"/>
          <w:szCs w:val="24"/>
          <w:lang w:eastAsia="en-PH"/>
        </w:rPr>
        <w:t>.</w:t>
      </w:r>
    </w:p>
    <w:p w14:paraId="5B15CCF5" w14:textId="3FF26EC3" w:rsidR="00C46988" w:rsidRDefault="00102D95" w:rsidP="00FB5575">
      <w:pPr>
        <w:spacing w:after="0" w:line="480" w:lineRule="auto"/>
        <w:ind w:firstLine="720"/>
        <w:jc w:val="both"/>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 xml:space="preserve">However, </w:t>
      </w:r>
      <w:r w:rsidR="00625CD3">
        <w:rPr>
          <w:rFonts w:ascii="Times New Roman" w:eastAsia="Times New Roman" w:hAnsi="Times New Roman" w:cs="Times New Roman"/>
          <w:color w:val="000000"/>
          <w:sz w:val="24"/>
          <w:szCs w:val="24"/>
          <w:lang w:eastAsia="en-PH"/>
        </w:rPr>
        <w:t>philosophers and medical professionals may recognize health’s ambiguity</w:t>
      </w:r>
      <w:r>
        <w:rPr>
          <w:rFonts w:ascii="Times New Roman" w:eastAsia="Times New Roman" w:hAnsi="Times New Roman" w:cs="Times New Roman"/>
          <w:color w:val="000000"/>
          <w:sz w:val="24"/>
          <w:szCs w:val="24"/>
          <w:lang w:eastAsia="en-PH"/>
        </w:rPr>
        <w:t xml:space="preserve"> once </w:t>
      </w:r>
      <w:r w:rsidR="00625CD3">
        <w:rPr>
          <w:rFonts w:ascii="Times New Roman" w:eastAsia="Times New Roman" w:hAnsi="Times New Roman" w:cs="Times New Roman"/>
          <w:color w:val="000000"/>
          <w:sz w:val="24"/>
          <w:szCs w:val="24"/>
          <w:lang w:eastAsia="en-PH"/>
        </w:rPr>
        <w:t>they</w:t>
      </w:r>
      <w:r>
        <w:rPr>
          <w:rFonts w:ascii="Times New Roman" w:eastAsia="Times New Roman" w:hAnsi="Times New Roman" w:cs="Times New Roman"/>
          <w:color w:val="000000"/>
          <w:sz w:val="24"/>
          <w:szCs w:val="24"/>
          <w:lang w:eastAsia="en-PH"/>
        </w:rPr>
        <w:t xml:space="preserve"> start </w:t>
      </w:r>
      <w:r w:rsidR="00133C20">
        <w:rPr>
          <w:rFonts w:ascii="Times New Roman" w:eastAsia="Times New Roman" w:hAnsi="Times New Roman" w:cs="Times New Roman"/>
          <w:color w:val="000000"/>
          <w:sz w:val="24"/>
          <w:szCs w:val="24"/>
          <w:lang w:eastAsia="en-PH"/>
        </w:rPr>
        <w:t>trying to</w:t>
      </w:r>
      <w:r>
        <w:rPr>
          <w:rFonts w:ascii="Times New Roman" w:eastAsia="Times New Roman" w:hAnsi="Times New Roman" w:cs="Times New Roman"/>
          <w:color w:val="000000"/>
          <w:sz w:val="24"/>
          <w:szCs w:val="24"/>
          <w:lang w:eastAsia="en-PH"/>
        </w:rPr>
        <w:t xml:space="preserve"> </w:t>
      </w:r>
      <w:r w:rsidR="00B12958">
        <w:rPr>
          <w:rFonts w:ascii="Times New Roman" w:eastAsia="Times New Roman" w:hAnsi="Times New Roman" w:cs="Times New Roman"/>
          <w:color w:val="000000"/>
          <w:sz w:val="24"/>
          <w:szCs w:val="24"/>
          <w:lang w:eastAsia="en-PH"/>
        </w:rPr>
        <w:t>establish</w:t>
      </w:r>
      <w:r>
        <w:rPr>
          <w:rFonts w:ascii="Times New Roman" w:eastAsia="Times New Roman" w:hAnsi="Times New Roman" w:cs="Times New Roman"/>
          <w:color w:val="000000"/>
          <w:sz w:val="24"/>
          <w:szCs w:val="24"/>
          <w:lang w:eastAsia="en-PH"/>
        </w:rPr>
        <w:t xml:space="preserve"> a t</w:t>
      </w:r>
      <w:r w:rsidR="00FB5575">
        <w:rPr>
          <w:rFonts w:ascii="Times New Roman" w:eastAsia="Times New Roman" w:hAnsi="Times New Roman" w:cs="Times New Roman"/>
          <w:color w:val="000000"/>
          <w:sz w:val="24"/>
          <w:szCs w:val="24"/>
          <w:lang w:eastAsia="en-PH"/>
        </w:rPr>
        <w:t xml:space="preserve">heoretical framework of health. Upon closer scrutiny, there are disagreements in fringe cases </w:t>
      </w:r>
      <w:r w:rsidR="009C4703">
        <w:rPr>
          <w:rFonts w:ascii="Times New Roman" w:eastAsia="Times New Roman" w:hAnsi="Times New Roman" w:cs="Times New Roman"/>
          <w:color w:val="000000"/>
          <w:sz w:val="24"/>
          <w:szCs w:val="24"/>
          <w:lang w:eastAsia="en-PH"/>
        </w:rPr>
        <w:t>where people disagree on the judgement of a person’s health</w:t>
      </w:r>
      <w:r w:rsidR="00FB5575">
        <w:rPr>
          <w:rFonts w:ascii="Times New Roman" w:eastAsia="Times New Roman" w:hAnsi="Times New Roman" w:cs="Times New Roman"/>
          <w:color w:val="000000"/>
          <w:sz w:val="24"/>
          <w:szCs w:val="24"/>
          <w:lang w:eastAsia="en-PH"/>
        </w:rPr>
        <w:t>. For example,</w:t>
      </w:r>
      <w:r w:rsidR="00B12958">
        <w:rPr>
          <w:rFonts w:ascii="Times New Roman" w:eastAsia="Times New Roman" w:hAnsi="Times New Roman" w:cs="Times New Roman"/>
          <w:color w:val="000000"/>
          <w:sz w:val="24"/>
          <w:szCs w:val="24"/>
          <w:lang w:eastAsia="en-PH"/>
        </w:rPr>
        <w:t xml:space="preserve"> I previously stated that being afflicted with tuberculosis is enough to be considered unhealthy</w:t>
      </w:r>
      <w:r w:rsidR="009C4703">
        <w:rPr>
          <w:rFonts w:ascii="Times New Roman" w:eastAsia="Times New Roman" w:hAnsi="Times New Roman" w:cs="Times New Roman"/>
          <w:color w:val="000000"/>
          <w:sz w:val="24"/>
          <w:szCs w:val="24"/>
          <w:lang w:eastAsia="en-PH"/>
        </w:rPr>
        <w:t xml:space="preserve">. That is arguably sufficient for </w:t>
      </w:r>
      <w:r w:rsidR="00733BA5">
        <w:rPr>
          <w:rFonts w:ascii="Times New Roman" w:eastAsia="Times New Roman" w:hAnsi="Times New Roman" w:cs="Times New Roman"/>
          <w:color w:val="000000"/>
          <w:sz w:val="24"/>
          <w:szCs w:val="24"/>
          <w:lang w:eastAsia="en-PH"/>
        </w:rPr>
        <w:t>most cases of tuberculosis</w:t>
      </w:r>
      <w:r w:rsidR="009C4703">
        <w:rPr>
          <w:rFonts w:ascii="Times New Roman" w:eastAsia="Times New Roman" w:hAnsi="Times New Roman" w:cs="Times New Roman"/>
          <w:color w:val="000000"/>
          <w:sz w:val="24"/>
          <w:szCs w:val="24"/>
          <w:lang w:eastAsia="en-PH"/>
        </w:rPr>
        <w:t xml:space="preserve">, but </w:t>
      </w:r>
      <w:r w:rsidR="005F2A00">
        <w:rPr>
          <w:rFonts w:ascii="Times New Roman" w:eastAsia="Times New Roman" w:hAnsi="Times New Roman" w:cs="Times New Roman"/>
          <w:color w:val="000000"/>
          <w:sz w:val="24"/>
          <w:szCs w:val="24"/>
          <w:lang w:eastAsia="en-PH"/>
        </w:rPr>
        <w:t>a</w:t>
      </w:r>
      <w:r w:rsidR="009C4703">
        <w:rPr>
          <w:rFonts w:ascii="Times New Roman" w:eastAsia="Times New Roman" w:hAnsi="Times New Roman" w:cs="Times New Roman"/>
          <w:color w:val="000000"/>
          <w:sz w:val="24"/>
          <w:szCs w:val="24"/>
          <w:lang w:eastAsia="en-PH"/>
        </w:rPr>
        <w:t xml:space="preserve"> sharp-minded </w:t>
      </w:r>
      <w:r w:rsidR="00625CD3">
        <w:rPr>
          <w:rFonts w:ascii="Times New Roman" w:eastAsia="Times New Roman" w:hAnsi="Times New Roman" w:cs="Times New Roman"/>
          <w:color w:val="000000"/>
          <w:sz w:val="24"/>
          <w:szCs w:val="24"/>
          <w:lang w:eastAsia="en-PH"/>
        </w:rPr>
        <w:t>critic</w:t>
      </w:r>
      <w:r w:rsidR="009C4703">
        <w:rPr>
          <w:rFonts w:ascii="Times New Roman" w:eastAsia="Times New Roman" w:hAnsi="Times New Roman" w:cs="Times New Roman"/>
          <w:color w:val="000000"/>
          <w:sz w:val="24"/>
          <w:szCs w:val="24"/>
          <w:lang w:eastAsia="en-PH"/>
        </w:rPr>
        <w:t xml:space="preserve"> </w:t>
      </w:r>
      <w:r w:rsidR="00232DD7">
        <w:rPr>
          <w:rFonts w:ascii="Times New Roman" w:eastAsia="Times New Roman" w:hAnsi="Times New Roman" w:cs="Times New Roman"/>
          <w:color w:val="000000"/>
          <w:sz w:val="24"/>
          <w:szCs w:val="24"/>
          <w:lang w:eastAsia="en-PH"/>
        </w:rPr>
        <w:t xml:space="preserve">might bring attention to the case of asymptomatic carriers. Asymptomatic carriers of a disease are </w:t>
      </w:r>
      <w:r w:rsidR="00232DD7">
        <w:rPr>
          <w:rFonts w:ascii="Times New Roman" w:eastAsia="Times New Roman" w:hAnsi="Times New Roman" w:cs="Times New Roman"/>
          <w:color w:val="000000"/>
          <w:sz w:val="24"/>
          <w:szCs w:val="24"/>
          <w:lang w:eastAsia="en-PH"/>
        </w:rPr>
        <w:lastRenderedPageBreak/>
        <w:t xml:space="preserve">those individuals that </w:t>
      </w:r>
      <w:r w:rsidR="00694A9F">
        <w:rPr>
          <w:rFonts w:ascii="Times New Roman" w:eastAsia="Times New Roman" w:hAnsi="Times New Roman" w:cs="Times New Roman"/>
          <w:color w:val="000000"/>
          <w:sz w:val="24"/>
          <w:szCs w:val="24"/>
          <w:lang w:eastAsia="en-PH"/>
        </w:rPr>
        <w:t>are infected</w:t>
      </w:r>
      <w:r w:rsidR="00B54AF2">
        <w:rPr>
          <w:rFonts w:ascii="Times New Roman" w:eastAsia="Times New Roman" w:hAnsi="Times New Roman" w:cs="Times New Roman"/>
          <w:color w:val="000000"/>
          <w:sz w:val="24"/>
          <w:szCs w:val="24"/>
          <w:lang w:eastAsia="en-PH"/>
        </w:rPr>
        <w:t xml:space="preserve">, yet the carriers themselves do not display the </w:t>
      </w:r>
      <w:r w:rsidR="00625CD3">
        <w:rPr>
          <w:rFonts w:ascii="Times New Roman" w:eastAsia="Times New Roman" w:hAnsi="Times New Roman" w:cs="Times New Roman"/>
          <w:color w:val="000000"/>
          <w:sz w:val="24"/>
          <w:szCs w:val="24"/>
          <w:lang w:eastAsia="en-PH"/>
        </w:rPr>
        <w:t>clinical description</w:t>
      </w:r>
      <w:r w:rsidR="00B54AF2">
        <w:rPr>
          <w:rFonts w:ascii="Times New Roman" w:eastAsia="Times New Roman" w:hAnsi="Times New Roman" w:cs="Times New Roman"/>
          <w:color w:val="000000"/>
          <w:sz w:val="24"/>
          <w:szCs w:val="24"/>
          <w:lang w:eastAsia="en-PH"/>
        </w:rPr>
        <w:t xml:space="preserve"> associated with the disease. Unlike symptomatic </w:t>
      </w:r>
      <w:r w:rsidR="00694A9F">
        <w:rPr>
          <w:rFonts w:ascii="Times New Roman" w:eastAsia="Times New Roman" w:hAnsi="Times New Roman" w:cs="Times New Roman"/>
          <w:color w:val="000000"/>
          <w:sz w:val="24"/>
          <w:szCs w:val="24"/>
          <w:lang w:eastAsia="en-PH"/>
        </w:rPr>
        <w:t>individuals, asymptomatic carriers are largely unimpeded by the disease. The disease does not obstruct their ability to accomplish their personal goals. Neither does the disease diminish their well-being.</w:t>
      </w:r>
      <w:r w:rsidR="005C4CF8">
        <w:rPr>
          <w:rFonts w:ascii="Times New Roman" w:eastAsia="Times New Roman" w:hAnsi="Times New Roman" w:cs="Times New Roman"/>
          <w:color w:val="000000"/>
          <w:sz w:val="24"/>
          <w:szCs w:val="24"/>
          <w:lang w:eastAsia="en-PH"/>
        </w:rPr>
        <w:t xml:space="preserve"> </w:t>
      </w:r>
      <w:r w:rsidR="003D4571">
        <w:rPr>
          <w:rFonts w:ascii="Times New Roman" w:eastAsia="Times New Roman" w:hAnsi="Times New Roman" w:cs="Times New Roman"/>
          <w:color w:val="000000"/>
          <w:sz w:val="24"/>
          <w:szCs w:val="24"/>
          <w:lang w:eastAsia="en-PH"/>
        </w:rPr>
        <w:t xml:space="preserve">To some philosophers, </w:t>
      </w:r>
      <w:r w:rsidR="00363AF4">
        <w:rPr>
          <w:rFonts w:ascii="Times New Roman" w:eastAsia="Times New Roman" w:hAnsi="Times New Roman" w:cs="Times New Roman"/>
          <w:color w:val="000000"/>
          <w:sz w:val="24"/>
          <w:szCs w:val="24"/>
          <w:lang w:eastAsia="en-PH"/>
        </w:rPr>
        <w:t>the case of asymptomatic carriers is a counterexample to the argument that</w:t>
      </w:r>
      <w:r w:rsidR="003D4571">
        <w:rPr>
          <w:rFonts w:ascii="Times New Roman" w:eastAsia="Times New Roman" w:hAnsi="Times New Roman" w:cs="Times New Roman"/>
          <w:color w:val="000000"/>
          <w:sz w:val="24"/>
          <w:szCs w:val="24"/>
          <w:lang w:eastAsia="en-PH"/>
        </w:rPr>
        <w:t xml:space="preserve"> presence of disease is </w:t>
      </w:r>
      <w:r w:rsidR="00363AF4">
        <w:rPr>
          <w:rFonts w:ascii="Times New Roman" w:eastAsia="Times New Roman" w:hAnsi="Times New Roman" w:cs="Times New Roman"/>
          <w:color w:val="000000"/>
          <w:sz w:val="24"/>
          <w:szCs w:val="24"/>
          <w:lang w:eastAsia="en-PH"/>
        </w:rPr>
        <w:t>the sole</w:t>
      </w:r>
      <w:r w:rsidR="003D4571">
        <w:rPr>
          <w:rFonts w:ascii="Times New Roman" w:eastAsia="Times New Roman" w:hAnsi="Times New Roman" w:cs="Times New Roman"/>
          <w:color w:val="000000"/>
          <w:sz w:val="24"/>
          <w:szCs w:val="24"/>
          <w:lang w:eastAsia="en-PH"/>
        </w:rPr>
        <w:t xml:space="preserve"> determinant of health.</w:t>
      </w:r>
    </w:p>
    <w:p w14:paraId="721DECCE" w14:textId="181A51B1" w:rsidR="00694A9F" w:rsidRDefault="005C4CF8" w:rsidP="00FB5575">
      <w:pPr>
        <w:spacing w:after="0" w:line="480" w:lineRule="auto"/>
        <w:ind w:firstLine="720"/>
        <w:jc w:val="both"/>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On the other hand, a physician might still</w:t>
      </w:r>
      <w:r w:rsidR="00F46080">
        <w:rPr>
          <w:rFonts w:ascii="Times New Roman" w:eastAsia="Times New Roman" w:hAnsi="Times New Roman" w:cs="Times New Roman"/>
          <w:color w:val="000000"/>
          <w:sz w:val="24"/>
          <w:szCs w:val="24"/>
          <w:lang w:eastAsia="en-PH"/>
        </w:rPr>
        <w:t xml:space="preserve"> </w:t>
      </w:r>
      <w:r w:rsidR="00F3767B">
        <w:rPr>
          <w:rFonts w:ascii="Times New Roman" w:eastAsia="Times New Roman" w:hAnsi="Times New Roman" w:cs="Times New Roman"/>
          <w:color w:val="000000"/>
          <w:sz w:val="24"/>
          <w:szCs w:val="24"/>
          <w:lang w:eastAsia="en-PH"/>
        </w:rPr>
        <w:t>hold that asymptomatic carriers are ‘unhealthy’ in some sense of the word</w:t>
      </w:r>
      <w:r w:rsidR="00F46080">
        <w:rPr>
          <w:rFonts w:ascii="Times New Roman" w:eastAsia="Times New Roman" w:hAnsi="Times New Roman" w:cs="Times New Roman"/>
          <w:color w:val="000000"/>
          <w:sz w:val="24"/>
          <w:szCs w:val="24"/>
          <w:lang w:eastAsia="en-PH"/>
        </w:rPr>
        <w:t>. In this case, the physician would</w:t>
      </w:r>
      <w:r>
        <w:rPr>
          <w:rFonts w:ascii="Times New Roman" w:eastAsia="Times New Roman" w:hAnsi="Times New Roman" w:cs="Times New Roman"/>
          <w:color w:val="000000"/>
          <w:sz w:val="24"/>
          <w:szCs w:val="24"/>
          <w:lang w:eastAsia="en-PH"/>
        </w:rPr>
        <w:t xml:space="preserve"> argue that this person is classified as ‘unhealthy’</w:t>
      </w:r>
      <w:r w:rsidR="00F46080">
        <w:rPr>
          <w:rFonts w:ascii="Times New Roman" w:eastAsia="Times New Roman" w:hAnsi="Times New Roman" w:cs="Times New Roman"/>
          <w:color w:val="000000"/>
          <w:sz w:val="24"/>
          <w:szCs w:val="24"/>
          <w:lang w:eastAsia="en-PH"/>
        </w:rPr>
        <w:t xml:space="preserve"> on the grounds of the </w:t>
      </w:r>
      <w:r w:rsidR="00C56899">
        <w:rPr>
          <w:rFonts w:ascii="Times New Roman" w:eastAsia="Times New Roman" w:hAnsi="Times New Roman" w:cs="Times New Roman"/>
          <w:color w:val="000000"/>
          <w:sz w:val="24"/>
          <w:szCs w:val="24"/>
          <w:lang w:eastAsia="en-PH"/>
        </w:rPr>
        <w:t>medical theoretic axiom</w:t>
      </w:r>
      <w:r w:rsidR="00F46080">
        <w:rPr>
          <w:rFonts w:ascii="Times New Roman" w:eastAsia="Times New Roman" w:hAnsi="Times New Roman" w:cs="Times New Roman"/>
          <w:color w:val="000000"/>
          <w:sz w:val="24"/>
          <w:szCs w:val="24"/>
          <w:lang w:eastAsia="en-PH"/>
        </w:rPr>
        <w:t>:</w:t>
      </w:r>
      <w:r w:rsidR="00C46988">
        <w:rPr>
          <w:rFonts w:ascii="Times New Roman" w:eastAsia="Times New Roman" w:hAnsi="Times New Roman" w:cs="Times New Roman"/>
          <w:color w:val="000000"/>
          <w:sz w:val="24"/>
          <w:szCs w:val="24"/>
          <w:lang w:eastAsia="en-PH"/>
        </w:rPr>
        <w:t xml:space="preserve"> ‘health is the absence of disease’. However, an asymptomatic carrier is intuitively not the same</w:t>
      </w:r>
      <w:r w:rsidR="00F46080">
        <w:rPr>
          <w:rFonts w:ascii="Times New Roman" w:eastAsia="Times New Roman" w:hAnsi="Times New Roman" w:cs="Times New Roman"/>
          <w:color w:val="000000"/>
          <w:sz w:val="24"/>
          <w:szCs w:val="24"/>
          <w:lang w:eastAsia="en-PH"/>
        </w:rPr>
        <w:t xml:space="preserve"> compared to a healthy individual</w:t>
      </w:r>
      <w:r w:rsidR="00C46988">
        <w:rPr>
          <w:rFonts w:ascii="Times New Roman" w:eastAsia="Times New Roman" w:hAnsi="Times New Roman" w:cs="Times New Roman"/>
          <w:color w:val="000000"/>
          <w:sz w:val="24"/>
          <w:szCs w:val="24"/>
          <w:lang w:eastAsia="en-PH"/>
        </w:rPr>
        <w:t xml:space="preserve"> in terms of </w:t>
      </w:r>
      <w:r w:rsidR="00F46080">
        <w:rPr>
          <w:rFonts w:ascii="Times New Roman" w:eastAsia="Times New Roman" w:hAnsi="Times New Roman" w:cs="Times New Roman"/>
          <w:color w:val="000000"/>
          <w:sz w:val="24"/>
          <w:szCs w:val="24"/>
          <w:lang w:eastAsia="en-PH"/>
        </w:rPr>
        <w:t>quality of life</w:t>
      </w:r>
      <w:r w:rsidR="00C46988">
        <w:rPr>
          <w:rFonts w:ascii="Times New Roman" w:eastAsia="Times New Roman" w:hAnsi="Times New Roman" w:cs="Times New Roman"/>
          <w:color w:val="000000"/>
          <w:sz w:val="24"/>
          <w:szCs w:val="24"/>
          <w:lang w:eastAsia="en-PH"/>
        </w:rPr>
        <w:t xml:space="preserve">. </w:t>
      </w:r>
      <w:r w:rsidR="00133C20">
        <w:rPr>
          <w:rFonts w:ascii="Times New Roman" w:eastAsia="Times New Roman" w:hAnsi="Times New Roman" w:cs="Times New Roman"/>
          <w:color w:val="000000"/>
          <w:sz w:val="24"/>
          <w:szCs w:val="24"/>
          <w:lang w:eastAsia="en-PH"/>
        </w:rPr>
        <w:t>To</w:t>
      </w:r>
      <w:r w:rsidR="00C46988">
        <w:rPr>
          <w:rFonts w:ascii="Times New Roman" w:eastAsia="Times New Roman" w:hAnsi="Times New Roman" w:cs="Times New Roman"/>
          <w:color w:val="000000"/>
          <w:sz w:val="24"/>
          <w:szCs w:val="24"/>
          <w:lang w:eastAsia="en-PH"/>
        </w:rPr>
        <w:t xml:space="preserve"> make</w:t>
      </w:r>
      <w:r w:rsidR="00133C20">
        <w:rPr>
          <w:rFonts w:ascii="Times New Roman" w:eastAsia="Times New Roman" w:hAnsi="Times New Roman" w:cs="Times New Roman"/>
          <w:color w:val="000000"/>
          <w:sz w:val="24"/>
          <w:szCs w:val="24"/>
          <w:lang w:eastAsia="en-PH"/>
        </w:rPr>
        <w:t xml:space="preserve"> sense of</w:t>
      </w:r>
      <w:r w:rsidR="00C46988">
        <w:rPr>
          <w:rFonts w:ascii="Times New Roman" w:eastAsia="Times New Roman" w:hAnsi="Times New Roman" w:cs="Times New Roman"/>
          <w:color w:val="000000"/>
          <w:sz w:val="24"/>
          <w:szCs w:val="24"/>
          <w:lang w:eastAsia="en-PH"/>
        </w:rPr>
        <w:t xml:space="preserve"> this distinction, the physician could </w:t>
      </w:r>
      <w:r w:rsidR="00345DBA">
        <w:rPr>
          <w:rFonts w:ascii="Times New Roman" w:eastAsia="Times New Roman" w:hAnsi="Times New Roman" w:cs="Times New Roman"/>
          <w:color w:val="000000"/>
          <w:sz w:val="24"/>
          <w:szCs w:val="24"/>
          <w:lang w:eastAsia="en-PH"/>
        </w:rPr>
        <w:t>possibly</w:t>
      </w:r>
      <w:r w:rsidR="00C46988">
        <w:rPr>
          <w:rFonts w:ascii="Times New Roman" w:eastAsia="Times New Roman" w:hAnsi="Times New Roman" w:cs="Times New Roman"/>
          <w:color w:val="000000"/>
          <w:sz w:val="24"/>
          <w:szCs w:val="24"/>
          <w:lang w:eastAsia="en-PH"/>
        </w:rPr>
        <w:t xml:space="preserve"> support their argument by introducing the notion of ‘illness’, which refers to </w:t>
      </w:r>
      <w:r w:rsidR="00345DBA">
        <w:rPr>
          <w:rFonts w:ascii="Times New Roman" w:eastAsia="Times New Roman" w:hAnsi="Times New Roman" w:cs="Times New Roman"/>
          <w:color w:val="000000"/>
          <w:sz w:val="24"/>
          <w:szCs w:val="24"/>
          <w:lang w:eastAsia="en-PH"/>
        </w:rPr>
        <w:t xml:space="preserve">a specific kind of disease. </w:t>
      </w:r>
      <w:r w:rsidR="00DE5A27">
        <w:rPr>
          <w:rFonts w:ascii="Times New Roman" w:eastAsia="Times New Roman" w:hAnsi="Times New Roman" w:cs="Times New Roman"/>
          <w:color w:val="000000"/>
          <w:sz w:val="24"/>
          <w:szCs w:val="24"/>
          <w:lang w:eastAsia="en-PH"/>
        </w:rPr>
        <w:t xml:space="preserve">An illness refers to a disease that </w:t>
      </w:r>
      <w:r w:rsidR="00B54B38">
        <w:rPr>
          <w:rFonts w:ascii="Times New Roman" w:eastAsia="Times New Roman" w:hAnsi="Times New Roman" w:cs="Times New Roman"/>
          <w:color w:val="000000"/>
          <w:sz w:val="24"/>
          <w:szCs w:val="24"/>
          <w:lang w:eastAsia="en-PH"/>
        </w:rPr>
        <w:t>affects its carrier enough for it to be incapacitating.</w:t>
      </w:r>
      <w:r w:rsidR="00B54B38">
        <w:rPr>
          <w:rStyle w:val="FootnoteReference"/>
          <w:rFonts w:ascii="Times New Roman" w:eastAsia="Times New Roman" w:hAnsi="Times New Roman" w:cs="Times New Roman"/>
          <w:color w:val="000000"/>
          <w:sz w:val="24"/>
          <w:szCs w:val="24"/>
          <w:lang w:eastAsia="en-PH"/>
        </w:rPr>
        <w:footnoteReference w:id="5"/>
      </w:r>
      <w:r w:rsidR="00B54B38">
        <w:rPr>
          <w:rFonts w:ascii="Times New Roman" w:eastAsia="Times New Roman" w:hAnsi="Times New Roman" w:cs="Times New Roman"/>
          <w:color w:val="000000"/>
          <w:sz w:val="24"/>
          <w:szCs w:val="24"/>
          <w:lang w:eastAsia="en-PH"/>
        </w:rPr>
        <w:t xml:space="preserve"> </w:t>
      </w:r>
      <w:r w:rsidR="00C958F6">
        <w:rPr>
          <w:rFonts w:ascii="Times New Roman" w:eastAsia="Times New Roman" w:hAnsi="Times New Roman" w:cs="Times New Roman"/>
          <w:color w:val="000000"/>
          <w:sz w:val="24"/>
          <w:szCs w:val="24"/>
          <w:lang w:eastAsia="en-PH"/>
        </w:rPr>
        <w:t>Under the physician’s usage of these terms</w:t>
      </w:r>
      <w:r w:rsidR="00B54B38">
        <w:rPr>
          <w:rFonts w:ascii="Times New Roman" w:eastAsia="Times New Roman" w:hAnsi="Times New Roman" w:cs="Times New Roman"/>
          <w:color w:val="000000"/>
          <w:sz w:val="24"/>
          <w:szCs w:val="24"/>
          <w:lang w:eastAsia="en-PH"/>
        </w:rPr>
        <w:t>, a person can logically be unhealthy (diseased) and not ill at the same time such as in the case of asymptomatic carriers.</w:t>
      </w:r>
    </w:p>
    <w:p w14:paraId="5C54AD8C" w14:textId="35246E97" w:rsidR="00FB5575" w:rsidRDefault="00694A9F" w:rsidP="00694A9F">
      <w:pPr>
        <w:spacing w:after="0" w:line="480" w:lineRule="auto"/>
        <w:ind w:firstLine="720"/>
        <w:jc w:val="both"/>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 xml:space="preserve">The case of asymptomatic carriers is </w:t>
      </w:r>
      <w:r w:rsidR="00B6749D">
        <w:rPr>
          <w:rFonts w:ascii="Times New Roman" w:eastAsia="Times New Roman" w:hAnsi="Times New Roman" w:cs="Times New Roman"/>
          <w:color w:val="000000"/>
          <w:sz w:val="24"/>
          <w:szCs w:val="24"/>
          <w:lang w:eastAsia="en-PH"/>
        </w:rPr>
        <w:t xml:space="preserve">just </w:t>
      </w:r>
      <w:r>
        <w:rPr>
          <w:rFonts w:ascii="Times New Roman" w:eastAsia="Times New Roman" w:hAnsi="Times New Roman" w:cs="Times New Roman"/>
          <w:color w:val="000000"/>
          <w:sz w:val="24"/>
          <w:szCs w:val="24"/>
          <w:lang w:eastAsia="en-PH"/>
        </w:rPr>
        <w:t>one instance of when philosophers and medical professionals can have different opinions on how the term ‘health’ ought to be used. S</w:t>
      </w:r>
      <w:r w:rsidR="00B12958">
        <w:rPr>
          <w:rFonts w:ascii="Times New Roman" w:eastAsia="Times New Roman" w:hAnsi="Times New Roman" w:cs="Times New Roman"/>
          <w:color w:val="000000"/>
          <w:sz w:val="24"/>
          <w:szCs w:val="24"/>
          <w:lang w:eastAsia="en-PH"/>
        </w:rPr>
        <w:t xml:space="preserve">ome </w:t>
      </w:r>
      <w:r w:rsidR="00B6749D">
        <w:rPr>
          <w:rFonts w:ascii="Times New Roman" w:eastAsia="Times New Roman" w:hAnsi="Times New Roman" w:cs="Times New Roman"/>
          <w:color w:val="000000"/>
          <w:sz w:val="24"/>
          <w:szCs w:val="24"/>
          <w:lang w:eastAsia="en-PH"/>
        </w:rPr>
        <w:t>people</w:t>
      </w:r>
      <w:r w:rsidR="00B12958">
        <w:rPr>
          <w:rFonts w:ascii="Times New Roman" w:eastAsia="Times New Roman" w:hAnsi="Times New Roman" w:cs="Times New Roman"/>
          <w:color w:val="000000"/>
          <w:sz w:val="24"/>
          <w:szCs w:val="24"/>
          <w:lang w:eastAsia="en-PH"/>
        </w:rPr>
        <w:t xml:space="preserve"> might object to labelling asymptomatic carriers of tuberculosis as unhealthy</w:t>
      </w:r>
      <w:r>
        <w:rPr>
          <w:rFonts w:ascii="Times New Roman" w:eastAsia="Times New Roman" w:hAnsi="Times New Roman" w:cs="Times New Roman"/>
          <w:color w:val="000000"/>
          <w:sz w:val="24"/>
          <w:szCs w:val="24"/>
          <w:lang w:eastAsia="en-PH"/>
        </w:rPr>
        <w:t xml:space="preserve"> </w:t>
      </w:r>
      <w:r w:rsidR="00B6749D">
        <w:rPr>
          <w:rFonts w:ascii="Times New Roman" w:eastAsia="Times New Roman" w:hAnsi="Times New Roman" w:cs="Times New Roman"/>
          <w:color w:val="000000"/>
          <w:sz w:val="24"/>
          <w:szCs w:val="24"/>
          <w:lang w:eastAsia="en-PH"/>
        </w:rPr>
        <w:t>on the grounds that</w:t>
      </w:r>
      <w:r>
        <w:rPr>
          <w:rFonts w:ascii="Times New Roman" w:eastAsia="Times New Roman" w:hAnsi="Times New Roman" w:cs="Times New Roman"/>
          <w:color w:val="000000"/>
          <w:sz w:val="24"/>
          <w:szCs w:val="24"/>
          <w:lang w:eastAsia="en-PH"/>
        </w:rPr>
        <w:t xml:space="preserve"> the disease does not diminish their ability</w:t>
      </w:r>
      <w:r w:rsidR="00B6749D">
        <w:rPr>
          <w:rFonts w:ascii="Times New Roman" w:eastAsia="Times New Roman" w:hAnsi="Times New Roman" w:cs="Times New Roman"/>
          <w:color w:val="000000"/>
          <w:sz w:val="24"/>
          <w:szCs w:val="24"/>
          <w:lang w:eastAsia="en-PH"/>
        </w:rPr>
        <w:t xml:space="preserve"> </w:t>
      </w:r>
      <w:r>
        <w:rPr>
          <w:rFonts w:ascii="Times New Roman" w:eastAsia="Times New Roman" w:hAnsi="Times New Roman" w:cs="Times New Roman"/>
          <w:color w:val="000000"/>
          <w:sz w:val="24"/>
          <w:szCs w:val="24"/>
          <w:lang w:eastAsia="en-PH"/>
        </w:rPr>
        <w:t>nor well-being</w:t>
      </w:r>
      <w:r w:rsidR="00B12958">
        <w:rPr>
          <w:rFonts w:ascii="Times New Roman" w:eastAsia="Times New Roman" w:hAnsi="Times New Roman" w:cs="Times New Roman"/>
          <w:color w:val="000000"/>
          <w:sz w:val="24"/>
          <w:szCs w:val="24"/>
          <w:lang w:eastAsia="en-PH"/>
        </w:rPr>
        <w:t xml:space="preserve">. </w:t>
      </w:r>
      <w:r>
        <w:rPr>
          <w:rFonts w:ascii="Times New Roman" w:eastAsia="Times New Roman" w:hAnsi="Times New Roman" w:cs="Times New Roman"/>
          <w:color w:val="000000"/>
          <w:sz w:val="24"/>
          <w:szCs w:val="24"/>
          <w:lang w:eastAsia="en-PH"/>
        </w:rPr>
        <w:t xml:space="preserve">For </w:t>
      </w:r>
      <w:r w:rsidR="006835E6">
        <w:rPr>
          <w:rFonts w:ascii="Times New Roman" w:eastAsia="Times New Roman" w:hAnsi="Times New Roman" w:cs="Times New Roman"/>
          <w:color w:val="000000"/>
          <w:sz w:val="24"/>
          <w:szCs w:val="24"/>
          <w:lang w:eastAsia="en-PH"/>
        </w:rPr>
        <w:t xml:space="preserve">philosophers and medical professionals who believe in this position, a person should </w:t>
      </w:r>
      <w:r w:rsidR="007C11DF">
        <w:rPr>
          <w:rFonts w:ascii="Times New Roman" w:eastAsia="Times New Roman" w:hAnsi="Times New Roman" w:cs="Times New Roman"/>
          <w:color w:val="000000"/>
          <w:sz w:val="24"/>
          <w:szCs w:val="24"/>
          <w:lang w:eastAsia="en-PH"/>
        </w:rPr>
        <w:t xml:space="preserve">not </w:t>
      </w:r>
      <w:r w:rsidR="006835E6">
        <w:rPr>
          <w:rFonts w:ascii="Times New Roman" w:eastAsia="Times New Roman" w:hAnsi="Times New Roman" w:cs="Times New Roman"/>
          <w:color w:val="000000"/>
          <w:sz w:val="24"/>
          <w:szCs w:val="24"/>
          <w:lang w:eastAsia="en-PH"/>
        </w:rPr>
        <w:t xml:space="preserve">be considered healthy </w:t>
      </w:r>
      <w:r w:rsidR="00B6749D">
        <w:rPr>
          <w:rFonts w:ascii="Times New Roman" w:eastAsia="Times New Roman" w:hAnsi="Times New Roman" w:cs="Times New Roman"/>
          <w:color w:val="000000"/>
          <w:sz w:val="24"/>
          <w:szCs w:val="24"/>
          <w:lang w:eastAsia="en-PH"/>
        </w:rPr>
        <w:t xml:space="preserve">by the </w:t>
      </w:r>
      <w:r w:rsidR="00B6749D">
        <w:rPr>
          <w:rFonts w:ascii="Times New Roman" w:eastAsia="Times New Roman" w:hAnsi="Times New Roman" w:cs="Times New Roman"/>
          <w:color w:val="000000"/>
          <w:sz w:val="24"/>
          <w:szCs w:val="24"/>
          <w:lang w:eastAsia="en-PH"/>
        </w:rPr>
        <w:lastRenderedPageBreak/>
        <w:t xml:space="preserve">presence of disease alone. The notion of health should not be understood solely in biological terms. Instead, health should also be </w:t>
      </w:r>
      <w:r w:rsidR="007C11DF">
        <w:rPr>
          <w:rFonts w:ascii="Times New Roman" w:eastAsia="Times New Roman" w:hAnsi="Times New Roman" w:cs="Times New Roman"/>
          <w:color w:val="000000"/>
          <w:sz w:val="24"/>
          <w:szCs w:val="24"/>
          <w:lang w:eastAsia="en-PH"/>
        </w:rPr>
        <w:t xml:space="preserve">an assessment of the </w:t>
      </w:r>
      <w:r w:rsidR="00B6749D">
        <w:rPr>
          <w:rFonts w:ascii="Times New Roman" w:eastAsia="Times New Roman" w:hAnsi="Times New Roman" w:cs="Times New Roman"/>
          <w:color w:val="000000"/>
          <w:sz w:val="24"/>
          <w:szCs w:val="24"/>
          <w:lang w:eastAsia="en-PH"/>
        </w:rPr>
        <w:t>person’s quality of life as well.</w:t>
      </w:r>
      <w:r w:rsidR="00FC012E">
        <w:rPr>
          <w:rFonts w:ascii="Times New Roman" w:eastAsia="Times New Roman" w:hAnsi="Times New Roman" w:cs="Times New Roman"/>
          <w:color w:val="000000"/>
          <w:sz w:val="24"/>
          <w:szCs w:val="24"/>
          <w:lang w:eastAsia="en-PH"/>
        </w:rPr>
        <w:t xml:space="preserve"> Under this view,</w:t>
      </w:r>
      <w:r w:rsidR="00AF3305">
        <w:rPr>
          <w:rFonts w:ascii="Times New Roman" w:eastAsia="Times New Roman" w:hAnsi="Times New Roman" w:cs="Times New Roman"/>
          <w:color w:val="000000"/>
          <w:sz w:val="24"/>
          <w:szCs w:val="24"/>
          <w:lang w:eastAsia="en-PH"/>
        </w:rPr>
        <w:t xml:space="preserve"> a person is considered healthy when they are not suffering from an illness.</w:t>
      </w:r>
      <w:r w:rsidR="006835E6">
        <w:rPr>
          <w:rFonts w:ascii="Times New Roman" w:eastAsia="Times New Roman" w:hAnsi="Times New Roman" w:cs="Times New Roman"/>
          <w:color w:val="000000"/>
          <w:sz w:val="24"/>
          <w:szCs w:val="24"/>
          <w:lang w:eastAsia="en-PH"/>
        </w:rPr>
        <w:t xml:space="preserve"> </w:t>
      </w:r>
      <w:r w:rsidR="00FC012E">
        <w:rPr>
          <w:rFonts w:ascii="Times New Roman" w:eastAsia="Times New Roman" w:hAnsi="Times New Roman" w:cs="Times New Roman"/>
          <w:color w:val="000000"/>
          <w:sz w:val="24"/>
          <w:szCs w:val="24"/>
          <w:lang w:eastAsia="en-PH"/>
        </w:rPr>
        <w:t>For</w:t>
      </w:r>
      <w:r w:rsidR="006835E6">
        <w:rPr>
          <w:rFonts w:ascii="Times New Roman" w:eastAsia="Times New Roman" w:hAnsi="Times New Roman" w:cs="Times New Roman"/>
          <w:color w:val="000000"/>
          <w:sz w:val="24"/>
          <w:szCs w:val="24"/>
          <w:lang w:eastAsia="en-PH"/>
        </w:rPr>
        <w:t xml:space="preserve"> this paper, this position will be called the non-naturalist</w:t>
      </w:r>
      <w:r w:rsidR="00B6749D">
        <w:rPr>
          <w:rFonts w:ascii="Times New Roman" w:eastAsia="Times New Roman" w:hAnsi="Times New Roman" w:cs="Times New Roman"/>
          <w:color w:val="000000"/>
          <w:sz w:val="24"/>
          <w:szCs w:val="24"/>
          <w:lang w:eastAsia="en-PH"/>
        </w:rPr>
        <w:t xml:space="preserve"> conception of health.</w:t>
      </w:r>
      <w:r w:rsidR="00B6749D">
        <w:rPr>
          <w:rStyle w:val="FootnoteReference"/>
          <w:rFonts w:ascii="Times New Roman" w:eastAsia="Times New Roman" w:hAnsi="Times New Roman" w:cs="Times New Roman"/>
          <w:color w:val="000000"/>
          <w:sz w:val="24"/>
          <w:szCs w:val="24"/>
          <w:lang w:eastAsia="en-PH"/>
        </w:rPr>
        <w:footnoteReference w:id="6"/>
      </w:r>
      <w:r w:rsidR="00C56899">
        <w:rPr>
          <w:rFonts w:ascii="Times New Roman" w:eastAsia="Times New Roman" w:hAnsi="Times New Roman" w:cs="Times New Roman"/>
          <w:color w:val="000000"/>
          <w:sz w:val="24"/>
          <w:szCs w:val="24"/>
          <w:lang w:eastAsia="en-PH"/>
        </w:rPr>
        <w:t xml:space="preserve"> In contrast, philosophers and medical professionals who believe in the notion that health is absence of disease </w:t>
      </w:r>
      <w:r w:rsidR="00C958F6">
        <w:rPr>
          <w:rFonts w:ascii="Times New Roman" w:eastAsia="Times New Roman" w:hAnsi="Times New Roman" w:cs="Times New Roman"/>
          <w:color w:val="000000"/>
          <w:sz w:val="24"/>
          <w:szCs w:val="24"/>
          <w:lang w:eastAsia="en-PH"/>
        </w:rPr>
        <w:t xml:space="preserve">instead </w:t>
      </w:r>
      <w:r w:rsidR="00C56899">
        <w:rPr>
          <w:rFonts w:ascii="Times New Roman" w:eastAsia="Times New Roman" w:hAnsi="Times New Roman" w:cs="Times New Roman"/>
          <w:color w:val="000000"/>
          <w:sz w:val="24"/>
          <w:szCs w:val="24"/>
          <w:lang w:eastAsia="en-PH"/>
        </w:rPr>
        <w:t>support the naturalist-conception of health</w:t>
      </w:r>
      <w:r w:rsidR="00C958F6">
        <w:rPr>
          <w:rFonts w:ascii="Times New Roman" w:eastAsia="Times New Roman" w:hAnsi="Times New Roman" w:cs="Times New Roman"/>
          <w:color w:val="000000"/>
          <w:sz w:val="24"/>
          <w:szCs w:val="24"/>
          <w:lang w:eastAsia="en-PH"/>
        </w:rPr>
        <w:t>. Under the naturalist conception, the meaning of ‘health’ is determined by both the knowledge and methods of the natural sciences. Health is to be understood mainly in statistical and biological terms.</w:t>
      </w:r>
      <w:r w:rsidR="00C958F6">
        <w:rPr>
          <w:rStyle w:val="FootnoteReference"/>
          <w:rFonts w:ascii="Times New Roman" w:eastAsia="Times New Roman" w:hAnsi="Times New Roman" w:cs="Times New Roman"/>
          <w:color w:val="000000"/>
          <w:sz w:val="24"/>
          <w:szCs w:val="24"/>
          <w:lang w:eastAsia="en-PH"/>
        </w:rPr>
        <w:footnoteReference w:id="7"/>
      </w:r>
    </w:p>
    <w:p w14:paraId="5D822B52" w14:textId="65C4D549" w:rsidR="008168CA" w:rsidRDefault="008168CA" w:rsidP="008168CA">
      <w:pPr>
        <w:spacing w:after="0" w:line="480" w:lineRule="auto"/>
        <w:ind w:firstLine="720"/>
        <w:jc w:val="both"/>
        <w:rPr>
          <w:rFonts w:ascii="Times New Roman" w:eastAsia="Times New Roman" w:hAnsi="Times New Roman" w:cs="Times New Roman"/>
          <w:color w:val="000000"/>
          <w:sz w:val="24"/>
          <w:szCs w:val="24"/>
          <w:lang w:eastAsia="en-PH"/>
        </w:rPr>
      </w:pPr>
      <w:r w:rsidRPr="00936FEF">
        <w:rPr>
          <w:rFonts w:ascii="Times New Roman" w:eastAsia="Times New Roman" w:hAnsi="Times New Roman" w:cs="Times New Roman"/>
          <w:color w:val="000000"/>
          <w:sz w:val="24"/>
          <w:szCs w:val="24"/>
          <w:lang w:eastAsia="en-PH"/>
        </w:rPr>
        <w:t xml:space="preserve">I argue that, as a question between naturalism and non-naturalism, the question of “What is health?” can be regarded as a pseudo-problem stemming from a superficial similarity between technical and non-technical usages of the ‘health’ term. If philosophers and medical professionals are to have a meaningful conversation using the term ‘health’, then they must move past theoretical discussions of whether a naturalist or non-naturalist conception of health is ‘more appropriate’. Instead, philosophers of medicine and medical professionals must become conscientious of which sense of health is used in their conversations. Once they become aware and appreciate the different </w:t>
      </w:r>
      <w:r w:rsidRPr="00936FEF">
        <w:rPr>
          <w:rFonts w:ascii="Times New Roman" w:eastAsia="Times New Roman" w:hAnsi="Times New Roman" w:cs="Times New Roman"/>
          <w:color w:val="000000"/>
          <w:sz w:val="24"/>
          <w:szCs w:val="24"/>
          <w:lang w:eastAsia="en-PH"/>
        </w:rPr>
        <w:lastRenderedPageBreak/>
        <w:t xml:space="preserve">uses of the term ‘health’, the tension between </w:t>
      </w:r>
      <w:r>
        <w:rPr>
          <w:rFonts w:ascii="Times New Roman" w:eastAsia="Times New Roman" w:hAnsi="Times New Roman" w:cs="Times New Roman"/>
          <w:color w:val="000000"/>
          <w:sz w:val="24"/>
          <w:szCs w:val="24"/>
          <w:lang w:eastAsia="en-PH"/>
        </w:rPr>
        <w:t>choosing what one ought to mean by the term ‘health’ disappears.</w:t>
      </w:r>
    </w:p>
    <w:p w14:paraId="1CBA30AF" w14:textId="59F82604" w:rsidR="00673F8B" w:rsidRDefault="008B4E71" w:rsidP="008168CA">
      <w:pPr>
        <w:spacing w:after="0" w:line="480" w:lineRule="auto"/>
        <w:ind w:firstLine="720"/>
        <w:jc w:val="both"/>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 xml:space="preserve">My argument is aimed towards providing an answer to the debate between </w:t>
      </w:r>
      <w:r w:rsidR="00FC012E">
        <w:rPr>
          <w:rFonts w:ascii="Times New Roman" w:eastAsia="Times New Roman" w:hAnsi="Times New Roman" w:cs="Times New Roman"/>
          <w:color w:val="000000"/>
          <w:sz w:val="24"/>
          <w:szCs w:val="24"/>
          <w:lang w:eastAsia="en-PH"/>
        </w:rPr>
        <w:t>which of the</w:t>
      </w:r>
      <w:r>
        <w:rPr>
          <w:rFonts w:ascii="Times New Roman" w:eastAsia="Times New Roman" w:hAnsi="Times New Roman" w:cs="Times New Roman"/>
          <w:color w:val="000000"/>
          <w:sz w:val="24"/>
          <w:szCs w:val="24"/>
          <w:lang w:eastAsia="en-PH"/>
        </w:rPr>
        <w:t xml:space="preserve"> </w:t>
      </w:r>
      <w:r w:rsidR="00FC012E">
        <w:rPr>
          <w:rFonts w:ascii="Times New Roman" w:eastAsia="Times New Roman" w:hAnsi="Times New Roman" w:cs="Times New Roman"/>
          <w:color w:val="000000"/>
          <w:sz w:val="24"/>
          <w:szCs w:val="24"/>
          <w:lang w:eastAsia="en-PH"/>
        </w:rPr>
        <w:t xml:space="preserve">two competing notions of health should </w:t>
      </w:r>
      <w:r w:rsidR="007C11DF">
        <w:rPr>
          <w:rFonts w:ascii="Times New Roman" w:eastAsia="Times New Roman" w:hAnsi="Times New Roman" w:cs="Times New Roman"/>
          <w:color w:val="000000"/>
          <w:sz w:val="24"/>
          <w:szCs w:val="24"/>
          <w:lang w:eastAsia="en-PH"/>
        </w:rPr>
        <w:t>philosophers, medical professionals, and lay</w:t>
      </w:r>
      <w:r w:rsidR="00425D39">
        <w:rPr>
          <w:rFonts w:ascii="Times New Roman" w:eastAsia="Times New Roman" w:hAnsi="Times New Roman" w:cs="Times New Roman"/>
          <w:color w:val="000000"/>
          <w:sz w:val="24"/>
          <w:szCs w:val="24"/>
          <w:lang w:eastAsia="en-PH"/>
        </w:rPr>
        <w:t>persons</w:t>
      </w:r>
      <w:r w:rsidR="007C11DF">
        <w:rPr>
          <w:rFonts w:ascii="Times New Roman" w:eastAsia="Times New Roman" w:hAnsi="Times New Roman" w:cs="Times New Roman"/>
          <w:color w:val="000000"/>
          <w:sz w:val="24"/>
          <w:szCs w:val="24"/>
          <w:lang w:eastAsia="en-PH"/>
        </w:rPr>
        <w:t xml:space="preserve"> use</w:t>
      </w:r>
      <w:r w:rsidR="00FC012E">
        <w:rPr>
          <w:rFonts w:ascii="Times New Roman" w:eastAsia="Times New Roman" w:hAnsi="Times New Roman" w:cs="Times New Roman"/>
          <w:color w:val="000000"/>
          <w:sz w:val="24"/>
          <w:szCs w:val="24"/>
          <w:lang w:eastAsia="en-PH"/>
        </w:rPr>
        <w:t>. In my view,</w:t>
      </w:r>
      <w:r>
        <w:rPr>
          <w:rFonts w:ascii="Times New Roman" w:eastAsia="Times New Roman" w:hAnsi="Times New Roman" w:cs="Times New Roman"/>
          <w:color w:val="000000"/>
          <w:sz w:val="24"/>
          <w:szCs w:val="24"/>
          <w:lang w:eastAsia="en-PH"/>
        </w:rPr>
        <w:t xml:space="preserve"> </w:t>
      </w:r>
      <w:r w:rsidR="00FC012E">
        <w:rPr>
          <w:rFonts w:ascii="Times New Roman" w:eastAsia="Times New Roman" w:hAnsi="Times New Roman" w:cs="Times New Roman"/>
          <w:color w:val="000000"/>
          <w:sz w:val="24"/>
          <w:szCs w:val="24"/>
          <w:lang w:eastAsia="en-PH"/>
        </w:rPr>
        <w:t>supporters that ‘health’ should be understood in</w:t>
      </w:r>
      <w:r w:rsidR="007C11DF">
        <w:rPr>
          <w:rFonts w:ascii="Times New Roman" w:eastAsia="Times New Roman" w:hAnsi="Times New Roman" w:cs="Times New Roman"/>
          <w:color w:val="000000"/>
          <w:sz w:val="24"/>
          <w:szCs w:val="24"/>
          <w:lang w:eastAsia="en-PH"/>
        </w:rPr>
        <w:t xml:space="preserve"> </w:t>
      </w:r>
      <w:r w:rsidR="008C28DD">
        <w:rPr>
          <w:rFonts w:ascii="Times New Roman" w:eastAsia="Times New Roman" w:hAnsi="Times New Roman" w:cs="Times New Roman"/>
          <w:color w:val="000000"/>
          <w:sz w:val="24"/>
          <w:szCs w:val="24"/>
          <w:lang w:eastAsia="en-PH"/>
        </w:rPr>
        <w:t>solely</w:t>
      </w:r>
      <w:r w:rsidR="00FC012E">
        <w:rPr>
          <w:rFonts w:ascii="Times New Roman" w:eastAsia="Times New Roman" w:hAnsi="Times New Roman" w:cs="Times New Roman"/>
          <w:color w:val="000000"/>
          <w:sz w:val="24"/>
          <w:szCs w:val="24"/>
          <w:lang w:eastAsia="en-PH"/>
        </w:rPr>
        <w:t xml:space="preserve"> natural or non-natural terms are arguing past one another</w:t>
      </w:r>
      <w:r>
        <w:rPr>
          <w:rFonts w:ascii="Times New Roman" w:eastAsia="Times New Roman" w:hAnsi="Times New Roman" w:cs="Times New Roman"/>
          <w:color w:val="000000"/>
          <w:sz w:val="24"/>
          <w:szCs w:val="24"/>
          <w:lang w:eastAsia="en-PH"/>
        </w:rPr>
        <w:t>.</w:t>
      </w:r>
      <w:r w:rsidR="00796612">
        <w:rPr>
          <w:rFonts w:ascii="Times New Roman" w:eastAsia="Times New Roman" w:hAnsi="Times New Roman" w:cs="Times New Roman"/>
          <w:color w:val="000000"/>
          <w:sz w:val="24"/>
          <w:szCs w:val="24"/>
          <w:lang w:eastAsia="en-PH"/>
        </w:rPr>
        <w:t xml:space="preserve"> Whenever one uses the term ‘health’, they must become consciously aware of the context and activity of their utterance. In cases when they use the term specifically to treat a patient</w:t>
      </w:r>
      <w:r w:rsidR="008E1798">
        <w:rPr>
          <w:rFonts w:ascii="Times New Roman" w:eastAsia="Times New Roman" w:hAnsi="Times New Roman" w:cs="Times New Roman"/>
          <w:color w:val="000000"/>
          <w:sz w:val="24"/>
          <w:szCs w:val="24"/>
          <w:lang w:eastAsia="en-PH"/>
        </w:rPr>
        <w:t xml:space="preserve"> in medical practice</w:t>
      </w:r>
      <w:r w:rsidR="00796612">
        <w:rPr>
          <w:rFonts w:ascii="Times New Roman" w:eastAsia="Times New Roman" w:hAnsi="Times New Roman" w:cs="Times New Roman"/>
          <w:color w:val="000000"/>
          <w:sz w:val="24"/>
          <w:szCs w:val="24"/>
          <w:lang w:eastAsia="en-PH"/>
        </w:rPr>
        <w:t>, it is arguable that they use the term ‘health’ in a non-naturalist sense. On the other hand, medical professionals who discuss about a patient’s diagnosis use the term ‘health</w:t>
      </w:r>
      <w:r w:rsidR="008E1798">
        <w:rPr>
          <w:rFonts w:ascii="Times New Roman" w:eastAsia="Times New Roman" w:hAnsi="Times New Roman" w:cs="Times New Roman"/>
          <w:color w:val="000000"/>
          <w:sz w:val="24"/>
          <w:szCs w:val="24"/>
          <w:lang w:eastAsia="en-PH"/>
        </w:rPr>
        <w:t>’</w:t>
      </w:r>
      <w:r w:rsidR="004A114F">
        <w:rPr>
          <w:rFonts w:ascii="Times New Roman" w:eastAsia="Times New Roman" w:hAnsi="Times New Roman" w:cs="Times New Roman"/>
          <w:color w:val="000000"/>
          <w:sz w:val="24"/>
          <w:szCs w:val="24"/>
          <w:lang w:eastAsia="en-PH"/>
        </w:rPr>
        <w:t xml:space="preserve"> </w:t>
      </w:r>
      <w:r w:rsidR="00796612">
        <w:rPr>
          <w:rFonts w:ascii="Times New Roman" w:eastAsia="Times New Roman" w:hAnsi="Times New Roman" w:cs="Times New Roman"/>
          <w:color w:val="000000"/>
          <w:sz w:val="24"/>
          <w:szCs w:val="24"/>
          <w:lang w:eastAsia="en-PH"/>
        </w:rPr>
        <w:t>in a naturalist sense.</w:t>
      </w:r>
    </w:p>
    <w:p w14:paraId="4B372BF5" w14:textId="4E939FD2" w:rsidR="008168CA" w:rsidRDefault="00B14A99" w:rsidP="008168CA">
      <w:pPr>
        <w:spacing w:after="0" w:line="480" w:lineRule="auto"/>
        <w:ind w:firstLine="720"/>
        <w:jc w:val="both"/>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T</w:t>
      </w:r>
      <w:r w:rsidR="008B4E71">
        <w:rPr>
          <w:rFonts w:ascii="Times New Roman" w:eastAsia="Times New Roman" w:hAnsi="Times New Roman" w:cs="Times New Roman"/>
          <w:color w:val="000000"/>
          <w:sz w:val="24"/>
          <w:szCs w:val="24"/>
          <w:lang w:eastAsia="en-PH"/>
        </w:rPr>
        <w:t xml:space="preserve">here are various arguments </w:t>
      </w:r>
      <w:r w:rsidR="00673F8B">
        <w:rPr>
          <w:rFonts w:ascii="Times New Roman" w:eastAsia="Times New Roman" w:hAnsi="Times New Roman" w:cs="Times New Roman"/>
          <w:color w:val="000000"/>
          <w:sz w:val="24"/>
          <w:szCs w:val="24"/>
          <w:lang w:eastAsia="en-PH"/>
        </w:rPr>
        <w:t>supporting</w:t>
      </w:r>
      <w:r w:rsidR="008B4E71">
        <w:rPr>
          <w:rFonts w:ascii="Times New Roman" w:eastAsia="Times New Roman" w:hAnsi="Times New Roman" w:cs="Times New Roman"/>
          <w:color w:val="000000"/>
          <w:sz w:val="24"/>
          <w:szCs w:val="24"/>
          <w:lang w:eastAsia="en-PH"/>
        </w:rPr>
        <w:t xml:space="preserve"> the meaningful use of either a naturalist- or non-naturalist- conception of health. For example,</w:t>
      </w:r>
      <w:r w:rsidR="004F0D44">
        <w:rPr>
          <w:rFonts w:ascii="Times New Roman" w:eastAsia="Times New Roman" w:hAnsi="Times New Roman" w:cs="Times New Roman"/>
          <w:color w:val="000000"/>
          <w:sz w:val="24"/>
          <w:szCs w:val="24"/>
          <w:lang w:eastAsia="en-PH"/>
        </w:rPr>
        <w:t xml:space="preserve"> Lennart</w:t>
      </w:r>
      <w:r w:rsidR="008B4E71">
        <w:rPr>
          <w:rFonts w:ascii="Times New Roman" w:eastAsia="Times New Roman" w:hAnsi="Times New Roman" w:cs="Times New Roman"/>
          <w:color w:val="000000"/>
          <w:sz w:val="24"/>
          <w:szCs w:val="24"/>
          <w:lang w:eastAsia="en-PH"/>
        </w:rPr>
        <w:t xml:space="preserve"> </w:t>
      </w:r>
      <w:proofErr w:type="spellStart"/>
      <w:r w:rsidR="008B4E71">
        <w:rPr>
          <w:rFonts w:ascii="Times New Roman" w:eastAsia="Times New Roman" w:hAnsi="Times New Roman" w:cs="Times New Roman"/>
          <w:color w:val="000000"/>
          <w:sz w:val="24"/>
          <w:szCs w:val="24"/>
          <w:lang w:eastAsia="en-PH"/>
        </w:rPr>
        <w:t>Nordenfelt</w:t>
      </w:r>
      <w:proofErr w:type="spellEnd"/>
      <w:r w:rsidR="008B4E71">
        <w:rPr>
          <w:rFonts w:ascii="Times New Roman" w:eastAsia="Times New Roman" w:hAnsi="Times New Roman" w:cs="Times New Roman"/>
          <w:color w:val="000000"/>
          <w:sz w:val="24"/>
          <w:szCs w:val="24"/>
          <w:lang w:eastAsia="en-PH"/>
        </w:rPr>
        <w:t xml:space="preserve"> has argued for a non-naturalist use of the ‘health’ term by arguing that the notion of </w:t>
      </w:r>
      <w:r w:rsidR="00876D6B">
        <w:rPr>
          <w:rFonts w:ascii="Times New Roman" w:eastAsia="Times New Roman" w:hAnsi="Times New Roman" w:cs="Times New Roman"/>
          <w:color w:val="000000"/>
          <w:sz w:val="24"/>
          <w:szCs w:val="24"/>
          <w:lang w:eastAsia="en-PH"/>
        </w:rPr>
        <w:t>disease is derived from cases of illness.</w:t>
      </w:r>
      <w:r w:rsidR="00FC012E">
        <w:rPr>
          <w:rStyle w:val="FootnoteReference"/>
          <w:rFonts w:ascii="Times New Roman" w:eastAsia="Times New Roman" w:hAnsi="Times New Roman" w:cs="Times New Roman"/>
          <w:color w:val="000000"/>
          <w:sz w:val="24"/>
          <w:szCs w:val="24"/>
          <w:lang w:eastAsia="en-PH"/>
        </w:rPr>
        <w:footnoteReference w:id="8"/>
      </w:r>
      <w:r w:rsidR="00876D6B">
        <w:rPr>
          <w:rFonts w:ascii="Times New Roman" w:eastAsia="Times New Roman" w:hAnsi="Times New Roman" w:cs="Times New Roman"/>
          <w:color w:val="000000"/>
          <w:sz w:val="24"/>
          <w:szCs w:val="24"/>
          <w:lang w:eastAsia="en-PH"/>
        </w:rPr>
        <w:t xml:space="preserve"> In </w:t>
      </w:r>
      <w:proofErr w:type="spellStart"/>
      <w:r w:rsidR="00876D6B">
        <w:rPr>
          <w:rFonts w:ascii="Times New Roman" w:eastAsia="Times New Roman" w:hAnsi="Times New Roman" w:cs="Times New Roman"/>
          <w:color w:val="000000"/>
          <w:sz w:val="24"/>
          <w:szCs w:val="24"/>
          <w:lang w:eastAsia="en-PH"/>
        </w:rPr>
        <w:t>Nordenfelt’s</w:t>
      </w:r>
      <w:proofErr w:type="spellEnd"/>
      <w:r w:rsidR="00876D6B">
        <w:rPr>
          <w:rFonts w:ascii="Times New Roman" w:eastAsia="Times New Roman" w:hAnsi="Times New Roman" w:cs="Times New Roman"/>
          <w:color w:val="000000"/>
          <w:sz w:val="24"/>
          <w:szCs w:val="24"/>
          <w:lang w:eastAsia="en-PH"/>
        </w:rPr>
        <w:t xml:space="preserve"> view, the discovery of diseases such as tuberculosis was only possible based on the subjective experience of people afflicted with the illness.</w:t>
      </w:r>
      <w:r w:rsidR="00FC012E">
        <w:rPr>
          <w:rFonts w:ascii="Times New Roman" w:eastAsia="Times New Roman" w:hAnsi="Times New Roman" w:cs="Times New Roman"/>
          <w:color w:val="000000"/>
          <w:sz w:val="24"/>
          <w:szCs w:val="24"/>
          <w:lang w:eastAsia="en-PH"/>
        </w:rPr>
        <w:t xml:space="preserve"> In contrast, as stated previously, naturalists such as</w:t>
      </w:r>
      <w:r w:rsidR="004F0D44">
        <w:rPr>
          <w:rFonts w:ascii="Times New Roman" w:eastAsia="Times New Roman" w:hAnsi="Times New Roman" w:cs="Times New Roman"/>
          <w:color w:val="000000"/>
          <w:sz w:val="24"/>
          <w:szCs w:val="24"/>
          <w:lang w:eastAsia="en-PH"/>
        </w:rPr>
        <w:t xml:space="preserve"> Christopher</w:t>
      </w:r>
      <w:r w:rsidR="00FC012E">
        <w:rPr>
          <w:rFonts w:ascii="Times New Roman" w:eastAsia="Times New Roman" w:hAnsi="Times New Roman" w:cs="Times New Roman"/>
          <w:color w:val="000000"/>
          <w:sz w:val="24"/>
          <w:szCs w:val="24"/>
          <w:lang w:eastAsia="en-PH"/>
        </w:rPr>
        <w:t xml:space="preserve"> </w:t>
      </w:r>
      <w:proofErr w:type="spellStart"/>
      <w:r w:rsidR="00FC012E">
        <w:rPr>
          <w:rFonts w:ascii="Times New Roman" w:eastAsia="Times New Roman" w:hAnsi="Times New Roman" w:cs="Times New Roman"/>
          <w:color w:val="000000"/>
          <w:sz w:val="24"/>
          <w:szCs w:val="24"/>
          <w:lang w:eastAsia="en-PH"/>
        </w:rPr>
        <w:t>Boorse</w:t>
      </w:r>
      <w:proofErr w:type="spellEnd"/>
      <w:r w:rsidR="00FC012E">
        <w:rPr>
          <w:rFonts w:ascii="Times New Roman" w:eastAsia="Times New Roman" w:hAnsi="Times New Roman" w:cs="Times New Roman"/>
          <w:color w:val="000000"/>
          <w:sz w:val="24"/>
          <w:szCs w:val="24"/>
          <w:lang w:eastAsia="en-PH"/>
        </w:rPr>
        <w:t xml:space="preserve"> have argued that the notion of </w:t>
      </w:r>
      <w:r w:rsidR="00AF3305">
        <w:rPr>
          <w:rFonts w:ascii="Times New Roman" w:eastAsia="Times New Roman" w:hAnsi="Times New Roman" w:cs="Times New Roman"/>
          <w:color w:val="000000"/>
          <w:sz w:val="24"/>
          <w:szCs w:val="24"/>
          <w:lang w:eastAsia="en-PH"/>
        </w:rPr>
        <w:t xml:space="preserve">illness is best understood </w:t>
      </w:r>
      <w:r w:rsidR="004A114F">
        <w:rPr>
          <w:rFonts w:ascii="Times New Roman" w:eastAsia="Times New Roman" w:hAnsi="Times New Roman" w:cs="Times New Roman"/>
          <w:color w:val="000000"/>
          <w:sz w:val="24"/>
          <w:szCs w:val="24"/>
          <w:lang w:eastAsia="en-PH"/>
        </w:rPr>
        <w:t>as referring to</w:t>
      </w:r>
      <w:r w:rsidR="00AF3305">
        <w:rPr>
          <w:rFonts w:ascii="Times New Roman" w:eastAsia="Times New Roman" w:hAnsi="Times New Roman" w:cs="Times New Roman"/>
          <w:color w:val="000000"/>
          <w:sz w:val="24"/>
          <w:szCs w:val="24"/>
          <w:lang w:eastAsia="en-PH"/>
        </w:rPr>
        <w:t xml:space="preserve"> a specific kind of disease</w:t>
      </w:r>
      <w:r w:rsidR="004A114F">
        <w:rPr>
          <w:rFonts w:ascii="Times New Roman" w:eastAsia="Times New Roman" w:hAnsi="Times New Roman" w:cs="Times New Roman"/>
          <w:color w:val="000000"/>
          <w:sz w:val="24"/>
          <w:szCs w:val="24"/>
          <w:lang w:eastAsia="en-PH"/>
        </w:rPr>
        <w:t xml:space="preserve"> with normative elements</w:t>
      </w:r>
      <w:r w:rsidR="00AF3305">
        <w:rPr>
          <w:rFonts w:ascii="Times New Roman" w:eastAsia="Times New Roman" w:hAnsi="Times New Roman" w:cs="Times New Roman"/>
          <w:color w:val="000000"/>
          <w:sz w:val="24"/>
          <w:szCs w:val="24"/>
          <w:lang w:eastAsia="en-PH"/>
        </w:rPr>
        <w:t>.</w:t>
      </w:r>
      <w:r w:rsidR="004A114F">
        <w:rPr>
          <w:rStyle w:val="FootnoteReference"/>
          <w:rFonts w:ascii="Times New Roman" w:eastAsia="Times New Roman" w:hAnsi="Times New Roman" w:cs="Times New Roman"/>
          <w:color w:val="000000"/>
          <w:sz w:val="24"/>
          <w:szCs w:val="24"/>
          <w:lang w:eastAsia="en-PH"/>
        </w:rPr>
        <w:footnoteReference w:id="9"/>
      </w:r>
    </w:p>
    <w:p w14:paraId="0ADCDEB1" w14:textId="5BE94F11" w:rsidR="00AF3305" w:rsidRDefault="00673F8B" w:rsidP="008168CA">
      <w:pPr>
        <w:spacing w:after="0" w:line="480" w:lineRule="auto"/>
        <w:ind w:firstLine="720"/>
        <w:jc w:val="both"/>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Furthermore, criticisms against</w:t>
      </w:r>
      <w:r w:rsidR="00AF3305">
        <w:rPr>
          <w:rFonts w:ascii="Times New Roman" w:eastAsia="Times New Roman" w:hAnsi="Times New Roman" w:cs="Times New Roman"/>
          <w:color w:val="000000"/>
          <w:sz w:val="24"/>
          <w:szCs w:val="24"/>
          <w:lang w:eastAsia="en-PH"/>
        </w:rPr>
        <w:t xml:space="preserve"> either a naturalist- or non-naturalist- conception have </w:t>
      </w:r>
      <w:r>
        <w:rPr>
          <w:rFonts w:ascii="Times New Roman" w:eastAsia="Times New Roman" w:hAnsi="Times New Roman" w:cs="Times New Roman"/>
          <w:color w:val="000000"/>
          <w:sz w:val="24"/>
          <w:szCs w:val="24"/>
          <w:lang w:eastAsia="en-PH"/>
        </w:rPr>
        <w:t xml:space="preserve">also </w:t>
      </w:r>
      <w:r w:rsidR="00AF3305">
        <w:rPr>
          <w:rFonts w:ascii="Times New Roman" w:eastAsia="Times New Roman" w:hAnsi="Times New Roman" w:cs="Times New Roman"/>
          <w:color w:val="000000"/>
          <w:sz w:val="24"/>
          <w:szCs w:val="24"/>
          <w:lang w:eastAsia="en-PH"/>
        </w:rPr>
        <w:t xml:space="preserve">proven to be </w:t>
      </w:r>
      <w:r w:rsidR="00C90F26">
        <w:rPr>
          <w:rFonts w:ascii="Times New Roman" w:eastAsia="Times New Roman" w:hAnsi="Times New Roman" w:cs="Times New Roman"/>
          <w:color w:val="000000"/>
          <w:sz w:val="24"/>
          <w:szCs w:val="24"/>
          <w:lang w:eastAsia="en-PH"/>
        </w:rPr>
        <w:t>beneficial for each camp</w:t>
      </w:r>
      <w:r w:rsidR="00AF3305">
        <w:rPr>
          <w:rFonts w:ascii="Times New Roman" w:eastAsia="Times New Roman" w:hAnsi="Times New Roman" w:cs="Times New Roman"/>
          <w:color w:val="000000"/>
          <w:sz w:val="24"/>
          <w:szCs w:val="24"/>
          <w:lang w:eastAsia="en-PH"/>
        </w:rPr>
        <w:t>.</w:t>
      </w:r>
      <w:r w:rsidR="005E0D0A">
        <w:rPr>
          <w:rFonts w:ascii="Times New Roman" w:eastAsia="Times New Roman" w:hAnsi="Times New Roman" w:cs="Times New Roman"/>
          <w:color w:val="000000"/>
          <w:sz w:val="24"/>
          <w:szCs w:val="24"/>
          <w:lang w:eastAsia="en-PH"/>
        </w:rPr>
        <w:t xml:space="preserve"> Criticisms against a conception of health has helped in </w:t>
      </w:r>
      <w:r w:rsidR="00562806">
        <w:rPr>
          <w:rFonts w:ascii="Times New Roman" w:eastAsia="Times New Roman" w:hAnsi="Times New Roman" w:cs="Times New Roman"/>
          <w:color w:val="000000"/>
          <w:sz w:val="24"/>
          <w:szCs w:val="24"/>
          <w:lang w:eastAsia="en-PH"/>
        </w:rPr>
        <w:t xml:space="preserve">stimulating its supporters to </w:t>
      </w:r>
      <w:r w:rsidR="00A3390B">
        <w:rPr>
          <w:rFonts w:ascii="Times New Roman" w:eastAsia="Times New Roman" w:hAnsi="Times New Roman" w:cs="Times New Roman"/>
          <w:color w:val="000000"/>
          <w:sz w:val="24"/>
          <w:szCs w:val="24"/>
          <w:lang w:eastAsia="en-PH"/>
        </w:rPr>
        <w:t>improve their theories</w:t>
      </w:r>
      <w:r w:rsidR="005E0D0A">
        <w:rPr>
          <w:rFonts w:ascii="Times New Roman" w:eastAsia="Times New Roman" w:hAnsi="Times New Roman" w:cs="Times New Roman"/>
          <w:color w:val="000000"/>
          <w:sz w:val="24"/>
          <w:szCs w:val="24"/>
          <w:lang w:eastAsia="en-PH"/>
        </w:rPr>
        <w:t>.</w:t>
      </w:r>
      <w:r w:rsidR="00AF3305">
        <w:rPr>
          <w:rFonts w:ascii="Times New Roman" w:eastAsia="Times New Roman" w:hAnsi="Times New Roman" w:cs="Times New Roman"/>
          <w:color w:val="000000"/>
          <w:sz w:val="24"/>
          <w:szCs w:val="24"/>
          <w:lang w:eastAsia="en-PH"/>
        </w:rPr>
        <w:t xml:space="preserve"> For example, criticisms against naturalism have urged its supporters to re-evaluate </w:t>
      </w:r>
      <w:r w:rsidR="005E0D0A">
        <w:rPr>
          <w:rFonts w:ascii="Times New Roman" w:eastAsia="Times New Roman" w:hAnsi="Times New Roman" w:cs="Times New Roman"/>
          <w:color w:val="000000"/>
          <w:sz w:val="24"/>
          <w:szCs w:val="24"/>
          <w:lang w:eastAsia="en-PH"/>
        </w:rPr>
        <w:t>whether</w:t>
      </w:r>
      <w:r w:rsidR="00AF3305">
        <w:rPr>
          <w:rFonts w:ascii="Times New Roman" w:eastAsia="Times New Roman" w:hAnsi="Times New Roman" w:cs="Times New Roman"/>
          <w:color w:val="000000"/>
          <w:sz w:val="24"/>
          <w:szCs w:val="24"/>
          <w:lang w:eastAsia="en-PH"/>
        </w:rPr>
        <w:t xml:space="preserve"> a disease is necessarily a ‘statistical abnormality’. One criticism against </w:t>
      </w:r>
      <w:proofErr w:type="spellStart"/>
      <w:r w:rsidR="00AF3305">
        <w:rPr>
          <w:rFonts w:ascii="Times New Roman" w:eastAsia="Times New Roman" w:hAnsi="Times New Roman" w:cs="Times New Roman"/>
          <w:color w:val="000000"/>
          <w:sz w:val="24"/>
          <w:szCs w:val="24"/>
          <w:lang w:eastAsia="en-PH"/>
        </w:rPr>
        <w:t>Boorse’s</w:t>
      </w:r>
      <w:proofErr w:type="spellEnd"/>
      <w:r w:rsidR="00AF3305">
        <w:rPr>
          <w:rFonts w:ascii="Times New Roman" w:eastAsia="Times New Roman" w:hAnsi="Times New Roman" w:cs="Times New Roman"/>
          <w:color w:val="000000"/>
          <w:sz w:val="24"/>
          <w:szCs w:val="24"/>
          <w:lang w:eastAsia="en-PH"/>
        </w:rPr>
        <w:t xml:space="preserve"> biostatistical theory is that there are many</w:t>
      </w:r>
      <w:r w:rsidR="005E0D0A">
        <w:rPr>
          <w:rFonts w:ascii="Times New Roman" w:eastAsia="Times New Roman" w:hAnsi="Times New Roman" w:cs="Times New Roman"/>
          <w:color w:val="000000"/>
          <w:sz w:val="24"/>
          <w:szCs w:val="24"/>
          <w:lang w:eastAsia="en-PH"/>
        </w:rPr>
        <w:t xml:space="preserve"> conditions which are </w:t>
      </w:r>
      <w:r w:rsidR="005E0D0A">
        <w:rPr>
          <w:rFonts w:ascii="Times New Roman" w:eastAsia="Times New Roman" w:hAnsi="Times New Roman" w:cs="Times New Roman"/>
          <w:color w:val="000000"/>
          <w:sz w:val="24"/>
          <w:szCs w:val="24"/>
          <w:lang w:eastAsia="en-PH"/>
        </w:rPr>
        <w:lastRenderedPageBreak/>
        <w:t>statistically abnormal, yet they are not considered to be diseases. On the other hand, there are also diseases which are universally prevalent such as tooth decay.</w:t>
      </w:r>
      <w:r w:rsidR="005E0D0A">
        <w:rPr>
          <w:rStyle w:val="FootnoteReference"/>
          <w:rFonts w:ascii="Times New Roman" w:eastAsia="Times New Roman" w:hAnsi="Times New Roman" w:cs="Times New Roman"/>
          <w:color w:val="000000"/>
          <w:sz w:val="24"/>
          <w:szCs w:val="24"/>
          <w:lang w:eastAsia="en-PH"/>
        </w:rPr>
        <w:footnoteReference w:id="10"/>
      </w:r>
      <w:r w:rsidR="005E0D0A">
        <w:rPr>
          <w:rFonts w:ascii="Times New Roman" w:eastAsia="Times New Roman" w:hAnsi="Times New Roman" w:cs="Times New Roman"/>
          <w:color w:val="000000"/>
          <w:sz w:val="24"/>
          <w:szCs w:val="24"/>
          <w:lang w:eastAsia="en-PH"/>
        </w:rPr>
        <w:t xml:space="preserve"> </w:t>
      </w:r>
      <w:proofErr w:type="spellStart"/>
      <w:r w:rsidR="00562806">
        <w:rPr>
          <w:rFonts w:ascii="Times New Roman" w:eastAsia="Times New Roman" w:hAnsi="Times New Roman" w:cs="Times New Roman"/>
          <w:color w:val="000000"/>
          <w:sz w:val="24"/>
          <w:szCs w:val="24"/>
          <w:lang w:eastAsia="en-PH"/>
        </w:rPr>
        <w:t>Boorse</w:t>
      </w:r>
      <w:proofErr w:type="spellEnd"/>
      <w:r w:rsidR="00562806">
        <w:rPr>
          <w:rFonts w:ascii="Times New Roman" w:eastAsia="Times New Roman" w:hAnsi="Times New Roman" w:cs="Times New Roman"/>
          <w:color w:val="000000"/>
          <w:sz w:val="24"/>
          <w:szCs w:val="24"/>
          <w:lang w:eastAsia="en-PH"/>
        </w:rPr>
        <w:t xml:space="preserve"> has tried to respond to this criticism by claiming that prevalent diseases are instead caused by hostile environments.</w:t>
      </w:r>
      <w:r w:rsidR="00A3390B">
        <w:rPr>
          <w:rStyle w:val="FootnoteReference"/>
          <w:rFonts w:ascii="Times New Roman" w:eastAsia="Times New Roman" w:hAnsi="Times New Roman" w:cs="Times New Roman"/>
          <w:color w:val="000000"/>
          <w:sz w:val="24"/>
          <w:szCs w:val="24"/>
          <w:lang w:eastAsia="en-PH"/>
        </w:rPr>
        <w:footnoteReference w:id="11"/>
      </w:r>
      <w:r w:rsidR="00562806">
        <w:rPr>
          <w:rFonts w:ascii="Times New Roman" w:eastAsia="Times New Roman" w:hAnsi="Times New Roman" w:cs="Times New Roman"/>
          <w:color w:val="000000"/>
          <w:sz w:val="24"/>
          <w:szCs w:val="24"/>
          <w:lang w:eastAsia="en-PH"/>
        </w:rPr>
        <w:t xml:space="preserve"> </w:t>
      </w:r>
      <w:r w:rsidR="00796612">
        <w:rPr>
          <w:rFonts w:ascii="Times New Roman" w:eastAsia="Times New Roman" w:hAnsi="Times New Roman" w:cs="Times New Roman"/>
          <w:color w:val="000000"/>
          <w:sz w:val="24"/>
          <w:szCs w:val="24"/>
          <w:lang w:eastAsia="en-PH"/>
        </w:rPr>
        <w:t xml:space="preserve">Aside from </w:t>
      </w:r>
      <w:proofErr w:type="spellStart"/>
      <w:r w:rsidR="00796612">
        <w:rPr>
          <w:rFonts w:ascii="Times New Roman" w:eastAsia="Times New Roman" w:hAnsi="Times New Roman" w:cs="Times New Roman"/>
          <w:color w:val="000000"/>
          <w:sz w:val="24"/>
          <w:szCs w:val="24"/>
          <w:lang w:eastAsia="en-PH"/>
        </w:rPr>
        <w:t>Boorse’s</w:t>
      </w:r>
      <w:proofErr w:type="spellEnd"/>
      <w:r w:rsidR="00796612">
        <w:rPr>
          <w:rFonts w:ascii="Times New Roman" w:eastAsia="Times New Roman" w:hAnsi="Times New Roman" w:cs="Times New Roman"/>
          <w:color w:val="000000"/>
          <w:sz w:val="24"/>
          <w:szCs w:val="24"/>
          <w:lang w:eastAsia="en-PH"/>
        </w:rPr>
        <w:t xml:space="preserve"> own response</w:t>
      </w:r>
      <w:r w:rsidR="005E0D0A">
        <w:rPr>
          <w:rFonts w:ascii="Times New Roman" w:eastAsia="Times New Roman" w:hAnsi="Times New Roman" w:cs="Times New Roman"/>
          <w:color w:val="000000"/>
          <w:sz w:val="24"/>
          <w:szCs w:val="24"/>
          <w:lang w:eastAsia="en-PH"/>
        </w:rPr>
        <w:t xml:space="preserve">, the naturalist </w:t>
      </w:r>
      <w:r w:rsidR="00562806">
        <w:rPr>
          <w:rFonts w:ascii="Times New Roman" w:eastAsia="Times New Roman" w:hAnsi="Times New Roman" w:cs="Times New Roman"/>
          <w:color w:val="000000"/>
          <w:sz w:val="24"/>
          <w:szCs w:val="24"/>
          <w:lang w:eastAsia="en-PH"/>
        </w:rPr>
        <w:t>Daniel Hausman has</w:t>
      </w:r>
      <w:r w:rsidR="00C90F26">
        <w:rPr>
          <w:rFonts w:ascii="Times New Roman" w:eastAsia="Times New Roman" w:hAnsi="Times New Roman" w:cs="Times New Roman"/>
          <w:color w:val="000000"/>
          <w:sz w:val="24"/>
          <w:szCs w:val="24"/>
          <w:lang w:eastAsia="en-PH"/>
        </w:rPr>
        <w:t xml:space="preserve"> responded to this criticism by introducing a richer notion of ‘biological function’</w:t>
      </w:r>
      <w:r w:rsidR="00796612">
        <w:rPr>
          <w:rFonts w:ascii="Times New Roman" w:eastAsia="Times New Roman" w:hAnsi="Times New Roman" w:cs="Times New Roman"/>
          <w:color w:val="000000"/>
          <w:sz w:val="24"/>
          <w:szCs w:val="24"/>
          <w:lang w:eastAsia="en-PH"/>
        </w:rPr>
        <w:t xml:space="preserve"> </w:t>
      </w:r>
      <w:r w:rsidR="00C90F26">
        <w:rPr>
          <w:rFonts w:ascii="Times New Roman" w:eastAsia="Times New Roman" w:hAnsi="Times New Roman" w:cs="Times New Roman"/>
          <w:color w:val="000000"/>
          <w:sz w:val="24"/>
          <w:szCs w:val="24"/>
          <w:lang w:eastAsia="en-PH"/>
        </w:rPr>
        <w:t xml:space="preserve">in </w:t>
      </w:r>
      <w:r w:rsidR="00796612">
        <w:rPr>
          <w:rFonts w:ascii="Times New Roman" w:eastAsia="Times New Roman" w:hAnsi="Times New Roman" w:cs="Times New Roman"/>
          <w:color w:val="000000"/>
          <w:sz w:val="24"/>
          <w:szCs w:val="24"/>
          <w:lang w:eastAsia="en-PH"/>
        </w:rPr>
        <w:t>his own Function</w:t>
      </w:r>
      <w:r w:rsidR="00F365E6">
        <w:rPr>
          <w:rFonts w:ascii="Times New Roman" w:eastAsia="Times New Roman" w:hAnsi="Times New Roman" w:cs="Times New Roman"/>
          <w:color w:val="000000"/>
          <w:sz w:val="24"/>
          <w:szCs w:val="24"/>
          <w:lang w:eastAsia="en-PH"/>
        </w:rPr>
        <w:t>al</w:t>
      </w:r>
      <w:r w:rsidR="00796612">
        <w:rPr>
          <w:rFonts w:ascii="Times New Roman" w:eastAsia="Times New Roman" w:hAnsi="Times New Roman" w:cs="Times New Roman"/>
          <w:color w:val="000000"/>
          <w:sz w:val="24"/>
          <w:szCs w:val="24"/>
          <w:lang w:eastAsia="en-PH"/>
        </w:rPr>
        <w:t xml:space="preserve"> Efficiency Theory of Health</w:t>
      </w:r>
      <w:r w:rsidR="00C90F26">
        <w:rPr>
          <w:rFonts w:ascii="Times New Roman" w:eastAsia="Times New Roman" w:hAnsi="Times New Roman" w:cs="Times New Roman"/>
          <w:color w:val="000000"/>
          <w:sz w:val="24"/>
          <w:szCs w:val="24"/>
          <w:lang w:eastAsia="en-PH"/>
        </w:rPr>
        <w:t>. In Hausman’s theory, the functional efficiencies of both the whole organism and its individual biological systems are treated as having separate magnitudes. It is often the case that a change in the functional efficiency of an organism’s system</w:t>
      </w:r>
      <w:r w:rsidR="00113C8F">
        <w:rPr>
          <w:rFonts w:ascii="Times New Roman" w:eastAsia="Times New Roman" w:hAnsi="Times New Roman" w:cs="Times New Roman"/>
          <w:color w:val="000000"/>
          <w:sz w:val="24"/>
          <w:szCs w:val="24"/>
          <w:lang w:eastAsia="en-PH"/>
        </w:rPr>
        <w:t xml:space="preserve"> leads to a corresponding change in the functional efficiency of an organism, or to interference in the biological functions of other systems. For example, a decrease in the functional efficiency of an organism’s heart to pump out blood can lead to a decrease in the functional efficiency of the whole organism. </w:t>
      </w:r>
      <w:r w:rsidR="0017630C">
        <w:rPr>
          <w:rFonts w:ascii="Times New Roman" w:eastAsia="Times New Roman" w:hAnsi="Times New Roman" w:cs="Times New Roman"/>
          <w:color w:val="000000"/>
          <w:sz w:val="24"/>
          <w:szCs w:val="24"/>
          <w:lang w:eastAsia="en-PH"/>
        </w:rPr>
        <w:t>Common observable</w:t>
      </w:r>
      <w:r w:rsidR="00113C8F">
        <w:rPr>
          <w:rFonts w:ascii="Times New Roman" w:eastAsia="Times New Roman" w:hAnsi="Times New Roman" w:cs="Times New Roman"/>
          <w:color w:val="000000"/>
          <w:sz w:val="24"/>
          <w:szCs w:val="24"/>
          <w:lang w:eastAsia="en-PH"/>
        </w:rPr>
        <w:t xml:space="preserve"> symptoms of </w:t>
      </w:r>
      <w:r w:rsidR="0017630C">
        <w:rPr>
          <w:rFonts w:ascii="Times New Roman" w:eastAsia="Times New Roman" w:hAnsi="Times New Roman" w:cs="Times New Roman"/>
          <w:color w:val="000000"/>
          <w:sz w:val="24"/>
          <w:szCs w:val="24"/>
          <w:lang w:eastAsia="en-PH"/>
        </w:rPr>
        <w:t>a decrease in heart functioning are reduced capacities for mobility due to shortness of breath, and a reduced chance for survival and reproduction due to an increased chance for heart failure.</w:t>
      </w:r>
      <w:r w:rsidR="00113C8F">
        <w:rPr>
          <w:rFonts w:ascii="Times New Roman" w:eastAsia="Times New Roman" w:hAnsi="Times New Roman" w:cs="Times New Roman"/>
          <w:color w:val="000000"/>
          <w:sz w:val="24"/>
          <w:szCs w:val="24"/>
          <w:lang w:eastAsia="en-PH"/>
        </w:rPr>
        <w:t xml:space="preserve"> However, there are cases when this trend does not hold true</w:t>
      </w:r>
      <w:r w:rsidR="0017630C">
        <w:rPr>
          <w:rFonts w:ascii="Times New Roman" w:eastAsia="Times New Roman" w:hAnsi="Times New Roman" w:cs="Times New Roman"/>
          <w:color w:val="000000"/>
          <w:sz w:val="24"/>
          <w:szCs w:val="24"/>
          <w:lang w:eastAsia="en-PH"/>
        </w:rPr>
        <w:t xml:space="preserve"> such as the prevalence of tooth decay.</w:t>
      </w:r>
      <w:r w:rsidR="00B35F25">
        <w:rPr>
          <w:rFonts w:ascii="Times New Roman" w:eastAsia="Times New Roman" w:hAnsi="Times New Roman" w:cs="Times New Roman"/>
          <w:color w:val="000000"/>
          <w:sz w:val="24"/>
          <w:szCs w:val="24"/>
          <w:lang w:eastAsia="en-PH"/>
        </w:rPr>
        <w:t xml:space="preserve"> In such cases, the presence of a disease does not affect the functional efficiency of the </w:t>
      </w:r>
      <w:proofErr w:type="gramStart"/>
      <w:r w:rsidR="00B35F25">
        <w:rPr>
          <w:rFonts w:ascii="Times New Roman" w:eastAsia="Times New Roman" w:hAnsi="Times New Roman" w:cs="Times New Roman"/>
          <w:color w:val="000000"/>
          <w:sz w:val="24"/>
          <w:szCs w:val="24"/>
          <w:lang w:eastAsia="en-PH"/>
        </w:rPr>
        <w:t>organism as a whole</w:t>
      </w:r>
      <w:proofErr w:type="gramEnd"/>
      <w:r w:rsidR="00B35F25">
        <w:rPr>
          <w:rFonts w:ascii="Times New Roman" w:eastAsia="Times New Roman" w:hAnsi="Times New Roman" w:cs="Times New Roman"/>
          <w:color w:val="000000"/>
          <w:sz w:val="24"/>
          <w:szCs w:val="24"/>
          <w:lang w:eastAsia="en-PH"/>
        </w:rPr>
        <w:t>.</w:t>
      </w:r>
      <w:r w:rsidR="0017630C">
        <w:rPr>
          <w:rStyle w:val="FootnoteReference"/>
          <w:rFonts w:ascii="Times New Roman" w:eastAsia="Times New Roman" w:hAnsi="Times New Roman" w:cs="Times New Roman"/>
          <w:color w:val="000000"/>
          <w:sz w:val="24"/>
          <w:szCs w:val="24"/>
          <w:lang w:eastAsia="en-PH"/>
        </w:rPr>
        <w:footnoteReference w:id="12"/>
      </w:r>
    </w:p>
    <w:p w14:paraId="4CF9170E" w14:textId="68EC8DA4" w:rsidR="00A649A9" w:rsidRDefault="00562806" w:rsidP="00562806">
      <w:pPr>
        <w:spacing w:after="0" w:line="480" w:lineRule="auto"/>
        <w:ind w:firstLine="720"/>
        <w:jc w:val="both"/>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To re</w:t>
      </w:r>
      <w:r w:rsidR="00B35F25">
        <w:rPr>
          <w:rFonts w:ascii="Times New Roman" w:eastAsia="Times New Roman" w:hAnsi="Times New Roman" w:cs="Times New Roman"/>
          <w:color w:val="000000"/>
          <w:sz w:val="24"/>
          <w:szCs w:val="24"/>
          <w:lang w:eastAsia="en-PH"/>
        </w:rPr>
        <w:t>state</w:t>
      </w:r>
      <w:r>
        <w:rPr>
          <w:rFonts w:ascii="Times New Roman" w:eastAsia="Times New Roman" w:hAnsi="Times New Roman" w:cs="Times New Roman"/>
          <w:color w:val="000000"/>
          <w:sz w:val="24"/>
          <w:szCs w:val="24"/>
          <w:lang w:eastAsia="en-PH"/>
        </w:rPr>
        <w:t xml:space="preserve"> my point: I believe that the interaction between naturalists and non-naturalists have proven to be insightful. Both naturalists have non-naturalists have made persuasive arguments that their usage of the ‘health’ term is meaningful given their activities and context. </w:t>
      </w:r>
      <w:r w:rsidR="00B14A99">
        <w:rPr>
          <w:rFonts w:ascii="Times New Roman" w:eastAsia="Times New Roman" w:hAnsi="Times New Roman" w:cs="Times New Roman"/>
          <w:color w:val="000000"/>
          <w:sz w:val="24"/>
          <w:szCs w:val="24"/>
          <w:lang w:eastAsia="en-PH"/>
        </w:rPr>
        <w:t>However</w:t>
      </w:r>
      <w:r>
        <w:rPr>
          <w:rFonts w:ascii="Times New Roman" w:eastAsia="Times New Roman" w:hAnsi="Times New Roman" w:cs="Times New Roman"/>
          <w:color w:val="000000"/>
          <w:sz w:val="24"/>
          <w:szCs w:val="24"/>
          <w:lang w:eastAsia="en-PH"/>
        </w:rPr>
        <w:t>, the</w:t>
      </w:r>
      <w:r w:rsidR="000E68FC">
        <w:rPr>
          <w:rFonts w:ascii="Times New Roman" w:eastAsia="Times New Roman" w:hAnsi="Times New Roman" w:cs="Times New Roman"/>
          <w:color w:val="000000"/>
          <w:sz w:val="24"/>
          <w:szCs w:val="24"/>
          <w:lang w:eastAsia="en-PH"/>
        </w:rPr>
        <w:t>re has also been much confusion concerning how the term ‘health’ ought to be</w:t>
      </w:r>
      <w:r w:rsidR="00B14A99">
        <w:rPr>
          <w:rFonts w:ascii="Times New Roman" w:eastAsia="Times New Roman" w:hAnsi="Times New Roman" w:cs="Times New Roman"/>
          <w:color w:val="000000"/>
          <w:sz w:val="24"/>
          <w:szCs w:val="24"/>
          <w:lang w:eastAsia="en-PH"/>
        </w:rPr>
        <w:t xml:space="preserve"> </w:t>
      </w:r>
      <w:r w:rsidR="00B14A99">
        <w:rPr>
          <w:rFonts w:ascii="Times New Roman" w:eastAsia="Times New Roman" w:hAnsi="Times New Roman" w:cs="Times New Roman"/>
          <w:color w:val="000000"/>
          <w:sz w:val="24"/>
          <w:szCs w:val="24"/>
          <w:lang w:eastAsia="en-PH"/>
        </w:rPr>
        <w:lastRenderedPageBreak/>
        <w:t>allegedly</w:t>
      </w:r>
      <w:r w:rsidR="000E68FC">
        <w:rPr>
          <w:rFonts w:ascii="Times New Roman" w:eastAsia="Times New Roman" w:hAnsi="Times New Roman" w:cs="Times New Roman"/>
          <w:color w:val="000000"/>
          <w:sz w:val="24"/>
          <w:szCs w:val="24"/>
          <w:lang w:eastAsia="en-PH"/>
        </w:rPr>
        <w:t xml:space="preserve"> used. This tension between the naturalist and non-naturalist conceptions of health does not stem from any empirical issue that science can solve. Instead, this issue </w:t>
      </w:r>
      <w:r w:rsidR="00B14A99">
        <w:rPr>
          <w:rFonts w:ascii="Times New Roman" w:eastAsia="Times New Roman" w:hAnsi="Times New Roman" w:cs="Times New Roman"/>
          <w:color w:val="000000"/>
          <w:sz w:val="24"/>
          <w:szCs w:val="24"/>
          <w:lang w:eastAsia="en-PH"/>
        </w:rPr>
        <w:t xml:space="preserve">is a conceptual one, stemming from </w:t>
      </w:r>
      <w:r w:rsidR="00FF39D4">
        <w:rPr>
          <w:rFonts w:ascii="Times New Roman" w:eastAsia="Times New Roman" w:hAnsi="Times New Roman" w:cs="Times New Roman"/>
          <w:color w:val="000000"/>
          <w:sz w:val="24"/>
          <w:szCs w:val="24"/>
          <w:lang w:eastAsia="en-PH"/>
        </w:rPr>
        <w:t>an</w:t>
      </w:r>
      <w:r w:rsidR="000E68FC">
        <w:rPr>
          <w:rFonts w:ascii="Times New Roman" w:eastAsia="Times New Roman" w:hAnsi="Times New Roman" w:cs="Times New Roman"/>
          <w:color w:val="000000"/>
          <w:sz w:val="24"/>
          <w:szCs w:val="24"/>
          <w:lang w:eastAsia="en-PH"/>
        </w:rPr>
        <w:t xml:space="preserve"> uncritical use of language.</w:t>
      </w:r>
    </w:p>
    <w:p w14:paraId="111562FD" w14:textId="183D666B" w:rsidR="005E0D0A" w:rsidRDefault="000E68FC" w:rsidP="00045EAF">
      <w:pPr>
        <w:spacing w:after="0" w:line="480" w:lineRule="auto"/>
        <w:ind w:firstLine="720"/>
        <w:jc w:val="both"/>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In my view, I believe that we can meaningfully use the ‘health’ term in both a naturalist and non-naturalist sense w</w:t>
      </w:r>
      <w:r w:rsidR="00BE53FF">
        <w:rPr>
          <w:rFonts w:ascii="Times New Roman" w:eastAsia="Times New Roman" w:hAnsi="Times New Roman" w:cs="Times New Roman"/>
          <w:color w:val="000000"/>
          <w:sz w:val="24"/>
          <w:szCs w:val="24"/>
          <w:lang w:eastAsia="en-PH"/>
        </w:rPr>
        <w:t xml:space="preserve">ithout giving the impression of </w:t>
      </w:r>
      <w:r w:rsidR="00384CB4">
        <w:rPr>
          <w:rFonts w:ascii="Times New Roman" w:eastAsia="Times New Roman" w:hAnsi="Times New Roman" w:cs="Times New Roman"/>
          <w:color w:val="000000"/>
          <w:sz w:val="24"/>
          <w:szCs w:val="24"/>
          <w:lang w:eastAsia="en-PH"/>
        </w:rPr>
        <w:t>incoherence</w:t>
      </w:r>
      <w:r w:rsidR="0099741C">
        <w:rPr>
          <w:rFonts w:ascii="Times New Roman" w:eastAsia="Times New Roman" w:hAnsi="Times New Roman" w:cs="Times New Roman"/>
          <w:color w:val="000000"/>
          <w:sz w:val="24"/>
          <w:szCs w:val="24"/>
          <w:lang w:eastAsia="en-PH"/>
        </w:rPr>
        <w:t>. In the same manner that the term ‘screwdriver’ can refer to both a drink and a tool</w:t>
      </w:r>
      <w:r w:rsidR="00384CB4">
        <w:rPr>
          <w:rFonts w:ascii="Times New Roman" w:eastAsia="Times New Roman" w:hAnsi="Times New Roman" w:cs="Times New Roman"/>
          <w:color w:val="000000"/>
          <w:sz w:val="24"/>
          <w:szCs w:val="24"/>
          <w:lang w:eastAsia="en-PH"/>
        </w:rPr>
        <w:t xml:space="preserve"> depending on a particular context</w:t>
      </w:r>
      <w:r w:rsidR="0099741C">
        <w:rPr>
          <w:rFonts w:ascii="Times New Roman" w:eastAsia="Times New Roman" w:hAnsi="Times New Roman" w:cs="Times New Roman"/>
          <w:color w:val="000000"/>
          <w:sz w:val="24"/>
          <w:szCs w:val="24"/>
          <w:lang w:eastAsia="en-PH"/>
        </w:rPr>
        <w:t xml:space="preserve">, </w:t>
      </w:r>
      <w:r w:rsidR="005E0D0A">
        <w:rPr>
          <w:rFonts w:ascii="Times New Roman" w:eastAsia="Times New Roman" w:hAnsi="Times New Roman" w:cs="Times New Roman"/>
          <w:color w:val="000000"/>
          <w:sz w:val="24"/>
          <w:szCs w:val="24"/>
          <w:lang w:eastAsia="en-PH"/>
        </w:rPr>
        <w:t>p</w:t>
      </w:r>
      <w:r w:rsidR="0099741C">
        <w:rPr>
          <w:rFonts w:ascii="Times New Roman" w:eastAsia="Times New Roman" w:hAnsi="Times New Roman" w:cs="Times New Roman"/>
          <w:color w:val="000000"/>
          <w:sz w:val="24"/>
          <w:szCs w:val="24"/>
          <w:lang w:eastAsia="en-PH"/>
        </w:rPr>
        <w:t>roving that ‘health’ can refer to the well-being or ability of a person does not mean that we can no longer use it to refer to an absence of disease</w:t>
      </w:r>
      <w:r w:rsidR="005E0D0A">
        <w:rPr>
          <w:rFonts w:ascii="Times New Roman" w:eastAsia="Times New Roman" w:hAnsi="Times New Roman" w:cs="Times New Roman"/>
          <w:color w:val="000000"/>
          <w:sz w:val="24"/>
          <w:szCs w:val="24"/>
          <w:lang w:eastAsia="en-PH"/>
        </w:rPr>
        <w:t xml:space="preserve"> and vice versa.</w:t>
      </w:r>
    </w:p>
    <w:p w14:paraId="5110182F" w14:textId="77777777" w:rsidR="00B95DFA" w:rsidRDefault="00B95DFA" w:rsidP="005E0D0A">
      <w:pPr>
        <w:spacing w:after="0" w:line="480" w:lineRule="auto"/>
        <w:jc w:val="both"/>
        <w:rPr>
          <w:rFonts w:ascii="Times New Roman" w:eastAsia="Times New Roman" w:hAnsi="Times New Roman" w:cs="Times New Roman"/>
          <w:color w:val="000000"/>
          <w:sz w:val="24"/>
          <w:szCs w:val="24"/>
          <w:lang w:eastAsia="en-PH"/>
        </w:rPr>
      </w:pPr>
    </w:p>
    <w:p w14:paraId="4F5E34BE" w14:textId="7D4C9AB6" w:rsidR="005E0D0A" w:rsidRDefault="005E0D0A" w:rsidP="005E0D0A">
      <w:pPr>
        <w:spacing w:after="0" w:line="480" w:lineRule="auto"/>
        <w:jc w:val="both"/>
        <w:rPr>
          <w:rFonts w:ascii="Times New Roman" w:eastAsia="Times New Roman" w:hAnsi="Times New Roman" w:cs="Times New Roman"/>
          <w:b/>
          <w:bCs/>
          <w:color w:val="000000"/>
          <w:sz w:val="24"/>
          <w:szCs w:val="24"/>
          <w:lang w:eastAsia="en-PH"/>
        </w:rPr>
      </w:pPr>
      <w:r>
        <w:rPr>
          <w:rFonts w:ascii="Times New Roman" w:eastAsia="Times New Roman" w:hAnsi="Times New Roman" w:cs="Times New Roman"/>
          <w:b/>
          <w:bCs/>
          <w:color w:val="000000"/>
          <w:sz w:val="24"/>
          <w:szCs w:val="24"/>
          <w:lang w:eastAsia="en-PH"/>
        </w:rPr>
        <w:t>Literature Review</w:t>
      </w:r>
    </w:p>
    <w:p w14:paraId="7ED83A6A" w14:textId="3A12AD33" w:rsidR="005E0D0A" w:rsidRDefault="005E0D0A" w:rsidP="005E0D0A">
      <w:pPr>
        <w:spacing w:after="0" w:line="480" w:lineRule="auto"/>
        <w:jc w:val="both"/>
        <w:rPr>
          <w:rFonts w:ascii="Times New Roman" w:eastAsia="Times New Roman" w:hAnsi="Times New Roman" w:cs="Times New Roman"/>
          <w:sz w:val="24"/>
          <w:szCs w:val="24"/>
          <w:lang w:eastAsia="en-PH"/>
        </w:rPr>
      </w:pPr>
    </w:p>
    <w:p w14:paraId="798B5AA9" w14:textId="272226B2" w:rsidR="004F0D44" w:rsidRPr="005E0D0A" w:rsidRDefault="004F0D44" w:rsidP="00E12B97">
      <w:pPr>
        <w:spacing w:after="0" w:line="480" w:lineRule="auto"/>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ab/>
        <w:t>It is arguable that I am not the only one who shares this view. Among both philosophers and medical professionals, I am inclined to believe that Ludwig Wittgenstein and Thomas Szasz hold views that are ami</w:t>
      </w:r>
      <w:r w:rsidR="00E12B97">
        <w:rPr>
          <w:rFonts w:ascii="Times New Roman" w:eastAsia="Times New Roman" w:hAnsi="Times New Roman" w:cs="Times New Roman"/>
          <w:sz w:val="24"/>
          <w:szCs w:val="24"/>
          <w:lang w:eastAsia="en-PH"/>
        </w:rPr>
        <w:t>cable to mine.</w:t>
      </w:r>
      <w:r w:rsidR="00124378">
        <w:rPr>
          <w:rFonts w:ascii="Times New Roman" w:eastAsia="Times New Roman" w:hAnsi="Times New Roman" w:cs="Times New Roman"/>
          <w:sz w:val="24"/>
          <w:szCs w:val="24"/>
          <w:lang w:eastAsia="en-PH"/>
        </w:rPr>
        <w:t xml:space="preserve"> </w:t>
      </w:r>
      <w:proofErr w:type="gramStart"/>
      <w:r w:rsidR="00124378">
        <w:rPr>
          <w:rFonts w:ascii="Times New Roman" w:eastAsia="Times New Roman" w:hAnsi="Times New Roman" w:cs="Times New Roman"/>
          <w:sz w:val="24"/>
          <w:szCs w:val="24"/>
          <w:lang w:eastAsia="en-PH"/>
        </w:rPr>
        <w:t>In order to</w:t>
      </w:r>
      <w:proofErr w:type="gramEnd"/>
      <w:r w:rsidR="00124378">
        <w:rPr>
          <w:rFonts w:ascii="Times New Roman" w:eastAsia="Times New Roman" w:hAnsi="Times New Roman" w:cs="Times New Roman"/>
          <w:sz w:val="24"/>
          <w:szCs w:val="24"/>
          <w:lang w:eastAsia="en-PH"/>
        </w:rPr>
        <w:t xml:space="preserve"> </w:t>
      </w:r>
      <w:r w:rsidR="008F1328">
        <w:rPr>
          <w:rFonts w:ascii="Times New Roman" w:eastAsia="Times New Roman" w:hAnsi="Times New Roman" w:cs="Times New Roman"/>
          <w:sz w:val="24"/>
          <w:szCs w:val="24"/>
          <w:lang w:eastAsia="en-PH"/>
        </w:rPr>
        <w:t>understand how</w:t>
      </w:r>
      <w:r w:rsidR="00124378">
        <w:rPr>
          <w:rFonts w:ascii="Times New Roman" w:eastAsia="Times New Roman" w:hAnsi="Times New Roman" w:cs="Times New Roman"/>
          <w:sz w:val="24"/>
          <w:szCs w:val="24"/>
          <w:lang w:eastAsia="en-PH"/>
        </w:rPr>
        <w:t xml:space="preserve"> Wittgenstein</w:t>
      </w:r>
      <w:r w:rsidR="008F1328">
        <w:rPr>
          <w:rFonts w:ascii="Times New Roman" w:eastAsia="Times New Roman" w:hAnsi="Times New Roman" w:cs="Times New Roman"/>
          <w:sz w:val="24"/>
          <w:szCs w:val="24"/>
          <w:lang w:eastAsia="en-PH"/>
        </w:rPr>
        <w:t>’s philosophy might cohere with my own view about the term ‘health’</w:t>
      </w:r>
      <w:r w:rsidR="00124378">
        <w:rPr>
          <w:rFonts w:ascii="Times New Roman" w:eastAsia="Times New Roman" w:hAnsi="Times New Roman" w:cs="Times New Roman"/>
          <w:sz w:val="24"/>
          <w:szCs w:val="24"/>
          <w:lang w:eastAsia="en-PH"/>
        </w:rPr>
        <w:t xml:space="preserve">, we must first discuss </w:t>
      </w:r>
      <w:proofErr w:type="spellStart"/>
      <w:r w:rsidR="00124378">
        <w:rPr>
          <w:rFonts w:ascii="Times New Roman" w:eastAsia="Times New Roman" w:hAnsi="Times New Roman" w:cs="Times New Roman"/>
          <w:sz w:val="24"/>
          <w:szCs w:val="24"/>
          <w:lang w:eastAsia="en-PH"/>
        </w:rPr>
        <w:t>Wittgensteinian</w:t>
      </w:r>
      <w:proofErr w:type="spellEnd"/>
      <w:r w:rsidR="00124378">
        <w:rPr>
          <w:rFonts w:ascii="Times New Roman" w:eastAsia="Times New Roman" w:hAnsi="Times New Roman" w:cs="Times New Roman"/>
          <w:sz w:val="24"/>
          <w:szCs w:val="24"/>
          <w:lang w:eastAsia="en-PH"/>
        </w:rPr>
        <w:t xml:space="preserve"> scholar Paul Horwich’s notion of T-philosophy.</w:t>
      </w:r>
    </w:p>
    <w:p w14:paraId="7134CE5E" w14:textId="0A7B1848" w:rsidR="00044D40" w:rsidRDefault="00E14884" w:rsidP="006E17B2">
      <w:pPr>
        <w:spacing w:after="0" w:line="480" w:lineRule="auto"/>
        <w:ind w:firstLine="720"/>
        <w:jc w:val="both"/>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The notion of T-philosophy refers to</w:t>
      </w:r>
      <w:r w:rsidR="006E17B2">
        <w:rPr>
          <w:rFonts w:ascii="Times New Roman" w:eastAsia="Times New Roman" w:hAnsi="Times New Roman" w:cs="Times New Roman"/>
          <w:color w:val="000000"/>
          <w:sz w:val="24"/>
          <w:szCs w:val="24"/>
          <w:lang w:eastAsia="en-PH"/>
        </w:rPr>
        <w:t xml:space="preserve"> the dominant form of philosophy in the analytic tradition. Specifically, T-philosophy is concerned with providing an a priori account by using methods that closely resemble that of the natural sciences.</w:t>
      </w:r>
      <w:r w:rsidR="006E17B2">
        <w:rPr>
          <w:rStyle w:val="FootnoteReference"/>
          <w:rFonts w:ascii="Times New Roman" w:eastAsia="Times New Roman" w:hAnsi="Times New Roman" w:cs="Times New Roman"/>
          <w:color w:val="000000"/>
          <w:sz w:val="24"/>
          <w:szCs w:val="24"/>
          <w:lang w:eastAsia="en-PH"/>
        </w:rPr>
        <w:footnoteReference w:id="13"/>
      </w:r>
      <w:r w:rsidR="006E17B2">
        <w:rPr>
          <w:rFonts w:ascii="Times New Roman" w:eastAsia="Times New Roman" w:hAnsi="Times New Roman" w:cs="Times New Roman"/>
          <w:color w:val="000000"/>
          <w:sz w:val="24"/>
          <w:szCs w:val="24"/>
          <w:lang w:eastAsia="en-PH"/>
        </w:rPr>
        <w:t xml:space="preserve"> </w:t>
      </w:r>
      <w:r w:rsidR="0010430B">
        <w:rPr>
          <w:rFonts w:ascii="Times New Roman" w:eastAsia="Times New Roman" w:hAnsi="Times New Roman" w:cs="Times New Roman"/>
          <w:color w:val="000000"/>
          <w:sz w:val="24"/>
          <w:szCs w:val="24"/>
          <w:lang w:eastAsia="en-PH"/>
        </w:rPr>
        <w:t xml:space="preserve">According to </w:t>
      </w:r>
      <w:r w:rsidR="008F1328">
        <w:rPr>
          <w:rFonts w:ascii="Times New Roman" w:eastAsia="Times New Roman" w:hAnsi="Times New Roman" w:cs="Times New Roman"/>
          <w:color w:val="000000"/>
          <w:sz w:val="24"/>
          <w:szCs w:val="24"/>
          <w:lang w:eastAsia="en-PH"/>
        </w:rPr>
        <w:t>Horwich’s interpretation of Wittgenstein</w:t>
      </w:r>
      <w:r w:rsidR="0010430B">
        <w:rPr>
          <w:rFonts w:ascii="Times New Roman" w:eastAsia="Times New Roman" w:hAnsi="Times New Roman" w:cs="Times New Roman"/>
          <w:color w:val="000000"/>
          <w:sz w:val="24"/>
          <w:szCs w:val="24"/>
          <w:lang w:eastAsia="en-PH"/>
        </w:rPr>
        <w:t xml:space="preserve">, </w:t>
      </w:r>
      <w:r w:rsidR="00C86152">
        <w:rPr>
          <w:rFonts w:ascii="Times New Roman" w:eastAsia="Times New Roman" w:hAnsi="Times New Roman" w:cs="Times New Roman"/>
          <w:color w:val="000000"/>
          <w:sz w:val="24"/>
          <w:szCs w:val="24"/>
          <w:lang w:eastAsia="en-PH"/>
        </w:rPr>
        <w:t>a</w:t>
      </w:r>
      <w:r w:rsidR="0010430B">
        <w:rPr>
          <w:rFonts w:ascii="Times New Roman" w:eastAsia="Times New Roman" w:hAnsi="Times New Roman" w:cs="Times New Roman"/>
          <w:color w:val="000000"/>
          <w:sz w:val="24"/>
          <w:szCs w:val="24"/>
          <w:lang w:eastAsia="en-PH"/>
        </w:rPr>
        <w:t xml:space="preserve"> philosopher’s desire to understand </w:t>
      </w:r>
      <w:r w:rsidR="00E847EE">
        <w:rPr>
          <w:rFonts w:ascii="Times New Roman" w:eastAsia="Times New Roman" w:hAnsi="Times New Roman" w:cs="Times New Roman"/>
          <w:color w:val="000000"/>
          <w:sz w:val="24"/>
          <w:szCs w:val="24"/>
          <w:lang w:eastAsia="en-PH"/>
        </w:rPr>
        <w:t>abstract concepts</w:t>
      </w:r>
      <w:r w:rsidR="0010430B">
        <w:rPr>
          <w:rFonts w:ascii="Times New Roman" w:eastAsia="Times New Roman" w:hAnsi="Times New Roman" w:cs="Times New Roman"/>
          <w:color w:val="000000"/>
          <w:sz w:val="24"/>
          <w:szCs w:val="24"/>
          <w:lang w:eastAsia="en-PH"/>
        </w:rPr>
        <w:t xml:space="preserve"> such as truth, knowledge, and health</w:t>
      </w:r>
      <w:r w:rsidR="00E847EE">
        <w:rPr>
          <w:rFonts w:ascii="Times New Roman" w:eastAsia="Times New Roman" w:hAnsi="Times New Roman" w:cs="Times New Roman"/>
          <w:color w:val="000000"/>
          <w:sz w:val="24"/>
          <w:szCs w:val="24"/>
          <w:lang w:eastAsia="en-PH"/>
        </w:rPr>
        <w:t xml:space="preserve"> often leads the philosopher </w:t>
      </w:r>
      <w:r w:rsidR="00124378">
        <w:rPr>
          <w:rFonts w:ascii="Times New Roman" w:eastAsia="Times New Roman" w:hAnsi="Times New Roman" w:cs="Times New Roman"/>
          <w:color w:val="000000"/>
          <w:sz w:val="24"/>
          <w:szCs w:val="24"/>
          <w:lang w:eastAsia="en-PH"/>
        </w:rPr>
        <w:t>to formulate their own a priori theories</w:t>
      </w:r>
      <w:r w:rsidR="00E847EE">
        <w:rPr>
          <w:rFonts w:ascii="Times New Roman" w:eastAsia="Times New Roman" w:hAnsi="Times New Roman" w:cs="Times New Roman"/>
          <w:color w:val="000000"/>
          <w:sz w:val="24"/>
          <w:szCs w:val="24"/>
          <w:lang w:eastAsia="en-PH"/>
        </w:rPr>
        <w:t>.</w:t>
      </w:r>
      <w:r w:rsidR="00124378">
        <w:rPr>
          <w:rFonts w:ascii="Times New Roman" w:eastAsia="Times New Roman" w:hAnsi="Times New Roman" w:cs="Times New Roman"/>
          <w:color w:val="000000"/>
          <w:sz w:val="24"/>
          <w:szCs w:val="24"/>
          <w:lang w:eastAsia="en-PH"/>
        </w:rPr>
        <w:t xml:space="preserve"> Unlike the scientific theories of science, the a priori theories of philosophy cannot </w:t>
      </w:r>
      <w:r w:rsidR="00B95DFA">
        <w:rPr>
          <w:rFonts w:ascii="Times New Roman" w:eastAsia="Times New Roman" w:hAnsi="Times New Roman" w:cs="Times New Roman"/>
          <w:color w:val="000000"/>
          <w:sz w:val="24"/>
          <w:szCs w:val="24"/>
          <w:lang w:eastAsia="en-PH"/>
        </w:rPr>
        <w:t>empirically be argued for through its</w:t>
      </w:r>
      <w:r w:rsidR="00C86152">
        <w:rPr>
          <w:rFonts w:ascii="Times New Roman" w:eastAsia="Times New Roman" w:hAnsi="Times New Roman" w:cs="Times New Roman"/>
          <w:color w:val="000000"/>
          <w:sz w:val="24"/>
          <w:szCs w:val="24"/>
          <w:lang w:eastAsia="en-PH"/>
        </w:rPr>
        <w:t xml:space="preserve"> </w:t>
      </w:r>
      <w:r w:rsidR="00C86152">
        <w:rPr>
          <w:rFonts w:ascii="Times New Roman" w:eastAsia="Times New Roman" w:hAnsi="Times New Roman" w:cs="Times New Roman"/>
          <w:color w:val="000000"/>
          <w:sz w:val="24"/>
          <w:szCs w:val="24"/>
          <w:lang w:eastAsia="en-PH"/>
        </w:rPr>
        <w:lastRenderedPageBreak/>
        <w:t>association to some objective feature of the world</w:t>
      </w:r>
      <w:r w:rsidR="00124378">
        <w:rPr>
          <w:rFonts w:ascii="Times New Roman" w:eastAsia="Times New Roman" w:hAnsi="Times New Roman" w:cs="Times New Roman"/>
          <w:color w:val="000000"/>
          <w:sz w:val="24"/>
          <w:szCs w:val="24"/>
          <w:lang w:eastAsia="en-PH"/>
        </w:rPr>
        <w:t>.</w:t>
      </w:r>
      <w:r w:rsidR="00E847EE">
        <w:rPr>
          <w:rFonts w:ascii="Times New Roman" w:eastAsia="Times New Roman" w:hAnsi="Times New Roman" w:cs="Times New Roman"/>
          <w:color w:val="000000"/>
          <w:sz w:val="24"/>
          <w:szCs w:val="24"/>
          <w:lang w:eastAsia="en-PH"/>
        </w:rPr>
        <w:t xml:space="preserve"> </w:t>
      </w:r>
      <w:r w:rsidR="00124378">
        <w:rPr>
          <w:rFonts w:ascii="Times New Roman" w:eastAsia="Times New Roman" w:hAnsi="Times New Roman" w:cs="Times New Roman"/>
          <w:color w:val="000000"/>
          <w:sz w:val="24"/>
          <w:szCs w:val="24"/>
          <w:lang w:eastAsia="en-PH"/>
        </w:rPr>
        <w:t>Instead</w:t>
      </w:r>
      <w:r w:rsidR="00E847EE">
        <w:rPr>
          <w:rFonts w:ascii="Times New Roman" w:eastAsia="Times New Roman" w:hAnsi="Times New Roman" w:cs="Times New Roman"/>
          <w:color w:val="000000"/>
          <w:sz w:val="24"/>
          <w:szCs w:val="24"/>
          <w:lang w:eastAsia="en-PH"/>
        </w:rPr>
        <w:t xml:space="preserve">, the philosopher often grounds the </w:t>
      </w:r>
      <w:r w:rsidR="00C86152">
        <w:rPr>
          <w:rFonts w:ascii="Times New Roman" w:eastAsia="Times New Roman" w:hAnsi="Times New Roman" w:cs="Times New Roman"/>
          <w:color w:val="000000"/>
          <w:sz w:val="24"/>
          <w:szCs w:val="24"/>
          <w:lang w:eastAsia="en-PH"/>
        </w:rPr>
        <w:t>philosophical t</w:t>
      </w:r>
      <w:r w:rsidR="00E847EE">
        <w:rPr>
          <w:rFonts w:ascii="Times New Roman" w:eastAsia="Times New Roman" w:hAnsi="Times New Roman" w:cs="Times New Roman"/>
          <w:color w:val="000000"/>
          <w:sz w:val="24"/>
          <w:szCs w:val="24"/>
          <w:lang w:eastAsia="en-PH"/>
        </w:rPr>
        <w:t>heory in their own intuitions.</w:t>
      </w:r>
      <w:r w:rsidR="008F1328">
        <w:rPr>
          <w:rStyle w:val="FootnoteReference"/>
          <w:rFonts w:ascii="Times New Roman" w:eastAsia="Times New Roman" w:hAnsi="Times New Roman" w:cs="Times New Roman"/>
          <w:color w:val="000000"/>
          <w:sz w:val="24"/>
          <w:szCs w:val="24"/>
          <w:lang w:eastAsia="en-PH"/>
        </w:rPr>
        <w:footnoteReference w:id="14"/>
      </w:r>
      <w:r w:rsidR="00CB68A2">
        <w:rPr>
          <w:rFonts w:ascii="Times New Roman" w:eastAsia="Times New Roman" w:hAnsi="Times New Roman" w:cs="Times New Roman"/>
          <w:color w:val="000000"/>
          <w:sz w:val="24"/>
          <w:szCs w:val="24"/>
          <w:lang w:eastAsia="en-PH"/>
        </w:rPr>
        <w:t xml:space="preserve"> However, it is arguable that our initial intuitions for abstract concepts are insufficient to justify philosophical theories about them. In Horwich’s Wittgenstein, intuitions are just </w:t>
      </w:r>
      <w:r w:rsidR="00CD7E93">
        <w:rPr>
          <w:rFonts w:ascii="Times New Roman" w:eastAsia="Times New Roman" w:hAnsi="Times New Roman" w:cs="Times New Roman"/>
          <w:color w:val="000000"/>
          <w:sz w:val="24"/>
          <w:szCs w:val="24"/>
          <w:lang w:eastAsia="en-PH"/>
        </w:rPr>
        <w:t>internalized judgements of what we are inclined to say about a concept independent of the concept</w:t>
      </w:r>
      <w:r w:rsidR="006B1F5E">
        <w:rPr>
          <w:rFonts w:ascii="Times New Roman" w:eastAsia="Times New Roman" w:hAnsi="Times New Roman" w:cs="Times New Roman"/>
          <w:color w:val="000000"/>
          <w:sz w:val="24"/>
          <w:szCs w:val="24"/>
          <w:lang w:eastAsia="en-PH"/>
        </w:rPr>
        <w:t xml:space="preserve">’s </w:t>
      </w:r>
      <w:r w:rsidR="00CD7E93">
        <w:rPr>
          <w:rFonts w:ascii="Times New Roman" w:eastAsia="Times New Roman" w:hAnsi="Times New Roman" w:cs="Times New Roman"/>
          <w:color w:val="000000"/>
          <w:sz w:val="24"/>
          <w:szCs w:val="24"/>
          <w:lang w:eastAsia="en-PH"/>
        </w:rPr>
        <w:t xml:space="preserve">usage in the </w:t>
      </w:r>
      <w:r w:rsidR="00CD7E93">
        <w:rPr>
          <w:rFonts w:ascii="Times New Roman" w:eastAsia="Times New Roman" w:hAnsi="Times New Roman" w:cs="Times New Roman"/>
          <w:i/>
          <w:iCs/>
          <w:color w:val="000000"/>
          <w:sz w:val="24"/>
          <w:szCs w:val="24"/>
          <w:lang w:eastAsia="en-PH"/>
        </w:rPr>
        <w:t xml:space="preserve">actual </w:t>
      </w:r>
      <w:r w:rsidR="00CD7E93">
        <w:rPr>
          <w:rFonts w:ascii="Times New Roman" w:eastAsia="Times New Roman" w:hAnsi="Times New Roman" w:cs="Times New Roman"/>
          <w:color w:val="000000"/>
          <w:sz w:val="24"/>
          <w:szCs w:val="24"/>
          <w:lang w:eastAsia="en-PH"/>
        </w:rPr>
        <w:t>world.</w:t>
      </w:r>
      <w:r w:rsidR="00D30B6F">
        <w:rPr>
          <w:rFonts w:ascii="Times New Roman" w:eastAsia="Times New Roman" w:hAnsi="Times New Roman" w:cs="Times New Roman"/>
          <w:color w:val="000000"/>
          <w:sz w:val="24"/>
          <w:szCs w:val="24"/>
          <w:lang w:eastAsia="en-PH"/>
        </w:rPr>
        <w:t xml:space="preserve"> </w:t>
      </w:r>
      <w:r w:rsidR="00063E8F">
        <w:rPr>
          <w:rFonts w:ascii="Times New Roman" w:eastAsia="Times New Roman" w:hAnsi="Times New Roman" w:cs="Times New Roman"/>
          <w:color w:val="000000"/>
          <w:sz w:val="24"/>
          <w:szCs w:val="24"/>
          <w:lang w:eastAsia="en-PH"/>
        </w:rPr>
        <w:t>Philosophers then become puzzled when the</w:t>
      </w:r>
      <w:r w:rsidR="009F67D7">
        <w:rPr>
          <w:rFonts w:ascii="Times New Roman" w:eastAsia="Times New Roman" w:hAnsi="Times New Roman" w:cs="Times New Roman"/>
          <w:color w:val="000000"/>
          <w:sz w:val="24"/>
          <w:szCs w:val="24"/>
          <w:lang w:eastAsia="en-PH"/>
        </w:rPr>
        <w:t>ir philosophical account of the concept is unable to include counterexamples. These counterexamples are grounded on further intuitions that challenges the philosopher’s previous intuitions their account is based on.</w:t>
      </w:r>
      <w:r w:rsidR="006B1F5E">
        <w:rPr>
          <w:rStyle w:val="FootnoteReference"/>
          <w:rFonts w:ascii="Times New Roman" w:eastAsia="Times New Roman" w:hAnsi="Times New Roman" w:cs="Times New Roman"/>
          <w:color w:val="000000"/>
          <w:sz w:val="24"/>
          <w:szCs w:val="24"/>
          <w:lang w:eastAsia="en-PH"/>
        </w:rPr>
        <w:footnoteReference w:id="15"/>
      </w:r>
      <w:r w:rsidR="009F67D7">
        <w:rPr>
          <w:rFonts w:ascii="Times New Roman" w:eastAsia="Times New Roman" w:hAnsi="Times New Roman" w:cs="Times New Roman"/>
          <w:color w:val="000000"/>
          <w:sz w:val="24"/>
          <w:szCs w:val="24"/>
          <w:lang w:eastAsia="en-PH"/>
        </w:rPr>
        <w:t xml:space="preserve"> </w:t>
      </w:r>
      <w:r w:rsidR="006B1F5E">
        <w:rPr>
          <w:rFonts w:ascii="Times New Roman" w:eastAsia="Times New Roman" w:hAnsi="Times New Roman" w:cs="Times New Roman"/>
          <w:color w:val="000000"/>
          <w:sz w:val="24"/>
          <w:szCs w:val="24"/>
          <w:lang w:eastAsia="en-PH"/>
        </w:rPr>
        <w:t>As a result, it appears to the philosopher that there is a real philosophical problem to be solved.</w:t>
      </w:r>
    </w:p>
    <w:p w14:paraId="43FF0F9B" w14:textId="2FDACBB6" w:rsidR="00CB68A2" w:rsidRPr="00CD7E93" w:rsidRDefault="006B1F5E" w:rsidP="00CB68A2">
      <w:pPr>
        <w:spacing w:after="0" w:line="480" w:lineRule="auto"/>
        <w:ind w:firstLine="720"/>
        <w:jc w:val="both"/>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 xml:space="preserve">The philosopher </w:t>
      </w:r>
      <w:r w:rsidR="00C3136D">
        <w:rPr>
          <w:rFonts w:ascii="Times New Roman" w:eastAsia="Times New Roman" w:hAnsi="Times New Roman" w:cs="Times New Roman"/>
          <w:color w:val="000000"/>
          <w:sz w:val="24"/>
          <w:szCs w:val="24"/>
          <w:lang w:eastAsia="en-PH"/>
        </w:rPr>
        <w:t>may attempt to resolve this issue</w:t>
      </w:r>
      <w:r>
        <w:rPr>
          <w:rFonts w:ascii="Times New Roman" w:eastAsia="Times New Roman" w:hAnsi="Times New Roman" w:cs="Times New Roman"/>
          <w:color w:val="000000"/>
          <w:sz w:val="24"/>
          <w:szCs w:val="24"/>
          <w:lang w:eastAsia="en-PH"/>
        </w:rPr>
        <w:t xml:space="preserve"> by revising </w:t>
      </w:r>
      <w:r w:rsidR="00C3136D">
        <w:rPr>
          <w:rFonts w:ascii="Times New Roman" w:eastAsia="Times New Roman" w:hAnsi="Times New Roman" w:cs="Times New Roman"/>
          <w:color w:val="000000"/>
          <w:sz w:val="24"/>
          <w:szCs w:val="24"/>
          <w:lang w:eastAsia="en-PH"/>
        </w:rPr>
        <w:t>their theory to account for</w:t>
      </w:r>
      <w:r>
        <w:rPr>
          <w:rFonts w:ascii="Times New Roman" w:eastAsia="Times New Roman" w:hAnsi="Times New Roman" w:cs="Times New Roman"/>
          <w:color w:val="000000"/>
          <w:sz w:val="24"/>
          <w:szCs w:val="24"/>
          <w:lang w:eastAsia="en-PH"/>
        </w:rPr>
        <w:t xml:space="preserve"> these counterexamples. However, Horwich points out that </w:t>
      </w:r>
      <w:r w:rsidR="00044D40">
        <w:rPr>
          <w:rFonts w:ascii="Times New Roman" w:eastAsia="Times New Roman" w:hAnsi="Times New Roman" w:cs="Times New Roman"/>
          <w:color w:val="000000"/>
          <w:sz w:val="24"/>
          <w:szCs w:val="24"/>
          <w:lang w:eastAsia="en-PH"/>
        </w:rPr>
        <w:t xml:space="preserve">there will typically be a set of equally adequate philosophical accounts for the concept. Each temporarily adequate philosophical account is complex, and the philosopher has no </w:t>
      </w:r>
      <w:r w:rsidR="00773601">
        <w:rPr>
          <w:rFonts w:ascii="Times New Roman" w:eastAsia="Times New Roman" w:hAnsi="Times New Roman" w:cs="Times New Roman"/>
          <w:color w:val="000000"/>
          <w:sz w:val="24"/>
          <w:szCs w:val="24"/>
          <w:lang w:eastAsia="en-PH"/>
        </w:rPr>
        <w:t>epistemic norms</w:t>
      </w:r>
      <w:r w:rsidR="00044D40">
        <w:rPr>
          <w:rFonts w:ascii="Times New Roman" w:eastAsia="Times New Roman" w:hAnsi="Times New Roman" w:cs="Times New Roman"/>
          <w:color w:val="000000"/>
          <w:sz w:val="24"/>
          <w:szCs w:val="24"/>
          <w:lang w:eastAsia="en-PH"/>
        </w:rPr>
        <w:t xml:space="preserve"> to assess which one </w:t>
      </w:r>
      <w:r w:rsidR="00773601">
        <w:rPr>
          <w:rFonts w:ascii="Times New Roman" w:eastAsia="Times New Roman" w:hAnsi="Times New Roman" w:cs="Times New Roman"/>
          <w:color w:val="000000"/>
          <w:sz w:val="24"/>
          <w:szCs w:val="24"/>
          <w:lang w:eastAsia="en-PH"/>
        </w:rPr>
        <w:t>is theoretically favorable</w:t>
      </w:r>
      <w:r w:rsidR="00044D40">
        <w:rPr>
          <w:rFonts w:ascii="Times New Roman" w:eastAsia="Times New Roman" w:hAnsi="Times New Roman" w:cs="Times New Roman"/>
          <w:color w:val="000000"/>
          <w:sz w:val="24"/>
          <w:szCs w:val="24"/>
          <w:lang w:eastAsia="en-PH"/>
        </w:rPr>
        <w:t>.</w:t>
      </w:r>
      <w:r w:rsidR="00773601">
        <w:rPr>
          <w:rFonts w:ascii="Times New Roman" w:eastAsia="Times New Roman" w:hAnsi="Times New Roman" w:cs="Times New Roman"/>
          <w:color w:val="000000"/>
          <w:sz w:val="24"/>
          <w:szCs w:val="24"/>
          <w:lang w:eastAsia="en-PH"/>
        </w:rPr>
        <w:t xml:space="preserve"> Since there will be no clearcut ‘best account’ to explain the concept, Horwich argues that objective knowledge of the concept is not achievable.</w:t>
      </w:r>
      <w:r w:rsidR="00773601">
        <w:rPr>
          <w:rStyle w:val="FootnoteReference"/>
          <w:rFonts w:ascii="Times New Roman" w:eastAsia="Times New Roman" w:hAnsi="Times New Roman" w:cs="Times New Roman"/>
          <w:color w:val="000000"/>
          <w:sz w:val="24"/>
          <w:szCs w:val="24"/>
          <w:lang w:eastAsia="en-PH"/>
        </w:rPr>
        <w:footnoteReference w:id="16"/>
      </w:r>
      <w:r w:rsidR="00044D40">
        <w:rPr>
          <w:rFonts w:ascii="Times New Roman" w:eastAsia="Times New Roman" w:hAnsi="Times New Roman" w:cs="Times New Roman"/>
          <w:color w:val="000000"/>
          <w:sz w:val="24"/>
          <w:szCs w:val="24"/>
          <w:lang w:eastAsia="en-PH"/>
        </w:rPr>
        <w:t xml:space="preserve"> Instead of treating the issue as a genuine philosophical problem, Horwich suggests that w</w:t>
      </w:r>
      <w:r>
        <w:rPr>
          <w:rFonts w:ascii="Times New Roman" w:eastAsia="Times New Roman" w:hAnsi="Times New Roman" w:cs="Times New Roman"/>
          <w:color w:val="000000"/>
          <w:sz w:val="24"/>
          <w:szCs w:val="24"/>
          <w:lang w:eastAsia="en-PH"/>
        </w:rPr>
        <w:t xml:space="preserve">hat arguably happened was the philosopher’s tendency to assign meaning to the concept which </w:t>
      </w:r>
      <w:r w:rsidR="00044D40">
        <w:rPr>
          <w:rFonts w:ascii="Times New Roman" w:eastAsia="Times New Roman" w:hAnsi="Times New Roman" w:cs="Times New Roman"/>
          <w:color w:val="000000"/>
          <w:sz w:val="24"/>
          <w:szCs w:val="24"/>
          <w:lang w:eastAsia="en-PH"/>
        </w:rPr>
        <w:t>the philosopher</w:t>
      </w:r>
      <w:r>
        <w:rPr>
          <w:rFonts w:ascii="Times New Roman" w:eastAsia="Times New Roman" w:hAnsi="Times New Roman" w:cs="Times New Roman"/>
          <w:color w:val="000000"/>
          <w:sz w:val="24"/>
          <w:szCs w:val="24"/>
          <w:lang w:eastAsia="en-PH"/>
        </w:rPr>
        <w:t xml:space="preserve"> </w:t>
      </w:r>
      <w:r w:rsidR="00044D40">
        <w:rPr>
          <w:rFonts w:ascii="Times New Roman" w:eastAsia="Times New Roman" w:hAnsi="Times New Roman" w:cs="Times New Roman"/>
          <w:color w:val="000000"/>
          <w:sz w:val="24"/>
          <w:szCs w:val="24"/>
          <w:lang w:eastAsia="en-PH"/>
        </w:rPr>
        <w:t>was</w:t>
      </w:r>
      <w:r>
        <w:rPr>
          <w:rFonts w:ascii="Times New Roman" w:eastAsia="Times New Roman" w:hAnsi="Times New Roman" w:cs="Times New Roman"/>
          <w:color w:val="000000"/>
          <w:sz w:val="24"/>
          <w:szCs w:val="24"/>
          <w:lang w:eastAsia="en-PH"/>
        </w:rPr>
        <w:t xml:space="preserve"> familiar with, and then </w:t>
      </w:r>
      <w:r w:rsidR="00044D40">
        <w:rPr>
          <w:rFonts w:ascii="Times New Roman" w:eastAsia="Times New Roman" w:hAnsi="Times New Roman" w:cs="Times New Roman"/>
          <w:color w:val="000000"/>
          <w:sz w:val="24"/>
          <w:szCs w:val="24"/>
          <w:lang w:eastAsia="en-PH"/>
        </w:rPr>
        <w:t>the philosopher was</w:t>
      </w:r>
      <w:r>
        <w:rPr>
          <w:rFonts w:ascii="Times New Roman" w:eastAsia="Times New Roman" w:hAnsi="Times New Roman" w:cs="Times New Roman"/>
          <w:color w:val="000000"/>
          <w:sz w:val="24"/>
          <w:szCs w:val="24"/>
          <w:lang w:eastAsia="en-PH"/>
        </w:rPr>
        <w:t xml:space="preserve"> reminded that the term has other meanings depending on the use.</w:t>
      </w:r>
      <w:r>
        <w:rPr>
          <w:rStyle w:val="FootnoteReference"/>
          <w:rFonts w:ascii="Times New Roman" w:eastAsia="Times New Roman" w:hAnsi="Times New Roman" w:cs="Times New Roman"/>
          <w:color w:val="000000"/>
          <w:sz w:val="24"/>
          <w:szCs w:val="24"/>
          <w:lang w:eastAsia="en-PH"/>
        </w:rPr>
        <w:footnoteReference w:id="17"/>
      </w:r>
    </w:p>
    <w:p w14:paraId="0907CCBF" w14:textId="46553D06" w:rsidR="00342765" w:rsidRDefault="00CB68A2" w:rsidP="00342765">
      <w:pPr>
        <w:spacing w:after="0" w:line="480" w:lineRule="auto"/>
        <w:ind w:firstLine="720"/>
        <w:jc w:val="both"/>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 xml:space="preserve">One example that Horwich uses to support his claim is </w:t>
      </w:r>
      <w:r w:rsidR="00C9169C">
        <w:rPr>
          <w:rFonts w:ascii="Times New Roman" w:eastAsia="Times New Roman" w:hAnsi="Times New Roman" w:cs="Times New Roman"/>
          <w:color w:val="000000"/>
          <w:sz w:val="24"/>
          <w:szCs w:val="24"/>
          <w:lang w:eastAsia="en-PH"/>
        </w:rPr>
        <w:t>attempts to provide a philosophical account for</w:t>
      </w:r>
      <w:r w:rsidR="00111593">
        <w:rPr>
          <w:rFonts w:ascii="Times New Roman" w:eastAsia="Times New Roman" w:hAnsi="Times New Roman" w:cs="Times New Roman"/>
          <w:color w:val="000000"/>
          <w:sz w:val="24"/>
          <w:szCs w:val="24"/>
          <w:lang w:eastAsia="en-PH"/>
        </w:rPr>
        <w:t xml:space="preserve"> sensation terms such as ‘pain’</w:t>
      </w:r>
      <w:r>
        <w:rPr>
          <w:rFonts w:ascii="Times New Roman" w:eastAsia="Times New Roman" w:hAnsi="Times New Roman" w:cs="Times New Roman"/>
          <w:color w:val="000000"/>
          <w:sz w:val="24"/>
          <w:szCs w:val="24"/>
          <w:lang w:eastAsia="en-PH"/>
        </w:rPr>
        <w:t>.</w:t>
      </w:r>
      <w:r>
        <w:rPr>
          <w:rStyle w:val="FootnoteReference"/>
          <w:rFonts w:ascii="Times New Roman" w:eastAsia="Times New Roman" w:hAnsi="Times New Roman" w:cs="Times New Roman"/>
          <w:color w:val="000000"/>
          <w:sz w:val="24"/>
          <w:szCs w:val="24"/>
          <w:lang w:eastAsia="en-PH"/>
        </w:rPr>
        <w:footnoteReference w:id="18"/>
      </w:r>
      <w:r>
        <w:rPr>
          <w:rFonts w:ascii="Times New Roman" w:eastAsia="Times New Roman" w:hAnsi="Times New Roman" w:cs="Times New Roman"/>
          <w:color w:val="000000"/>
          <w:sz w:val="24"/>
          <w:szCs w:val="24"/>
          <w:lang w:eastAsia="en-PH"/>
        </w:rPr>
        <w:t xml:space="preserve"> </w:t>
      </w:r>
      <w:r w:rsidR="00C9169C">
        <w:rPr>
          <w:rFonts w:ascii="Times New Roman" w:eastAsia="Times New Roman" w:hAnsi="Times New Roman" w:cs="Times New Roman"/>
          <w:color w:val="000000"/>
          <w:sz w:val="24"/>
          <w:szCs w:val="24"/>
          <w:lang w:eastAsia="en-PH"/>
        </w:rPr>
        <w:t xml:space="preserve">As </w:t>
      </w:r>
      <w:r w:rsidR="00111593">
        <w:rPr>
          <w:rFonts w:ascii="Times New Roman" w:eastAsia="Times New Roman" w:hAnsi="Times New Roman" w:cs="Times New Roman"/>
          <w:color w:val="000000"/>
          <w:sz w:val="24"/>
          <w:szCs w:val="24"/>
          <w:lang w:eastAsia="en-PH"/>
        </w:rPr>
        <w:t xml:space="preserve">stated from the above paragraph, a philosopher </w:t>
      </w:r>
      <w:r w:rsidR="00111593">
        <w:rPr>
          <w:rFonts w:ascii="Times New Roman" w:eastAsia="Times New Roman" w:hAnsi="Times New Roman" w:cs="Times New Roman"/>
          <w:color w:val="000000"/>
          <w:sz w:val="24"/>
          <w:szCs w:val="24"/>
          <w:lang w:eastAsia="en-PH"/>
        </w:rPr>
        <w:lastRenderedPageBreak/>
        <w:t xml:space="preserve">may already have an intuitive idea of the concept of pain; and they will use that as the foundation of their theoretical framework. The philosopher may argue that pain is </w:t>
      </w:r>
      <w:r w:rsidR="00855255">
        <w:rPr>
          <w:rFonts w:ascii="Times New Roman" w:eastAsia="Times New Roman" w:hAnsi="Times New Roman" w:cs="Times New Roman"/>
          <w:color w:val="000000"/>
          <w:sz w:val="24"/>
          <w:szCs w:val="24"/>
          <w:lang w:eastAsia="en-PH"/>
        </w:rPr>
        <w:t>necessarily an affair knowable only to the one experiencing the pain sensation</w:t>
      </w:r>
      <w:r w:rsidR="00111593">
        <w:rPr>
          <w:rFonts w:ascii="Times New Roman" w:eastAsia="Times New Roman" w:hAnsi="Times New Roman" w:cs="Times New Roman"/>
          <w:color w:val="000000"/>
          <w:sz w:val="24"/>
          <w:szCs w:val="24"/>
          <w:lang w:eastAsia="en-PH"/>
        </w:rPr>
        <w:t xml:space="preserve">. Therefore, pain is conceptualized as </w:t>
      </w:r>
      <w:r w:rsidR="00855255">
        <w:rPr>
          <w:rFonts w:ascii="Times New Roman" w:eastAsia="Times New Roman" w:hAnsi="Times New Roman" w:cs="Times New Roman"/>
          <w:color w:val="000000"/>
          <w:sz w:val="24"/>
          <w:szCs w:val="24"/>
          <w:lang w:eastAsia="en-PH"/>
        </w:rPr>
        <w:t xml:space="preserve">being private. A person knows that they are in pain by virtue of an experience that they have privileged access to. However, this description of pain contradicts with our everyday use of the ‘pain’ term to describe </w:t>
      </w:r>
      <w:r w:rsidR="00B274B4">
        <w:rPr>
          <w:rFonts w:ascii="Times New Roman" w:eastAsia="Times New Roman" w:hAnsi="Times New Roman" w:cs="Times New Roman"/>
          <w:color w:val="000000"/>
          <w:sz w:val="24"/>
          <w:szCs w:val="24"/>
          <w:lang w:eastAsia="en-PH"/>
        </w:rPr>
        <w:t>a person’s</w:t>
      </w:r>
      <w:r w:rsidR="00855255">
        <w:rPr>
          <w:rFonts w:ascii="Times New Roman" w:eastAsia="Times New Roman" w:hAnsi="Times New Roman" w:cs="Times New Roman"/>
          <w:color w:val="000000"/>
          <w:sz w:val="24"/>
          <w:szCs w:val="24"/>
          <w:lang w:eastAsia="en-PH"/>
        </w:rPr>
        <w:t xml:space="preserve"> behavioral response to their environment.</w:t>
      </w:r>
      <w:r w:rsidR="00285B9D">
        <w:rPr>
          <w:rFonts w:ascii="Times New Roman" w:eastAsia="Times New Roman" w:hAnsi="Times New Roman" w:cs="Times New Roman"/>
          <w:color w:val="000000"/>
          <w:sz w:val="24"/>
          <w:szCs w:val="24"/>
          <w:lang w:eastAsia="en-PH"/>
        </w:rPr>
        <w:t xml:space="preserve"> The philosopher has no access to the experience of </w:t>
      </w:r>
      <w:r w:rsidR="00B274B4">
        <w:rPr>
          <w:rFonts w:ascii="Times New Roman" w:eastAsia="Times New Roman" w:hAnsi="Times New Roman" w:cs="Times New Roman"/>
          <w:color w:val="000000"/>
          <w:sz w:val="24"/>
          <w:szCs w:val="24"/>
          <w:lang w:eastAsia="en-PH"/>
        </w:rPr>
        <w:t>others</w:t>
      </w:r>
      <w:r w:rsidR="00285B9D">
        <w:rPr>
          <w:rFonts w:ascii="Times New Roman" w:eastAsia="Times New Roman" w:hAnsi="Times New Roman" w:cs="Times New Roman"/>
          <w:color w:val="000000"/>
          <w:sz w:val="24"/>
          <w:szCs w:val="24"/>
          <w:lang w:eastAsia="en-PH"/>
        </w:rPr>
        <w:t xml:space="preserve">, yet they can meaningfully use the ‘pain’ term in third-person attributions. To reconcile the two competing notions, the philosopher </w:t>
      </w:r>
      <w:r w:rsidR="00B23063">
        <w:rPr>
          <w:rFonts w:ascii="Times New Roman" w:eastAsia="Times New Roman" w:hAnsi="Times New Roman" w:cs="Times New Roman"/>
          <w:color w:val="000000"/>
          <w:sz w:val="24"/>
          <w:szCs w:val="24"/>
          <w:lang w:eastAsia="en-PH"/>
        </w:rPr>
        <w:t xml:space="preserve">is often led to imagine a picture where </w:t>
      </w:r>
      <w:r w:rsidR="00285B9D">
        <w:rPr>
          <w:rFonts w:ascii="Times New Roman" w:eastAsia="Times New Roman" w:hAnsi="Times New Roman" w:cs="Times New Roman"/>
          <w:color w:val="000000"/>
          <w:sz w:val="24"/>
          <w:szCs w:val="24"/>
          <w:lang w:eastAsia="en-PH"/>
        </w:rPr>
        <w:t>mental sensations</w:t>
      </w:r>
      <w:r w:rsidR="00787046">
        <w:rPr>
          <w:rFonts w:ascii="Times New Roman" w:eastAsia="Times New Roman" w:hAnsi="Times New Roman" w:cs="Times New Roman"/>
          <w:color w:val="000000"/>
          <w:sz w:val="24"/>
          <w:szCs w:val="24"/>
          <w:lang w:eastAsia="en-PH"/>
        </w:rPr>
        <w:t xml:space="preserve"> </w:t>
      </w:r>
      <w:r w:rsidR="00B23063">
        <w:rPr>
          <w:rFonts w:ascii="Times New Roman" w:eastAsia="Times New Roman" w:hAnsi="Times New Roman" w:cs="Times New Roman"/>
          <w:color w:val="000000"/>
          <w:sz w:val="24"/>
          <w:szCs w:val="24"/>
          <w:lang w:eastAsia="en-PH"/>
        </w:rPr>
        <w:t>resemble</w:t>
      </w:r>
      <w:r w:rsidR="00787046">
        <w:rPr>
          <w:rFonts w:ascii="Times New Roman" w:eastAsia="Times New Roman" w:hAnsi="Times New Roman" w:cs="Times New Roman"/>
          <w:color w:val="000000"/>
          <w:sz w:val="24"/>
          <w:szCs w:val="24"/>
          <w:lang w:eastAsia="en-PH"/>
        </w:rPr>
        <w:t xml:space="preserve"> a movie theater</w:t>
      </w:r>
      <w:r w:rsidR="0077607E">
        <w:rPr>
          <w:rFonts w:ascii="Times New Roman" w:eastAsia="Times New Roman" w:hAnsi="Times New Roman" w:cs="Times New Roman"/>
          <w:color w:val="000000"/>
          <w:sz w:val="24"/>
          <w:szCs w:val="24"/>
          <w:lang w:eastAsia="en-PH"/>
        </w:rPr>
        <w:t>. In the picture,</w:t>
      </w:r>
      <w:r w:rsidR="00787046">
        <w:rPr>
          <w:rFonts w:ascii="Times New Roman" w:eastAsia="Times New Roman" w:hAnsi="Times New Roman" w:cs="Times New Roman"/>
          <w:color w:val="000000"/>
          <w:sz w:val="24"/>
          <w:szCs w:val="24"/>
          <w:lang w:eastAsia="en-PH"/>
        </w:rPr>
        <w:t xml:space="preserve"> the person experiencing the sensation is the one viewer inside with direct access to the ‘movie’ whereas everyone else is </w:t>
      </w:r>
      <w:r w:rsidR="00342765">
        <w:rPr>
          <w:rFonts w:ascii="Times New Roman" w:eastAsia="Times New Roman" w:hAnsi="Times New Roman" w:cs="Times New Roman"/>
          <w:color w:val="000000"/>
          <w:sz w:val="24"/>
          <w:szCs w:val="24"/>
          <w:lang w:eastAsia="en-PH"/>
        </w:rPr>
        <w:t xml:space="preserve">on the outside. </w:t>
      </w:r>
      <w:r w:rsidR="0077607E">
        <w:rPr>
          <w:rFonts w:ascii="Times New Roman" w:eastAsia="Times New Roman" w:hAnsi="Times New Roman" w:cs="Times New Roman"/>
          <w:color w:val="000000"/>
          <w:sz w:val="24"/>
          <w:szCs w:val="24"/>
          <w:lang w:eastAsia="en-PH"/>
        </w:rPr>
        <w:t>P</w:t>
      </w:r>
      <w:r w:rsidR="00342765">
        <w:rPr>
          <w:rFonts w:ascii="Times New Roman" w:eastAsia="Times New Roman" w:hAnsi="Times New Roman" w:cs="Times New Roman"/>
          <w:color w:val="000000"/>
          <w:sz w:val="24"/>
          <w:szCs w:val="24"/>
          <w:lang w:eastAsia="en-PH"/>
        </w:rPr>
        <w:t>eople may only infer what is going on ‘inside’ based on what sounds they manage to hear. This picture is plausible until Horwich alerts us to the metaphysical implication this picture brings. If this picture were correct, then</w:t>
      </w:r>
      <w:r w:rsidR="00335112">
        <w:rPr>
          <w:rFonts w:ascii="Times New Roman" w:eastAsia="Times New Roman" w:hAnsi="Times New Roman" w:cs="Times New Roman"/>
          <w:color w:val="000000"/>
          <w:sz w:val="24"/>
          <w:szCs w:val="24"/>
          <w:lang w:eastAsia="en-PH"/>
        </w:rPr>
        <w:t xml:space="preserve"> it seems to imply that sensations have a qualitative characteristic to them; and these characteristics are not physically reducible by the </w:t>
      </w:r>
      <w:r w:rsidR="007028C7">
        <w:rPr>
          <w:rFonts w:ascii="Times New Roman" w:eastAsia="Times New Roman" w:hAnsi="Times New Roman" w:cs="Times New Roman"/>
          <w:color w:val="000000"/>
          <w:sz w:val="24"/>
          <w:szCs w:val="24"/>
          <w:lang w:eastAsia="en-PH"/>
        </w:rPr>
        <w:t xml:space="preserve">natural </w:t>
      </w:r>
      <w:r w:rsidR="00335112">
        <w:rPr>
          <w:rFonts w:ascii="Times New Roman" w:eastAsia="Times New Roman" w:hAnsi="Times New Roman" w:cs="Times New Roman"/>
          <w:color w:val="000000"/>
          <w:sz w:val="24"/>
          <w:szCs w:val="24"/>
          <w:lang w:eastAsia="en-PH"/>
        </w:rPr>
        <w:t>sciences.</w:t>
      </w:r>
      <w:r w:rsidR="00B274B4">
        <w:rPr>
          <w:rFonts w:ascii="Times New Roman" w:eastAsia="Times New Roman" w:hAnsi="Times New Roman" w:cs="Times New Roman"/>
          <w:color w:val="000000"/>
          <w:sz w:val="24"/>
          <w:szCs w:val="24"/>
          <w:lang w:eastAsia="en-PH"/>
        </w:rPr>
        <w:t xml:space="preserve"> This picture of mental phenomena invites discussions about the concept of qualia – to treat concepts such as ‘pain’ as </w:t>
      </w:r>
      <w:r w:rsidR="00463E18">
        <w:rPr>
          <w:rFonts w:ascii="Times New Roman" w:eastAsia="Times New Roman" w:hAnsi="Times New Roman" w:cs="Times New Roman"/>
          <w:color w:val="000000"/>
          <w:sz w:val="24"/>
          <w:szCs w:val="24"/>
          <w:lang w:eastAsia="en-PH"/>
        </w:rPr>
        <w:t>referring to real and abstract entities.</w:t>
      </w:r>
      <w:r w:rsidR="00463E18">
        <w:rPr>
          <w:rStyle w:val="FootnoteReference"/>
          <w:rFonts w:ascii="Times New Roman" w:eastAsia="Times New Roman" w:hAnsi="Times New Roman" w:cs="Times New Roman"/>
          <w:color w:val="000000"/>
          <w:sz w:val="24"/>
          <w:szCs w:val="24"/>
          <w:lang w:eastAsia="en-PH"/>
        </w:rPr>
        <w:footnoteReference w:id="19"/>
      </w:r>
    </w:p>
    <w:p w14:paraId="14CA9207" w14:textId="06B8622A" w:rsidR="00A43CBA" w:rsidRDefault="00272344" w:rsidP="00CB68A2">
      <w:pPr>
        <w:spacing w:after="0" w:line="480" w:lineRule="auto"/>
        <w:ind w:firstLine="720"/>
        <w:jc w:val="both"/>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Despite</w:t>
      </w:r>
      <w:r w:rsidR="00463E18">
        <w:rPr>
          <w:rFonts w:ascii="Times New Roman" w:eastAsia="Times New Roman" w:hAnsi="Times New Roman" w:cs="Times New Roman"/>
          <w:color w:val="000000"/>
          <w:sz w:val="24"/>
          <w:szCs w:val="24"/>
          <w:lang w:eastAsia="en-PH"/>
        </w:rPr>
        <w:t xml:space="preserve"> the perceived persuasiveness of this analogy, it is arguable that th</w:t>
      </w:r>
      <w:r w:rsidR="007D73FC">
        <w:rPr>
          <w:rFonts w:ascii="Times New Roman" w:eastAsia="Times New Roman" w:hAnsi="Times New Roman" w:cs="Times New Roman"/>
          <w:color w:val="000000"/>
          <w:sz w:val="24"/>
          <w:szCs w:val="24"/>
          <w:lang w:eastAsia="en-PH"/>
        </w:rPr>
        <w:t>e ‘movie theater’ picture</w:t>
      </w:r>
      <w:r w:rsidR="00463E18">
        <w:rPr>
          <w:rFonts w:ascii="Times New Roman" w:eastAsia="Times New Roman" w:hAnsi="Times New Roman" w:cs="Times New Roman"/>
          <w:color w:val="000000"/>
          <w:sz w:val="24"/>
          <w:szCs w:val="24"/>
          <w:lang w:eastAsia="en-PH"/>
        </w:rPr>
        <w:t xml:space="preserve"> of mental phenomena is</w:t>
      </w:r>
      <w:r w:rsidR="00C803C4">
        <w:rPr>
          <w:rFonts w:ascii="Times New Roman" w:eastAsia="Times New Roman" w:hAnsi="Times New Roman" w:cs="Times New Roman"/>
          <w:color w:val="000000"/>
          <w:sz w:val="24"/>
          <w:szCs w:val="24"/>
          <w:lang w:eastAsia="en-PH"/>
        </w:rPr>
        <w:t xml:space="preserve"> based on an exaggerated generalization</w:t>
      </w:r>
      <w:r w:rsidR="00463E18">
        <w:rPr>
          <w:rFonts w:ascii="Times New Roman" w:eastAsia="Times New Roman" w:hAnsi="Times New Roman" w:cs="Times New Roman"/>
          <w:color w:val="000000"/>
          <w:sz w:val="24"/>
          <w:szCs w:val="24"/>
          <w:lang w:eastAsia="en-PH"/>
        </w:rPr>
        <w:t xml:space="preserve">. </w:t>
      </w:r>
      <w:r w:rsidR="00122A40">
        <w:rPr>
          <w:rFonts w:ascii="Times New Roman" w:eastAsia="Times New Roman" w:hAnsi="Times New Roman" w:cs="Times New Roman"/>
          <w:color w:val="000000"/>
          <w:sz w:val="24"/>
          <w:szCs w:val="24"/>
          <w:lang w:eastAsia="en-PH"/>
        </w:rPr>
        <w:t>In Horwich’s view</w:t>
      </w:r>
      <w:r w:rsidR="00855255">
        <w:rPr>
          <w:rFonts w:ascii="Times New Roman" w:eastAsia="Times New Roman" w:hAnsi="Times New Roman" w:cs="Times New Roman"/>
          <w:color w:val="000000"/>
          <w:sz w:val="24"/>
          <w:szCs w:val="24"/>
          <w:lang w:eastAsia="en-PH"/>
        </w:rPr>
        <w:t>,</w:t>
      </w:r>
      <w:r w:rsidR="00A43CBA">
        <w:rPr>
          <w:rFonts w:ascii="Times New Roman" w:eastAsia="Times New Roman" w:hAnsi="Times New Roman" w:cs="Times New Roman"/>
          <w:color w:val="000000"/>
          <w:sz w:val="24"/>
          <w:szCs w:val="24"/>
          <w:lang w:eastAsia="en-PH"/>
        </w:rPr>
        <w:t xml:space="preserve"> this mistake stems from the grammatical similarities between observation terms </w:t>
      </w:r>
      <w:r w:rsidR="00C803C4">
        <w:rPr>
          <w:rFonts w:ascii="Times New Roman" w:eastAsia="Times New Roman" w:hAnsi="Times New Roman" w:cs="Times New Roman"/>
          <w:color w:val="000000"/>
          <w:sz w:val="24"/>
          <w:szCs w:val="24"/>
          <w:lang w:eastAsia="en-PH"/>
        </w:rPr>
        <w:t>such as ‘red’,</w:t>
      </w:r>
      <w:r w:rsidR="00A43CBA">
        <w:rPr>
          <w:rFonts w:ascii="Times New Roman" w:eastAsia="Times New Roman" w:hAnsi="Times New Roman" w:cs="Times New Roman"/>
          <w:color w:val="000000"/>
          <w:sz w:val="24"/>
          <w:szCs w:val="24"/>
          <w:lang w:eastAsia="en-PH"/>
        </w:rPr>
        <w:t xml:space="preserve"> and sensation term</w:t>
      </w:r>
      <w:r w:rsidR="00C803C4">
        <w:rPr>
          <w:rFonts w:ascii="Times New Roman" w:eastAsia="Times New Roman" w:hAnsi="Times New Roman" w:cs="Times New Roman"/>
          <w:color w:val="000000"/>
          <w:sz w:val="24"/>
          <w:szCs w:val="24"/>
          <w:lang w:eastAsia="en-PH"/>
        </w:rPr>
        <w:t>s such as ‘pain’</w:t>
      </w:r>
      <w:r w:rsidR="00A43CBA">
        <w:rPr>
          <w:rFonts w:ascii="Times New Roman" w:eastAsia="Times New Roman" w:hAnsi="Times New Roman" w:cs="Times New Roman"/>
          <w:color w:val="000000"/>
          <w:sz w:val="24"/>
          <w:szCs w:val="24"/>
          <w:lang w:eastAsia="en-PH"/>
        </w:rPr>
        <w:t>.</w:t>
      </w:r>
      <w:r w:rsidR="0057180F">
        <w:rPr>
          <w:rStyle w:val="FootnoteReference"/>
          <w:rFonts w:ascii="Times New Roman" w:eastAsia="Times New Roman" w:hAnsi="Times New Roman" w:cs="Times New Roman"/>
          <w:color w:val="000000"/>
          <w:sz w:val="24"/>
          <w:szCs w:val="24"/>
          <w:lang w:eastAsia="en-PH"/>
        </w:rPr>
        <w:footnoteReference w:id="20"/>
      </w:r>
      <w:r w:rsidR="00C803C4">
        <w:rPr>
          <w:rFonts w:ascii="Times New Roman" w:eastAsia="Times New Roman" w:hAnsi="Times New Roman" w:cs="Times New Roman"/>
          <w:color w:val="000000"/>
          <w:sz w:val="24"/>
          <w:szCs w:val="24"/>
          <w:lang w:eastAsia="en-PH"/>
        </w:rPr>
        <w:t xml:space="preserve"> For instance, t</w:t>
      </w:r>
      <w:r w:rsidR="00A43CBA">
        <w:rPr>
          <w:rFonts w:ascii="Times New Roman" w:eastAsia="Times New Roman" w:hAnsi="Times New Roman" w:cs="Times New Roman"/>
          <w:color w:val="000000"/>
          <w:sz w:val="24"/>
          <w:szCs w:val="24"/>
          <w:lang w:eastAsia="en-PH"/>
        </w:rPr>
        <w:t xml:space="preserve">he sentence, “The object is red,” bears a superficial similarity to the sentence, “The object is in pain,” to the point that someone might </w:t>
      </w:r>
      <w:r w:rsidR="00C803C4">
        <w:rPr>
          <w:rFonts w:ascii="Times New Roman" w:eastAsia="Times New Roman" w:hAnsi="Times New Roman" w:cs="Times New Roman"/>
          <w:color w:val="000000"/>
          <w:sz w:val="24"/>
          <w:szCs w:val="24"/>
          <w:lang w:eastAsia="en-PH"/>
        </w:rPr>
        <w:t>assume</w:t>
      </w:r>
      <w:r w:rsidR="00A43CBA">
        <w:rPr>
          <w:rFonts w:ascii="Times New Roman" w:eastAsia="Times New Roman" w:hAnsi="Times New Roman" w:cs="Times New Roman"/>
          <w:color w:val="000000"/>
          <w:sz w:val="24"/>
          <w:szCs w:val="24"/>
          <w:lang w:eastAsia="en-PH"/>
        </w:rPr>
        <w:t xml:space="preserve"> ‘red’ </w:t>
      </w:r>
      <w:r w:rsidR="00A43CBA">
        <w:rPr>
          <w:rFonts w:ascii="Times New Roman" w:eastAsia="Times New Roman" w:hAnsi="Times New Roman" w:cs="Times New Roman"/>
          <w:color w:val="000000"/>
          <w:sz w:val="24"/>
          <w:szCs w:val="24"/>
          <w:lang w:eastAsia="en-PH"/>
        </w:rPr>
        <w:lastRenderedPageBreak/>
        <w:t xml:space="preserve">and ‘pain have </w:t>
      </w:r>
      <w:r w:rsidR="00C803C4">
        <w:rPr>
          <w:rFonts w:ascii="Times New Roman" w:eastAsia="Times New Roman" w:hAnsi="Times New Roman" w:cs="Times New Roman"/>
          <w:color w:val="000000"/>
          <w:sz w:val="24"/>
          <w:szCs w:val="24"/>
          <w:lang w:eastAsia="en-PH"/>
        </w:rPr>
        <w:t>a similar</w:t>
      </w:r>
      <w:r w:rsidR="00A43CBA">
        <w:rPr>
          <w:rFonts w:ascii="Times New Roman" w:eastAsia="Times New Roman" w:hAnsi="Times New Roman" w:cs="Times New Roman"/>
          <w:color w:val="000000"/>
          <w:sz w:val="24"/>
          <w:szCs w:val="24"/>
          <w:lang w:eastAsia="en-PH"/>
        </w:rPr>
        <w:t xml:space="preserve"> semantic role. However, this belief is mistaken.</w:t>
      </w:r>
      <w:r w:rsidR="0057180F">
        <w:rPr>
          <w:rFonts w:ascii="Times New Roman" w:eastAsia="Times New Roman" w:hAnsi="Times New Roman" w:cs="Times New Roman"/>
          <w:color w:val="000000"/>
          <w:sz w:val="24"/>
          <w:szCs w:val="24"/>
          <w:lang w:eastAsia="en-PH"/>
        </w:rPr>
        <w:t xml:space="preserve"> In the case of learning how to use ‘red’, a person is taught to predicate ‘red’ to an object if, and only if</w:t>
      </w:r>
      <w:r w:rsidR="00121236">
        <w:rPr>
          <w:rFonts w:ascii="Times New Roman" w:eastAsia="Times New Roman" w:hAnsi="Times New Roman" w:cs="Times New Roman"/>
          <w:color w:val="000000"/>
          <w:sz w:val="24"/>
          <w:szCs w:val="24"/>
          <w:lang w:eastAsia="en-PH"/>
        </w:rPr>
        <w:t xml:space="preserve"> they have visual sensations typically produced by red things</w:t>
      </w:r>
      <w:r w:rsidR="0057180F">
        <w:rPr>
          <w:rFonts w:ascii="Times New Roman" w:eastAsia="Times New Roman" w:hAnsi="Times New Roman" w:cs="Times New Roman"/>
          <w:color w:val="000000"/>
          <w:sz w:val="24"/>
          <w:szCs w:val="24"/>
          <w:lang w:eastAsia="en-PH"/>
        </w:rPr>
        <w:t>. Therefore, it is only appropriate for someone to claim, “The object is red</w:t>
      </w:r>
      <w:r w:rsidR="00121236">
        <w:rPr>
          <w:rFonts w:ascii="Times New Roman" w:eastAsia="Times New Roman" w:hAnsi="Times New Roman" w:cs="Times New Roman"/>
          <w:color w:val="000000"/>
          <w:sz w:val="24"/>
          <w:szCs w:val="24"/>
          <w:lang w:eastAsia="en-PH"/>
        </w:rPr>
        <w:t>,” when the utterance is induced in him by an actual red object. The person is taught to apply ‘red’ to the same objects that other people of their linguistic community would also apply ‘red’.</w:t>
      </w:r>
    </w:p>
    <w:p w14:paraId="4668916A" w14:textId="17CCF3C7" w:rsidR="00855255" w:rsidRDefault="00121236" w:rsidP="00CB68A2">
      <w:pPr>
        <w:spacing w:after="0" w:line="480" w:lineRule="auto"/>
        <w:ind w:firstLine="72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n-PH"/>
        </w:rPr>
        <w:t xml:space="preserve">In contrast, people are taught to use the word ‘pain’ </w:t>
      </w:r>
      <w:r w:rsidR="00B90320">
        <w:rPr>
          <w:rFonts w:ascii="Times New Roman" w:eastAsia="Times New Roman" w:hAnsi="Times New Roman" w:cs="Times New Roman"/>
          <w:color w:val="000000"/>
          <w:sz w:val="24"/>
          <w:szCs w:val="24"/>
          <w:lang w:eastAsia="en-PH"/>
        </w:rPr>
        <w:t>to replace the reflexive reactions in</w:t>
      </w:r>
      <w:r w:rsidR="00EE25CD">
        <w:rPr>
          <w:rFonts w:ascii="Times New Roman" w:eastAsia="Times New Roman" w:hAnsi="Times New Roman" w:cs="Times New Roman"/>
          <w:color w:val="000000"/>
          <w:sz w:val="24"/>
          <w:szCs w:val="24"/>
          <w:lang w:eastAsia="en-PH"/>
        </w:rPr>
        <w:t xml:space="preserve"> circumstances that induce pain behavior such as moaning, </w:t>
      </w:r>
      <w:r w:rsidR="005B4B57">
        <w:rPr>
          <w:rFonts w:ascii="Times New Roman" w:eastAsia="Times New Roman" w:hAnsi="Times New Roman" w:cs="Times New Roman"/>
          <w:color w:val="000000"/>
          <w:sz w:val="24"/>
          <w:szCs w:val="24"/>
          <w:lang w:eastAsia="en-PH"/>
        </w:rPr>
        <w:t>grimacing,</w:t>
      </w:r>
      <w:r w:rsidR="00EE25CD">
        <w:rPr>
          <w:rFonts w:ascii="Times New Roman" w:eastAsia="Times New Roman" w:hAnsi="Times New Roman" w:cs="Times New Roman"/>
          <w:color w:val="000000"/>
          <w:sz w:val="24"/>
          <w:szCs w:val="24"/>
          <w:lang w:eastAsia="en-PH"/>
        </w:rPr>
        <w:t xml:space="preserve"> and crying. </w:t>
      </w:r>
      <w:r w:rsidR="00855255">
        <w:rPr>
          <w:rFonts w:ascii="Times New Roman" w:eastAsia="Times New Roman" w:hAnsi="Times New Roman" w:cs="Times New Roman"/>
          <w:color w:val="000000"/>
          <w:sz w:val="24"/>
          <w:szCs w:val="24"/>
          <w:lang w:eastAsia="en-PH"/>
        </w:rPr>
        <w:t>Wittgenstein reminds us of how we learn to use sensation terms such as ‘pain’ in the first place</w:t>
      </w:r>
      <w:r w:rsidR="00855255" w:rsidRPr="00122A40">
        <w:rPr>
          <w:rFonts w:ascii="Times New Roman" w:eastAsia="Times New Roman" w:hAnsi="Times New Roman" w:cs="Times New Roman"/>
          <w:color w:val="000000"/>
          <w:sz w:val="24"/>
          <w:szCs w:val="24"/>
          <w:lang w:eastAsia="en-PH"/>
        </w:rPr>
        <w:t>.</w:t>
      </w:r>
      <w:r w:rsidR="00787046" w:rsidRPr="00122A40">
        <w:rPr>
          <w:rFonts w:ascii="Times New Roman" w:eastAsia="Times New Roman" w:hAnsi="Times New Roman" w:cs="Times New Roman"/>
          <w:color w:val="000000"/>
          <w:sz w:val="24"/>
          <w:szCs w:val="24"/>
          <w:lang w:eastAsia="en-PH"/>
        </w:rPr>
        <w:t xml:space="preserve"> </w:t>
      </w:r>
      <w:r w:rsidR="00122A40" w:rsidRPr="00122A40">
        <w:rPr>
          <w:rFonts w:ascii="Times New Roman" w:eastAsia="Times New Roman" w:hAnsi="Times New Roman" w:cs="Times New Roman"/>
          <w:color w:val="000000"/>
          <w:sz w:val="24"/>
          <w:szCs w:val="24"/>
          <w:lang w:eastAsia="en-PH"/>
        </w:rPr>
        <w:t xml:space="preserve">In </w:t>
      </w:r>
      <w:r w:rsidR="00122A40" w:rsidRPr="00122A40">
        <w:rPr>
          <w:rFonts w:ascii="Times New Roman" w:hAnsi="Times New Roman" w:cs="Times New Roman"/>
          <w:sz w:val="24"/>
          <w:szCs w:val="24"/>
        </w:rPr>
        <w:t>§</w:t>
      </w:r>
      <w:r w:rsidR="00EE25CD">
        <w:rPr>
          <w:rFonts w:ascii="Times New Roman" w:hAnsi="Times New Roman" w:cs="Times New Roman"/>
          <w:sz w:val="24"/>
          <w:szCs w:val="24"/>
        </w:rPr>
        <w:t>244</w:t>
      </w:r>
      <w:r w:rsidR="00122A40">
        <w:rPr>
          <w:rFonts w:ascii="Times New Roman" w:hAnsi="Times New Roman" w:cs="Times New Roman"/>
          <w:sz w:val="24"/>
          <w:szCs w:val="24"/>
        </w:rPr>
        <w:t xml:space="preserve"> of the </w:t>
      </w:r>
      <w:r w:rsidR="00122A40">
        <w:rPr>
          <w:rFonts w:ascii="Times New Roman" w:hAnsi="Times New Roman" w:cs="Times New Roman"/>
          <w:i/>
          <w:iCs/>
          <w:sz w:val="24"/>
          <w:szCs w:val="24"/>
        </w:rPr>
        <w:t>Philosophical Investigations</w:t>
      </w:r>
      <w:r w:rsidR="00122A40">
        <w:rPr>
          <w:rFonts w:ascii="Times New Roman" w:hAnsi="Times New Roman" w:cs="Times New Roman"/>
          <w:sz w:val="24"/>
          <w:szCs w:val="24"/>
        </w:rPr>
        <w:t>, Wittgenstein states</w:t>
      </w:r>
      <w:r w:rsidR="00054122">
        <w:rPr>
          <w:rFonts w:ascii="Times New Roman" w:hAnsi="Times New Roman" w:cs="Times New Roman"/>
          <w:sz w:val="24"/>
          <w:szCs w:val="24"/>
        </w:rPr>
        <w:t xml:space="preserve"> the following concerning “how words refer to sensations”</w:t>
      </w:r>
      <w:r w:rsidR="00A77BFE">
        <w:rPr>
          <w:rFonts w:ascii="Times New Roman" w:hAnsi="Times New Roman" w:cs="Times New Roman"/>
          <w:sz w:val="24"/>
          <w:szCs w:val="24"/>
        </w:rPr>
        <w:t>:</w:t>
      </w:r>
    </w:p>
    <w:p w14:paraId="07234B48" w14:textId="77777777" w:rsidR="00054122" w:rsidRDefault="00054122" w:rsidP="00CB68A2">
      <w:pPr>
        <w:spacing w:after="0" w:line="480" w:lineRule="auto"/>
        <w:ind w:firstLine="720"/>
        <w:jc w:val="both"/>
        <w:rPr>
          <w:rFonts w:ascii="Times New Roman" w:hAnsi="Times New Roman" w:cs="Times New Roman"/>
          <w:sz w:val="24"/>
          <w:szCs w:val="24"/>
        </w:rPr>
      </w:pPr>
    </w:p>
    <w:p w14:paraId="7D91EA19" w14:textId="1911D295" w:rsidR="00EE25CD" w:rsidRDefault="00054122" w:rsidP="00054122">
      <w:pPr>
        <w:spacing w:after="0" w:line="480" w:lineRule="auto"/>
        <w:ind w:left="720"/>
        <w:jc w:val="both"/>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 xml:space="preserve">“… Here is one possibility: words </w:t>
      </w:r>
      <w:proofErr w:type="gramStart"/>
      <w:r>
        <w:rPr>
          <w:rFonts w:ascii="Times New Roman" w:eastAsia="Times New Roman" w:hAnsi="Times New Roman" w:cs="Times New Roman"/>
          <w:color w:val="000000"/>
          <w:sz w:val="24"/>
          <w:szCs w:val="24"/>
          <w:lang w:eastAsia="en-PH"/>
        </w:rPr>
        <w:t>are connected with</w:t>
      </w:r>
      <w:proofErr w:type="gramEnd"/>
      <w:r>
        <w:rPr>
          <w:rFonts w:ascii="Times New Roman" w:eastAsia="Times New Roman" w:hAnsi="Times New Roman" w:cs="Times New Roman"/>
          <w:color w:val="000000"/>
          <w:sz w:val="24"/>
          <w:szCs w:val="24"/>
          <w:lang w:eastAsia="en-PH"/>
        </w:rPr>
        <w:t xml:space="preserve"> the primitive, the natural, expressions of the sensation</w:t>
      </w:r>
      <w:r w:rsidR="005E6C2F">
        <w:rPr>
          <w:rFonts w:ascii="Times New Roman" w:eastAsia="Times New Roman" w:hAnsi="Times New Roman" w:cs="Times New Roman"/>
          <w:color w:val="000000"/>
          <w:sz w:val="24"/>
          <w:szCs w:val="24"/>
          <w:lang w:eastAsia="en-PH"/>
        </w:rPr>
        <w:t xml:space="preserve"> and used in their place. A child has hurt himself and he cries; and then adults talk to him and teach him exclamations and, later, sentences. They teach the child new pain-behavior.</w:t>
      </w:r>
    </w:p>
    <w:p w14:paraId="0D64839F" w14:textId="068ED4FE" w:rsidR="00054122" w:rsidRDefault="005E6C2F" w:rsidP="00DB4CFB">
      <w:pPr>
        <w:spacing w:after="0" w:line="480" w:lineRule="auto"/>
        <w:ind w:left="720"/>
        <w:jc w:val="both"/>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ab/>
        <w:t>“</w:t>
      </w:r>
      <w:proofErr w:type="gramStart"/>
      <w:r>
        <w:rPr>
          <w:rFonts w:ascii="Times New Roman" w:eastAsia="Times New Roman" w:hAnsi="Times New Roman" w:cs="Times New Roman"/>
          <w:color w:val="000000"/>
          <w:sz w:val="24"/>
          <w:szCs w:val="24"/>
          <w:lang w:eastAsia="en-PH"/>
        </w:rPr>
        <w:t>So</w:t>
      </w:r>
      <w:proofErr w:type="gramEnd"/>
      <w:r>
        <w:rPr>
          <w:rFonts w:ascii="Times New Roman" w:eastAsia="Times New Roman" w:hAnsi="Times New Roman" w:cs="Times New Roman"/>
          <w:color w:val="000000"/>
          <w:sz w:val="24"/>
          <w:szCs w:val="24"/>
          <w:lang w:eastAsia="en-PH"/>
        </w:rPr>
        <w:t xml:space="preserve"> you are saying that the word ‘pain’ really means crying?” – On the contrary: the verbal expression of pain replaces crying and does not describe it.”</w:t>
      </w:r>
      <w:r>
        <w:rPr>
          <w:rStyle w:val="FootnoteReference"/>
          <w:rFonts w:ascii="Times New Roman" w:eastAsia="Times New Roman" w:hAnsi="Times New Roman" w:cs="Times New Roman"/>
          <w:color w:val="000000"/>
          <w:sz w:val="24"/>
          <w:szCs w:val="24"/>
          <w:lang w:eastAsia="en-PH"/>
        </w:rPr>
        <w:footnoteReference w:id="21"/>
      </w:r>
    </w:p>
    <w:p w14:paraId="308DB7A4" w14:textId="77777777" w:rsidR="00045EAF" w:rsidRPr="00122A40" w:rsidRDefault="00045EAF" w:rsidP="00DB4CFB">
      <w:pPr>
        <w:spacing w:after="0" w:line="480" w:lineRule="auto"/>
        <w:ind w:left="720"/>
        <w:jc w:val="both"/>
        <w:rPr>
          <w:rFonts w:ascii="Times New Roman" w:eastAsia="Times New Roman" w:hAnsi="Times New Roman" w:cs="Times New Roman"/>
          <w:color w:val="000000"/>
          <w:sz w:val="24"/>
          <w:szCs w:val="24"/>
          <w:lang w:eastAsia="en-PH"/>
        </w:rPr>
      </w:pPr>
    </w:p>
    <w:p w14:paraId="1B1168B7" w14:textId="2D867780" w:rsidR="008973D2" w:rsidRDefault="00B96580" w:rsidP="00124378">
      <w:pPr>
        <w:spacing w:after="0" w:line="480" w:lineRule="auto"/>
        <w:ind w:firstLine="720"/>
        <w:jc w:val="both"/>
        <w:rPr>
          <w:rFonts w:ascii="Times New Roman" w:eastAsia="Times New Roman" w:hAnsi="Times New Roman" w:cs="Times New Roman"/>
          <w:color w:val="000000"/>
          <w:sz w:val="24"/>
          <w:szCs w:val="24"/>
          <w:lang w:eastAsia="en-PH"/>
        </w:rPr>
      </w:pPr>
      <w:r w:rsidRPr="00936FEF">
        <w:rPr>
          <w:rFonts w:ascii="Times New Roman" w:eastAsia="Times New Roman" w:hAnsi="Times New Roman" w:cs="Times New Roman"/>
          <w:color w:val="000000"/>
          <w:sz w:val="24"/>
          <w:szCs w:val="24"/>
          <w:lang w:eastAsia="en-PH"/>
        </w:rPr>
        <w:t xml:space="preserve">In </w:t>
      </w:r>
      <w:r>
        <w:rPr>
          <w:rFonts w:ascii="Times New Roman" w:eastAsia="Times New Roman" w:hAnsi="Times New Roman" w:cs="Times New Roman"/>
          <w:color w:val="000000"/>
          <w:sz w:val="24"/>
          <w:szCs w:val="24"/>
          <w:lang w:eastAsia="en-PH"/>
        </w:rPr>
        <w:t>contrast to T-philosophy</w:t>
      </w:r>
      <w:r w:rsidRPr="00936FEF">
        <w:rPr>
          <w:rFonts w:ascii="Times New Roman" w:eastAsia="Times New Roman" w:hAnsi="Times New Roman" w:cs="Times New Roman"/>
          <w:color w:val="000000"/>
          <w:sz w:val="24"/>
          <w:szCs w:val="24"/>
          <w:lang w:eastAsia="en-PH"/>
        </w:rPr>
        <w:t xml:space="preserve">, the </w:t>
      </w:r>
      <w:r>
        <w:rPr>
          <w:rFonts w:ascii="Times New Roman" w:eastAsia="Times New Roman" w:hAnsi="Times New Roman" w:cs="Times New Roman"/>
          <w:color w:val="000000"/>
          <w:sz w:val="24"/>
          <w:szCs w:val="24"/>
          <w:lang w:eastAsia="en-PH"/>
        </w:rPr>
        <w:t xml:space="preserve">aim of </w:t>
      </w:r>
      <w:proofErr w:type="spellStart"/>
      <w:r>
        <w:rPr>
          <w:rFonts w:ascii="Times New Roman" w:eastAsia="Times New Roman" w:hAnsi="Times New Roman" w:cs="Times New Roman"/>
          <w:color w:val="000000"/>
          <w:sz w:val="24"/>
          <w:szCs w:val="24"/>
          <w:lang w:eastAsia="en-PH"/>
        </w:rPr>
        <w:t>Wittgensteinian</w:t>
      </w:r>
      <w:proofErr w:type="spellEnd"/>
      <w:r>
        <w:rPr>
          <w:rFonts w:ascii="Times New Roman" w:eastAsia="Times New Roman" w:hAnsi="Times New Roman" w:cs="Times New Roman"/>
          <w:color w:val="000000"/>
          <w:sz w:val="24"/>
          <w:szCs w:val="24"/>
          <w:lang w:eastAsia="en-PH"/>
        </w:rPr>
        <w:t xml:space="preserve"> philosophy is different from the aim of science</w:t>
      </w:r>
      <w:r w:rsidRPr="00936FEF">
        <w:rPr>
          <w:rFonts w:ascii="Times New Roman" w:eastAsia="Times New Roman" w:hAnsi="Times New Roman" w:cs="Times New Roman"/>
          <w:color w:val="000000"/>
          <w:sz w:val="24"/>
          <w:szCs w:val="24"/>
          <w:lang w:eastAsia="en-PH"/>
        </w:rPr>
        <w:t>.</w:t>
      </w:r>
      <w:r>
        <w:rPr>
          <w:rFonts w:ascii="Times New Roman" w:eastAsia="Times New Roman" w:hAnsi="Times New Roman" w:cs="Times New Roman"/>
          <w:color w:val="000000"/>
          <w:sz w:val="24"/>
          <w:szCs w:val="24"/>
          <w:lang w:eastAsia="en-PH"/>
        </w:rPr>
        <w:t xml:space="preserve"> Unlike science, which is aimed towards the production of knowledge about the world, philosophy is aimed towards the clarification of conceptual issues. </w:t>
      </w:r>
      <w:r w:rsidR="00146EF9">
        <w:rPr>
          <w:rFonts w:ascii="Times New Roman" w:eastAsia="Times New Roman" w:hAnsi="Times New Roman" w:cs="Times New Roman"/>
          <w:color w:val="000000"/>
          <w:sz w:val="24"/>
          <w:szCs w:val="24"/>
          <w:lang w:eastAsia="en-PH"/>
        </w:rPr>
        <w:t xml:space="preserve">Philosophy does not </w:t>
      </w:r>
      <w:r w:rsidR="00146EF9">
        <w:rPr>
          <w:rFonts w:ascii="Times New Roman" w:eastAsia="Times New Roman" w:hAnsi="Times New Roman" w:cs="Times New Roman"/>
          <w:color w:val="000000"/>
          <w:sz w:val="24"/>
          <w:szCs w:val="24"/>
          <w:lang w:eastAsia="en-PH"/>
        </w:rPr>
        <w:lastRenderedPageBreak/>
        <w:t>promise the philosopher any privileged knowledge about the world</w:t>
      </w:r>
      <w:r w:rsidR="007D73FC">
        <w:rPr>
          <w:rFonts w:ascii="Times New Roman" w:eastAsia="Times New Roman" w:hAnsi="Times New Roman" w:cs="Times New Roman"/>
          <w:color w:val="000000"/>
          <w:sz w:val="24"/>
          <w:szCs w:val="24"/>
          <w:lang w:eastAsia="en-PH"/>
        </w:rPr>
        <w:t xml:space="preserve">, such as the assertion that there </w:t>
      </w:r>
      <w:r w:rsidR="009715AA">
        <w:rPr>
          <w:rFonts w:ascii="Times New Roman" w:eastAsia="Times New Roman" w:hAnsi="Times New Roman" w:cs="Times New Roman"/>
          <w:color w:val="000000"/>
          <w:sz w:val="24"/>
          <w:szCs w:val="24"/>
          <w:lang w:eastAsia="en-PH"/>
        </w:rPr>
        <w:t>is</w:t>
      </w:r>
      <w:r w:rsidR="007D73FC">
        <w:rPr>
          <w:rFonts w:ascii="Times New Roman" w:eastAsia="Times New Roman" w:hAnsi="Times New Roman" w:cs="Times New Roman"/>
          <w:color w:val="000000"/>
          <w:sz w:val="24"/>
          <w:szCs w:val="24"/>
          <w:lang w:eastAsia="en-PH"/>
        </w:rPr>
        <w:t xml:space="preserve"> some non-physical stuff known as qualia</w:t>
      </w:r>
      <w:r w:rsidR="00146EF9">
        <w:rPr>
          <w:rFonts w:ascii="Times New Roman" w:eastAsia="Times New Roman" w:hAnsi="Times New Roman" w:cs="Times New Roman"/>
          <w:color w:val="000000"/>
          <w:sz w:val="24"/>
          <w:szCs w:val="24"/>
          <w:lang w:eastAsia="en-PH"/>
        </w:rPr>
        <w:t>. Instead</w:t>
      </w:r>
      <w:r w:rsidR="008973D2">
        <w:rPr>
          <w:rFonts w:ascii="Times New Roman" w:eastAsia="Times New Roman" w:hAnsi="Times New Roman" w:cs="Times New Roman"/>
          <w:color w:val="000000"/>
          <w:sz w:val="24"/>
          <w:szCs w:val="24"/>
          <w:lang w:eastAsia="en-PH"/>
        </w:rPr>
        <w:t>,</w:t>
      </w:r>
      <w:r w:rsidR="00FC6A1C">
        <w:rPr>
          <w:rFonts w:ascii="Times New Roman" w:eastAsia="Times New Roman" w:hAnsi="Times New Roman" w:cs="Times New Roman"/>
          <w:color w:val="000000"/>
          <w:sz w:val="24"/>
          <w:szCs w:val="24"/>
          <w:lang w:eastAsia="en-PH"/>
        </w:rPr>
        <w:t xml:space="preserve"> </w:t>
      </w:r>
      <w:proofErr w:type="spellStart"/>
      <w:r w:rsidR="00124378">
        <w:rPr>
          <w:rFonts w:ascii="Times New Roman" w:eastAsia="Times New Roman" w:hAnsi="Times New Roman" w:cs="Times New Roman"/>
          <w:color w:val="000000"/>
          <w:sz w:val="24"/>
          <w:szCs w:val="24"/>
          <w:lang w:eastAsia="en-PH"/>
        </w:rPr>
        <w:t>Wittgensteinian</w:t>
      </w:r>
      <w:proofErr w:type="spellEnd"/>
      <w:r w:rsidR="00124378">
        <w:rPr>
          <w:rFonts w:ascii="Times New Roman" w:eastAsia="Times New Roman" w:hAnsi="Times New Roman" w:cs="Times New Roman"/>
          <w:color w:val="000000"/>
          <w:sz w:val="24"/>
          <w:szCs w:val="24"/>
          <w:lang w:eastAsia="en-PH"/>
        </w:rPr>
        <w:t xml:space="preserve"> philosophy </w:t>
      </w:r>
      <w:r>
        <w:rPr>
          <w:rFonts w:ascii="Times New Roman" w:eastAsia="Times New Roman" w:hAnsi="Times New Roman" w:cs="Times New Roman"/>
          <w:color w:val="000000"/>
          <w:sz w:val="24"/>
          <w:szCs w:val="24"/>
          <w:lang w:eastAsia="en-PH"/>
        </w:rPr>
        <w:t>attempts</w:t>
      </w:r>
      <w:r w:rsidR="008973D2">
        <w:rPr>
          <w:rFonts w:ascii="Times New Roman" w:eastAsia="Times New Roman" w:hAnsi="Times New Roman" w:cs="Times New Roman"/>
          <w:color w:val="000000"/>
          <w:sz w:val="24"/>
          <w:szCs w:val="24"/>
          <w:lang w:eastAsia="en-PH"/>
        </w:rPr>
        <w:t xml:space="preserve"> to</w:t>
      </w:r>
      <w:r w:rsidR="00A31BEF">
        <w:rPr>
          <w:rFonts w:ascii="Times New Roman" w:eastAsia="Times New Roman" w:hAnsi="Times New Roman" w:cs="Times New Roman"/>
          <w:color w:val="000000"/>
          <w:sz w:val="24"/>
          <w:szCs w:val="24"/>
          <w:lang w:eastAsia="en-PH"/>
        </w:rPr>
        <w:t xml:space="preserve"> delineate the limits of language, and to go beyond the</w:t>
      </w:r>
      <w:r w:rsidR="008973D2">
        <w:rPr>
          <w:rFonts w:ascii="Times New Roman" w:eastAsia="Times New Roman" w:hAnsi="Times New Roman" w:cs="Times New Roman"/>
          <w:color w:val="000000"/>
          <w:sz w:val="24"/>
          <w:szCs w:val="24"/>
          <w:lang w:eastAsia="en-PH"/>
        </w:rPr>
        <w:t>se</w:t>
      </w:r>
      <w:r w:rsidR="00A31BEF">
        <w:rPr>
          <w:rFonts w:ascii="Times New Roman" w:eastAsia="Times New Roman" w:hAnsi="Times New Roman" w:cs="Times New Roman"/>
          <w:color w:val="000000"/>
          <w:sz w:val="24"/>
          <w:szCs w:val="24"/>
          <w:lang w:eastAsia="en-PH"/>
        </w:rPr>
        <w:t xml:space="preserve"> limits </w:t>
      </w:r>
      <w:r w:rsidR="008973D2">
        <w:rPr>
          <w:rFonts w:ascii="Times New Roman" w:eastAsia="Times New Roman" w:hAnsi="Times New Roman" w:cs="Times New Roman"/>
          <w:color w:val="000000"/>
          <w:sz w:val="24"/>
          <w:szCs w:val="24"/>
          <w:lang w:eastAsia="en-PH"/>
        </w:rPr>
        <w:t xml:space="preserve">is to </w:t>
      </w:r>
      <w:r w:rsidR="00212A30">
        <w:rPr>
          <w:rFonts w:ascii="Times New Roman" w:eastAsia="Times New Roman" w:hAnsi="Times New Roman" w:cs="Times New Roman"/>
          <w:color w:val="000000"/>
          <w:sz w:val="24"/>
          <w:szCs w:val="24"/>
          <w:lang w:eastAsia="en-PH"/>
        </w:rPr>
        <w:t>invite conceptual confusions</w:t>
      </w:r>
      <w:r w:rsidR="008973D2">
        <w:rPr>
          <w:rFonts w:ascii="Times New Roman" w:eastAsia="Times New Roman" w:hAnsi="Times New Roman" w:cs="Times New Roman"/>
          <w:color w:val="000000"/>
          <w:sz w:val="24"/>
          <w:szCs w:val="24"/>
          <w:lang w:eastAsia="en-PH"/>
        </w:rPr>
        <w:t>.</w:t>
      </w:r>
      <w:r w:rsidR="00B706E3">
        <w:rPr>
          <w:rStyle w:val="FootnoteReference"/>
          <w:rFonts w:ascii="Times New Roman" w:eastAsia="Times New Roman" w:hAnsi="Times New Roman" w:cs="Times New Roman"/>
          <w:color w:val="000000"/>
          <w:sz w:val="24"/>
          <w:szCs w:val="24"/>
          <w:lang w:eastAsia="en-PH"/>
        </w:rPr>
        <w:footnoteReference w:id="22"/>
      </w:r>
      <w:r>
        <w:rPr>
          <w:rFonts w:ascii="Times New Roman" w:eastAsia="Times New Roman" w:hAnsi="Times New Roman" w:cs="Times New Roman"/>
          <w:color w:val="000000"/>
          <w:sz w:val="24"/>
          <w:szCs w:val="24"/>
          <w:lang w:eastAsia="en-PH"/>
        </w:rPr>
        <w:t xml:space="preserve"> These conceptual confusions based on a priori theorizing invites philosophers to T-philosophize. </w:t>
      </w:r>
      <w:r w:rsidR="00C713FD">
        <w:rPr>
          <w:rFonts w:ascii="Times New Roman" w:eastAsia="Times New Roman" w:hAnsi="Times New Roman" w:cs="Times New Roman"/>
          <w:color w:val="000000"/>
          <w:sz w:val="24"/>
          <w:szCs w:val="24"/>
          <w:lang w:eastAsia="en-PH"/>
        </w:rPr>
        <w:t>One of the</w:t>
      </w:r>
      <w:r w:rsidR="000679EF">
        <w:rPr>
          <w:rFonts w:ascii="Times New Roman" w:eastAsia="Times New Roman" w:hAnsi="Times New Roman" w:cs="Times New Roman"/>
          <w:color w:val="000000"/>
          <w:sz w:val="24"/>
          <w:szCs w:val="24"/>
          <w:lang w:eastAsia="en-PH"/>
        </w:rPr>
        <w:t xml:space="preserve"> chief</w:t>
      </w:r>
      <w:r>
        <w:rPr>
          <w:rFonts w:ascii="Times New Roman" w:eastAsia="Times New Roman" w:hAnsi="Times New Roman" w:cs="Times New Roman"/>
          <w:color w:val="000000"/>
          <w:sz w:val="24"/>
          <w:szCs w:val="24"/>
          <w:lang w:eastAsia="en-PH"/>
        </w:rPr>
        <w:t xml:space="preserve"> aim</w:t>
      </w:r>
      <w:r w:rsidR="00C713FD">
        <w:rPr>
          <w:rFonts w:ascii="Times New Roman" w:eastAsia="Times New Roman" w:hAnsi="Times New Roman" w:cs="Times New Roman"/>
          <w:color w:val="000000"/>
          <w:sz w:val="24"/>
          <w:szCs w:val="24"/>
          <w:lang w:eastAsia="en-PH"/>
        </w:rPr>
        <w:t>s</w:t>
      </w:r>
      <w:r>
        <w:rPr>
          <w:rFonts w:ascii="Times New Roman" w:eastAsia="Times New Roman" w:hAnsi="Times New Roman" w:cs="Times New Roman"/>
          <w:color w:val="000000"/>
          <w:sz w:val="24"/>
          <w:szCs w:val="24"/>
          <w:lang w:eastAsia="en-PH"/>
        </w:rPr>
        <w:t xml:space="preserve"> of </w:t>
      </w:r>
      <w:proofErr w:type="spellStart"/>
      <w:r>
        <w:rPr>
          <w:rFonts w:ascii="Times New Roman" w:eastAsia="Times New Roman" w:hAnsi="Times New Roman" w:cs="Times New Roman"/>
          <w:color w:val="000000"/>
          <w:sz w:val="24"/>
          <w:szCs w:val="24"/>
          <w:lang w:eastAsia="en-PH"/>
        </w:rPr>
        <w:t>Wittgensteinian</w:t>
      </w:r>
      <w:proofErr w:type="spellEnd"/>
      <w:r>
        <w:rPr>
          <w:rFonts w:ascii="Times New Roman" w:eastAsia="Times New Roman" w:hAnsi="Times New Roman" w:cs="Times New Roman"/>
          <w:color w:val="000000"/>
          <w:sz w:val="24"/>
          <w:szCs w:val="24"/>
          <w:lang w:eastAsia="en-PH"/>
        </w:rPr>
        <w:t xml:space="preserve"> philosophy is to stop us from T-philosophizing altogether.</w:t>
      </w:r>
      <w:r w:rsidR="00212A30">
        <w:rPr>
          <w:rFonts w:ascii="Times New Roman" w:eastAsia="Times New Roman" w:hAnsi="Times New Roman" w:cs="Times New Roman"/>
          <w:color w:val="000000"/>
          <w:sz w:val="24"/>
          <w:szCs w:val="24"/>
          <w:lang w:eastAsia="en-PH"/>
        </w:rPr>
        <w:t xml:space="preserve"> </w:t>
      </w:r>
      <w:r w:rsidR="00146EF9">
        <w:rPr>
          <w:rFonts w:ascii="Times New Roman" w:eastAsia="Times New Roman" w:hAnsi="Times New Roman" w:cs="Times New Roman"/>
          <w:color w:val="000000"/>
          <w:sz w:val="24"/>
          <w:szCs w:val="24"/>
          <w:lang w:eastAsia="en-PH"/>
        </w:rPr>
        <w:t>To put it another way</w:t>
      </w:r>
      <w:r w:rsidR="00212A30">
        <w:rPr>
          <w:rFonts w:ascii="Times New Roman" w:eastAsia="Times New Roman" w:hAnsi="Times New Roman" w:cs="Times New Roman"/>
          <w:color w:val="000000"/>
          <w:sz w:val="24"/>
          <w:szCs w:val="24"/>
          <w:lang w:eastAsia="en-PH"/>
        </w:rPr>
        <w:t>, the questions of science are argued by Horwich to stem from ignorance. Th</w:t>
      </w:r>
      <w:r w:rsidR="00146EF9">
        <w:rPr>
          <w:rFonts w:ascii="Times New Roman" w:eastAsia="Times New Roman" w:hAnsi="Times New Roman" w:cs="Times New Roman"/>
          <w:color w:val="000000"/>
          <w:sz w:val="24"/>
          <w:szCs w:val="24"/>
          <w:lang w:eastAsia="en-PH"/>
        </w:rPr>
        <w:t>ese questions have genuine determinate answers to them</w:t>
      </w:r>
      <w:r w:rsidR="00212A30">
        <w:rPr>
          <w:rFonts w:ascii="Times New Roman" w:eastAsia="Times New Roman" w:hAnsi="Times New Roman" w:cs="Times New Roman"/>
          <w:color w:val="000000"/>
          <w:sz w:val="24"/>
          <w:szCs w:val="24"/>
          <w:lang w:eastAsia="en-PH"/>
        </w:rPr>
        <w:t>. In comparison, philosophical questions grounded on an uncritical use of language</w:t>
      </w:r>
      <w:r w:rsidR="00146EF9">
        <w:rPr>
          <w:rFonts w:ascii="Times New Roman" w:eastAsia="Times New Roman" w:hAnsi="Times New Roman" w:cs="Times New Roman"/>
          <w:color w:val="000000"/>
          <w:sz w:val="24"/>
          <w:szCs w:val="24"/>
          <w:lang w:eastAsia="en-PH"/>
        </w:rPr>
        <w:t xml:space="preserve"> are</w:t>
      </w:r>
      <w:r w:rsidR="00212A30">
        <w:rPr>
          <w:rFonts w:ascii="Times New Roman" w:eastAsia="Times New Roman" w:hAnsi="Times New Roman" w:cs="Times New Roman"/>
          <w:color w:val="000000"/>
          <w:sz w:val="24"/>
          <w:szCs w:val="24"/>
          <w:lang w:eastAsia="en-PH"/>
        </w:rPr>
        <w:t xml:space="preserve"> based on conceptual confusion.</w:t>
      </w:r>
      <w:r w:rsidR="00146EF9">
        <w:rPr>
          <w:rFonts w:ascii="Times New Roman" w:eastAsia="Times New Roman" w:hAnsi="Times New Roman" w:cs="Times New Roman"/>
          <w:color w:val="000000"/>
          <w:sz w:val="24"/>
          <w:szCs w:val="24"/>
          <w:lang w:eastAsia="en-PH"/>
        </w:rPr>
        <w:t xml:space="preserve"> Unlike the questions of science, these ‘philosophical questions’ are argued by Horwich to be pseudo-problems.</w:t>
      </w:r>
      <w:r w:rsidR="00C04D58">
        <w:rPr>
          <w:rStyle w:val="FootnoteReference"/>
          <w:rFonts w:ascii="Times New Roman" w:eastAsia="Times New Roman" w:hAnsi="Times New Roman" w:cs="Times New Roman"/>
          <w:color w:val="000000"/>
          <w:sz w:val="24"/>
          <w:szCs w:val="24"/>
          <w:lang w:eastAsia="en-PH"/>
        </w:rPr>
        <w:footnoteReference w:id="23"/>
      </w:r>
      <w:r w:rsidR="00146EF9">
        <w:rPr>
          <w:rFonts w:ascii="Times New Roman" w:eastAsia="Times New Roman" w:hAnsi="Times New Roman" w:cs="Times New Roman"/>
          <w:color w:val="000000"/>
          <w:sz w:val="24"/>
          <w:szCs w:val="24"/>
          <w:lang w:eastAsia="en-PH"/>
        </w:rPr>
        <w:t xml:space="preserve"> The questions take their object of interest out of their original </w:t>
      </w:r>
      <w:r w:rsidR="00606F64">
        <w:rPr>
          <w:rFonts w:ascii="Times New Roman" w:eastAsia="Times New Roman" w:hAnsi="Times New Roman" w:cs="Times New Roman"/>
          <w:color w:val="000000"/>
          <w:sz w:val="24"/>
          <w:szCs w:val="24"/>
          <w:lang w:eastAsia="en-PH"/>
        </w:rPr>
        <w:t>context and</w:t>
      </w:r>
      <w:r w:rsidR="00146EF9">
        <w:rPr>
          <w:rFonts w:ascii="Times New Roman" w:eastAsia="Times New Roman" w:hAnsi="Times New Roman" w:cs="Times New Roman"/>
          <w:color w:val="000000"/>
          <w:sz w:val="24"/>
          <w:szCs w:val="24"/>
          <w:lang w:eastAsia="en-PH"/>
        </w:rPr>
        <w:t xml:space="preserve"> treat </w:t>
      </w:r>
      <w:r w:rsidR="00606F64">
        <w:rPr>
          <w:rFonts w:ascii="Times New Roman" w:eastAsia="Times New Roman" w:hAnsi="Times New Roman" w:cs="Times New Roman"/>
          <w:color w:val="000000"/>
          <w:sz w:val="24"/>
          <w:szCs w:val="24"/>
          <w:lang w:eastAsia="en-PH"/>
        </w:rPr>
        <w:t>them</w:t>
      </w:r>
      <w:r w:rsidR="00146EF9">
        <w:rPr>
          <w:rFonts w:ascii="Times New Roman" w:eastAsia="Times New Roman" w:hAnsi="Times New Roman" w:cs="Times New Roman"/>
          <w:color w:val="000000"/>
          <w:sz w:val="24"/>
          <w:szCs w:val="24"/>
          <w:lang w:eastAsia="en-PH"/>
        </w:rPr>
        <w:t xml:space="preserve"> as some metaphysical entity.</w:t>
      </w:r>
    </w:p>
    <w:p w14:paraId="5CF2CD24" w14:textId="2DF78DC7" w:rsidR="00936FEF" w:rsidRDefault="009715AA" w:rsidP="00E12B97">
      <w:pPr>
        <w:spacing w:after="0" w:line="480" w:lineRule="auto"/>
        <w:ind w:firstLine="720"/>
        <w:jc w:val="both"/>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P</w:t>
      </w:r>
      <w:r w:rsidR="00E12B97">
        <w:rPr>
          <w:rFonts w:ascii="Times New Roman" w:eastAsia="Times New Roman" w:hAnsi="Times New Roman" w:cs="Times New Roman"/>
          <w:color w:val="000000"/>
          <w:sz w:val="24"/>
          <w:szCs w:val="24"/>
          <w:lang w:eastAsia="en-PH"/>
        </w:rPr>
        <w:t xml:space="preserve">hilosophy does not provide </w:t>
      </w:r>
      <w:r>
        <w:rPr>
          <w:rFonts w:ascii="Times New Roman" w:eastAsia="Times New Roman" w:hAnsi="Times New Roman" w:cs="Times New Roman"/>
          <w:color w:val="000000"/>
          <w:sz w:val="24"/>
          <w:szCs w:val="24"/>
          <w:lang w:eastAsia="en-PH"/>
        </w:rPr>
        <w:t>its own</w:t>
      </w:r>
      <w:r w:rsidR="00E12B97">
        <w:rPr>
          <w:rFonts w:ascii="Times New Roman" w:eastAsia="Times New Roman" w:hAnsi="Times New Roman" w:cs="Times New Roman"/>
          <w:color w:val="000000"/>
          <w:sz w:val="24"/>
          <w:szCs w:val="24"/>
          <w:lang w:eastAsia="en-PH"/>
        </w:rPr>
        <w:t xml:space="preserve"> </w:t>
      </w:r>
      <w:r>
        <w:rPr>
          <w:rFonts w:ascii="Times New Roman" w:eastAsia="Times New Roman" w:hAnsi="Times New Roman" w:cs="Times New Roman"/>
          <w:color w:val="000000"/>
          <w:sz w:val="24"/>
          <w:szCs w:val="24"/>
          <w:lang w:eastAsia="en-PH"/>
        </w:rPr>
        <w:t>‘theory of language’</w:t>
      </w:r>
      <w:r w:rsidR="00E12B97">
        <w:rPr>
          <w:rFonts w:ascii="Times New Roman" w:eastAsia="Times New Roman" w:hAnsi="Times New Roman" w:cs="Times New Roman"/>
          <w:color w:val="000000"/>
          <w:sz w:val="24"/>
          <w:szCs w:val="24"/>
          <w:lang w:eastAsia="en-PH"/>
        </w:rPr>
        <w:t xml:space="preserve"> for how language ought to be used.</w:t>
      </w:r>
      <w:r w:rsidR="00936FEF" w:rsidRPr="00936FEF">
        <w:rPr>
          <w:rFonts w:ascii="Times New Roman" w:eastAsia="Times New Roman" w:hAnsi="Times New Roman" w:cs="Times New Roman"/>
          <w:color w:val="000000"/>
          <w:sz w:val="24"/>
          <w:szCs w:val="24"/>
          <w:lang w:eastAsia="en-PH"/>
        </w:rPr>
        <w:t xml:space="preserve"> </w:t>
      </w:r>
      <w:r w:rsidR="00E12B97">
        <w:rPr>
          <w:rFonts w:ascii="Times New Roman" w:eastAsia="Times New Roman" w:hAnsi="Times New Roman" w:cs="Times New Roman"/>
          <w:color w:val="000000"/>
          <w:sz w:val="24"/>
          <w:szCs w:val="24"/>
          <w:lang w:eastAsia="en-PH"/>
        </w:rPr>
        <w:t>Instead,</w:t>
      </w:r>
      <w:r w:rsidR="00936FEF" w:rsidRPr="00936FEF">
        <w:rPr>
          <w:rFonts w:ascii="Times New Roman" w:eastAsia="Times New Roman" w:hAnsi="Times New Roman" w:cs="Times New Roman"/>
          <w:color w:val="000000"/>
          <w:sz w:val="24"/>
          <w:szCs w:val="24"/>
          <w:lang w:eastAsia="en-PH"/>
        </w:rPr>
        <w:t xml:space="preserve"> philosophy is mean</w:t>
      </w:r>
      <w:r w:rsidR="00E12B97">
        <w:rPr>
          <w:rFonts w:ascii="Times New Roman" w:eastAsia="Times New Roman" w:hAnsi="Times New Roman" w:cs="Times New Roman"/>
          <w:color w:val="000000"/>
          <w:sz w:val="24"/>
          <w:szCs w:val="24"/>
          <w:lang w:eastAsia="en-PH"/>
        </w:rPr>
        <w:t>t</w:t>
      </w:r>
      <w:r w:rsidR="00936FEF" w:rsidRPr="00936FEF">
        <w:rPr>
          <w:rFonts w:ascii="Times New Roman" w:eastAsia="Times New Roman" w:hAnsi="Times New Roman" w:cs="Times New Roman"/>
          <w:color w:val="000000"/>
          <w:sz w:val="24"/>
          <w:szCs w:val="24"/>
          <w:lang w:eastAsia="en-PH"/>
        </w:rPr>
        <w:t xml:space="preserve"> to remind</w:t>
      </w:r>
      <w:r w:rsidR="00785290">
        <w:rPr>
          <w:rFonts w:ascii="Times New Roman" w:eastAsia="Times New Roman" w:hAnsi="Times New Roman" w:cs="Times New Roman"/>
          <w:color w:val="000000"/>
          <w:sz w:val="24"/>
          <w:szCs w:val="24"/>
          <w:lang w:eastAsia="en-PH"/>
        </w:rPr>
        <w:t xml:space="preserve"> us</w:t>
      </w:r>
      <w:r w:rsidR="00936FEF" w:rsidRPr="00936FEF">
        <w:rPr>
          <w:rFonts w:ascii="Times New Roman" w:eastAsia="Times New Roman" w:hAnsi="Times New Roman" w:cs="Times New Roman"/>
          <w:color w:val="000000"/>
          <w:sz w:val="24"/>
          <w:szCs w:val="24"/>
          <w:lang w:eastAsia="en-PH"/>
        </w:rPr>
        <w:t xml:space="preserve"> of the logico-grammatical rules of language</w:t>
      </w:r>
      <w:r w:rsidR="00E12B97">
        <w:rPr>
          <w:rFonts w:ascii="Times New Roman" w:eastAsia="Times New Roman" w:hAnsi="Times New Roman" w:cs="Times New Roman"/>
          <w:color w:val="000000"/>
          <w:sz w:val="24"/>
          <w:szCs w:val="24"/>
          <w:lang w:eastAsia="en-PH"/>
        </w:rPr>
        <w:t>.</w:t>
      </w:r>
      <w:r w:rsidR="00F30452">
        <w:rPr>
          <w:rStyle w:val="FootnoteReference"/>
          <w:rFonts w:ascii="Times New Roman" w:eastAsia="Times New Roman" w:hAnsi="Times New Roman" w:cs="Times New Roman"/>
          <w:color w:val="000000"/>
          <w:sz w:val="24"/>
          <w:szCs w:val="24"/>
          <w:lang w:eastAsia="en-PH"/>
        </w:rPr>
        <w:footnoteReference w:id="24"/>
      </w:r>
      <w:r w:rsidR="00E12B97">
        <w:rPr>
          <w:rFonts w:ascii="Times New Roman" w:eastAsia="Times New Roman" w:hAnsi="Times New Roman" w:cs="Times New Roman"/>
          <w:color w:val="000000"/>
          <w:sz w:val="24"/>
          <w:szCs w:val="24"/>
          <w:lang w:eastAsia="en-PH"/>
        </w:rPr>
        <w:t xml:space="preserve"> For Wittgenstein, </w:t>
      </w:r>
      <w:r w:rsidR="00924A25">
        <w:rPr>
          <w:rFonts w:ascii="Times New Roman" w:eastAsia="Times New Roman" w:hAnsi="Times New Roman" w:cs="Times New Roman"/>
          <w:color w:val="000000"/>
          <w:sz w:val="24"/>
          <w:szCs w:val="24"/>
          <w:lang w:eastAsia="en-PH"/>
        </w:rPr>
        <w:t>there is no</w:t>
      </w:r>
      <w:r w:rsidR="00E12B97">
        <w:rPr>
          <w:rFonts w:ascii="Times New Roman" w:eastAsia="Times New Roman" w:hAnsi="Times New Roman" w:cs="Times New Roman"/>
          <w:color w:val="000000"/>
          <w:sz w:val="24"/>
          <w:szCs w:val="24"/>
          <w:lang w:eastAsia="en-PH"/>
        </w:rPr>
        <w:t xml:space="preserve"> need to put forward any </w:t>
      </w:r>
      <w:r w:rsidR="00077939">
        <w:rPr>
          <w:rFonts w:ascii="Times New Roman" w:eastAsia="Times New Roman" w:hAnsi="Times New Roman" w:cs="Times New Roman"/>
          <w:color w:val="000000"/>
          <w:sz w:val="24"/>
          <w:szCs w:val="24"/>
          <w:lang w:eastAsia="en-PH"/>
        </w:rPr>
        <w:t>T-t</w:t>
      </w:r>
      <w:r w:rsidR="00E12B97">
        <w:rPr>
          <w:rFonts w:ascii="Times New Roman" w:eastAsia="Times New Roman" w:hAnsi="Times New Roman" w:cs="Times New Roman"/>
          <w:color w:val="000000"/>
          <w:sz w:val="24"/>
          <w:szCs w:val="24"/>
          <w:lang w:eastAsia="en-PH"/>
        </w:rPr>
        <w:t xml:space="preserve">heory about the notion of ‘health’ because we already implicitly know </w:t>
      </w:r>
      <w:r w:rsidR="00F30452">
        <w:rPr>
          <w:rFonts w:ascii="Times New Roman" w:eastAsia="Times New Roman" w:hAnsi="Times New Roman" w:cs="Times New Roman"/>
          <w:color w:val="000000"/>
          <w:sz w:val="24"/>
          <w:szCs w:val="24"/>
          <w:lang w:eastAsia="en-PH"/>
        </w:rPr>
        <w:t>the potential meanings of ‘health’</w:t>
      </w:r>
      <w:r w:rsidR="00E12B97">
        <w:rPr>
          <w:rFonts w:ascii="Times New Roman" w:eastAsia="Times New Roman" w:hAnsi="Times New Roman" w:cs="Times New Roman"/>
          <w:color w:val="000000"/>
          <w:sz w:val="24"/>
          <w:szCs w:val="24"/>
          <w:lang w:eastAsia="en-PH"/>
        </w:rPr>
        <w:t xml:space="preserve"> from our everyday use</w:t>
      </w:r>
      <w:r w:rsidR="00B90320">
        <w:rPr>
          <w:rFonts w:ascii="Times New Roman" w:eastAsia="Times New Roman" w:hAnsi="Times New Roman" w:cs="Times New Roman"/>
          <w:color w:val="000000"/>
          <w:sz w:val="24"/>
          <w:szCs w:val="24"/>
          <w:lang w:eastAsia="en-PH"/>
        </w:rPr>
        <w:t>s</w:t>
      </w:r>
      <w:r w:rsidR="00E12B97">
        <w:rPr>
          <w:rFonts w:ascii="Times New Roman" w:eastAsia="Times New Roman" w:hAnsi="Times New Roman" w:cs="Times New Roman"/>
          <w:color w:val="000000"/>
          <w:sz w:val="24"/>
          <w:szCs w:val="24"/>
          <w:lang w:eastAsia="en-PH"/>
        </w:rPr>
        <w:t xml:space="preserve"> of the term.</w:t>
      </w:r>
      <w:r w:rsidR="00077939">
        <w:rPr>
          <w:rFonts w:ascii="Times New Roman" w:eastAsia="Times New Roman" w:hAnsi="Times New Roman" w:cs="Times New Roman"/>
          <w:color w:val="000000"/>
          <w:sz w:val="24"/>
          <w:szCs w:val="24"/>
          <w:lang w:eastAsia="en-PH"/>
        </w:rPr>
        <w:t xml:space="preserve"> No </w:t>
      </w:r>
      <w:proofErr w:type="gramStart"/>
      <w:r w:rsidR="00077939">
        <w:rPr>
          <w:rFonts w:ascii="Times New Roman" w:eastAsia="Times New Roman" w:hAnsi="Times New Roman" w:cs="Times New Roman"/>
          <w:color w:val="000000"/>
          <w:sz w:val="24"/>
          <w:szCs w:val="24"/>
          <w:lang w:eastAsia="en-PH"/>
        </w:rPr>
        <w:t>particular utterance</w:t>
      </w:r>
      <w:proofErr w:type="gramEnd"/>
      <w:r w:rsidR="00077939">
        <w:rPr>
          <w:rFonts w:ascii="Times New Roman" w:eastAsia="Times New Roman" w:hAnsi="Times New Roman" w:cs="Times New Roman"/>
          <w:color w:val="000000"/>
          <w:sz w:val="24"/>
          <w:szCs w:val="24"/>
          <w:lang w:eastAsia="en-PH"/>
        </w:rPr>
        <w:t xml:space="preserve"> of ‘health’ can be a counterexample for our own understanding of what ‘health’ is. Instead, if the </w:t>
      </w:r>
      <w:proofErr w:type="gramStart"/>
      <w:r w:rsidR="00077939">
        <w:rPr>
          <w:rFonts w:ascii="Times New Roman" w:eastAsia="Times New Roman" w:hAnsi="Times New Roman" w:cs="Times New Roman"/>
          <w:color w:val="000000"/>
          <w:sz w:val="24"/>
          <w:szCs w:val="24"/>
          <w:lang w:eastAsia="en-PH"/>
        </w:rPr>
        <w:t>particular utterance</w:t>
      </w:r>
      <w:proofErr w:type="gramEnd"/>
      <w:r w:rsidR="00077939">
        <w:rPr>
          <w:rFonts w:ascii="Times New Roman" w:eastAsia="Times New Roman" w:hAnsi="Times New Roman" w:cs="Times New Roman"/>
          <w:color w:val="000000"/>
          <w:sz w:val="24"/>
          <w:szCs w:val="24"/>
          <w:lang w:eastAsia="en-PH"/>
        </w:rPr>
        <w:t xml:space="preserve"> is</w:t>
      </w:r>
      <w:r w:rsidR="00785290">
        <w:rPr>
          <w:rFonts w:ascii="Times New Roman" w:eastAsia="Times New Roman" w:hAnsi="Times New Roman" w:cs="Times New Roman"/>
          <w:color w:val="000000"/>
          <w:sz w:val="24"/>
          <w:szCs w:val="24"/>
          <w:lang w:eastAsia="en-PH"/>
        </w:rPr>
        <w:t xml:space="preserve"> indeed</w:t>
      </w:r>
      <w:r w:rsidR="00077939">
        <w:rPr>
          <w:rFonts w:ascii="Times New Roman" w:eastAsia="Times New Roman" w:hAnsi="Times New Roman" w:cs="Times New Roman"/>
          <w:color w:val="000000"/>
          <w:sz w:val="24"/>
          <w:szCs w:val="24"/>
          <w:lang w:eastAsia="en-PH"/>
        </w:rPr>
        <w:t xml:space="preserve"> a meaningful use of the term ‘health’, then it expands our contextual understanding of the term.</w:t>
      </w:r>
      <w:r>
        <w:rPr>
          <w:rFonts w:ascii="Times New Roman" w:eastAsia="Times New Roman" w:hAnsi="Times New Roman" w:cs="Times New Roman"/>
          <w:color w:val="000000"/>
          <w:sz w:val="24"/>
          <w:szCs w:val="24"/>
          <w:lang w:eastAsia="en-PH"/>
        </w:rPr>
        <w:t xml:space="preserve"> </w:t>
      </w:r>
      <w:r w:rsidR="00F30452">
        <w:rPr>
          <w:rFonts w:ascii="Times New Roman" w:eastAsia="Times New Roman" w:hAnsi="Times New Roman" w:cs="Times New Roman"/>
          <w:color w:val="000000"/>
          <w:sz w:val="24"/>
          <w:szCs w:val="24"/>
          <w:lang w:eastAsia="en-PH"/>
        </w:rPr>
        <w:t>To</w:t>
      </w:r>
      <w:r>
        <w:rPr>
          <w:rFonts w:ascii="Times New Roman" w:eastAsia="Times New Roman" w:hAnsi="Times New Roman" w:cs="Times New Roman"/>
          <w:color w:val="000000"/>
          <w:sz w:val="24"/>
          <w:szCs w:val="24"/>
          <w:lang w:eastAsia="en-PH"/>
        </w:rPr>
        <w:t xml:space="preserve"> understand</w:t>
      </w:r>
      <w:r w:rsidR="00F30452">
        <w:rPr>
          <w:rFonts w:ascii="Times New Roman" w:eastAsia="Times New Roman" w:hAnsi="Times New Roman" w:cs="Times New Roman"/>
          <w:color w:val="000000"/>
          <w:sz w:val="24"/>
          <w:szCs w:val="24"/>
          <w:lang w:eastAsia="en-PH"/>
        </w:rPr>
        <w:t xml:space="preserve"> the meaning of ‘health’</w:t>
      </w:r>
      <w:r>
        <w:rPr>
          <w:rFonts w:ascii="Times New Roman" w:eastAsia="Times New Roman" w:hAnsi="Times New Roman" w:cs="Times New Roman"/>
          <w:color w:val="000000"/>
          <w:sz w:val="24"/>
          <w:szCs w:val="24"/>
          <w:lang w:eastAsia="en-PH"/>
        </w:rPr>
        <w:t>, philosophers must reflect on</w:t>
      </w:r>
      <w:r w:rsidR="00F30452">
        <w:rPr>
          <w:rFonts w:ascii="Times New Roman" w:eastAsia="Times New Roman" w:hAnsi="Times New Roman" w:cs="Times New Roman"/>
          <w:color w:val="000000"/>
          <w:sz w:val="24"/>
          <w:szCs w:val="24"/>
          <w:lang w:eastAsia="en-PH"/>
        </w:rPr>
        <w:t xml:space="preserve"> the activities and context that give the word its meaning.</w:t>
      </w:r>
    </w:p>
    <w:p w14:paraId="5B77B8D9" w14:textId="3376E540" w:rsidR="00531F28" w:rsidRDefault="00D92E56" w:rsidP="00E12B97">
      <w:pPr>
        <w:spacing w:after="0" w:line="480" w:lineRule="auto"/>
        <w:ind w:firstLine="720"/>
        <w:jc w:val="both"/>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Furthermore, the various meanings of health can be grouped into</w:t>
      </w:r>
      <w:r w:rsidR="00CD50D4">
        <w:rPr>
          <w:rFonts w:ascii="Times New Roman" w:eastAsia="Times New Roman" w:hAnsi="Times New Roman" w:cs="Times New Roman"/>
          <w:color w:val="000000"/>
          <w:sz w:val="24"/>
          <w:szCs w:val="24"/>
          <w:lang w:eastAsia="en-PH"/>
        </w:rPr>
        <w:t xml:space="preserve"> categories</w:t>
      </w:r>
      <w:r w:rsidR="00DA4F3B">
        <w:rPr>
          <w:rFonts w:ascii="Times New Roman" w:eastAsia="Times New Roman" w:hAnsi="Times New Roman" w:cs="Times New Roman"/>
          <w:color w:val="000000"/>
          <w:sz w:val="24"/>
          <w:szCs w:val="24"/>
          <w:lang w:eastAsia="en-PH"/>
        </w:rPr>
        <w:t xml:space="preserve"> by virtue of their similarity to one another</w:t>
      </w:r>
      <w:r w:rsidR="00CD50D4">
        <w:rPr>
          <w:rFonts w:ascii="Times New Roman" w:eastAsia="Times New Roman" w:hAnsi="Times New Roman" w:cs="Times New Roman"/>
          <w:color w:val="000000"/>
          <w:sz w:val="24"/>
          <w:szCs w:val="24"/>
          <w:lang w:eastAsia="en-PH"/>
        </w:rPr>
        <w:t xml:space="preserve">. In these categories, it is also possible for there to be genuine </w:t>
      </w:r>
      <w:r w:rsidR="00CD50D4">
        <w:rPr>
          <w:rFonts w:ascii="Times New Roman" w:eastAsia="Times New Roman" w:hAnsi="Times New Roman" w:cs="Times New Roman"/>
          <w:color w:val="000000"/>
          <w:sz w:val="24"/>
          <w:szCs w:val="24"/>
          <w:lang w:eastAsia="en-PH"/>
        </w:rPr>
        <w:lastRenderedPageBreak/>
        <w:t>disagreements between each member conception of health.</w:t>
      </w:r>
      <w:r w:rsidR="00531F28">
        <w:rPr>
          <w:rFonts w:ascii="Times New Roman" w:eastAsia="Times New Roman" w:hAnsi="Times New Roman" w:cs="Times New Roman"/>
          <w:color w:val="000000"/>
          <w:sz w:val="24"/>
          <w:szCs w:val="24"/>
          <w:lang w:eastAsia="en-PH"/>
        </w:rPr>
        <w:t xml:space="preserve"> For example, non-naturalist-oriented philosophers must concede that their conception of health cannot be predicated on</w:t>
      </w:r>
      <w:r w:rsidR="00474C8E">
        <w:rPr>
          <w:rFonts w:ascii="Times New Roman" w:eastAsia="Times New Roman" w:hAnsi="Times New Roman" w:cs="Times New Roman"/>
          <w:color w:val="000000"/>
          <w:sz w:val="24"/>
          <w:szCs w:val="24"/>
          <w:lang w:eastAsia="en-PH"/>
        </w:rPr>
        <w:t xml:space="preserve"> human beings that are not self-conscious</w:t>
      </w:r>
      <w:r w:rsidR="00531F28">
        <w:rPr>
          <w:rFonts w:ascii="Times New Roman" w:eastAsia="Times New Roman" w:hAnsi="Times New Roman" w:cs="Times New Roman"/>
          <w:color w:val="000000"/>
          <w:sz w:val="24"/>
          <w:szCs w:val="24"/>
          <w:lang w:eastAsia="en-PH"/>
        </w:rPr>
        <w:t xml:space="preserve">. </w:t>
      </w:r>
      <w:proofErr w:type="spellStart"/>
      <w:r w:rsidR="00531F28">
        <w:rPr>
          <w:rFonts w:ascii="Times New Roman" w:eastAsia="Times New Roman" w:hAnsi="Times New Roman" w:cs="Times New Roman"/>
          <w:color w:val="000000"/>
          <w:sz w:val="24"/>
          <w:szCs w:val="24"/>
          <w:lang w:eastAsia="en-PH"/>
        </w:rPr>
        <w:t>Svenaeus</w:t>
      </w:r>
      <w:proofErr w:type="spellEnd"/>
      <w:r w:rsidR="00531F28">
        <w:rPr>
          <w:rFonts w:ascii="Times New Roman" w:eastAsia="Times New Roman" w:hAnsi="Times New Roman" w:cs="Times New Roman"/>
          <w:color w:val="000000"/>
          <w:sz w:val="24"/>
          <w:szCs w:val="24"/>
          <w:lang w:eastAsia="en-PH"/>
        </w:rPr>
        <w:t xml:space="preserve">’ phenomenological account of health as being a homelike being-in-the-world cannot account for the ‘mode of being’ of </w:t>
      </w:r>
      <w:r w:rsidR="001F5427">
        <w:rPr>
          <w:rFonts w:ascii="Times New Roman" w:eastAsia="Times New Roman" w:hAnsi="Times New Roman" w:cs="Times New Roman"/>
          <w:color w:val="000000"/>
          <w:sz w:val="24"/>
          <w:szCs w:val="24"/>
          <w:lang w:eastAsia="en-PH"/>
        </w:rPr>
        <w:t>fetuses and comatose individuals</w:t>
      </w:r>
      <w:r w:rsidR="00531F28">
        <w:rPr>
          <w:rFonts w:ascii="Times New Roman" w:eastAsia="Times New Roman" w:hAnsi="Times New Roman" w:cs="Times New Roman"/>
          <w:color w:val="000000"/>
          <w:sz w:val="24"/>
          <w:szCs w:val="24"/>
          <w:lang w:eastAsia="en-PH"/>
        </w:rPr>
        <w:t>.</w:t>
      </w:r>
      <w:r w:rsidR="00531F28">
        <w:rPr>
          <w:rStyle w:val="FootnoteReference"/>
          <w:rFonts w:ascii="Times New Roman" w:eastAsia="Times New Roman" w:hAnsi="Times New Roman" w:cs="Times New Roman"/>
          <w:color w:val="000000"/>
          <w:sz w:val="24"/>
          <w:szCs w:val="24"/>
          <w:lang w:eastAsia="en-PH"/>
        </w:rPr>
        <w:footnoteReference w:id="25"/>
      </w:r>
      <w:r w:rsidR="00531F28">
        <w:rPr>
          <w:rFonts w:ascii="Times New Roman" w:eastAsia="Times New Roman" w:hAnsi="Times New Roman" w:cs="Times New Roman"/>
          <w:color w:val="000000"/>
          <w:sz w:val="24"/>
          <w:szCs w:val="24"/>
          <w:lang w:eastAsia="en-PH"/>
        </w:rPr>
        <w:t xml:space="preserve"> </w:t>
      </w:r>
      <w:r w:rsidR="002F5C51">
        <w:rPr>
          <w:rFonts w:ascii="Times New Roman" w:eastAsia="Times New Roman" w:hAnsi="Times New Roman" w:cs="Times New Roman"/>
          <w:color w:val="000000"/>
          <w:sz w:val="24"/>
          <w:szCs w:val="24"/>
          <w:lang w:eastAsia="en-PH"/>
        </w:rPr>
        <w:t>Furthermore</w:t>
      </w:r>
      <w:r w:rsidR="001F5427">
        <w:rPr>
          <w:rFonts w:ascii="Times New Roman" w:eastAsia="Times New Roman" w:hAnsi="Times New Roman" w:cs="Times New Roman"/>
          <w:color w:val="000000"/>
          <w:sz w:val="24"/>
          <w:szCs w:val="24"/>
          <w:lang w:eastAsia="en-PH"/>
        </w:rPr>
        <w:t xml:space="preserve">, the non-naturalist conception of health also has difficulty in explaining how </w:t>
      </w:r>
      <w:r w:rsidR="002F5C51">
        <w:rPr>
          <w:rFonts w:ascii="Times New Roman" w:eastAsia="Times New Roman" w:hAnsi="Times New Roman" w:cs="Times New Roman"/>
          <w:color w:val="000000"/>
          <w:sz w:val="24"/>
          <w:szCs w:val="24"/>
          <w:lang w:eastAsia="en-PH"/>
        </w:rPr>
        <w:t>non-humans such as animals can be assessed as healthy when it is difficult them having personal goals of their own.</w:t>
      </w:r>
      <w:r w:rsidR="001F5427">
        <w:rPr>
          <w:rFonts w:ascii="Times New Roman" w:eastAsia="Times New Roman" w:hAnsi="Times New Roman" w:cs="Times New Roman"/>
          <w:color w:val="000000"/>
          <w:sz w:val="24"/>
          <w:szCs w:val="24"/>
          <w:lang w:eastAsia="en-PH"/>
        </w:rPr>
        <w:t xml:space="preserve"> </w:t>
      </w:r>
      <w:r w:rsidR="00531F28">
        <w:rPr>
          <w:rFonts w:ascii="Times New Roman" w:eastAsia="Times New Roman" w:hAnsi="Times New Roman" w:cs="Times New Roman"/>
          <w:color w:val="000000"/>
          <w:sz w:val="24"/>
          <w:szCs w:val="24"/>
          <w:lang w:eastAsia="en-PH"/>
        </w:rPr>
        <w:t xml:space="preserve">On the other hand, the naturalist notion of functional efficiency can be attributed to non-humans because </w:t>
      </w:r>
      <w:r w:rsidR="00FD0CF2">
        <w:rPr>
          <w:rFonts w:ascii="Times New Roman" w:eastAsia="Times New Roman" w:hAnsi="Times New Roman" w:cs="Times New Roman"/>
          <w:color w:val="000000"/>
          <w:sz w:val="24"/>
          <w:szCs w:val="24"/>
          <w:lang w:eastAsia="en-PH"/>
        </w:rPr>
        <w:t>non-human organisms</w:t>
      </w:r>
      <w:r w:rsidR="00531F28">
        <w:rPr>
          <w:rFonts w:ascii="Times New Roman" w:eastAsia="Times New Roman" w:hAnsi="Times New Roman" w:cs="Times New Roman"/>
          <w:color w:val="000000"/>
          <w:sz w:val="24"/>
          <w:szCs w:val="24"/>
          <w:lang w:eastAsia="en-PH"/>
        </w:rPr>
        <w:t xml:space="preserve"> </w:t>
      </w:r>
      <w:r w:rsidR="00FD0CF2">
        <w:rPr>
          <w:rFonts w:ascii="Times New Roman" w:eastAsia="Times New Roman" w:hAnsi="Times New Roman" w:cs="Times New Roman"/>
          <w:color w:val="000000"/>
          <w:sz w:val="24"/>
          <w:szCs w:val="24"/>
          <w:lang w:eastAsia="en-PH"/>
        </w:rPr>
        <w:t>arguably still possess</w:t>
      </w:r>
      <w:r w:rsidR="00531F28">
        <w:rPr>
          <w:rFonts w:ascii="Times New Roman" w:eastAsia="Times New Roman" w:hAnsi="Times New Roman" w:cs="Times New Roman"/>
          <w:color w:val="000000"/>
          <w:sz w:val="24"/>
          <w:szCs w:val="24"/>
          <w:lang w:eastAsia="en-PH"/>
        </w:rPr>
        <w:t xml:space="preserve"> biologically empirical goals (</w:t>
      </w:r>
      <w:r w:rsidR="00FD0CF2">
        <w:rPr>
          <w:rFonts w:ascii="Times New Roman" w:eastAsia="Times New Roman" w:hAnsi="Times New Roman" w:cs="Times New Roman"/>
          <w:color w:val="000000"/>
          <w:sz w:val="24"/>
          <w:szCs w:val="24"/>
          <w:lang w:eastAsia="en-PH"/>
        </w:rPr>
        <w:t>e.g.,</w:t>
      </w:r>
      <w:r w:rsidR="00531F28">
        <w:rPr>
          <w:rFonts w:ascii="Times New Roman" w:eastAsia="Times New Roman" w:hAnsi="Times New Roman" w:cs="Times New Roman"/>
          <w:color w:val="000000"/>
          <w:sz w:val="24"/>
          <w:szCs w:val="24"/>
          <w:lang w:eastAsia="en-PH"/>
        </w:rPr>
        <w:t xml:space="preserve"> survival and reproduction).</w:t>
      </w:r>
      <w:r w:rsidR="0040704B">
        <w:rPr>
          <w:rStyle w:val="FootnoteReference"/>
          <w:rFonts w:ascii="Times New Roman" w:eastAsia="Times New Roman" w:hAnsi="Times New Roman" w:cs="Times New Roman"/>
          <w:color w:val="000000"/>
          <w:sz w:val="24"/>
          <w:szCs w:val="24"/>
          <w:lang w:eastAsia="en-PH"/>
        </w:rPr>
        <w:footnoteReference w:id="26"/>
      </w:r>
    </w:p>
    <w:p w14:paraId="335083B3" w14:textId="3A9CF6F8" w:rsidR="00FD0CF2" w:rsidRDefault="00531F28" w:rsidP="002F5C51">
      <w:pPr>
        <w:spacing w:after="0" w:line="480" w:lineRule="auto"/>
        <w:ind w:firstLine="72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n-PH"/>
        </w:rPr>
        <w:t>Additionally</w:t>
      </w:r>
      <w:r w:rsidR="00DA4F3B">
        <w:rPr>
          <w:rFonts w:ascii="Times New Roman" w:eastAsia="Times New Roman" w:hAnsi="Times New Roman" w:cs="Times New Roman"/>
          <w:color w:val="000000"/>
          <w:sz w:val="24"/>
          <w:szCs w:val="24"/>
          <w:lang w:eastAsia="en-PH"/>
        </w:rPr>
        <w:t xml:space="preserve">, </w:t>
      </w:r>
      <w:r w:rsidR="00CD50D4">
        <w:rPr>
          <w:rFonts w:ascii="Times New Roman" w:eastAsia="Times New Roman" w:hAnsi="Times New Roman" w:cs="Times New Roman"/>
          <w:color w:val="000000"/>
          <w:sz w:val="24"/>
          <w:szCs w:val="24"/>
          <w:lang w:eastAsia="en-PH"/>
        </w:rPr>
        <w:t>members belonging to the naturalist camp</w:t>
      </w:r>
      <w:r w:rsidR="00DA4F3B">
        <w:rPr>
          <w:rFonts w:ascii="Times New Roman" w:eastAsia="Times New Roman" w:hAnsi="Times New Roman" w:cs="Times New Roman"/>
          <w:color w:val="000000"/>
          <w:sz w:val="24"/>
          <w:szCs w:val="24"/>
          <w:lang w:eastAsia="en-PH"/>
        </w:rPr>
        <w:t xml:space="preserve"> may contradict one another based on a genuine disagreement such as the one between Hausman and </w:t>
      </w:r>
      <w:proofErr w:type="spellStart"/>
      <w:r w:rsidR="00DA4F3B">
        <w:rPr>
          <w:rFonts w:ascii="Times New Roman" w:eastAsia="Times New Roman" w:hAnsi="Times New Roman" w:cs="Times New Roman"/>
          <w:color w:val="000000"/>
          <w:sz w:val="24"/>
          <w:szCs w:val="24"/>
          <w:lang w:eastAsia="en-PH"/>
        </w:rPr>
        <w:t>Boorse</w:t>
      </w:r>
      <w:proofErr w:type="spellEnd"/>
      <w:r w:rsidR="00C82610">
        <w:rPr>
          <w:rFonts w:ascii="Times New Roman" w:eastAsia="Times New Roman" w:hAnsi="Times New Roman" w:cs="Times New Roman"/>
          <w:color w:val="000000"/>
          <w:sz w:val="24"/>
          <w:szCs w:val="24"/>
          <w:lang w:eastAsia="en-PH"/>
        </w:rPr>
        <w:t xml:space="preserve"> discussed</w:t>
      </w:r>
      <w:r w:rsidR="00DA4F3B">
        <w:rPr>
          <w:rFonts w:ascii="Times New Roman" w:eastAsia="Times New Roman" w:hAnsi="Times New Roman" w:cs="Times New Roman"/>
          <w:color w:val="000000"/>
          <w:sz w:val="24"/>
          <w:szCs w:val="24"/>
          <w:lang w:eastAsia="en-PH"/>
        </w:rPr>
        <w:t xml:space="preserve"> on pages four to five of this paper</w:t>
      </w:r>
      <w:r w:rsidR="00CD50D4">
        <w:rPr>
          <w:rFonts w:ascii="Times New Roman" w:eastAsia="Times New Roman" w:hAnsi="Times New Roman" w:cs="Times New Roman"/>
          <w:color w:val="000000"/>
          <w:sz w:val="24"/>
          <w:szCs w:val="24"/>
          <w:lang w:eastAsia="en-PH"/>
        </w:rPr>
        <w:t xml:space="preserve">. </w:t>
      </w:r>
      <w:r>
        <w:rPr>
          <w:rFonts w:ascii="Times New Roman" w:eastAsia="Times New Roman" w:hAnsi="Times New Roman" w:cs="Times New Roman"/>
          <w:color w:val="000000"/>
          <w:sz w:val="24"/>
          <w:szCs w:val="24"/>
          <w:lang w:eastAsia="en-PH"/>
        </w:rPr>
        <w:t>Lastly</w:t>
      </w:r>
      <w:r w:rsidR="00CD50D4">
        <w:rPr>
          <w:rFonts w:ascii="Times New Roman" w:eastAsia="Times New Roman" w:hAnsi="Times New Roman" w:cs="Times New Roman"/>
          <w:color w:val="000000"/>
          <w:sz w:val="24"/>
          <w:szCs w:val="24"/>
          <w:lang w:eastAsia="en-PH"/>
        </w:rPr>
        <w:t>, members of the non-naturalist camp may argue about whether it is society or the individual</w:t>
      </w:r>
      <w:r w:rsidR="00513BF9">
        <w:rPr>
          <w:rFonts w:ascii="Times New Roman" w:eastAsia="Times New Roman" w:hAnsi="Times New Roman" w:cs="Times New Roman"/>
          <w:color w:val="000000"/>
          <w:sz w:val="24"/>
          <w:szCs w:val="24"/>
          <w:lang w:eastAsia="en-PH"/>
        </w:rPr>
        <w:t xml:space="preserve"> </w:t>
      </w:r>
      <w:r w:rsidR="00DA4F3B">
        <w:rPr>
          <w:rFonts w:ascii="Times New Roman" w:eastAsia="Times New Roman" w:hAnsi="Times New Roman" w:cs="Times New Roman"/>
          <w:color w:val="000000"/>
          <w:sz w:val="24"/>
          <w:szCs w:val="24"/>
          <w:lang w:eastAsia="en-PH"/>
        </w:rPr>
        <w:t xml:space="preserve">speaker </w:t>
      </w:r>
      <w:r w:rsidR="00CD50D4">
        <w:rPr>
          <w:rFonts w:ascii="Times New Roman" w:eastAsia="Times New Roman" w:hAnsi="Times New Roman" w:cs="Times New Roman"/>
          <w:color w:val="000000"/>
          <w:sz w:val="24"/>
          <w:szCs w:val="24"/>
          <w:lang w:eastAsia="en-PH"/>
        </w:rPr>
        <w:t xml:space="preserve">that determines the </w:t>
      </w:r>
      <w:r w:rsidR="00513BF9">
        <w:rPr>
          <w:rFonts w:ascii="Times New Roman" w:eastAsia="Times New Roman" w:hAnsi="Times New Roman" w:cs="Times New Roman"/>
          <w:color w:val="000000"/>
          <w:sz w:val="24"/>
          <w:szCs w:val="24"/>
          <w:lang w:eastAsia="en-PH"/>
        </w:rPr>
        <w:t>social values associated with health</w:t>
      </w:r>
      <w:r w:rsidR="00CD50D4">
        <w:rPr>
          <w:rFonts w:ascii="Times New Roman" w:eastAsia="Times New Roman" w:hAnsi="Times New Roman" w:cs="Times New Roman"/>
          <w:color w:val="000000"/>
          <w:sz w:val="24"/>
          <w:szCs w:val="24"/>
          <w:lang w:eastAsia="en-PH"/>
        </w:rPr>
        <w:t>.</w:t>
      </w:r>
      <w:r w:rsidR="00513BF9">
        <w:rPr>
          <w:rFonts w:ascii="Times New Roman" w:eastAsia="Times New Roman" w:hAnsi="Times New Roman" w:cs="Times New Roman"/>
          <w:color w:val="000000"/>
          <w:sz w:val="24"/>
          <w:szCs w:val="24"/>
          <w:lang w:eastAsia="en-PH"/>
        </w:rPr>
        <w:t xml:space="preserve"> One may have very little in terms of goals and still consider themselves to be healthy, yet society may disagree with this assessment and consider them to be unhealthy.</w:t>
      </w:r>
      <w:r w:rsidR="00513BF9">
        <w:rPr>
          <w:rStyle w:val="FootnoteReference"/>
          <w:rFonts w:ascii="Times New Roman" w:eastAsia="Times New Roman" w:hAnsi="Times New Roman" w:cs="Times New Roman"/>
          <w:color w:val="000000"/>
          <w:sz w:val="24"/>
          <w:szCs w:val="24"/>
          <w:lang w:eastAsia="en-PH"/>
        </w:rPr>
        <w:footnoteReference w:id="27"/>
      </w:r>
      <w:r w:rsidR="00CD50D4">
        <w:rPr>
          <w:rFonts w:ascii="Times New Roman" w:eastAsia="Times New Roman" w:hAnsi="Times New Roman" w:cs="Times New Roman"/>
          <w:color w:val="000000"/>
          <w:sz w:val="24"/>
          <w:szCs w:val="24"/>
          <w:lang w:eastAsia="en-PH"/>
        </w:rPr>
        <w:t xml:space="preserve"> </w:t>
      </w:r>
      <w:r w:rsidR="00CD50D4">
        <w:rPr>
          <w:rFonts w:ascii="Times New Roman" w:hAnsi="Times New Roman" w:cs="Times New Roman"/>
          <w:sz w:val="24"/>
          <w:szCs w:val="24"/>
        </w:rPr>
        <w:t xml:space="preserve">In </w:t>
      </w:r>
      <w:r w:rsidR="005313B8">
        <w:rPr>
          <w:rFonts w:ascii="Times New Roman" w:hAnsi="Times New Roman" w:cs="Times New Roman"/>
          <w:sz w:val="24"/>
          <w:szCs w:val="24"/>
        </w:rPr>
        <w:t xml:space="preserve">a vein </w:t>
      </w:r>
      <w:proofErr w:type="gramStart"/>
      <w:r w:rsidR="005313B8">
        <w:rPr>
          <w:rFonts w:ascii="Times New Roman" w:hAnsi="Times New Roman" w:cs="Times New Roman"/>
          <w:sz w:val="24"/>
          <w:szCs w:val="24"/>
        </w:rPr>
        <w:t>similar to</w:t>
      </w:r>
      <w:proofErr w:type="gramEnd"/>
      <w:r w:rsidR="005313B8">
        <w:rPr>
          <w:rFonts w:ascii="Times New Roman" w:hAnsi="Times New Roman" w:cs="Times New Roman"/>
          <w:sz w:val="24"/>
          <w:szCs w:val="24"/>
        </w:rPr>
        <w:t xml:space="preserve"> Wittgenstein’s examples of games,</w:t>
      </w:r>
      <w:r w:rsidR="00D92E56" w:rsidRPr="00D92E56">
        <w:rPr>
          <w:rFonts w:ascii="Times New Roman" w:hAnsi="Times New Roman" w:cs="Times New Roman"/>
          <w:sz w:val="24"/>
          <w:szCs w:val="24"/>
        </w:rPr>
        <w:t xml:space="preserve"> </w:t>
      </w:r>
      <w:r w:rsidR="005313B8">
        <w:rPr>
          <w:rFonts w:ascii="Times New Roman" w:hAnsi="Times New Roman" w:cs="Times New Roman"/>
          <w:sz w:val="24"/>
          <w:szCs w:val="24"/>
        </w:rPr>
        <w:t>the conceptions of health</w:t>
      </w:r>
      <w:r w:rsidR="00D92E56" w:rsidRPr="00D92E56">
        <w:rPr>
          <w:rFonts w:ascii="Times New Roman" w:hAnsi="Times New Roman" w:cs="Times New Roman"/>
          <w:sz w:val="24"/>
          <w:szCs w:val="24"/>
        </w:rPr>
        <w:t xml:space="preserve"> may </w:t>
      </w:r>
      <w:r w:rsidR="005313B8">
        <w:rPr>
          <w:rFonts w:ascii="Times New Roman" w:hAnsi="Times New Roman" w:cs="Times New Roman"/>
          <w:sz w:val="24"/>
          <w:szCs w:val="24"/>
        </w:rPr>
        <w:t>all share a family resemblance with other conceptions of health belonging to their camp, yet still bare no passing resemblance to the conceptions belonging to the other camp.</w:t>
      </w:r>
      <w:r w:rsidR="00D92E56" w:rsidRPr="00D92E56">
        <w:rPr>
          <w:rFonts w:ascii="Times New Roman" w:hAnsi="Times New Roman" w:cs="Times New Roman"/>
          <w:sz w:val="24"/>
          <w:szCs w:val="24"/>
        </w:rPr>
        <w:t xml:space="preserve"> </w:t>
      </w:r>
      <w:r w:rsidR="00F82015">
        <w:rPr>
          <w:rFonts w:ascii="Times New Roman" w:hAnsi="Times New Roman" w:cs="Times New Roman"/>
          <w:sz w:val="24"/>
          <w:szCs w:val="24"/>
        </w:rPr>
        <w:t>In both the</w:t>
      </w:r>
      <w:r w:rsidR="005313B8">
        <w:rPr>
          <w:rFonts w:ascii="Times New Roman" w:hAnsi="Times New Roman" w:cs="Times New Roman"/>
          <w:sz w:val="24"/>
          <w:szCs w:val="24"/>
        </w:rPr>
        <w:t xml:space="preserve"> </w:t>
      </w:r>
      <w:r w:rsidR="00D92E56" w:rsidRPr="00D92E56">
        <w:rPr>
          <w:rFonts w:ascii="Times New Roman" w:hAnsi="Times New Roman" w:cs="Times New Roman"/>
          <w:sz w:val="24"/>
          <w:szCs w:val="24"/>
        </w:rPr>
        <w:t>naturalist</w:t>
      </w:r>
      <w:r w:rsidR="005313B8">
        <w:rPr>
          <w:rFonts w:ascii="Times New Roman" w:hAnsi="Times New Roman" w:cs="Times New Roman"/>
          <w:sz w:val="24"/>
          <w:szCs w:val="24"/>
        </w:rPr>
        <w:t xml:space="preserve"> and non-naturalist</w:t>
      </w:r>
      <w:r w:rsidR="00D92E56" w:rsidRPr="00D92E56">
        <w:rPr>
          <w:rFonts w:ascii="Times New Roman" w:hAnsi="Times New Roman" w:cs="Times New Roman"/>
          <w:sz w:val="24"/>
          <w:szCs w:val="24"/>
        </w:rPr>
        <w:t xml:space="preserve"> c</w:t>
      </w:r>
      <w:r w:rsidR="00F82015">
        <w:rPr>
          <w:rFonts w:ascii="Times New Roman" w:hAnsi="Times New Roman" w:cs="Times New Roman"/>
          <w:sz w:val="24"/>
          <w:szCs w:val="24"/>
        </w:rPr>
        <w:t>amps, each conception</w:t>
      </w:r>
      <w:r w:rsidR="00D92E56" w:rsidRPr="00D92E56">
        <w:rPr>
          <w:rFonts w:ascii="Times New Roman" w:hAnsi="Times New Roman" w:cs="Times New Roman"/>
          <w:sz w:val="24"/>
          <w:szCs w:val="24"/>
        </w:rPr>
        <w:t xml:space="preserve"> of health arguabl</w:t>
      </w:r>
      <w:r w:rsidR="005313B8">
        <w:rPr>
          <w:rFonts w:ascii="Times New Roman" w:hAnsi="Times New Roman" w:cs="Times New Roman"/>
          <w:sz w:val="24"/>
          <w:szCs w:val="24"/>
        </w:rPr>
        <w:t>y</w:t>
      </w:r>
      <w:r w:rsidR="00D92E56" w:rsidRPr="00D92E56">
        <w:rPr>
          <w:rFonts w:ascii="Times New Roman" w:hAnsi="Times New Roman" w:cs="Times New Roman"/>
          <w:sz w:val="24"/>
          <w:szCs w:val="24"/>
        </w:rPr>
        <w:t xml:space="preserve"> </w:t>
      </w:r>
      <w:r w:rsidR="00135164" w:rsidRPr="00D92E56">
        <w:rPr>
          <w:rFonts w:ascii="Times New Roman" w:hAnsi="Times New Roman" w:cs="Times New Roman"/>
          <w:sz w:val="24"/>
          <w:szCs w:val="24"/>
        </w:rPr>
        <w:t>shares</w:t>
      </w:r>
      <w:r w:rsidR="0040704B">
        <w:rPr>
          <w:rFonts w:ascii="Times New Roman" w:hAnsi="Times New Roman" w:cs="Times New Roman"/>
          <w:sz w:val="24"/>
          <w:szCs w:val="24"/>
        </w:rPr>
        <w:t xml:space="preserve"> relevant </w:t>
      </w:r>
      <w:r w:rsidR="005313B8">
        <w:rPr>
          <w:rFonts w:ascii="Times New Roman" w:hAnsi="Times New Roman" w:cs="Times New Roman"/>
          <w:sz w:val="24"/>
          <w:szCs w:val="24"/>
        </w:rPr>
        <w:t xml:space="preserve">similarities between </w:t>
      </w:r>
      <w:r w:rsidR="00F82015">
        <w:rPr>
          <w:rFonts w:ascii="Times New Roman" w:hAnsi="Times New Roman" w:cs="Times New Roman"/>
          <w:sz w:val="24"/>
          <w:szCs w:val="24"/>
        </w:rPr>
        <w:t xml:space="preserve">members </w:t>
      </w:r>
      <w:r w:rsidR="0040704B">
        <w:rPr>
          <w:rFonts w:ascii="Times New Roman" w:hAnsi="Times New Roman" w:cs="Times New Roman"/>
          <w:sz w:val="24"/>
          <w:szCs w:val="24"/>
        </w:rPr>
        <w:t>for there to be a genuine debate</w:t>
      </w:r>
      <w:r w:rsidR="00D92E56" w:rsidRPr="00D92E56">
        <w:rPr>
          <w:rFonts w:ascii="Times New Roman" w:hAnsi="Times New Roman" w:cs="Times New Roman"/>
          <w:sz w:val="24"/>
          <w:szCs w:val="24"/>
        </w:rPr>
        <w:t>.</w:t>
      </w:r>
    </w:p>
    <w:p w14:paraId="4CBC3421" w14:textId="77777777" w:rsidR="00045EAF" w:rsidRDefault="00045EAF" w:rsidP="00E12B97">
      <w:pPr>
        <w:spacing w:after="0" w:line="480" w:lineRule="auto"/>
        <w:ind w:firstLine="720"/>
        <w:jc w:val="both"/>
        <w:rPr>
          <w:rFonts w:ascii="Times New Roman" w:hAnsi="Times New Roman" w:cs="Times New Roman"/>
          <w:sz w:val="24"/>
          <w:szCs w:val="24"/>
        </w:rPr>
      </w:pPr>
    </w:p>
    <w:p w14:paraId="0D06C5F7" w14:textId="6B28C6C1" w:rsidR="00D92E56" w:rsidRDefault="000C3262" w:rsidP="00BB745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Take for example</w:t>
      </w:r>
      <w:r w:rsidR="00DB4CFB">
        <w:rPr>
          <w:rFonts w:ascii="Times New Roman" w:hAnsi="Times New Roman" w:cs="Times New Roman"/>
          <w:sz w:val="24"/>
          <w:szCs w:val="24"/>
        </w:rPr>
        <w:t xml:space="preserve"> </w:t>
      </w:r>
      <w:r w:rsidR="00DB4CFB" w:rsidRPr="00122A40">
        <w:rPr>
          <w:rFonts w:ascii="Times New Roman" w:hAnsi="Times New Roman" w:cs="Times New Roman"/>
          <w:sz w:val="24"/>
          <w:szCs w:val="24"/>
        </w:rPr>
        <w:t>§</w:t>
      </w:r>
      <w:r w:rsidR="00DB4CFB">
        <w:rPr>
          <w:rFonts w:ascii="Times New Roman" w:hAnsi="Times New Roman" w:cs="Times New Roman"/>
          <w:sz w:val="24"/>
          <w:szCs w:val="24"/>
        </w:rPr>
        <w:t xml:space="preserve">65 of Wittgenstein’s </w:t>
      </w:r>
      <w:r w:rsidR="00DB4CFB">
        <w:rPr>
          <w:rFonts w:ascii="Times New Roman" w:hAnsi="Times New Roman" w:cs="Times New Roman"/>
          <w:i/>
          <w:iCs/>
          <w:sz w:val="24"/>
          <w:szCs w:val="24"/>
        </w:rPr>
        <w:t>Philosophical Investigations</w:t>
      </w:r>
      <w:r w:rsidR="00DB4CFB">
        <w:rPr>
          <w:rFonts w:ascii="Times New Roman" w:hAnsi="Times New Roman" w:cs="Times New Roman"/>
          <w:sz w:val="24"/>
          <w:szCs w:val="24"/>
        </w:rPr>
        <w:t>:</w:t>
      </w:r>
    </w:p>
    <w:p w14:paraId="676B95AB" w14:textId="2559A321" w:rsidR="00DB4CFB" w:rsidRDefault="00DB4CFB" w:rsidP="00E12B97">
      <w:pPr>
        <w:spacing w:after="0" w:line="480" w:lineRule="auto"/>
        <w:ind w:firstLine="720"/>
        <w:jc w:val="both"/>
        <w:rPr>
          <w:rFonts w:ascii="Times New Roman" w:hAnsi="Times New Roman" w:cs="Times New Roman"/>
          <w:sz w:val="24"/>
          <w:szCs w:val="24"/>
        </w:rPr>
      </w:pPr>
    </w:p>
    <w:p w14:paraId="68163E7E" w14:textId="02449C4A" w:rsidR="00DB4CFB" w:rsidRDefault="00DB4CFB" w:rsidP="00F44D38">
      <w:pPr>
        <w:spacing w:after="0" w:line="480" w:lineRule="auto"/>
        <w:ind w:left="720"/>
        <w:jc w:val="both"/>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 xml:space="preserve">“Consider for example the proceedings that we call “games”. I mean board-games, card-games, </w:t>
      </w:r>
      <w:proofErr w:type="gramStart"/>
      <w:r>
        <w:rPr>
          <w:rFonts w:ascii="Times New Roman" w:eastAsia="Times New Roman" w:hAnsi="Times New Roman" w:cs="Times New Roman"/>
          <w:color w:val="000000"/>
          <w:sz w:val="24"/>
          <w:szCs w:val="24"/>
          <w:lang w:eastAsia="en-PH"/>
        </w:rPr>
        <w:t>ball-games</w:t>
      </w:r>
      <w:proofErr w:type="gramEnd"/>
      <w:r>
        <w:rPr>
          <w:rFonts w:ascii="Times New Roman" w:eastAsia="Times New Roman" w:hAnsi="Times New Roman" w:cs="Times New Roman"/>
          <w:color w:val="000000"/>
          <w:sz w:val="24"/>
          <w:szCs w:val="24"/>
          <w:lang w:eastAsia="en-PH"/>
        </w:rPr>
        <w:t xml:space="preserve">, Olympic games, and so on. What is common to them all? – Don’t say: “There must be something common, or they would not be called ‘games’” – but </w:t>
      </w:r>
      <w:r>
        <w:rPr>
          <w:rFonts w:ascii="Times New Roman" w:eastAsia="Times New Roman" w:hAnsi="Times New Roman" w:cs="Times New Roman"/>
          <w:i/>
          <w:iCs/>
          <w:color w:val="000000"/>
          <w:sz w:val="24"/>
          <w:szCs w:val="24"/>
          <w:lang w:eastAsia="en-PH"/>
        </w:rPr>
        <w:t>look and see</w:t>
      </w:r>
      <w:r>
        <w:rPr>
          <w:rFonts w:ascii="Times New Roman" w:eastAsia="Times New Roman" w:hAnsi="Times New Roman" w:cs="Times New Roman"/>
          <w:color w:val="000000"/>
          <w:sz w:val="24"/>
          <w:szCs w:val="24"/>
          <w:lang w:eastAsia="en-PH"/>
        </w:rPr>
        <w:t xml:space="preserve"> whether there is anything common to </w:t>
      </w:r>
      <w:r w:rsidRPr="00DB4CFB">
        <w:rPr>
          <w:rFonts w:ascii="Times New Roman" w:eastAsia="Times New Roman" w:hAnsi="Times New Roman" w:cs="Times New Roman"/>
          <w:color w:val="000000"/>
          <w:sz w:val="24"/>
          <w:szCs w:val="24"/>
          <w:lang w:eastAsia="en-PH"/>
        </w:rPr>
        <w:t>all</w:t>
      </w:r>
      <w:r>
        <w:rPr>
          <w:rFonts w:ascii="Times New Roman" w:eastAsia="Times New Roman" w:hAnsi="Times New Roman" w:cs="Times New Roman"/>
          <w:color w:val="000000"/>
          <w:sz w:val="24"/>
          <w:szCs w:val="24"/>
          <w:lang w:eastAsia="en-PH"/>
        </w:rPr>
        <w:t xml:space="preserve">. – For if you look at them you will not see something common to </w:t>
      </w:r>
      <w:r>
        <w:rPr>
          <w:rFonts w:ascii="Times New Roman" w:eastAsia="Times New Roman" w:hAnsi="Times New Roman" w:cs="Times New Roman"/>
          <w:i/>
          <w:iCs/>
          <w:color w:val="000000"/>
          <w:sz w:val="24"/>
          <w:szCs w:val="24"/>
          <w:lang w:eastAsia="en-PH"/>
        </w:rPr>
        <w:t>all</w:t>
      </w:r>
      <w:r>
        <w:rPr>
          <w:rFonts w:ascii="Times New Roman" w:eastAsia="Times New Roman" w:hAnsi="Times New Roman" w:cs="Times New Roman"/>
          <w:color w:val="000000"/>
          <w:sz w:val="24"/>
          <w:szCs w:val="24"/>
          <w:lang w:eastAsia="en-PH"/>
        </w:rPr>
        <w:t>, but similarities, relationships, and a whole series of them at that.”</w:t>
      </w:r>
      <w:r>
        <w:rPr>
          <w:rStyle w:val="FootnoteReference"/>
          <w:rFonts w:ascii="Times New Roman" w:eastAsia="Times New Roman" w:hAnsi="Times New Roman" w:cs="Times New Roman"/>
          <w:color w:val="000000"/>
          <w:sz w:val="24"/>
          <w:szCs w:val="24"/>
          <w:lang w:eastAsia="en-PH"/>
        </w:rPr>
        <w:footnoteReference w:id="28"/>
      </w:r>
    </w:p>
    <w:p w14:paraId="1D2C6E7E" w14:textId="77777777" w:rsidR="00531F28" w:rsidRPr="00DB4CFB" w:rsidRDefault="00531F28" w:rsidP="00F44D38">
      <w:pPr>
        <w:spacing w:after="0" w:line="480" w:lineRule="auto"/>
        <w:ind w:left="720"/>
        <w:jc w:val="both"/>
        <w:rPr>
          <w:rFonts w:ascii="Times New Roman" w:eastAsia="Times New Roman" w:hAnsi="Times New Roman" w:cs="Times New Roman"/>
          <w:color w:val="000000"/>
          <w:sz w:val="24"/>
          <w:szCs w:val="24"/>
          <w:lang w:eastAsia="en-PH"/>
        </w:rPr>
      </w:pPr>
    </w:p>
    <w:p w14:paraId="173F705C" w14:textId="760503BE" w:rsidR="00687693" w:rsidRDefault="00F44D38" w:rsidP="00E12B97">
      <w:pPr>
        <w:spacing w:after="0" w:line="480" w:lineRule="auto"/>
        <w:ind w:firstLine="720"/>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Since</w:t>
      </w:r>
      <w:r w:rsidR="00B90320">
        <w:rPr>
          <w:rFonts w:ascii="Times New Roman" w:eastAsia="Times New Roman" w:hAnsi="Times New Roman" w:cs="Times New Roman"/>
          <w:sz w:val="24"/>
          <w:szCs w:val="24"/>
          <w:lang w:eastAsia="en-PH"/>
        </w:rPr>
        <w:t xml:space="preserve"> </w:t>
      </w:r>
      <w:r>
        <w:rPr>
          <w:rFonts w:ascii="Times New Roman" w:eastAsia="Times New Roman" w:hAnsi="Times New Roman" w:cs="Times New Roman"/>
          <w:sz w:val="24"/>
          <w:szCs w:val="24"/>
          <w:lang w:eastAsia="en-PH"/>
        </w:rPr>
        <w:t>most</w:t>
      </w:r>
      <w:r w:rsidR="00B90320">
        <w:rPr>
          <w:rFonts w:ascii="Times New Roman" w:eastAsia="Times New Roman" w:hAnsi="Times New Roman" w:cs="Times New Roman"/>
          <w:sz w:val="24"/>
          <w:szCs w:val="24"/>
          <w:lang w:eastAsia="en-PH"/>
        </w:rPr>
        <w:t xml:space="preserve"> naturalist meaning</w:t>
      </w:r>
      <w:r>
        <w:rPr>
          <w:rFonts w:ascii="Times New Roman" w:eastAsia="Times New Roman" w:hAnsi="Times New Roman" w:cs="Times New Roman"/>
          <w:sz w:val="24"/>
          <w:szCs w:val="24"/>
          <w:lang w:eastAsia="en-PH"/>
        </w:rPr>
        <w:t>s</w:t>
      </w:r>
      <w:r w:rsidR="00B90320">
        <w:rPr>
          <w:rFonts w:ascii="Times New Roman" w:eastAsia="Times New Roman" w:hAnsi="Times New Roman" w:cs="Times New Roman"/>
          <w:sz w:val="24"/>
          <w:szCs w:val="24"/>
          <w:lang w:eastAsia="en-PH"/>
        </w:rPr>
        <w:t xml:space="preserve"> for ‘health’ obviously do n</w:t>
      </w:r>
      <w:r w:rsidR="00D90ACD">
        <w:rPr>
          <w:rFonts w:ascii="Times New Roman" w:eastAsia="Times New Roman" w:hAnsi="Times New Roman" w:cs="Times New Roman"/>
          <w:sz w:val="24"/>
          <w:szCs w:val="24"/>
          <w:lang w:eastAsia="en-PH"/>
        </w:rPr>
        <w:t>ot bear a close family resemblance to</w:t>
      </w:r>
      <w:r w:rsidR="00B90320">
        <w:rPr>
          <w:rFonts w:ascii="Times New Roman" w:eastAsia="Times New Roman" w:hAnsi="Times New Roman" w:cs="Times New Roman"/>
          <w:sz w:val="24"/>
          <w:szCs w:val="24"/>
          <w:lang w:eastAsia="en-PH"/>
        </w:rPr>
        <w:t xml:space="preserve"> </w:t>
      </w:r>
      <w:r>
        <w:rPr>
          <w:rFonts w:ascii="Times New Roman" w:eastAsia="Times New Roman" w:hAnsi="Times New Roman" w:cs="Times New Roman"/>
          <w:sz w:val="24"/>
          <w:szCs w:val="24"/>
          <w:lang w:eastAsia="en-PH"/>
        </w:rPr>
        <w:t>most</w:t>
      </w:r>
      <w:r w:rsidR="00B90320">
        <w:rPr>
          <w:rFonts w:ascii="Times New Roman" w:eastAsia="Times New Roman" w:hAnsi="Times New Roman" w:cs="Times New Roman"/>
          <w:sz w:val="24"/>
          <w:szCs w:val="24"/>
          <w:lang w:eastAsia="en-PH"/>
        </w:rPr>
        <w:t xml:space="preserve"> non-naturalist meaning</w:t>
      </w:r>
      <w:r>
        <w:rPr>
          <w:rFonts w:ascii="Times New Roman" w:eastAsia="Times New Roman" w:hAnsi="Times New Roman" w:cs="Times New Roman"/>
          <w:sz w:val="24"/>
          <w:szCs w:val="24"/>
          <w:lang w:eastAsia="en-PH"/>
        </w:rPr>
        <w:t>s</w:t>
      </w:r>
      <w:r w:rsidR="00B90320">
        <w:rPr>
          <w:rFonts w:ascii="Times New Roman" w:eastAsia="Times New Roman" w:hAnsi="Times New Roman" w:cs="Times New Roman"/>
          <w:sz w:val="24"/>
          <w:szCs w:val="24"/>
          <w:lang w:eastAsia="en-PH"/>
        </w:rPr>
        <w:t xml:space="preserve"> for ‘health’, is it arguable that the semantic role of each </w:t>
      </w:r>
      <w:r w:rsidR="00893635">
        <w:rPr>
          <w:rFonts w:ascii="Times New Roman" w:eastAsia="Times New Roman" w:hAnsi="Times New Roman" w:cs="Times New Roman"/>
          <w:sz w:val="24"/>
          <w:szCs w:val="24"/>
          <w:lang w:eastAsia="en-PH"/>
        </w:rPr>
        <w:t xml:space="preserve">camp’s conception </w:t>
      </w:r>
      <w:r w:rsidR="00B90320">
        <w:rPr>
          <w:rFonts w:ascii="Times New Roman" w:eastAsia="Times New Roman" w:hAnsi="Times New Roman" w:cs="Times New Roman"/>
          <w:sz w:val="24"/>
          <w:szCs w:val="24"/>
          <w:lang w:eastAsia="en-PH"/>
        </w:rPr>
        <w:t xml:space="preserve">is distinct enough for each </w:t>
      </w:r>
      <w:r w:rsidR="00893635">
        <w:rPr>
          <w:rFonts w:ascii="Times New Roman" w:eastAsia="Times New Roman" w:hAnsi="Times New Roman" w:cs="Times New Roman"/>
          <w:sz w:val="24"/>
          <w:szCs w:val="24"/>
          <w:lang w:eastAsia="en-PH"/>
        </w:rPr>
        <w:t>conception</w:t>
      </w:r>
      <w:r w:rsidR="00B90320">
        <w:rPr>
          <w:rFonts w:ascii="Times New Roman" w:eastAsia="Times New Roman" w:hAnsi="Times New Roman" w:cs="Times New Roman"/>
          <w:sz w:val="24"/>
          <w:szCs w:val="24"/>
          <w:lang w:eastAsia="en-PH"/>
        </w:rPr>
        <w:t xml:space="preserve"> to not contradict one another.</w:t>
      </w:r>
      <w:r w:rsidR="00AE05F0">
        <w:rPr>
          <w:rFonts w:ascii="Times New Roman" w:eastAsia="Times New Roman" w:hAnsi="Times New Roman" w:cs="Times New Roman"/>
          <w:sz w:val="24"/>
          <w:szCs w:val="24"/>
          <w:lang w:eastAsia="en-PH"/>
        </w:rPr>
        <w:t xml:space="preserve"> Each conception of health is distinct enough that they can be individually referred to depending on the context and human activity of the utterance. For example, the naturalist conception of health arguably takes priority in conversations </w:t>
      </w:r>
      <w:r w:rsidR="006E3B31">
        <w:rPr>
          <w:rFonts w:ascii="Times New Roman" w:eastAsia="Times New Roman" w:hAnsi="Times New Roman" w:cs="Times New Roman"/>
          <w:sz w:val="24"/>
          <w:szCs w:val="24"/>
          <w:lang w:eastAsia="en-PH"/>
        </w:rPr>
        <w:t>involving medical diagnosis</w:t>
      </w:r>
      <w:r w:rsidR="00893635">
        <w:rPr>
          <w:rFonts w:ascii="Times New Roman" w:eastAsia="Times New Roman" w:hAnsi="Times New Roman" w:cs="Times New Roman"/>
          <w:sz w:val="24"/>
          <w:szCs w:val="24"/>
          <w:lang w:eastAsia="en-PH"/>
        </w:rPr>
        <w:t xml:space="preserve"> and medical theory</w:t>
      </w:r>
      <w:r w:rsidR="006E3B31">
        <w:rPr>
          <w:rFonts w:ascii="Times New Roman" w:eastAsia="Times New Roman" w:hAnsi="Times New Roman" w:cs="Times New Roman"/>
          <w:sz w:val="24"/>
          <w:szCs w:val="24"/>
          <w:lang w:eastAsia="en-PH"/>
        </w:rPr>
        <w:t>. To consider someone as ‘healthy’ in these conversations is to either assert or hypothesize that there are no abnormalities in the organism or organism’s</w:t>
      </w:r>
      <w:r w:rsidR="00893635">
        <w:rPr>
          <w:rFonts w:ascii="Times New Roman" w:eastAsia="Times New Roman" w:hAnsi="Times New Roman" w:cs="Times New Roman"/>
          <w:sz w:val="24"/>
          <w:szCs w:val="24"/>
          <w:lang w:eastAsia="en-PH"/>
        </w:rPr>
        <w:t xml:space="preserve"> internal mechanisms to reduce functional efficiency. A speaker can become aware that they are in this kind of conversation </w:t>
      </w:r>
      <w:r w:rsidR="00577B3C">
        <w:rPr>
          <w:rFonts w:ascii="Times New Roman" w:eastAsia="Times New Roman" w:hAnsi="Times New Roman" w:cs="Times New Roman"/>
          <w:sz w:val="24"/>
          <w:szCs w:val="24"/>
          <w:lang w:eastAsia="en-PH"/>
        </w:rPr>
        <w:t>by the presence of the other value-free, technical terms of the medical sciences</w:t>
      </w:r>
      <w:r w:rsidR="00731DE2">
        <w:rPr>
          <w:rFonts w:ascii="Times New Roman" w:eastAsia="Times New Roman" w:hAnsi="Times New Roman" w:cs="Times New Roman"/>
          <w:sz w:val="24"/>
          <w:szCs w:val="24"/>
          <w:lang w:eastAsia="en-PH"/>
        </w:rPr>
        <w:t xml:space="preserve"> such as discussions about a disease’s etiology. It can also be inferred that these conversations occur mostly between medical professionals as well.</w:t>
      </w:r>
    </w:p>
    <w:p w14:paraId="396D8C1B" w14:textId="62F0E52C" w:rsidR="00731DE2" w:rsidRPr="00577B3C" w:rsidRDefault="00731DE2" w:rsidP="00E12B97">
      <w:pPr>
        <w:spacing w:after="0" w:line="480" w:lineRule="auto"/>
        <w:ind w:firstLine="720"/>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lastRenderedPageBreak/>
        <w:t>On the other hand, the non-naturalist conception of ‘health’ takes priority when the conversation is concerned with medical practice – the treatment of the patient’s illness and/or suffering</w:t>
      </w:r>
      <w:r w:rsidR="00457967">
        <w:rPr>
          <w:rFonts w:ascii="Times New Roman" w:eastAsia="Times New Roman" w:hAnsi="Times New Roman" w:cs="Times New Roman"/>
          <w:sz w:val="24"/>
          <w:szCs w:val="24"/>
          <w:lang w:eastAsia="en-PH"/>
        </w:rPr>
        <w:t xml:space="preserve"> – which is distinct from medical theory</w:t>
      </w:r>
      <w:r>
        <w:rPr>
          <w:rFonts w:ascii="Times New Roman" w:eastAsia="Times New Roman" w:hAnsi="Times New Roman" w:cs="Times New Roman"/>
          <w:sz w:val="24"/>
          <w:szCs w:val="24"/>
          <w:lang w:eastAsia="en-PH"/>
        </w:rPr>
        <w:t>.</w:t>
      </w:r>
      <w:r w:rsidR="0089701C">
        <w:rPr>
          <w:rStyle w:val="FootnoteReference"/>
          <w:rFonts w:ascii="Times New Roman" w:eastAsia="Times New Roman" w:hAnsi="Times New Roman" w:cs="Times New Roman"/>
          <w:sz w:val="24"/>
          <w:szCs w:val="24"/>
          <w:lang w:eastAsia="en-PH"/>
        </w:rPr>
        <w:footnoteReference w:id="29"/>
      </w:r>
      <w:r w:rsidR="00425D39">
        <w:rPr>
          <w:rFonts w:ascii="Times New Roman" w:eastAsia="Times New Roman" w:hAnsi="Times New Roman" w:cs="Times New Roman"/>
          <w:sz w:val="24"/>
          <w:szCs w:val="24"/>
          <w:lang w:eastAsia="en-PH"/>
        </w:rPr>
        <w:t xml:space="preserve"> The range of speakers includes not only medical professionals, but laypersons as well. In this context, is often the case that ‘</w:t>
      </w:r>
      <w:proofErr w:type="gramStart"/>
      <w:r w:rsidR="00425D39">
        <w:rPr>
          <w:rFonts w:ascii="Times New Roman" w:eastAsia="Times New Roman" w:hAnsi="Times New Roman" w:cs="Times New Roman"/>
          <w:sz w:val="24"/>
          <w:szCs w:val="24"/>
          <w:lang w:eastAsia="en-PH"/>
        </w:rPr>
        <w:t>illness’</w:t>
      </w:r>
      <w:proofErr w:type="gramEnd"/>
      <w:r w:rsidR="00425D39">
        <w:rPr>
          <w:rFonts w:ascii="Times New Roman" w:eastAsia="Times New Roman" w:hAnsi="Times New Roman" w:cs="Times New Roman"/>
          <w:sz w:val="24"/>
          <w:szCs w:val="24"/>
          <w:lang w:eastAsia="en-PH"/>
        </w:rPr>
        <w:t xml:space="preserve"> and ‘health’ are understood in their ordinary, nontechnical (and thereby non-naturalist) usage. </w:t>
      </w:r>
      <w:r w:rsidR="00E35047">
        <w:rPr>
          <w:rFonts w:ascii="Times New Roman" w:eastAsia="Times New Roman" w:hAnsi="Times New Roman" w:cs="Times New Roman"/>
          <w:sz w:val="24"/>
          <w:szCs w:val="24"/>
          <w:lang w:eastAsia="en-PH"/>
        </w:rPr>
        <w:t>T</w:t>
      </w:r>
      <w:r w:rsidR="00425D39">
        <w:rPr>
          <w:rFonts w:ascii="Times New Roman" w:eastAsia="Times New Roman" w:hAnsi="Times New Roman" w:cs="Times New Roman"/>
          <w:sz w:val="24"/>
          <w:szCs w:val="24"/>
          <w:lang w:eastAsia="en-PH"/>
        </w:rPr>
        <w:t>he medical professional must become aware of this change</w:t>
      </w:r>
      <w:r w:rsidR="00E35047">
        <w:rPr>
          <w:rFonts w:ascii="Times New Roman" w:eastAsia="Times New Roman" w:hAnsi="Times New Roman" w:cs="Times New Roman"/>
          <w:sz w:val="24"/>
          <w:szCs w:val="24"/>
          <w:lang w:eastAsia="en-PH"/>
        </w:rPr>
        <w:t xml:space="preserve"> in context. The medical professional must try not to interchange the nontechnical meaning of ‘health’ with its naturalist, technical one; and vice versa.</w:t>
      </w:r>
    </w:p>
    <w:p w14:paraId="031901CC" w14:textId="7657336E" w:rsidR="00792F41" w:rsidRDefault="00113AFC" w:rsidP="008F550D">
      <w:pPr>
        <w:spacing w:after="0" w:line="480" w:lineRule="auto"/>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ab/>
        <w:t>Similar to Wittgenst</w:t>
      </w:r>
      <w:r w:rsidR="00687693">
        <w:rPr>
          <w:rFonts w:ascii="Times New Roman" w:eastAsia="Times New Roman" w:hAnsi="Times New Roman" w:cs="Times New Roman"/>
          <w:sz w:val="24"/>
          <w:szCs w:val="24"/>
          <w:lang w:eastAsia="en-PH"/>
        </w:rPr>
        <w:t xml:space="preserve">ein and </w:t>
      </w:r>
      <w:proofErr w:type="spellStart"/>
      <w:r w:rsidR="00687693">
        <w:rPr>
          <w:rFonts w:ascii="Times New Roman" w:eastAsia="Times New Roman" w:hAnsi="Times New Roman" w:cs="Times New Roman"/>
          <w:sz w:val="24"/>
          <w:szCs w:val="24"/>
          <w:lang w:eastAsia="en-PH"/>
        </w:rPr>
        <w:t>Wittgensteinian</w:t>
      </w:r>
      <w:proofErr w:type="spellEnd"/>
      <w:r w:rsidR="00687693">
        <w:rPr>
          <w:rFonts w:ascii="Times New Roman" w:eastAsia="Times New Roman" w:hAnsi="Times New Roman" w:cs="Times New Roman"/>
          <w:sz w:val="24"/>
          <w:szCs w:val="24"/>
          <w:lang w:eastAsia="en-PH"/>
        </w:rPr>
        <w:t xml:space="preserve"> scholars</w:t>
      </w:r>
      <w:r>
        <w:rPr>
          <w:rFonts w:ascii="Times New Roman" w:eastAsia="Times New Roman" w:hAnsi="Times New Roman" w:cs="Times New Roman"/>
          <w:sz w:val="24"/>
          <w:szCs w:val="24"/>
          <w:lang w:eastAsia="en-PH"/>
        </w:rPr>
        <w:t xml:space="preserve">, the psychiatrist Thomas Szasz </w:t>
      </w:r>
      <w:r w:rsidR="007A1F6D">
        <w:rPr>
          <w:rFonts w:ascii="Times New Roman" w:eastAsia="Times New Roman" w:hAnsi="Times New Roman" w:cs="Times New Roman"/>
          <w:sz w:val="24"/>
          <w:szCs w:val="24"/>
          <w:lang w:eastAsia="en-PH"/>
        </w:rPr>
        <w:t>consistently</w:t>
      </w:r>
      <w:r>
        <w:rPr>
          <w:rFonts w:ascii="Times New Roman" w:eastAsia="Times New Roman" w:hAnsi="Times New Roman" w:cs="Times New Roman"/>
          <w:sz w:val="24"/>
          <w:szCs w:val="24"/>
          <w:lang w:eastAsia="en-PH"/>
        </w:rPr>
        <w:t xml:space="preserve"> emphasize</w:t>
      </w:r>
      <w:r w:rsidR="007A1F6D">
        <w:rPr>
          <w:rFonts w:ascii="Times New Roman" w:eastAsia="Times New Roman" w:hAnsi="Times New Roman" w:cs="Times New Roman"/>
          <w:sz w:val="24"/>
          <w:szCs w:val="24"/>
          <w:lang w:eastAsia="en-PH"/>
        </w:rPr>
        <w:t>d</w:t>
      </w:r>
      <w:r>
        <w:rPr>
          <w:rFonts w:ascii="Times New Roman" w:eastAsia="Times New Roman" w:hAnsi="Times New Roman" w:cs="Times New Roman"/>
          <w:sz w:val="24"/>
          <w:szCs w:val="24"/>
          <w:lang w:eastAsia="en-PH"/>
        </w:rPr>
        <w:t xml:space="preserve"> the semantic distinction between the terms ‘</w:t>
      </w:r>
      <w:proofErr w:type="gramStart"/>
      <w:r>
        <w:rPr>
          <w:rFonts w:ascii="Times New Roman" w:eastAsia="Times New Roman" w:hAnsi="Times New Roman" w:cs="Times New Roman"/>
          <w:sz w:val="24"/>
          <w:szCs w:val="24"/>
          <w:lang w:eastAsia="en-PH"/>
        </w:rPr>
        <w:t>diagnosis’</w:t>
      </w:r>
      <w:proofErr w:type="gramEnd"/>
      <w:r>
        <w:rPr>
          <w:rFonts w:ascii="Times New Roman" w:eastAsia="Times New Roman" w:hAnsi="Times New Roman" w:cs="Times New Roman"/>
          <w:sz w:val="24"/>
          <w:szCs w:val="24"/>
          <w:lang w:eastAsia="en-PH"/>
        </w:rPr>
        <w:t xml:space="preserve"> and ‘</w:t>
      </w:r>
      <w:r w:rsidR="00DE3E9C">
        <w:rPr>
          <w:rFonts w:ascii="Times New Roman" w:eastAsia="Times New Roman" w:hAnsi="Times New Roman" w:cs="Times New Roman"/>
          <w:sz w:val="24"/>
          <w:szCs w:val="24"/>
          <w:lang w:eastAsia="en-PH"/>
        </w:rPr>
        <w:t>disease</w:t>
      </w:r>
      <w:r>
        <w:rPr>
          <w:rFonts w:ascii="Times New Roman" w:eastAsia="Times New Roman" w:hAnsi="Times New Roman" w:cs="Times New Roman"/>
          <w:sz w:val="24"/>
          <w:szCs w:val="24"/>
          <w:lang w:eastAsia="en-PH"/>
        </w:rPr>
        <w:t>’.</w:t>
      </w:r>
      <w:r w:rsidR="00DE3E9C">
        <w:rPr>
          <w:rStyle w:val="FootnoteReference"/>
          <w:rFonts w:ascii="Times New Roman" w:eastAsia="Times New Roman" w:hAnsi="Times New Roman" w:cs="Times New Roman"/>
          <w:sz w:val="24"/>
          <w:szCs w:val="24"/>
          <w:lang w:eastAsia="en-PH"/>
        </w:rPr>
        <w:footnoteReference w:id="30"/>
      </w:r>
      <w:r>
        <w:rPr>
          <w:rFonts w:ascii="Times New Roman" w:eastAsia="Times New Roman" w:hAnsi="Times New Roman" w:cs="Times New Roman"/>
          <w:sz w:val="24"/>
          <w:szCs w:val="24"/>
          <w:lang w:eastAsia="en-PH"/>
        </w:rPr>
        <w:t xml:space="preserve"> </w:t>
      </w:r>
      <w:r w:rsidR="00E25C63">
        <w:rPr>
          <w:rFonts w:ascii="Times New Roman" w:eastAsia="Times New Roman" w:hAnsi="Times New Roman" w:cs="Times New Roman"/>
          <w:sz w:val="24"/>
          <w:szCs w:val="24"/>
          <w:lang w:eastAsia="en-PH"/>
        </w:rPr>
        <w:t xml:space="preserve">In Szasz’s </w:t>
      </w:r>
      <w:r w:rsidR="00AC1748">
        <w:rPr>
          <w:rFonts w:ascii="Times New Roman" w:eastAsia="Times New Roman" w:hAnsi="Times New Roman" w:cs="Times New Roman"/>
          <w:sz w:val="24"/>
          <w:szCs w:val="24"/>
          <w:lang w:eastAsia="en-PH"/>
        </w:rPr>
        <w:t>work</w:t>
      </w:r>
      <w:r w:rsidR="00E25C63">
        <w:rPr>
          <w:rFonts w:ascii="Times New Roman" w:eastAsia="Times New Roman" w:hAnsi="Times New Roman" w:cs="Times New Roman"/>
          <w:sz w:val="24"/>
          <w:szCs w:val="24"/>
          <w:lang w:eastAsia="en-PH"/>
        </w:rPr>
        <w:t xml:space="preserve">, </w:t>
      </w:r>
      <w:r w:rsidR="00AC1748">
        <w:rPr>
          <w:rFonts w:ascii="Times New Roman" w:eastAsia="Times New Roman" w:hAnsi="Times New Roman" w:cs="Times New Roman"/>
          <w:sz w:val="24"/>
          <w:szCs w:val="24"/>
          <w:lang w:eastAsia="en-PH"/>
        </w:rPr>
        <w:t>the primary purpose of his research</w:t>
      </w:r>
      <w:r w:rsidR="00E25C63">
        <w:rPr>
          <w:rFonts w:ascii="Times New Roman" w:eastAsia="Times New Roman" w:hAnsi="Times New Roman" w:cs="Times New Roman"/>
          <w:sz w:val="24"/>
          <w:szCs w:val="24"/>
          <w:lang w:eastAsia="en-PH"/>
        </w:rPr>
        <w:t xml:space="preserve"> was to</w:t>
      </w:r>
      <w:r w:rsidR="00CF38F4">
        <w:rPr>
          <w:rFonts w:ascii="Times New Roman" w:eastAsia="Times New Roman" w:hAnsi="Times New Roman" w:cs="Times New Roman"/>
          <w:sz w:val="24"/>
          <w:szCs w:val="24"/>
          <w:lang w:eastAsia="en-PH"/>
        </w:rPr>
        <w:t xml:space="preserve"> argue that the conditions considered to be ‘mental </w:t>
      </w:r>
      <w:r w:rsidR="00D8454B">
        <w:rPr>
          <w:rFonts w:ascii="Times New Roman" w:eastAsia="Times New Roman" w:hAnsi="Times New Roman" w:cs="Times New Roman"/>
          <w:sz w:val="24"/>
          <w:szCs w:val="24"/>
          <w:lang w:eastAsia="en-PH"/>
        </w:rPr>
        <w:t>disorders</w:t>
      </w:r>
      <w:r w:rsidR="007A1F6D">
        <w:rPr>
          <w:rFonts w:ascii="Times New Roman" w:eastAsia="Times New Roman" w:hAnsi="Times New Roman" w:cs="Times New Roman"/>
          <w:sz w:val="24"/>
          <w:szCs w:val="24"/>
          <w:lang w:eastAsia="en-PH"/>
        </w:rPr>
        <w:t>’ such as depression are not diseases at all.</w:t>
      </w:r>
      <w:r w:rsidR="0048220B">
        <w:rPr>
          <w:rFonts w:ascii="Times New Roman" w:eastAsia="Times New Roman" w:hAnsi="Times New Roman" w:cs="Times New Roman"/>
          <w:sz w:val="24"/>
          <w:szCs w:val="24"/>
          <w:lang w:eastAsia="en-PH"/>
        </w:rPr>
        <w:t xml:space="preserve"> </w:t>
      </w:r>
      <w:r w:rsidR="00792F41">
        <w:rPr>
          <w:rFonts w:ascii="Times New Roman" w:eastAsia="Times New Roman" w:hAnsi="Times New Roman" w:cs="Times New Roman"/>
          <w:sz w:val="24"/>
          <w:szCs w:val="24"/>
          <w:lang w:eastAsia="en-PH"/>
        </w:rPr>
        <w:t xml:space="preserve">Instead, </w:t>
      </w:r>
      <w:r w:rsidR="0048220B">
        <w:rPr>
          <w:rFonts w:ascii="Times New Roman" w:eastAsia="Times New Roman" w:hAnsi="Times New Roman" w:cs="Times New Roman"/>
          <w:sz w:val="24"/>
          <w:szCs w:val="24"/>
          <w:lang w:eastAsia="en-PH"/>
        </w:rPr>
        <w:t xml:space="preserve">Szasz’s </w:t>
      </w:r>
      <w:r w:rsidR="00575AC3">
        <w:rPr>
          <w:rFonts w:ascii="Times New Roman" w:eastAsia="Times New Roman" w:hAnsi="Times New Roman" w:cs="Times New Roman"/>
          <w:sz w:val="24"/>
          <w:szCs w:val="24"/>
          <w:lang w:eastAsia="en-PH"/>
        </w:rPr>
        <w:t>argues</w:t>
      </w:r>
      <w:r w:rsidR="0048220B">
        <w:rPr>
          <w:rFonts w:ascii="Times New Roman" w:eastAsia="Times New Roman" w:hAnsi="Times New Roman" w:cs="Times New Roman"/>
          <w:sz w:val="24"/>
          <w:szCs w:val="24"/>
          <w:lang w:eastAsia="en-PH"/>
        </w:rPr>
        <w:t xml:space="preserve"> that </w:t>
      </w:r>
      <w:r w:rsidR="00992D16">
        <w:rPr>
          <w:rFonts w:ascii="Times New Roman" w:eastAsia="Times New Roman" w:hAnsi="Times New Roman" w:cs="Times New Roman"/>
          <w:sz w:val="24"/>
          <w:szCs w:val="24"/>
          <w:lang w:eastAsia="en-PH"/>
        </w:rPr>
        <w:t xml:space="preserve">similar cases of mental </w:t>
      </w:r>
      <w:r w:rsidR="00D8454B">
        <w:rPr>
          <w:rFonts w:ascii="Times New Roman" w:eastAsia="Times New Roman" w:hAnsi="Times New Roman" w:cs="Times New Roman"/>
          <w:sz w:val="24"/>
          <w:szCs w:val="24"/>
          <w:lang w:eastAsia="en-PH"/>
        </w:rPr>
        <w:t>disorders</w:t>
      </w:r>
      <w:r w:rsidR="00992D16">
        <w:rPr>
          <w:rFonts w:ascii="Times New Roman" w:eastAsia="Times New Roman" w:hAnsi="Times New Roman" w:cs="Times New Roman"/>
          <w:sz w:val="24"/>
          <w:szCs w:val="24"/>
          <w:lang w:eastAsia="en-PH"/>
        </w:rPr>
        <w:t xml:space="preserve"> </w:t>
      </w:r>
      <w:r w:rsidR="00AC1748">
        <w:rPr>
          <w:rFonts w:ascii="Times New Roman" w:eastAsia="Times New Roman" w:hAnsi="Times New Roman" w:cs="Times New Roman"/>
          <w:sz w:val="24"/>
          <w:szCs w:val="24"/>
          <w:lang w:eastAsia="en-PH"/>
        </w:rPr>
        <w:t>do not share any common underlying features discoverable by the sciences.</w:t>
      </w:r>
    </w:p>
    <w:p w14:paraId="66193A50" w14:textId="476B78B1" w:rsidR="00575AC3" w:rsidRDefault="00243BA6" w:rsidP="00575AC3">
      <w:pPr>
        <w:spacing w:after="0" w:line="480" w:lineRule="auto"/>
        <w:ind w:firstLine="720"/>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According to Szasz, </w:t>
      </w:r>
      <w:r w:rsidR="00992D16">
        <w:rPr>
          <w:rFonts w:ascii="Times New Roman" w:eastAsia="Times New Roman" w:hAnsi="Times New Roman" w:cs="Times New Roman"/>
          <w:sz w:val="24"/>
          <w:szCs w:val="24"/>
          <w:lang w:eastAsia="en-PH"/>
        </w:rPr>
        <w:t>diseases are physical phenomena that are demonstrable through anatomical or physical lesions.</w:t>
      </w:r>
      <w:r w:rsidR="00992D16">
        <w:rPr>
          <w:rStyle w:val="FootnoteReference"/>
          <w:rFonts w:ascii="Times New Roman" w:eastAsia="Times New Roman" w:hAnsi="Times New Roman" w:cs="Times New Roman"/>
          <w:sz w:val="24"/>
          <w:szCs w:val="24"/>
          <w:lang w:eastAsia="en-PH"/>
        </w:rPr>
        <w:footnoteReference w:id="31"/>
      </w:r>
      <w:r w:rsidR="00992D16">
        <w:rPr>
          <w:rFonts w:ascii="Times New Roman" w:eastAsia="Times New Roman" w:hAnsi="Times New Roman" w:cs="Times New Roman"/>
          <w:sz w:val="24"/>
          <w:szCs w:val="24"/>
          <w:lang w:eastAsia="en-PH"/>
        </w:rPr>
        <w:t xml:space="preserve"> For example, a person’s deficiency in seeing can be adequately explained by correlating it to some physical lesion in the brain.</w:t>
      </w:r>
      <w:r w:rsidR="00792F41">
        <w:rPr>
          <w:rFonts w:ascii="Times New Roman" w:eastAsia="Times New Roman" w:hAnsi="Times New Roman" w:cs="Times New Roman"/>
          <w:sz w:val="24"/>
          <w:szCs w:val="24"/>
          <w:lang w:eastAsia="en-PH"/>
        </w:rPr>
        <w:t xml:space="preserve"> If there is existing treatment that can improve the functional efficiency of this brain area, then it is theoretically possible </w:t>
      </w:r>
      <w:r w:rsidR="00575AC3">
        <w:rPr>
          <w:rFonts w:ascii="Times New Roman" w:eastAsia="Times New Roman" w:hAnsi="Times New Roman" w:cs="Times New Roman"/>
          <w:sz w:val="24"/>
          <w:szCs w:val="24"/>
          <w:lang w:eastAsia="en-PH"/>
        </w:rPr>
        <w:t xml:space="preserve">to correct </w:t>
      </w:r>
      <w:r w:rsidR="00575AC3">
        <w:rPr>
          <w:rFonts w:ascii="Times New Roman" w:eastAsia="Times New Roman" w:hAnsi="Times New Roman" w:cs="Times New Roman"/>
          <w:sz w:val="24"/>
          <w:szCs w:val="24"/>
          <w:lang w:eastAsia="en-PH"/>
        </w:rPr>
        <w:lastRenderedPageBreak/>
        <w:t>the person’s vision so that they may see appropriately</w:t>
      </w:r>
      <w:r w:rsidR="00792F41">
        <w:rPr>
          <w:rFonts w:ascii="Times New Roman" w:eastAsia="Times New Roman" w:hAnsi="Times New Roman" w:cs="Times New Roman"/>
          <w:sz w:val="24"/>
          <w:szCs w:val="24"/>
          <w:lang w:eastAsia="en-PH"/>
        </w:rPr>
        <w:t xml:space="preserve">. This is not only limited to a person’s mental capacities, </w:t>
      </w:r>
      <w:r w:rsidR="00575AC3">
        <w:rPr>
          <w:rFonts w:ascii="Times New Roman" w:eastAsia="Times New Roman" w:hAnsi="Times New Roman" w:cs="Times New Roman"/>
          <w:sz w:val="24"/>
          <w:szCs w:val="24"/>
          <w:lang w:eastAsia="en-PH"/>
        </w:rPr>
        <w:t>for</w:t>
      </w:r>
      <w:r w:rsidR="00792F41">
        <w:rPr>
          <w:rFonts w:ascii="Times New Roman" w:eastAsia="Times New Roman" w:hAnsi="Times New Roman" w:cs="Times New Roman"/>
          <w:sz w:val="24"/>
          <w:szCs w:val="24"/>
          <w:lang w:eastAsia="en-PH"/>
        </w:rPr>
        <w:t xml:space="preserve"> this picture extends to a person’s behavior as well. In one real-life </w:t>
      </w:r>
      <w:r w:rsidR="00ED026B">
        <w:rPr>
          <w:rFonts w:ascii="Times New Roman" w:eastAsia="Times New Roman" w:hAnsi="Times New Roman" w:cs="Times New Roman"/>
          <w:sz w:val="24"/>
          <w:szCs w:val="24"/>
          <w:lang w:eastAsia="en-PH"/>
        </w:rPr>
        <w:t xml:space="preserve">case in 2006, a middle-aged man became obsessed with child pornography and proceeded to sexually assault his stepdaughter. Upon further investigation, the man was found to have a brain tumor affecting his frontal lobes; and once the </w:t>
      </w:r>
      <w:r w:rsidR="001C0EF9">
        <w:rPr>
          <w:rFonts w:ascii="Times New Roman" w:eastAsia="Times New Roman" w:hAnsi="Times New Roman" w:cs="Times New Roman"/>
          <w:sz w:val="24"/>
          <w:szCs w:val="24"/>
          <w:lang w:eastAsia="en-PH"/>
        </w:rPr>
        <w:t xml:space="preserve">tumor was successfully treated, the man no longer showed signs of his previous, </w:t>
      </w:r>
      <w:proofErr w:type="spellStart"/>
      <w:r w:rsidR="00016593">
        <w:rPr>
          <w:rFonts w:ascii="Times New Roman" w:eastAsia="Times New Roman" w:hAnsi="Times New Roman" w:cs="Times New Roman"/>
          <w:sz w:val="24"/>
          <w:szCs w:val="24"/>
          <w:lang w:eastAsia="en-PH"/>
        </w:rPr>
        <w:t>abberant</w:t>
      </w:r>
      <w:proofErr w:type="spellEnd"/>
      <w:r w:rsidR="001C0EF9">
        <w:rPr>
          <w:rFonts w:ascii="Times New Roman" w:eastAsia="Times New Roman" w:hAnsi="Times New Roman" w:cs="Times New Roman"/>
          <w:sz w:val="24"/>
          <w:szCs w:val="24"/>
          <w:lang w:eastAsia="en-PH"/>
        </w:rPr>
        <w:t xml:space="preserve"> behavior.</w:t>
      </w:r>
      <w:r w:rsidR="001C0EF9">
        <w:rPr>
          <w:rStyle w:val="FootnoteReference"/>
          <w:rFonts w:ascii="Times New Roman" w:eastAsia="Times New Roman" w:hAnsi="Times New Roman" w:cs="Times New Roman"/>
          <w:sz w:val="24"/>
          <w:szCs w:val="24"/>
          <w:lang w:eastAsia="en-PH"/>
        </w:rPr>
        <w:footnoteReference w:id="32"/>
      </w:r>
    </w:p>
    <w:p w14:paraId="637FBF5D" w14:textId="24ABFF15" w:rsidR="00FB2E11" w:rsidRDefault="00792F41" w:rsidP="00FB2E11">
      <w:pPr>
        <w:spacing w:after="0" w:line="480" w:lineRule="auto"/>
        <w:ind w:firstLine="720"/>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In both the example of visual </w:t>
      </w:r>
      <w:r w:rsidR="007912AF">
        <w:rPr>
          <w:rFonts w:ascii="Times New Roman" w:eastAsia="Times New Roman" w:hAnsi="Times New Roman" w:cs="Times New Roman"/>
          <w:sz w:val="24"/>
          <w:szCs w:val="24"/>
          <w:lang w:eastAsia="en-PH"/>
        </w:rPr>
        <w:t>defect and pedophilic behavior, there w</w:t>
      </w:r>
      <w:r w:rsidR="00273152">
        <w:rPr>
          <w:rFonts w:ascii="Times New Roman" w:eastAsia="Times New Roman" w:hAnsi="Times New Roman" w:cs="Times New Roman"/>
          <w:sz w:val="24"/>
          <w:szCs w:val="24"/>
          <w:lang w:eastAsia="en-PH"/>
        </w:rPr>
        <w:t>ere</w:t>
      </w:r>
      <w:r w:rsidR="007912AF">
        <w:rPr>
          <w:rFonts w:ascii="Times New Roman" w:eastAsia="Times New Roman" w:hAnsi="Times New Roman" w:cs="Times New Roman"/>
          <w:sz w:val="24"/>
          <w:szCs w:val="24"/>
          <w:lang w:eastAsia="en-PH"/>
        </w:rPr>
        <w:t xml:space="preserve"> existing </w:t>
      </w:r>
      <w:r w:rsidR="00575AC3">
        <w:rPr>
          <w:rFonts w:ascii="Times New Roman" w:eastAsia="Times New Roman" w:hAnsi="Times New Roman" w:cs="Times New Roman"/>
          <w:sz w:val="24"/>
          <w:szCs w:val="24"/>
          <w:lang w:eastAsia="en-PH"/>
        </w:rPr>
        <w:t>neurological lesion</w:t>
      </w:r>
      <w:r w:rsidR="00273152">
        <w:rPr>
          <w:rFonts w:ascii="Times New Roman" w:eastAsia="Times New Roman" w:hAnsi="Times New Roman" w:cs="Times New Roman"/>
          <w:sz w:val="24"/>
          <w:szCs w:val="24"/>
          <w:lang w:eastAsia="en-PH"/>
        </w:rPr>
        <w:t>s</w:t>
      </w:r>
      <w:r w:rsidR="00575AC3">
        <w:rPr>
          <w:rFonts w:ascii="Times New Roman" w:eastAsia="Times New Roman" w:hAnsi="Times New Roman" w:cs="Times New Roman"/>
          <w:sz w:val="24"/>
          <w:szCs w:val="24"/>
          <w:lang w:eastAsia="en-PH"/>
        </w:rPr>
        <w:t xml:space="preserve"> that w</w:t>
      </w:r>
      <w:r w:rsidR="00273152">
        <w:rPr>
          <w:rFonts w:ascii="Times New Roman" w:eastAsia="Times New Roman" w:hAnsi="Times New Roman" w:cs="Times New Roman"/>
          <w:sz w:val="24"/>
          <w:szCs w:val="24"/>
          <w:lang w:eastAsia="en-PH"/>
        </w:rPr>
        <w:t>ere</w:t>
      </w:r>
      <w:r w:rsidR="00575AC3">
        <w:rPr>
          <w:rFonts w:ascii="Times New Roman" w:eastAsia="Times New Roman" w:hAnsi="Times New Roman" w:cs="Times New Roman"/>
          <w:sz w:val="24"/>
          <w:szCs w:val="24"/>
          <w:lang w:eastAsia="en-PH"/>
        </w:rPr>
        <w:t xml:space="preserve"> causing the</w:t>
      </w:r>
      <w:r w:rsidR="001C0EF9">
        <w:rPr>
          <w:rFonts w:ascii="Times New Roman" w:eastAsia="Times New Roman" w:hAnsi="Times New Roman" w:cs="Times New Roman"/>
          <w:sz w:val="24"/>
          <w:szCs w:val="24"/>
          <w:lang w:eastAsia="en-PH"/>
        </w:rPr>
        <w:t xml:space="preserve"> visual</w:t>
      </w:r>
      <w:r w:rsidR="00575AC3">
        <w:rPr>
          <w:rFonts w:ascii="Times New Roman" w:eastAsia="Times New Roman" w:hAnsi="Times New Roman" w:cs="Times New Roman"/>
          <w:sz w:val="24"/>
          <w:szCs w:val="24"/>
          <w:lang w:eastAsia="en-PH"/>
        </w:rPr>
        <w:t xml:space="preserve"> deficiency and the </w:t>
      </w:r>
      <w:r w:rsidR="001C0EF9">
        <w:rPr>
          <w:rFonts w:ascii="Times New Roman" w:eastAsia="Times New Roman" w:hAnsi="Times New Roman" w:cs="Times New Roman"/>
          <w:sz w:val="24"/>
          <w:szCs w:val="24"/>
          <w:lang w:eastAsia="en-PH"/>
        </w:rPr>
        <w:t>deviant</w:t>
      </w:r>
      <w:r w:rsidR="00575AC3">
        <w:rPr>
          <w:rFonts w:ascii="Times New Roman" w:eastAsia="Times New Roman" w:hAnsi="Times New Roman" w:cs="Times New Roman"/>
          <w:sz w:val="24"/>
          <w:szCs w:val="24"/>
          <w:lang w:eastAsia="en-PH"/>
        </w:rPr>
        <w:t xml:space="preserve"> behavior. One might be led to the assumption that all mental </w:t>
      </w:r>
      <w:r w:rsidR="00D8454B">
        <w:rPr>
          <w:rFonts w:ascii="Times New Roman" w:eastAsia="Times New Roman" w:hAnsi="Times New Roman" w:cs="Times New Roman"/>
          <w:sz w:val="24"/>
          <w:szCs w:val="24"/>
          <w:lang w:eastAsia="en-PH"/>
        </w:rPr>
        <w:t>disorders</w:t>
      </w:r>
      <w:r w:rsidR="00575AC3">
        <w:rPr>
          <w:rFonts w:ascii="Times New Roman" w:eastAsia="Times New Roman" w:hAnsi="Times New Roman" w:cs="Times New Roman"/>
          <w:sz w:val="24"/>
          <w:szCs w:val="24"/>
          <w:lang w:eastAsia="en-PH"/>
        </w:rPr>
        <w:t xml:space="preserve"> </w:t>
      </w:r>
      <w:r w:rsidR="001C0EF9">
        <w:rPr>
          <w:rFonts w:ascii="Times New Roman" w:eastAsia="Times New Roman" w:hAnsi="Times New Roman" w:cs="Times New Roman"/>
          <w:sz w:val="24"/>
          <w:szCs w:val="24"/>
          <w:lang w:eastAsia="en-PH"/>
        </w:rPr>
        <w:t>have a correlation with activity in the brain</w:t>
      </w:r>
      <w:r w:rsidR="00575AC3">
        <w:rPr>
          <w:rFonts w:ascii="Times New Roman" w:eastAsia="Times New Roman" w:hAnsi="Times New Roman" w:cs="Times New Roman"/>
          <w:sz w:val="24"/>
          <w:szCs w:val="24"/>
          <w:lang w:eastAsia="en-PH"/>
        </w:rPr>
        <w:t xml:space="preserve">. </w:t>
      </w:r>
      <w:r w:rsidR="001C0EF9">
        <w:rPr>
          <w:rFonts w:ascii="Times New Roman" w:eastAsia="Times New Roman" w:hAnsi="Times New Roman" w:cs="Times New Roman"/>
          <w:sz w:val="24"/>
          <w:szCs w:val="24"/>
          <w:lang w:eastAsia="en-PH"/>
        </w:rPr>
        <w:t xml:space="preserve">Furthermore, </w:t>
      </w:r>
      <w:r w:rsidR="00575AC3">
        <w:rPr>
          <w:rFonts w:ascii="Times New Roman" w:eastAsia="Times New Roman" w:hAnsi="Times New Roman" w:cs="Times New Roman"/>
          <w:sz w:val="24"/>
          <w:szCs w:val="24"/>
          <w:lang w:eastAsia="en-PH"/>
        </w:rPr>
        <w:t>it might be argued that mental</w:t>
      </w:r>
      <w:r w:rsidR="00D8454B">
        <w:rPr>
          <w:rFonts w:ascii="Times New Roman" w:eastAsia="Times New Roman" w:hAnsi="Times New Roman" w:cs="Times New Roman"/>
          <w:sz w:val="24"/>
          <w:szCs w:val="24"/>
          <w:lang w:eastAsia="en-PH"/>
        </w:rPr>
        <w:t xml:space="preserve"> disorders</w:t>
      </w:r>
      <w:r w:rsidR="00575AC3">
        <w:rPr>
          <w:rFonts w:ascii="Times New Roman" w:eastAsia="Times New Roman" w:hAnsi="Times New Roman" w:cs="Times New Roman"/>
          <w:sz w:val="24"/>
          <w:szCs w:val="24"/>
          <w:lang w:eastAsia="en-PH"/>
        </w:rPr>
        <w:t xml:space="preserve"> are distinct disease categories</w:t>
      </w:r>
      <w:r w:rsidR="001C0EF9">
        <w:rPr>
          <w:rFonts w:ascii="Times New Roman" w:eastAsia="Times New Roman" w:hAnsi="Times New Roman" w:cs="Times New Roman"/>
          <w:sz w:val="24"/>
          <w:szCs w:val="24"/>
          <w:lang w:eastAsia="en-PH"/>
        </w:rPr>
        <w:t xml:space="preserve"> by virtue of its association with brain activity</w:t>
      </w:r>
      <w:r w:rsidR="00575AC3">
        <w:rPr>
          <w:rFonts w:ascii="Times New Roman" w:eastAsia="Times New Roman" w:hAnsi="Times New Roman" w:cs="Times New Roman"/>
          <w:sz w:val="24"/>
          <w:szCs w:val="24"/>
          <w:lang w:eastAsia="en-PH"/>
        </w:rPr>
        <w:t>. However, this view would be mistaken</w:t>
      </w:r>
      <w:r w:rsidR="001A129A">
        <w:rPr>
          <w:rFonts w:ascii="Times New Roman" w:eastAsia="Times New Roman" w:hAnsi="Times New Roman" w:cs="Times New Roman"/>
          <w:sz w:val="24"/>
          <w:szCs w:val="24"/>
          <w:lang w:eastAsia="en-PH"/>
        </w:rPr>
        <w:t xml:space="preserve"> as the etiology of most mental </w:t>
      </w:r>
      <w:r w:rsidR="00D8454B">
        <w:rPr>
          <w:rFonts w:ascii="Times New Roman" w:eastAsia="Times New Roman" w:hAnsi="Times New Roman" w:cs="Times New Roman"/>
          <w:sz w:val="24"/>
          <w:szCs w:val="24"/>
          <w:lang w:eastAsia="en-PH"/>
        </w:rPr>
        <w:t>disorders</w:t>
      </w:r>
      <w:r w:rsidR="001A129A">
        <w:rPr>
          <w:rFonts w:ascii="Times New Roman" w:eastAsia="Times New Roman" w:hAnsi="Times New Roman" w:cs="Times New Roman"/>
          <w:sz w:val="24"/>
          <w:szCs w:val="24"/>
          <w:lang w:eastAsia="en-PH"/>
        </w:rPr>
        <w:t xml:space="preserve"> are still relatively</w:t>
      </w:r>
      <w:r w:rsidR="00353BE5">
        <w:rPr>
          <w:rFonts w:ascii="Times New Roman" w:eastAsia="Times New Roman" w:hAnsi="Times New Roman" w:cs="Times New Roman"/>
          <w:sz w:val="24"/>
          <w:szCs w:val="24"/>
          <w:lang w:eastAsia="en-PH"/>
        </w:rPr>
        <w:t xml:space="preserve"> obscure.</w:t>
      </w:r>
      <w:r w:rsidR="00273152">
        <w:rPr>
          <w:rFonts w:ascii="Times New Roman" w:eastAsia="Times New Roman" w:hAnsi="Times New Roman" w:cs="Times New Roman"/>
          <w:sz w:val="24"/>
          <w:szCs w:val="24"/>
          <w:lang w:eastAsia="en-PH"/>
        </w:rPr>
        <w:t xml:space="preserve"> </w:t>
      </w:r>
      <w:proofErr w:type="gramStart"/>
      <w:r w:rsidR="00273152">
        <w:rPr>
          <w:rFonts w:ascii="Times New Roman" w:eastAsia="Times New Roman" w:hAnsi="Times New Roman" w:cs="Times New Roman"/>
          <w:sz w:val="24"/>
          <w:szCs w:val="24"/>
          <w:lang w:eastAsia="en-PH"/>
        </w:rPr>
        <w:t xml:space="preserve">In </w:t>
      </w:r>
      <w:r w:rsidR="000D5985">
        <w:rPr>
          <w:rFonts w:ascii="Times New Roman" w:eastAsia="Times New Roman" w:hAnsi="Times New Roman" w:cs="Times New Roman"/>
          <w:sz w:val="24"/>
          <w:szCs w:val="24"/>
          <w:lang w:eastAsia="en-PH"/>
        </w:rPr>
        <w:t>reality</w:t>
      </w:r>
      <w:r w:rsidR="00273152">
        <w:rPr>
          <w:rFonts w:ascii="Times New Roman" w:eastAsia="Times New Roman" w:hAnsi="Times New Roman" w:cs="Times New Roman"/>
          <w:sz w:val="24"/>
          <w:szCs w:val="24"/>
          <w:lang w:eastAsia="en-PH"/>
        </w:rPr>
        <w:t>, most</w:t>
      </w:r>
      <w:proofErr w:type="gramEnd"/>
      <w:r w:rsidR="00273152">
        <w:rPr>
          <w:rFonts w:ascii="Times New Roman" w:eastAsia="Times New Roman" w:hAnsi="Times New Roman" w:cs="Times New Roman"/>
          <w:sz w:val="24"/>
          <w:szCs w:val="24"/>
          <w:lang w:eastAsia="en-PH"/>
        </w:rPr>
        <w:t xml:space="preserve"> psychiatric diagnostic categories never go beyond the condition’s observable clinical </w:t>
      </w:r>
      <w:r w:rsidR="000D5985">
        <w:rPr>
          <w:rFonts w:ascii="Times New Roman" w:eastAsia="Times New Roman" w:hAnsi="Times New Roman" w:cs="Times New Roman"/>
          <w:sz w:val="24"/>
          <w:szCs w:val="24"/>
          <w:lang w:eastAsia="en-PH"/>
        </w:rPr>
        <w:t>descriptions</w:t>
      </w:r>
      <w:r w:rsidR="00273152">
        <w:rPr>
          <w:rFonts w:ascii="Times New Roman" w:eastAsia="Times New Roman" w:hAnsi="Times New Roman" w:cs="Times New Roman"/>
          <w:sz w:val="24"/>
          <w:szCs w:val="24"/>
          <w:lang w:eastAsia="en-PH"/>
        </w:rPr>
        <w:t>.</w:t>
      </w:r>
      <w:r w:rsidR="00273152">
        <w:rPr>
          <w:rStyle w:val="FootnoteReference"/>
          <w:rFonts w:ascii="Times New Roman" w:eastAsia="Times New Roman" w:hAnsi="Times New Roman" w:cs="Times New Roman"/>
          <w:sz w:val="24"/>
          <w:szCs w:val="24"/>
          <w:lang w:eastAsia="en-PH"/>
        </w:rPr>
        <w:footnoteReference w:id="33"/>
      </w:r>
      <w:r w:rsidR="00353BE5">
        <w:rPr>
          <w:rFonts w:ascii="Times New Roman" w:eastAsia="Times New Roman" w:hAnsi="Times New Roman" w:cs="Times New Roman"/>
          <w:sz w:val="24"/>
          <w:szCs w:val="24"/>
          <w:lang w:eastAsia="en-PH"/>
        </w:rPr>
        <w:t xml:space="preserve"> Current scientific data has not been able to identify the</w:t>
      </w:r>
      <w:r w:rsidR="00575AC3">
        <w:rPr>
          <w:rFonts w:ascii="Times New Roman" w:eastAsia="Times New Roman" w:hAnsi="Times New Roman" w:cs="Times New Roman"/>
          <w:sz w:val="24"/>
          <w:szCs w:val="24"/>
          <w:lang w:eastAsia="en-PH"/>
        </w:rPr>
        <w:t xml:space="preserve"> </w:t>
      </w:r>
      <w:r w:rsidR="00353BE5">
        <w:rPr>
          <w:rFonts w:ascii="Times New Roman" w:eastAsia="Times New Roman" w:hAnsi="Times New Roman" w:cs="Times New Roman"/>
          <w:sz w:val="24"/>
          <w:szCs w:val="24"/>
          <w:lang w:eastAsia="en-PH"/>
        </w:rPr>
        <w:t xml:space="preserve">relevant statistical abnormalities that are </w:t>
      </w:r>
      <w:r w:rsidR="000D5985">
        <w:rPr>
          <w:rFonts w:ascii="Times New Roman" w:eastAsia="Times New Roman" w:hAnsi="Times New Roman" w:cs="Times New Roman"/>
          <w:sz w:val="24"/>
          <w:szCs w:val="24"/>
          <w:lang w:eastAsia="en-PH"/>
        </w:rPr>
        <w:t xml:space="preserve">the supposed signs of the mental </w:t>
      </w:r>
      <w:r w:rsidR="00D8454B">
        <w:rPr>
          <w:rFonts w:ascii="Times New Roman" w:eastAsia="Times New Roman" w:hAnsi="Times New Roman" w:cs="Times New Roman"/>
          <w:sz w:val="24"/>
          <w:szCs w:val="24"/>
          <w:lang w:eastAsia="en-PH"/>
        </w:rPr>
        <w:t xml:space="preserve">disorders </w:t>
      </w:r>
      <w:r w:rsidR="000D5985">
        <w:rPr>
          <w:rFonts w:ascii="Times New Roman" w:eastAsia="Times New Roman" w:hAnsi="Times New Roman" w:cs="Times New Roman"/>
          <w:sz w:val="24"/>
          <w:szCs w:val="24"/>
          <w:lang w:eastAsia="en-PH"/>
        </w:rPr>
        <w:t>if it were taken to be a disease</w:t>
      </w:r>
      <w:r w:rsidR="00353BE5">
        <w:rPr>
          <w:rFonts w:ascii="Times New Roman" w:eastAsia="Times New Roman" w:hAnsi="Times New Roman" w:cs="Times New Roman"/>
          <w:sz w:val="24"/>
          <w:szCs w:val="24"/>
          <w:lang w:eastAsia="en-PH"/>
        </w:rPr>
        <w:t xml:space="preserve">. </w:t>
      </w:r>
      <w:r w:rsidR="00575AC3">
        <w:rPr>
          <w:rFonts w:ascii="Times New Roman" w:eastAsia="Times New Roman" w:hAnsi="Times New Roman" w:cs="Times New Roman"/>
          <w:sz w:val="24"/>
          <w:szCs w:val="24"/>
          <w:lang w:eastAsia="en-PH"/>
        </w:rPr>
        <w:t>T</w:t>
      </w:r>
      <w:r w:rsidR="00992D16">
        <w:rPr>
          <w:rFonts w:ascii="Times New Roman" w:eastAsia="Times New Roman" w:hAnsi="Times New Roman" w:cs="Times New Roman"/>
          <w:sz w:val="24"/>
          <w:szCs w:val="24"/>
          <w:lang w:eastAsia="en-PH"/>
        </w:rPr>
        <w:t xml:space="preserve">here has been difficulty in locating the neural correlates associated with specific mental </w:t>
      </w:r>
      <w:r w:rsidR="00D8454B">
        <w:rPr>
          <w:rFonts w:ascii="Times New Roman" w:eastAsia="Times New Roman" w:hAnsi="Times New Roman" w:cs="Times New Roman"/>
          <w:sz w:val="24"/>
          <w:szCs w:val="24"/>
          <w:lang w:eastAsia="en-PH"/>
        </w:rPr>
        <w:t>disorders</w:t>
      </w:r>
      <w:r w:rsidR="00992D16">
        <w:rPr>
          <w:rFonts w:ascii="Times New Roman" w:eastAsia="Times New Roman" w:hAnsi="Times New Roman" w:cs="Times New Roman"/>
          <w:sz w:val="24"/>
          <w:szCs w:val="24"/>
          <w:lang w:eastAsia="en-PH"/>
        </w:rPr>
        <w:t>.</w:t>
      </w:r>
      <w:r w:rsidR="00563FEF">
        <w:rPr>
          <w:rFonts w:ascii="Times New Roman" w:eastAsia="Times New Roman" w:hAnsi="Times New Roman" w:cs="Times New Roman"/>
          <w:sz w:val="24"/>
          <w:szCs w:val="24"/>
          <w:lang w:eastAsia="en-PH"/>
        </w:rPr>
        <w:t xml:space="preserve"> For instance, </w:t>
      </w:r>
      <w:r w:rsidR="009D31E5">
        <w:rPr>
          <w:rFonts w:ascii="Times New Roman" w:eastAsia="Times New Roman" w:hAnsi="Times New Roman" w:cs="Times New Roman"/>
          <w:sz w:val="24"/>
          <w:szCs w:val="24"/>
          <w:lang w:eastAsia="en-PH"/>
        </w:rPr>
        <w:t>the view that</w:t>
      </w:r>
      <w:r w:rsidR="004C3772">
        <w:rPr>
          <w:rFonts w:ascii="Times New Roman" w:eastAsia="Times New Roman" w:hAnsi="Times New Roman" w:cs="Times New Roman"/>
          <w:sz w:val="24"/>
          <w:szCs w:val="24"/>
          <w:lang w:eastAsia="en-PH"/>
        </w:rPr>
        <w:t xml:space="preserve"> schizophrenic behavior</w:t>
      </w:r>
      <w:r w:rsidR="009D31E5">
        <w:rPr>
          <w:rFonts w:ascii="Times New Roman" w:eastAsia="Times New Roman" w:hAnsi="Times New Roman" w:cs="Times New Roman"/>
          <w:sz w:val="24"/>
          <w:szCs w:val="24"/>
          <w:lang w:eastAsia="en-PH"/>
        </w:rPr>
        <w:t xml:space="preserve"> is a consequence of abnormal </w:t>
      </w:r>
      <w:r w:rsidR="00A23325">
        <w:rPr>
          <w:rFonts w:ascii="Times New Roman" w:eastAsia="Times New Roman" w:hAnsi="Times New Roman" w:cs="Times New Roman"/>
          <w:sz w:val="24"/>
          <w:szCs w:val="24"/>
          <w:lang w:eastAsia="en-PH"/>
        </w:rPr>
        <w:t xml:space="preserve">dopamine </w:t>
      </w:r>
      <w:r w:rsidR="009D31E5">
        <w:rPr>
          <w:rFonts w:ascii="Times New Roman" w:eastAsia="Times New Roman" w:hAnsi="Times New Roman" w:cs="Times New Roman"/>
          <w:sz w:val="24"/>
          <w:szCs w:val="24"/>
          <w:lang w:eastAsia="en-PH"/>
        </w:rPr>
        <w:t>levels is not well-established</w:t>
      </w:r>
      <w:r w:rsidR="00A23325">
        <w:rPr>
          <w:rFonts w:ascii="Times New Roman" w:eastAsia="Times New Roman" w:hAnsi="Times New Roman" w:cs="Times New Roman"/>
          <w:sz w:val="24"/>
          <w:szCs w:val="24"/>
          <w:lang w:eastAsia="en-PH"/>
        </w:rPr>
        <w:t>. There is even evidence that suggests the contrary to this view.</w:t>
      </w:r>
      <w:r w:rsidR="00A23325">
        <w:rPr>
          <w:rStyle w:val="FootnoteReference"/>
          <w:rFonts w:ascii="Times New Roman" w:eastAsia="Times New Roman" w:hAnsi="Times New Roman" w:cs="Times New Roman"/>
          <w:sz w:val="24"/>
          <w:szCs w:val="24"/>
          <w:lang w:eastAsia="en-PH"/>
        </w:rPr>
        <w:footnoteReference w:id="34"/>
      </w:r>
      <w:r w:rsidR="002705E0">
        <w:rPr>
          <w:rFonts w:ascii="Times New Roman" w:eastAsia="Times New Roman" w:hAnsi="Times New Roman" w:cs="Times New Roman"/>
          <w:sz w:val="24"/>
          <w:szCs w:val="24"/>
          <w:lang w:eastAsia="en-PH"/>
        </w:rPr>
        <w:t xml:space="preserve"> Furthermore, the mental </w:t>
      </w:r>
      <w:r w:rsidR="00D8454B">
        <w:rPr>
          <w:rFonts w:ascii="Times New Roman" w:eastAsia="Times New Roman" w:hAnsi="Times New Roman" w:cs="Times New Roman"/>
          <w:sz w:val="24"/>
          <w:szCs w:val="24"/>
          <w:lang w:eastAsia="en-PH"/>
        </w:rPr>
        <w:t>disorder</w:t>
      </w:r>
      <w:r w:rsidR="002705E0">
        <w:rPr>
          <w:rFonts w:ascii="Times New Roman" w:eastAsia="Times New Roman" w:hAnsi="Times New Roman" w:cs="Times New Roman"/>
          <w:sz w:val="24"/>
          <w:szCs w:val="24"/>
          <w:lang w:eastAsia="en-PH"/>
        </w:rPr>
        <w:t xml:space="preserve"> that are caused by lesions in brain are not</w:t>
      </w:r>
      <w:r w:rsidR="00D8454B">
        <w:rPr>
          <w:rFonts w:ascii="Times New Roman" w:eastAsia="Times New Roman" w:hAnsi="Times New Roman" w:cs="Times New Roman"/>
          <w:sz w:val="24"/>
          <w:szCs w:val="24"/>
          <w:lang w:eastAsia="en-PH"/>
        </w:rPr>
        <w:t xml:space="preserve"> mental disorders</w:t>
      </w:r>
      <w:r w:rsidR="002705E0">
        <w:rPr>
          <w:rFonts w:ascii="Times New Roman" w:eastAsia="Times New Roman" w:hAnsi="Times New Roman" w:cs="Times New Roman"/>
          <w:sz w:val="24"/>
          <w:szCs w:val="24"/>
          <w:lang w:eastAsia="en-PH"/>
        </w:rPr>
        <w:t xml:space="preserve"> at all. Instead, these cases of mental </w:t>
      </w:r>
      <w:r w:rsidR="00D8454B">
        <w:rPr>
          <w:rFonts w:ascii="Times New Roman" w:eastAsia="Times New Roman" w:hAnsi="Times New Roman" w:cs="Times New Roman"/>
          <w:sz w:val="24"/>
          <w:szCs w:val="24"/>
          <w:lang w:eastAsia="en-PH"/>
        </w:rPr>
        <w:t>disorders</w:t>
      </w:r>
      <w:r w:rsidR="002705E0">
        <w:rPr>
          <w:rFonts w:ascii="Times New Roman" w:eastAsia="Times New Roman" w:hAnsi="Times New Roman" w:cs="Times New Roman"/>
          <w:sz w:val="24"/>
          <w:szCs w:val="24"/>
          <w:lang w:eastAsia="en-PH"/>
        </w:rPr>
        <w:t xml:space="preserve"> are argued by Szasz </w:t>
      </w:r>
      <w:r w:rsidR="002705E0">
        <w:rPr>
          <w:rFonts w:ascii="Times New Roman" w:eastAsia="Times New Roman" w:hAnsi="Times New Roman" w:cs="Times New Roman"/>
          <w:sz w:val="24"/>
          <w:szCs w:val="24"/>
          <w:lang w:eastAsia="en-PH"/>
        </w:rPr>
        <w:lastRenderedPageBreak/>
        <w:t>to be neurological diseases.</w:t>
      </w:r>
      <w:r w:rsidR="002705E0">
        <w:rPr>
          <w:rStyle w:val="FootnoteReference"/>
          <w:rFonts w:ascii="Times New Roman" w:eastAsia="Times New Roman" w:hAnsi="Times New Roman" w:cs="Times New Roman"/>
          <w:sz w:val="24"/>
          <w:szCs w:val="24"/>
          <w:lang w:eastAsia="en-PH"/>
        </w:rPr>
        <w:footnoteReference w:id="35"/>
      </w:r>
      <w:r w:rsidR="00FB2E11">
        <w:rPr>
          <w:rFonts w:ascii="Times New Roman" w:eastAsia="Times New Roman" w:hAnsi="Times New Roman" w:cs="Times New Roman"/>
          <w:sz w:val="24"/>
          <w:szCs w:val="24"/>
          <w:lang w:eastAsia="en-PH"/>
        </w:rPr>
        <w:t xml:space="preserve"> In the case of the middle-aged man, it was more appropriate to say that a neurological disease, a brain tumor, was the cause for the change in his behavior instead of arguing that he has a dis</w:t>
      </w:r>
      <w:r w:rsidR="00D8454B">
        <w:rPr>
          <w:rFonts w:ascii="Times New Roman" w:eastAsia="Times New Roman" w:hAnsi="Times New Roman" w:cs="Times New Roman"/>
          <w:sz w:val="24"/>
          <w:szCs w:val="24"/>
          <w:lang w:eastAsia="en-PH"/>
        </w:rPr>
        <w:t>tinct disorder</w:t>
      </w:r>
      <w:r w:rsidR="00FB2E11">
        <w:rPr>
          <w:rFonts w:ascii="Times New Roman" w:eastAsia="Times New Roman" w:hAnsi="Times New Roman" w:cs="Times New Roman"/>
          <w:sz w:val="24"/>
          <w:szCs w:val="24"/>
          <w:lang w:eastAsia="en-PH"/>
        </w:rPr>
        <w:t xml:space="preserve"> called ‘pedophilia’.</w:t>
      </w:r>
      <w:r w:rsidR="00AD090B">
        <w:rPr>
          <w:rFonts w:ascii="Times New Roman" w:eastAsia="Times New Roman" w:hAnsi="Times New Roman" w:cs="Times New Roman"/>
          <w:sz w:val="24"/>
          <w:szCs w:val="24"/>
          <w:lang w:eastAsia="en-PH"/>
        </w:rPr>
        <w:t xml:space="preserve"> In contrast, not all cases of pedophilic behavior can arguably be attributed to a dis</w:t>
      </w:r>
      <w:r w:rsidR="00D8454B">
        <w:rPr>
          <w:rFonts w:ascii="Times New Roman" w:eastAsia="Times New Roman" w:hAnsi="Times New Roman" w:cs="Times New Roman"/>
          <w:sz w:val="24"/>
          <w:szCs w:val="24"/>
          <w:lang w:eastAsia="en-PH"/>
        </w:rPr>
        <w:t>ease</w:t>
      </w:r>
      <w:r w:rsidR="00AD090B">
        <w:rPr>
          <w:rFonts w:ascii="Times New Roman" w:eastAsia="Times New Roman" w:hAnsi="Times New Roman" w:cs="Times New Roman"/>
          <w:sz w:val="24"/>
          <w:szCs w:val="24"/>
          <w:lang w:eastAsia="en-PH"/>
        </w:rPr>
        <w:t>, especially in cases where there are none to be found.</w:t>
      </w:r>
    </w:p>
    <w:p w14:paraId="718D213E" w14:textId="10DD20A3" w:rsidR="0042741D" w:rsidRDefault="00353BE5" w:rsidP="0042741D">
      <w:pPr>
        <w:spacing w:after="0" w:line="480" w:lineRule="auto"/>
        <w:ind w:firstLine="720"/>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As </w:t>
      </w:r>
      <w:r w:rsidR="00A23325">
        <w:rPr>
          <w:rFonts w:ascii="Times New Roman" w:eastAsia="Times New Roman" w:hAnsi="Times New Roman" w:cs="Times New Roman"/>
          <w:sz w:val="24"/>
          <w:szCs w:val="24"/>
          <w:lang w:eastAsia="en-PH"/>
        </w:rPr>
        <w:t xml:space="preserve">Joanna </w:t>
      </w:r>
      <w:r>
        <w:rPr>
          <w:rFonts w:ascii="Times New Roman" w:eastAsia="Times New Roman" w:hAnsi="Times New Roman" w:cs="Times New Roman"/>
          <w:sz w:val="24"/>
          <w:szCs w:val="24"/>
          <w:lang w:eastAsia="en-PH"/>
        </w:rPr>
        <w:t>Moncrieff notes, one needs to distinguish between</w:t>
      </w:r>
      <w:r w:rsidR="00BE1964">
        <w:rPr>
          <w:rFonts w:ascii="Times New Roman" w:eastAsia="Times New Roman" w:hAnsi="Times New Roman" w:cs="Times New Roman"/>
          <w:sz w:val="24"/>
          <w:szCs w:val="24"/>
          <w:lang w:eastAsia="en-PH"/>
        </w:rPr>
        <w:t xml:space="preserve"> ‘situations arising from bodily processes’ and ‘situations consisting of ordinary human behavior’.</w:t>
      </w:r>
      <w:r w:rsidR="002705E0">
        <w:rPr>
          <w:rStyle w:val="FootnoteReference"/>
          <w:rFonts w:ascii="Times New Roman" w:eastAsia="Times New Roman" w:hAnsi="Times New Roman" w:cs="Times New Roman"/>
          <w:sz w:val="24"/>
          <w:szCs w:val="24"/>
          <w:lang w:eastAsia="en-PH"/>
        </w:rPr>
        <w:footnoteReference w:id="36"/>
      </w:r>
      <w:r w:rsidR="00C460C6">
        <w:rPr>
          <w:rFonts w:ascii="Times New Roman" w:eastAsia="Times New Roman" w:hAnsi="Times New Roman" w:cs="Times New Roman"/>
          <w:sz w:val="24"/>
          <w:szCs w:val="24"/>
          <w:lang w:eastAsia="en-PH"/>
        </w:rPr>
        <w:t xml:space="preserve"> For example, a wink and the involuntary twitching of an eye may</w:t>
      </w:r>
      <w:r w:rsidR="00637FC3">
        <w:rPr>
          <w:rFonts w:ascii="Times New Roman" w:eastAsia="Times New Roman" w:hAnsi="Times New Roman" w:cs="Times New Roman"/>
          <w:sz w:val="24"/>
          <w:szCs w:val="24"/>
          <w:lang w:eastAsia="en-PH"/>
        </w:rPr>
        <w:t xml:space="preserve"> be</w:t>
      </w:r>
      <w:r w:rsidR="00C460C6">
        <w:rPr>
          <w:rFonts w:ascii="Times New Roman" w:eastAsia="Times New Roman" w:hAnsi="Times New Roman" w:cs="Times New Roman"/>
          <w:sz w:val="24"/>
          <w:szCs w:val="24"/>
          <w:lang w:eastAsia="en-PH"/>
        </w:rPr>
        <w:t xml:space="preserve"> biologically equivalent in the sense the actual movement of each action utilizes the same muscles. However, blinking is intentional, has meaning and purpose whereas the muscle spasm does not.</w:t>
      </w:r>
      <w:r w:rsidR="00A23325">
        <w:rPr>
          <w:rFonts w:ascii="Times New Roman" w:eastAsia="Times New Roman" w:hAnsi="Times New Roman" w:cs="Times New Roman"/>
          <w:sz w:val="24"/>
          <w:szCs w:val="24"/>
          <w:lang w:eastAsia="en-PH"/>
        </w:rPr>
        <w:t xml:space="preserve"> </w:t>
      </w:r>
      <w:r w:rsidR="00C460C6">
        <w:rPr>
          <w:rFonts w:ascii="Times New Roman" w:eastAsia="Times New Roman" w:hAnsi="Times New Roman" w:cs="Times New Roman"/>
          <w:sz w:val="24"/>
          <w:szCs w:val="24"/>
          <w:lang w:eastAsia="en-PH"/>
        </w:rPr>
        <w:t>Similarly, u</w:t>
      </w:r>
      <w:r w:rsidR="00A23325">
        <w:rPr>
          <w:rFonts w:ascii="Times New Roman" w:eastAsia="Times New Roman" w:hAnsi="Times New Roman" w:cs="Times New Roman"/>
          <w:sz w:val="24"/>
          <w:szCs w:val="24"/>
          <w:lang w:eastAsia="en-PH"/>
        </w:rPr>
        <w:t>nless there is evidence that suggests a change in brain functioning, it is arguably reasonable to assume that the person is rational and competent enough to make their own decisions.</w:t>
      </w:r>
      <w:r w:rsidR="00C705FA">
        <w:rPr>
          <w:rFonts w:ascii="Times New Roman" w:eastAsia="Times New Roman" w:hAnsi="Times New Roman" w:cs="Times New Roman"/>
          <w:sz w:val="24"/>
          <w:szCs w:val="24"/>
          <w:lang w:eastAsia="en-PH"/>
        </w:rPr>
        <w:t xml:space="preserve"> Consequently, Szasz argues that mentally ill individuals (whose behaviors cannot be attributed to lesions in the brain) should be held morally and legally accountable for their actions, and their liberty cannot be restricted by virtue of</w:t>
      </w:r>
      <w:r w:rsidR="004F238F">
        <w:rPr>
          <w:rFonts w:ascii="Times New Roman" w:eastAsia="Times New Roman" w:hAnsi="Times New Roman" w:cs="Times New Roman"/>
          <w:sz w:val="24"/>
          <w:szCs w:val="24"/>
          <w:lang w:eastAsia="en-PH"/>
        </w:rPr>
        <w:t xml:space="preserve"> their being</w:t>
      </w:r>
      <w:r w:rsidR="00C705FA">
        <w:rPr>
          <w:rFonts w:ascii="Times New Roman" w:eastAsia="Times New Roman" w:hAnsi="Times New Roman" w:cs="Times New Roman"/>
          <w:sz w:val="24"/>
          <w:szCs w:val="24"/>
          <w:lang w:eastAsia="en-PH"/>
        </w:rPr>
        <w:t xml:space="preserve"> sick</w:t>
      </w:r>
      <w:r w:rsidR="00016593">
        <w:rPr>
          <w:rFonts w:ascii="Times New Roman" w:eastAsia="Times New Roman" w:hAnsi="Times New Roman" w:cs="Times New Roman"/>
          <w:sz w:val="24"/>
          <w:szCs w:val="24"/>
          <w:lang w:eastAsia="en-PH"/>
        </w:rPr>
        <w:t xml:space="preserve"> in the technical sense</w:t>
      </w:r>
      <w:r w:rsidR="00C705FA">
        <w:rPr>
          <w:rFonts w:ascii="Times New Roman" w:eastAsia="Times New Roman" w:hAnsi="Times New Roman" w:cs="Times New Roman"/>
          <w:sz w:val="24"/>
          <w:szCs w:val="24"/>
          <w:lang w:eastAsia="en-PH"/>
        </w:rPr>
        <w:t>.</w:t>
      </w:r>
      <w:r w:rsidR="00A23325">
        <w:rPr>
          <w:rStyle w:val="FootnoteReference"/>
          <w:rFonts w:ascii="Times New Roman" w:eastAsia="Times New Roman" w:hAnsi="Times New Roman" w:cs="Times New Roman"/>
          <w:sz w:val="24"/>
          <w:szCs w:val="24"/>
          <w:lang w:eastAsia="en-PH"/>
        </w:rPr>
        <w:footnoteReference w:id="37"/>
      </w:r>
    </w:p>
    <w:p w14:paraId="59768DD7" w14:textId="25ECB0DF" w:rsidR="0042741D" w:rsidRDefault="00016593" w:rsidP="00045EAF">
      <w:pPr>
        <w:spacing w:after="0" w:line="480" w:lineRule="auto"/>
        <w:ind w:firstLine="720"/>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Does this mean that a layperson is unjustified in calling someone mentally ill</w:t>
      </w:r>
      <w:r w:rsidR="00B43500">
        <w:rPr>
          <w:rFonts w:ascii="Times New Roman" w:eastAsia="Times New Roman" w:hAnsi="Times New Roman" w:cs="Times New Roman"/>
          <w:sz w:val="24"/>
          <w:szCs w:val="24"/>
          <w:lang w:eastAsia="en-PH"/>
        </w:rPr>
        <w:t xml:space="preserve"> for their behavior</w:t>
      </w:r>
      <w:r>
        <w:rPr>
          <w:rFonts w:ascii="Times New Roman" w:eastAsia="Times New Roman" w:hAnsi="Times New Roman" w:cs="Times New Roman"/>
          <w:sz w:val="24"/>
          <w:szCs w:val="24"/>
          <w:lang w:eastAsia="en-PH"/>
        </w:rPr>
        <w:t xml:space="preserve">? </w:t>
      </w:r>
      <w:r w:rsidR="00B43500">
        <w:rPr>
          <w:rFonts w:ascii="Times New Roman" w:eastAsia="Times New Roman" w:hAnsi="Times New Roman" w:cs="Times New Roman"/>
          <w:sz w:val="24"/>
          <w:szCs w:val="24"/>
          <w:lang w:eastAsia="en-PH"/>
        </w:rPr>
        <w:t>Arguably not. From what has been</w:t>
      </w:r>
      <w:r w:rsidR="002E3327">
        <w:rPr>
          <w:rFonts w:ascii="Times New Roman" w:eastAsia="Times New Roman" w:hAnsi="Times New Roman" w:cs="Times New Roman"/>
          <w:sz w:val="24"/>
          <w:szCs w:val="24"/>
          <w:lang w:eastAsia="en-PH"/>
        </w:rPr>
        <w:t xml:space="preserve"> argued for</w:t>
      </w:r>
      <w:r w:rsidR="00B43500">
        <w:rPr>
          <w:rFonts w:ascii="Times New Roman" w:eastAsia="Times New Roman" w:hAnsi="Times New Roman" w:cs="Times New Roman"/>
          <w:sz w:val="24"/>
          <w:szCs w:val="24"/>
          <w:lang w:eastAsia="en-PH"/>
        </w:rPr>
        <w:t xml:space="preserve"> so far, it has only been proven that mentally ill individuals cannot be considered ‘unhealthy’ in the technical, naturalist sense of the word</w:t>
      </w:r>
      <w:r w:rsidR="00DF5C0B">
        <w:rPr>
          <w:rFonts w:ascii="Times New Roman" w:eastAsia="Times New Roman" w:hAnsi="Times New Roman" w:cs="Times New Roman"/>
          <w:sz w:val="24"/>
          <w:szCs w:val="24"/>
          <w:lang w:eastAsia="en-PH"/>
        </w:rPr>
        <w:t xml:space="preserve"> where it refers to some abnormal states-of-affairs in the internal mechanism of an organism or its systems that reduces its functional efficiency</w:t>
      </w:r>
      <w:r w:rsidR="00B43500">
        <w:rPr>
          <w:rFonts w:ascii="Times New Roman" w:eastAsia="Times New Roman" w:hAnsi="Times New Roman" w:cs="Times New Roman"/>
          <w:sz w:val="24"/>
          <w:szCs w:val="24"/>
          <w:lang w:eastAsia="en-PH"/>
        </w:rPr>
        <w:t xml:space="preserve">. On the other hand, there still seems to be </w:t>
      </w:r>
      <w:r w:rsidR="00DF5C0B">
        <w:rPr>
          <w:rFonts w:ascii="Times New Roman" w:eastAsia="Times New Roman" w:hAnsi="Times New Roman" w:cs="Times New Roman"/>
          <w:sz w:val="24"/>
          <w:szCs w:val="24"/>
          <w:lang w:eastAsia="en-PH"/>
        </w:rPr>
        <w:lastRenderedPageBreak/>
        <w:t xml:space="preserve">linguistic </w:t>
      </w:r>
      <w:r w:rsidR="00B43500">
        <w:rPr>
          <w:rFonts w:ascii="Times New Roman" w:eastAsia="Times New Roman" w:hAnsi="Times New Roman" w:cs="Times New Roman"/>
          <w:sz w:val="24"/>
          <w:szCs w:val="24"/>
          <w:lang w:eastAsia="en-PH"/>
        </w:rPr>
        <w:t xml:space="preserve">merit </w:t>
      </w:r>
      <w:r w:rsidR="00DF5C0B">
        <w:rPr>
          <w:rFonts w:ascii="Times New Roman" w:eastAsia="Times New Roman" w:hAnsi="Times New Roman" w:cs="Times New Roman"/>
          <w:sz w:val="24"/>
          <w:szCs w:val="24"/>
          <w:lang w:eastAsia="en-PH"/>
        </w:rPr>
        <w:t xml:space="preserve">in </w:t>
      </w:r>
      <w:r w:rsidR="00B43500">
        <w:rPr>
          <w:rFonts w:ascii="Times New Roman" w:eastAsia="Times New Roman" w:hAnsi="Times New Roman" w:cs="Times New Roman"/>
          <w:sz w:val="24"/>
          <w:szCs w:val="24"/>
          <w:lang w:eastAsia="en-PH"/>
        </w:rPr>
        <w:t xml:space="preserve">calling </w:t>
      </w:r>
      <w:r w:rsidR="00DF5C0B">
        <w:rPr>
          <w:rFonts w:ascii="Times New Roman" w:eastAsia="Times New Roman" w:hAnsi="Times New Roman" w:cs="Times New Roman"/>
          <w:sz w:val="24"/>
          <w:szCs w:val="24"/>
          <w:lang w:eastAsia="en-PH"/>
        </w:rPr>
        <w:t>mental disorders</w:t>
      </w:r>
      <w:r w:rsidR="00B43500">
        <w:rPr>
          <w:rFonts w:ascii="Times New Roman" w:eastAsia="Times New Roman" w:hAnsi="Times New Roman" w:cs="Times New Roman"/>
          <w:sz w:val="24"/>
          <w:szCs w:val="24"/>
          <w:lang w:eastAsia="en-PH"/>
        </w:rPr>
        <w:t xml:space="preserve"> unhealthy for their</w:t>
      </w:r>
      <w:r w:rsidR="002E3327">
        <w:rPr>
          <w:rFonts w:ascii="Times New Roman" w:eastAsia="Times New Roman" w:hAnsi="Times New Roman" w:cs="Times New Roman"/>
          <w:sz w:val="24"/>
          <w:szCs w:val="24"/>
          <w:lang w:eastAsia="en-PH"/>
        </w:rPr>
        <w:t xml:space="preserve"> deviant behavior, where the behavior is assessed as deviant due to it violating some </w:t>
      </w:r>
      <w:r w:rsidR="00B23A3C">
        <w:rPr>
          <w:rFonts w:ascii="Times New Roman" w:eastAsia="Times New Roman" w:hAnsi="Times New Roman" w:cs="Times New Roman"/>
          <w:sz w:val="24"/>
          <w:szCs w:val="24"/>
          <w:lang w:eastAsia="en-PH"/>
        </w:rPr>
        <w:t>psycho-social, ethical, or legal</w:t>
      </w:r>
      <w:r w:rsidR="002E3327">
        <w:rPr>
          <w:rFonts w:ascii="Times New Roman" w:eastAsia="Times New Roman" w:hAnsi="Times New Roman" w:cs="Times New Roman"/>
          <w:sz w:val="24"/>
          <w:szCs w:val="24"/>
          <w:lang w:eastAsia="en-PH"/>
        </w:rPr>
        <w:t xml:space="preserve"> norm</w:t>
      </w:r>
      <w:r w:rsidR="00B43500">
        <w:rPr>
          <w:rFonts w:ascii="Times New Roman" w:eastAsia="Times New Roman" w:hAnsi="Times New Roman" w:cs="Times New Roman"/>
          <w:sz w:val="24"/>
          <w:szCs w:val="24"/>
          <w:lang w:eastAsia="en-PH"/>
        </w:rPr>
        <w:t>.</w:t>
      </w:r>
      <w:r w:rsidR="00B23E07">
        <w:rPr>
          <w:rStyle w:val="FootnoteReference"/>
          <w:rFonts w:ascii="Times New Roman" w:eastAsia="Times New Roman" w:hAnsi="Times New Roman" w:cs="Times New Roman"/>
          <w:sz w:val="24"/>
          <w:szCs w:val="24"/>
          <w:lang w:eastAsia="en-PH"/>
        </w:rPr>
        <w:footnoteReference w:id="38"/>
      </w:r>
      <w:r w:rsidR="00B43500">
        <w:rPr>
          <w:rFonts w:ascii="Times New Roman" w:eastAsia="Times New Roman" w:hAnsi="Times New Roman" w:cs="Times New Roman"/>
          <w:sz w:val="24"/>
          <w:szCs w:val="24"/>
          <w:lang w:eastAsia="en-PH"/>
        </w:rPr>
        <w:t xml:space="preserve"> In Szasz’s work, he considers psychiatric diagnoses to be a judgement</w:t>
      </w:r>
      <w:r w:rsidR="008751E7">
        <w:rPr>
          <w:rFonts w:ascii="Times New Roman" w:eastAsia="Times New Roman" w:hAnsi="Times New Roman" w:cs="Times New Roman"/>
          <w:sz w:val="24"/>
          <w:szCs w:val="24"/>
          <w:lang w:eastAsia="en-PH"/>
        </w:rPr>
        <w:t xml:space="preserve"> one makes towards the mentally ill person</w:t>
      </w:r>
      <w:r w:rsidR="00B23A3C">
        <w:rPr>
          <w:rFonts w:ascii="Times New Roman" w:eastAsia="Times New Roman" w:hAnsi="Times New Roman" w:cs="Times New Roman"/>
          <w:sz w:val="24"/>
          <w:szCs w:val="24"/>
          <w:lang w:eastAsia="en-PH"/>
        </w:rPr>
        <w:t>. This judgement is about the behavior (</w:t>
      </w:r>
      <w:proofErr w:type="gramStart"/>
      <w:r w:rsidR="00B23A3C">
        <w:rPr>
          <w:rFonts w:ascii="Times New Roman" w:eastAsia="Times New Roman" w:hAnsi="Times New Roman" w:cs="Times New Roman"/>
          <w:sz w:val="24"/>
          <w:szCs w:val="24"/>
          <w:lang w:eastAsia="en-PH"/>
        </w:rPr>
        <w:t>e.g.</w:t>
      </w:r>
      <w:proofErr w:type="gramEnd"/>
      <w:r w:rsidR="00B23A3C">
        <w:rPr>
          <w:rFonts w:ascii="Times New Roman" w:eastAsia="Times New Roman" w:hAnsi="Times New Roman" w:cs="Times New Roman"/>
          <w:sz w:val="24"/>
          <w:szCs w:val="24"/>
          <w:lang w:eastAsia="en-PH"/>
        </w:rPr>
        <w:t xml:space="preserve"> depressive behavior) as a symptom of certain</w:t>
      </w:r>
      <w:r w:rsidR="002E3327">
        <w:rPr>
          <w:rFonts w:ascii="Times New Roman" w:eastAsia="Times New Roman" w:hAnsi="Times New Roman" w:cs="Times New Roman"/>
          <w:sz w:val="24"/>
          <w:szCs w:val="24"/>
          <w:lang w:eastAsia="en-PH"/>
        </w:rPr>
        <w:t xml:space="preserve"> </w:t>
      </w:r>
      <w:r w:rsidR="003F542D">
        <w:rPr>
          <w:rFonts w:ascii="Times New Roman" w:eastAsia="Times New Roman" w:hAnsi="Times New Roman" w:cs="Times New Roman"/>
          <w:sz w:val="24"/>
          <w:szCs w:val="24"/>
          <w:lang w:eastAsia="en-PH"/>
        </w:rPr>
        <w:t>beliefs or thoughts the mentally ill may have.</w:t>
      </w:r>
      <w:r w:rsidR="00B43500">
        <w:rPr>
          <w:rStyle w:val="FootnoteReference"/>
          <w:rFonts w:ascii="Times New Roman" w:eastAsia="Times New Roman" w:hAnsi="Times New Roman" w:cs="Times New Roman"/>
          <w:sz w:val="24"/>
          <w:szCs w:val="24"/>
          <w:lang w:eastAsia="en-PH"/>
        </w:rPr>
        <w:footnoteReference w:id="39"/>
      </w:r>
    </w:p>
    <w:p w14:paraId="6AC10D1E" w14:textId="77777777" w:rsidR="00CE3F04" w:rsidRDefault="00CE3F04" w:rsidP="00CE3F04">
      <w:pPr>
        <w:spacing w:after="0" w:line="480" w:lineRule="auto"/>
        <w:jc w:val="both"/>
        <w:rPr>
          <w:rFonts w:ascii="Times New Roman" w:eastAsia="Times New Roman" w:hAnsi="Times New Roman" w:cs="Times New Roman"/>
          <w:sz w:val="24"/>
          <w:szCs w:val="24"/>
          <w:lang w:eastAsia="en-PH"/>
        </w:rPr>
      </w:pPr>
    </w:p>
    <w:p w14:paraId="5FDCB8AE" w14:textId="244B87BF" w:rsidR="00792F41" w:rsidRPr="00792F41" w:rsidRDefault="00792F41" w:rsidP="008F550D">
      <w:pPr>
        <w:spacing w:after="0" w:line="480" w:lineRule="auto"/>
        <w:jc w:val="both"/>
        <w:rPr>
          <w:rFonts w:ascii="Times New Roman" w:eastAsia="Times New Roman" w:hAnsi="Times New Roman" w:cs="Times New Roman"/>
          <w:b/>
          <w:bCs/>
          <w:sz w:val="24"/>
          <w:szCs w:val="24"/>
          <w:lang w:eastAsia="en-PH"/>
        </w:rPr>
      </w:pPr>
      <w:r>
        <w:rPr>
          <w:rFonts w:ascii="Times New Roman" w:eastAsia="Times New Roman" w:hAnsi="Times New Roman" w:cs="Times New Roman"/>
          <w:b/>
          <w:bCs/>
          <w:sz w:val="24"/>
          <w:szCs w:val="24"/>
          <w:lang w:eastAsia="en-PH"/>
        </w:rPr>
        <w:t>Discussion</w:t>
      </w:r>
    </w:p>
    <w:p w14:paraId="4284D2DD" w14:textId="101C6370" w:rsidR="00792F41" w:rsidRDefault="00792F41" w:rsidP="008F550D">
      <w:pPr>
        <w:spacing w:after="0" w:line="480" w:lineRule="auto"/>
        <w:jc w:val="both"/>
        <w:rPr>
          <w:rFonts w:ascii="Times New Roman" w:eastAsia="Times New Roman" w:hAnsi="Times New Roman" w:cs="Times New Roman"/>
          <w:sz w:val="24"/>
          <w:szCs w:val="24"/>
          <w:lang w:eastAsia="en-PH"/>
        </w:rPr>
      </w:pPr>
    </w:p>
    <w:p w14:paraId="3C3CFED5" w14:textId="0508B6D5" w:rsidR="00420CCA" w:rsidRDefault="0042741D" w:rsidP="008F550D">
      <w:pPr>
        <w:spacing w:after="0" w:line="480" w:lineRule="auto"/>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ab/>
      </w:r>
      <w:r w:rsidR="00B23E07">
        <w:rPr>
          <w:rFonts w:ascii="Times New Roman" w:eastAsia="Times New Roman" w:hAnsi="Times New Roman" w:cs="Times New Roman"/>
          <w:sz w:val="24"/>
          <w:szCs w:val="24"/>
          <w:lang w:eastAsia="en-PH"/>
        </w:rPr>
        <w:t>Based on</w:t>
      </w:r>
      <w:r>
        <w:rPr>
          <w:rFonts w:ascii="Times New Roman" w:eastAsia="Times New Roman" w:hAnsi="Times New Roman" w:cs="Times New Roman"/>
          <w:sz w:val="24"/>
          <w:szCs w:val="24"/>
          <w:lang w:eastAsia="en-PH"/>
        </w:rPr>
        <w:t xml:space="preserve"> </w:t>
      </w:r>
      <w:r w:rsidR="00B23E07">
        <w:rPr>
          <w:rFonts w:ascii="Times New Roman" w:eastAsia="Times New Roman" w:hAnsi="Times New Roman" w:cs="Times New Roman"/>
          <w:sz w:val="24"/>
          <w:szCs w:val="24"/>
          <w:lang w:eastAsia="en-PH"/>
        </w:rPr>
        <w:t>what has been said so far</w:t>
      </w:r>
      <w:r>
        <w:rPr>
          <w:rFonts w:ascii="Times New Roman" w:eastAsia="Times New Roman" w:hAnsi="Times New Roman" w:cs="Times New Roman"/>
          <w:sz w:val="24"/>
          <w:szCs w:val="24"/>
          <w:lang w:eastAsia="en-PH"/>
        </w:rPr>
        <w:t xml:space="preserve">, </w:t>
      </w:r>
      <w:r w:rsidR="000A210D">
        <w:rPr>
          <w:rFonts w:ascii="Times New Roman" w:eastAsia="Times New Roman" w:hAnsi="Times New Roman" w:cs="Times New Roman"/>
          <w:sz w:val="24"/>
          <w:szCs w:val="24"/>
          <w:lang w:eastAsia="en-PH"/>
        </w:rPr>
        <w:t xml:space="preserve">I have argued that </w:t>
      </w:r>
      <w:r w:rsidR="00F67CF2">
        <w:rPr>
          <w:rFonts w:ascii="Times New Roman" w:eastAsia="Times New Roman" w:hAnsi="Times New Roman" w:cs="Times New Roman"/>
          <w:sz w:val="24"/>
          <w:szCs w:val="24"/>
          <w:lang w:eastAsia="en-PH"/>
        </w:rPr>
        <w:t>philosophers and medical professionals</w:t>
      </w:r>
      <w:r w:rsidR="000A210D">
        <w:rPr>
          <w:rFonts w:ascii="Times New Roman" w:eastAsia="Times New Roman" w:hAnsi="Times New Roman" w:cs="Times New Roman"/>
          <w:sz w:val="24"/>
          <w:szCs w:val="24"/>
          <w:lang w:eastAsia="en-PH"/>
        </w:rPr>
        <w:t xml:space="preserve"> cannot provide a determinate answer to whether ‘health’ should </w:t>
      </w:r>
      <w:r w:rsidR="00F67CF2">
        <w:rPr>
          <w:rFonts w:ascii="Times New Roman" w:eastAsia="Times New Roman" w:hAnsi="Times New Roman" w:cs="Times New Roman"/>
          <w:sz w:val="24"/>
          <w:szCs w:val="24"/>
          <w:lang w:eastAsia="en-PH"/>
        </w:rPr>
        <w:t xml:space="preserve">wholly </w:t>
      </w:r>
      <w:r w:rsidR="000A210D">
        <w:rPr>
          <w:rFonts w:ascii="Times New Roman" w:eastAsia="Times New Roman" w:hAnsi="Times New Roman" w:cs="Times New Roman"/>
          <w:sz w:val="24"/>
          <w:szCs w:val="24"/>
          <w:lang w:eastAsia="en-PH"/>
        </w:rPr>
        <w:t>mean ‘the absence of disease</w:t>
      </w:r>
      <w:r w:rsidR="00F67CF2">
        <w:rPr>
          <w:rFonts w:ascii="Times New Roman" w:eastAsia="Times New Roman" w:hAnsi="Times New Roman" w:cs="Times New Roman"/>
          <w:sz w:val="24"/>
          <w:szCs w:val="24"/>
          <w:lang w:eastAsia="en-PH"/>
        </w:rPr>
        <w:t>’ or whether the meaning is partially influenced by the values of the speaker</w:t>
      </w:r>
      <w:r w:rsidR="000A210D">
        <w:rPr>
          <w:rFonts w:ascii="Times New Roman" w:eastAsia="Times New Roman" w:hAnsi="Times New Roman" w:cs="Times New Roman"/>
          <w:sz w:val="24"/>
          <w:szCs w:val="24"/>
          <w:lang w:eastAsia="en-PH"/>
        </w:rPr>
        <w:t xml:space="preserve">. The meaning of ‘health’ cannot be determined by </w:t>
      </w:r>
      <w:r w:rsidR="00F67CF2">
        <w:rPr>
          <w:rFonts w:ascii="Times New Roman" w:eastAsia="Times New Roman" w:hAnsi="Times New Roman" w:cs="Times New Roman"/>
          <w:sz w:val="24"/>
          <w:szCs w:val="24"/>
          <w:lang w:eastAsia="en-PH"/>
        </w:rPr>
        <w:t>a philosophical</w:t>
      </w:r>
      <w:r w:rsidR="000A210D">
        <w:rPr>
          <w:rFonts w:ascii="Times New Roman" w:eastAsia="Times New Roman" w:hAnsi="Times New Roman" w:cs="Times New Roman"/>
          <w:sz w:val="24"/>
          <w:szCs w:val="24"/>
          <w:lang w:eastAsia="en-PH"/>
        </w:rPr>
        <w:t xml:space="preserve"> a priori analysis of the </w:t>
      </w:r>
      <w:r w:rsidR="00F67CF2">
        <w:rPr>
          <w:rFonts w:ascii="Times New Roman" w:eastAsia="Times New Roman" w:hAnsi="Times New Roman" w:cs="Times New Roman"/>
          <w:sz w:val="24"/>
          <w:szCs w:val="24"/>
          <w:lang w:eastAsia="en-PH"/>
        </w:rPr>
        <w:t>concept and attempting to do so will lead to two outcomes</w:t>
      </w:r>
      <w:r w:rsidR="000A210D">
        <w:rPr>
          <w:rFonts w:ascii="Times New Roman" w:eastAsia="Times New Roman" w:hAnsi="Times New Roman" w:cs="Times New Roman"/>
          <w:sz w:val="24"/>
          <w:szCs w:val="24"/>
          <w:lang w:eastAsia="en-PH"/>
        </w:rPr>
        <w:t xml:space="preserve">. Either our initial theory encounters counterexamples which forces the philosopher to revise their theory, or a temporarily adequate theory of health can be easily substituted by a </w:t>
      </w:r>
      <w:r w:rsidR="00F67CF2">
        <w:rPr>
          <w:rFonts w:ascii="Times New Roman" w:eastAsia="Times New Roman" w:hAnsi="Times New Roman" w:cs="Times New Roman"/>
          <w:sz w:val="24"/>
          <w:szCs w:val="24"/>
          <w:lang w:eastAsia="en-PH"/>
        </w:rPr>
        <w:t>contradictory</w:t>
      </w:r>
      <w:r w:rsidR="000A210D">
        <w:rPr>
          <w:rFonts w:ascii="Times New Roman" w:eastAsia="Times New Roman" w:hAnsi="Times New Roman" w:cs="Times New Roman"/>
          <w:sz w:val="24"/>
          <w:szCs w:val="24"/>
          <w:lang w:eastAsia="en-PH"/>
        </w:rPr>
        <w:t xml:space="preserve"> theory that is just as explanatorily adequate as the former. Instead, I have suggested that philosophers and medical professionals must</w:t>
      </w:r>
      <w:r>
        <w:rPr>
          <w:rFonts w:ascii="Times New Roman" w:eastAsia="Times New Roman" w:hAnsi="Times New Roman" w:cs="Times New Roman"/>
          <w:sz w:val="24"/>
          <w:szCs w:val="24"/>
          <w:lang w:eastAsia="en-PH"/>
        </w:rPr>
        <w:t xml:space="preserve"> </w:t>
      </w:r>
      <w:r w:rsidR="00FD12AB">
        <w:rPr>
          <w:rFonts w:ascii="Times New Roman" w:eastAsia="Times New Roman" w:hAnsi="Times New Roman" w:cs="Times New Roman"/>
          <w:sz w:val="24"/>
          <w:szCs w:val="24"/>
          <w:lang w:eastAsia="en-PH"/>
        </w:rPr>
        <w:t>become conscientious of the</w:t>
      </w:r>
      <w:r>
        <w:rPr>
          <w:rFonts w:ascii="Times New Roman" w:eastAsia="Times New Roman" w:hAnsi="Times New Roman" w:cs="Times New Roman"/>
          <w:sz w:val="24"/>
          <w:szCs w:val="24"/>
          <w:lang w:eastAsia="en-PH"/>
        </w:rPr>
        <w:t xml:space="preserve"> semantic role</w:t>
      </w:r>
      <w:r w:rsidR="00FD12AB">
        <w:rPr>
          <w:rFonts w:ascii="Times New Roman" w:eastAsia="Times New Roman" w:hAnsi="Times New Roman" w:cs="Times New Roman"/>
          <w:sz w:val="24"/>
          <w:szCs w:val="24"/>
          <w:lang w:eastAsia="en-PH"/>
        </w:rPr>
        <w:t>s played by both</w:t>
      </w:r>
      <w:r>
        <w:rPr>
          <w:rFonts w:ascii="Times New Roman" w:eastAsia="Times New Roman" w:hAnsi="Times New Roman" w:cs="Times New Roman"/>
          <w:sz w:val="24"/>
          <w:szCs w:val="24"/>
          <w:lang w:eastAsia="en-PH"/>
        </w:rPr>
        <w:t xml:space="preserve"> a technical and non-technical usage of ‘health’</w:t>
      </w:r>
      <w:r w:rsidR="00F67CF2">
        <w:rPr>
          <w:rFonts w:ascii="Times New Roman" w:eastAsia="Times New Roman" w:hAnsi="Times New Roman" w:cs="Times New Roman"/>
          <w:sz w:val="24"/>
          <w:szCs w:val="24"/>
          <w:lang w:eastAsia="en-PH"/>
        </w:rPr>
        <w:t>. Meaning is not determined by a priori reflection of the term, but by analyzing how the meaning of ‘health’ is affected by the activity and context in which it was uttered.</w:t>
      </w:r>
    </w:p>
    <w:p w14:paraId="4220C62A" w14:textId="6E2DFC0C" w:rsidR="000A210D" w:rsidRDefault="00D53592" w:rsidP="00420CCA">
      <w:pPr>
        <w:spacing w:after="0" w:line="480" w:lineRule="auto"/>
        <w:ind w:firstLine="720"/>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Therefore, any technical (and thereby naturalist) usage of the ‘health’ term is a homonym of the </w:t>
      </w:r>
      <w:r w:rsidR="00584DD0">
        <w:rPr>
          <w:rFonts w:ascii="Times New Roman" w:eastAsia="Times New Roman" w:hAnsi="Times New Roman" w:cs="Times New Roman"/>
          <w:sz w:val="24"/>
          <w:szCs w:val="24"/>
          <w:lang w:eastAsia="en-PH"/>
        </w:rPr>
        <w:t>more primitive</w:t>
      </w:r>
      <w:r w:rsidR="00420CCA">
        <w:rPr>
          <w:rFonts w:ascii="Times New Roman" w:eastAsia="Times New Roman" w:hAnsi="Times New Roman" w:cs="Times New Roman"/>
          <w:sz w:val="24"/>
          <w:szCs w:val="24"/>
          <w:lang w:eastAsia="en-PH"/>
        </w:rPr>
        <w:t>,</w:t>
      </w:r>
      <w:r w:rsidR="00584DD0">
        <w:rPr>
          <w:rFonts w:ascii="Times New Roman" w:eastAsia="Times New Roman" w:hAnsi="Times New Roman" w:cs="Times New Roman"/>
          <w:sz w:val="24"/>
          <w:szCs w:val="24"/>
          <w:lang w:eastAsia="en-PH"/>
        </w:rPr>
        <w:t xml:space="preserve"> nontechnical</w:t>
      </w:r>
      <w:r w:rsidR="00420CCA">
        <w:rPr>
          <w:rFonts w:ascii="Times New Roman" w:eastAsia="Times New Roman" w:hAnsi="Times New Roman" w:cs="Times New Roman"/>
          <w:sz w:val="24"/>
          <w:szCs w:val="24"/>
          <w:lang w:eastAsia="en-PH"/>
        </w:rPr>
        <w:t xml:space="preserve"> (and thereby non-naturalist)</w:t>
      </w:r>
      <w:r w:rsidR="00584DD0">
        <w:rPr>
          <w:rFonts w:ascii="Times New Roman" w:eastAsia="Times New Roman" w:hAnsi="Times New Roman" w:cs="Times New Roman"/>
          <w:sz w:val="24"/>
          <w:szCs w:val="24"/>
          <w:lang w:eastAsia="en-PH"/>
        </w:rPr>
        <w:t xml:space="preserve"> meaning of ‘health’</w:t>
      </w:r>
      <w:r w:rsidR="00420CCA">
        <w:rPr>
          <w:rFonts w:ascii="Times New Roman" w:eastAsia="Times New Roman" w:hAnsi="Times New Roman" w:cs="Times New Roman"/>
          <w:sz w:val="24"/>
          <w:szCs w:val="24"/>
          <w:lang w:eastAsia="en-PH"/>
        </w:rPr>
        <w:t xml:space="preserve">. This is </w:t>
      </w:r>
      <w:r w:rsidR="00420CCA">
        <w:rPr>
          <w:rFonts w:ascii="Times New Roman" w:eastAsia="Times New Roman" w:hAnsi="Times New Roman" w:cs="Times New Roman"/>
          <w:sz w:val="24"/>
          <w:szCs w:val="24"/>
          <w:lang w:eastAsia="en-PH"/>
        </w:rPr>
        <w:lastRenderedPageBreak/>
        <w:t xml:space="preserve">arguably </w:t>
      </w:r>
      <w:proofErr w:type="gramStart"/>
      <w:r w:rsidR="00420CCA">
        <w:rPr>
          <w:rFonts w:ascii="Times New Roman" w:eastAsia="Times New Roman" w:hAnsi="Times New Roman" w:cs="Times New Roman"/>
          <w:sz w:val="24"/>
          <w:szCs w:val="24"/>
          <w:lang w:eastAsia="en-PH"/>
        </w:rPr>
        <w:t xml:space="preserve">similar </w:t>
      </w:r>
      <w:r w:rsidR="00584DD0">
        <w:rPr>
          <w:rFonts w:ascii="Times New Roman" w:eastAsia="Times New Roman" w:hAnsi="Times New Roman" w:cs="Times New Roman"/>
          <w:sz w:val="24"/>
          <w:szCs w:val="24"/>
          <w:lang w:eastAsia="en-PH"/>
        </w:rPr>
        <w:t>to</w:t>
      </w:r>
      <w:proofErr w:type="gramEnd"/>
      <w:r w:rsidR="00584DD0">
        <w:rPr>
          <w:rFonts w:ascii="Times New Roman" w:eastAsia="Times New Roman" w:hAnsi="Times New Roman" w:cs="Times New Roman"/>
          <w:sz w:val="24"/>
          <w:szCs w:val="24"/>
          <w:lang w:eastAsia="en-PH"/>
        </w:rPr>
        <w:t xml:space="preserve"> how cognitive scientists use ‘representation’ to refer to</w:t>
      </w:r>
      <w:r>
        <w:rPr>
          <w:rFonts w:ascii="Times New Roman" w:eastAsia="Times New Roman" w:hAnsi="Times New Roman" w:cs="Times New Roman"/>
          <w:sz w:val="24"/>
          <w:szCs w:val="24"/>
          <w:lang w:eastAsia="en-PH"/>
        </w:rPr>
        <w:t xml:space="preserve"> </w:t>
      </w:r>
      <w:r w:rsidR="00584DD0">
        <w:rPr>
          <w:rFonts w:ascii="Times New Roman" w:eastAsia="Times New Roman" w:hAnsi="Times New Roman" w:cs="Times New Roman"/>
          <w:sz w:val="24"/>
          <w:szCs w:val="24"/>
          <w:lang w:eastAsia="en-PH"/>
        </w:rPr>
        <w:t>observable brain states whereas laypersons</w:t>
      </w:r>
      <w:r w:rsidR="00420CCA">
        <w:rPr>
          <w:rFonts w:ascii="Times New Roman" w:eastAsia="Times New Roman" w:hAnsi="Times New Roman" w:cs="Times New Roman"/>
          <w:sz w:val="24"/>
          <w:szCs w:val="24"/>
          <w:lang w:eastAsia="en-PH"/>
        </w:rPr>
        <w:t xml:space="preserve"> and philosophers use ‘representation’ to refer to a person’s judgements about how the world is presented in a certain way.</w:t>
      </w:r>
      <w:r w:rsidR="00420CCA">
        <w:rPr>
          <w:rStyle w:val="FootnoteReference"/>
          <w:rFonts w:ascii="Times New Roman" w:eastAsia="Times New Roman" w:hAnsi="Times New Roman" w:cs="Times New Roman"/>
          <w:sz w:val="24"/>
          <w:szCs w:val="24"/>
          <w:lang w:eastAsia="en-PH"/>
        </w:rPr>
        <w:footnoteReference w:id="40"/>
      </w:r>
    </w:p>
    <w:p w14:paraId="5BD4EE3E" w14:textId="04DB2626" w:rsidR="00A16DDD" w:rsidRDefault="000A210D" w:rsidP="000A210D">
      <w:pPr>
        <w:spacing w:after="0" w:line="480" w:lineRule="auto"/>
        <w:ind w:firstLine="720"/>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My argument </w:t>
      </w:r>
      <w:r w:rsidR="0042741D">
        <w:rPr>
          <w:rFonts w:ascii="Times New Roman" w:eastAsia="Times New Roman" w:hAnsi="Times New Roman" w:cs="Times New Roman"/>
          <w:sz w:val="24"/>
          <w:szCs w:val="24"/>
          <w:lang w:eastAsia="en-PH"/>
        </w:rPr>
        <w:t xml:space="preserve">provides two benefits. First, it allows us to broadly categorize the different theories and conceptions of health based on their ‘family resemblance’ to one another. </w:t>
      </w:r>
      <w:r w:rsidR="00D8454B">
        <w:rPr>
          <w:rFonts w:ascii="Times New Roman" w:eastAsia="Times New Roman" w:hAnsi="Times New Roman" w:cs="Times New Roman"/>
          <w:sz w:val="24"/>
          <w:szCs w:val="24"/>
          <w:lang w:eastAsia="en-PH"/>
        </w:rPr>
        <w:t>This</w:t>
      </w:r>
      <w:r w:rsidR="0042741D">
        <w:rPr>
          <w:rFonts w:ascii="Times New Roman" w:eastAsia="Times New Roman" w:hAnsi="Times New Roman" w:cs="Times New Roman"/>
          <w:sz w:val="24"/>
          <w:szCs w:val="24"/>
          <w:lang w:eastAsia="en-PH"/>
        </w:rPr>
        <w:t xml:space="preserve"> classification reminds us that most naturalist-oriented uses of ‘health’ do not contradict any non-naturalist-oriented uses of ‘health’.</w:t>
      </w:r>
      <w:r w:rsidR="00A16DDD">
        <w:rPr>
          <w:rFonts w:ascii="Times New Roman" w:eastAsia="Times New Roman" w:hAnsi="Times New Roman" w:cs="Times New Roman"/>
          <w:sz w:val="24"/>
          <w:szCs w:val="24"/>
          <w:lang w:eastAsia="en-PH"/>
        </w:rPr>
        <w:t xml:space="preserve"> Therefore, the desire to settle for either a naturalist-oriented or non-naturalist-oriented conception of health largely dissolves. There can be genuine disagreement in the two camps, but the proper meaning of ‘health’ is determined by the context and activity of the utterance instead of any a priori theorizing about abstract notions of health.</w:t>
      </w:r>
    </w:p>
    <w:p w14:paraId="2C1F8140" w14:textId="736D2524" w:rsidR="0042741D" w:rsidRDefault="00D8454B" w:rsidP="00A16DDD">
      <w:pPr>
        <w:spacing w:after="0" w:line="480" w:lineRule="auto"/>
        <w:ind w:firstLine="720"/>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Second, becoming semantically aware of the different meanings of ‘health’ arguably dissolves the issue </w:t>
      </w:r>
      <w:r w:rsidR="002E3327">
        <w:rPr>
          <w:rFonts w:ascii="Times New Roman" w:eastAsia="Times New Roman" w:hAnsi="Times New Roman" w:cs="Times New Roman"/>
          <w:sz w:val="24"/>
          <w:szCs w:val="24"/>
          <w:lang w:eastAsia="en-PH"/>
        </w:rPr>
        <w:t xml:space="preserve">naturalists have concerning </w:t>
      </w:r>
      <w:r>
        <w:rPr>
          <w:rFonts w:ascii="Times New Roman" w:eastAsia="Times New Roman" w:hAnsi="Times New Roman" w:cs="Times New Roman"/>
          <w:sz w:val="24"/>
          <w:szCs w:val="24"/>
          <w:lang w:eastAsia="en-PH"/>
        </w:rPr>
        <w:t xml:space="preserve">the </w:t>
      </w:r>
      <w:r w:rsidR="002E3327">
        <w:rPr>
          <w:rFonts w:ascii="Times New Roman" w:eastAsia="Times New Roman" w:hAnsi="Times New Roman" w:cs="Times New Roman"/>
          <w:sz w:val="24"/>
          <w:szCs w:val="24"/>
          <w:lang w:eastAsia="en-PH"/>
        </w:rPr>
        <w:t xml:space="preserve">scientific </w:t>
      </w:r>
      <w:r>
        <w:rPr>
          <w:rFonts w:ascii="Times New Roman" w:eastAsia="Times New Roman" w:hAnsi="Times New Roman" w:cs="Times New Roman"/>
          <w:sz w:val="24"/>
          <w:szCs w:val="24"/>
          <w:lang w:eastAsia="en-PH"/>
        </w:rPr>
        <w:t xml:space="preserve">nature of mental </w:t>
      </w:r>
      <w:r w:rsidR="003F1F84">
        <w:rPr>
          <w:rFonts w:ascii="Times New Roman" w:eastAsia="Times New Roman" w:hAnsi="Times New Roman" w:cs="Times New Roman"/>
          <w:sz w:val="24"/>
          <w:szCs w:val="24"/>
          <w:lang w:eastAsia="en-PH"/>
        </w:rPr>
        <w:t xml:space="preserve">disorders. Naturalists such as </w:t>
      </w:r>
      <w:proofErr w:type="spellStart"/>
      <w:r w:rsidR="003F1F84">
        <w:rPr>
          <w:rFonts w:ascii="Times New Roman" w:eastAsia="Times New Roman" w:hAnsi="Times New Roman" w:cs="Times New Roman"/>
          <w:sz w:val="24"/>
          <w:szCs w:val="24"/>
          <w:lang w:eastAsia="en-PH"/>
        </w:rPr>
        <w:t>Boorse</w:t>
      </w:r>
      <w:proofErr w:type="spellEnd"/>
      <w:r w:rsidR="003F1F84">
        <w:rPr>
          <w:rFonts w:ascii="Times New Roman" w:eastAsia="Times New Roman" w:hAnsi="Times New Roman" w:cs="Times New Roman"/>
          <w:sz w:val="24"/>
          <w:szCs w:val="24"/>
          <w:lang w:eastAsia="en-PH"/>
        </w:rPr>
        <w:t xml:space="preserve"> had theories of health </w:t>
      </w:r>
      <w:r w:rsidR="006B35BE">
        <w:rPr>
          <w:rFonts w:ascii="Times New Roman" w:eastAsia="Times New Roman" w:hAnsi="Times New Roman" w:cs="Times New Roman"/>
          <w:sz w:val="24"/>
          <w:szCs w:val="24"/>
          <w:lang w:eastAsia="en-PH"/>
        </w:rPr>
        <w:t xml:space="preserve">and disease </w:t>
      </w:r>
      <w:r w:rsidR="003F1F84">
        <w:rPr>
          <w:rFonts w:ascii="Times New Roman" w:eastAsia="Times New Roman" w:hAnsi="Times New Roman" w:cs="Times New Roman"/>
          <w:sz w:val="24"/>
          <w:szCs w:val="24"/>
          <w:lang w:eastAsia="en-PH"/>
        </w:rPr>
        <w:t>which were arguably incompatible with the d</w:t>
      </w:r>
      <w:r w:rsidR="002E3327">
        <w:rPr>
          <w:rFonts w:ascii="Times New Roman" w:eastAsia="Times New Roman" w:hAnsi="Times New Roman" w:cs="Times New Roman"/>
          <w:sz w:val="24"/>
          <w:szCs w:val="24"/>
          <w:lang w:eastAsia="en-PH"/>
        </w:rPr>
        <w:t>ifferent kinds of psychiatric diagnoses.</w:t>
      </w:r>
      <w:r w:rsidR="002E3327">
        <w:rPr>
          <w:rStyle w:val="FootnoteReference"/>
          <w:rFonts w:ascii="Times New Roman" w:eastAsia="Times New Roman" w:hAnsi="Times New Roman" w:cs="Times New Roman"/>
          <w:sz w:val="24"/>
          <w:szCs w:val="24"/>
          <w:lang w:eastAsia="en-PH"/>
        </w:rPr>
        <w:footnoteReference w:id="41"/>
      </w:r>
      <w:r w:rsidR="002E3327">
        <w:rPr>
          <w:rFonts w:ascii="Times New Roman" w:eastAsia="Times New Roman" w:hAnsi="Times New Roman" w:cs="Times New Roman"/>
          <w:sz w:val="24"/>
          <w:szCs w:val="24"/>
          <w:lang w:eastAsia="en-PH"/>
        </w:rPr>
        <w:t xml:space="preserve"> However, it becomes clear that the semantic role of ‘mental disorder’ is different from that of disease.</w:t>
      </w:r>
    </w:p>
    <w:p w14:paraId="6AAB56E7" w14:textId="486B92F2" w:rsidR="00AC1748" w:rsidRDefault="00AC1748" w:rsidP="00792F41">
      <w:pPr>
        <w:spacing w:after="0" w:line="480" w:lineRule="auto"/>
        <w:ind w:firstLine="720"/>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It will be useful to note that there are four main </w:t>
      </w:r>
      <w:r w:rsidR="00EB5CDD">
        <w:rPr>
          <w:rFonts w:ascii="Times New Roman" w:eastAsia="Times New Roman" w:hAnsi="Times New Roman" w:cs="Times New Roman"/>
          <w:sz w:val="24"/>
          <w:szCs w:val="24"/>
          <w:lang w:eastAsia="en-PH"/>
        </w:rPr>
        <w:t xml:space="preserve">categories which a condition can be </w:t>
      </w:r>
      <w:r w:rsidR="00EB5CDD" w:rsidRPr="00EB5CDD">
        <w:rPr>
          <w:rFonts w:ascii="Times New Roman" w:eastAsia="Times New Roman" w:hAnsi="Times New Roman" w:cs="Times New Roman"/>
          <w:sz w:val="24"/>
          <w:szCs w:val="24"/>
          <w:lang w:eastAsia="en-PH"/>
        </w:rPr>
        <w:t>classified as.</w:t>
      </w:r>
      <w:r w:rsidR="00EB5CDD" w:rsidRPr="00EB5CDD">
        <w:rPr>
          <w:rStyle w:val="FootnoteReference"/>
          <w:rFonts w:ascii="Times New Roman" w:eastAsia="Times New Roman" w:hAnsi="Times New Roman" w:cs="Times New Roman"/>
          <w:sz w:val="24"/>
          <w:szCs w:val="24"/>
          <w:lang w:eastAsia="en-PH"/>
        </w:rPr>
        <w:footnoteReference w:id="42"/>
      </w:r>
      <w:r w:rsidR="00EB5CDD" w:rsidRPr="00EB5CDD">
        <w:rPr>
          <w:rFonts w:ascii="Times New Roman" w:eastAsia="Times New Roman" w:hAnsi="Times New Roman" w:cs="Times New Roman"/>
          <w:sz w:val="24"/>
          <w:szCs w:val="24"/>
          <w:lang w:eastAsia="en-PH"/>
        </w:rPr>
        <w:t xml:space="preserve"> </w:t>
      </w:r>
      <w:r w:rsidR="00574FCB">
        <w:rPr>
          <w:rFonts w:ascii="Times New Roman" w:eastAsia="Times New Roman" w:hAnsi="Times New Roman" w:cs="Times New Roman"/>
          <w:sz w:val="24"/>
          <w:szCs w:val="24"/>
          <w:lang w:eastAsia="en-PH"/>
        </w:rPr>
        <w:t xml:space="preserve">First, a condition may be described as a syndrome, considered to be the first step in the diagnostic process. A condition </w:t>
      </w:r>
      <w:proofErr w:type="gramStart"/>
      <w:r w:rsidR="00BD68B9">
        <w:rPr>
          <w:rFonts w:ascii="Times New Roman" w:eastAsia="Times New Roman" w:hAnsi="Times New Roman" w:cs="Times New Roman"/>
          <w:sz w:val="24"/>
          <w:szCs w:val="24"/>
          <w:lang w:eastAsia="en-PH"/>
        </w:rPr>
        <w:t>is</w:t>
      </w:r>
      <w:r w:rsidR="00574FCB">
        <w:rPr>
          <w:rFonts w:ascii="Times New Roman" w:eastAsia="Times New Roman" w:hAnsi="Times New Roman" w:cs="Times New Roman"/>
          <w:sz w:val="24"/>
          <w:szCs w:val="24"/>
          <w:lang w:eastAsia="en-PH"/>
        </w:rPr>
        <w:t xml:space="preserve"> </w:t>
      </w:r>
      <w:r w:rsidR="00BD68B9">
        <w:rPr>
          <w:rFonts w:ascii="Times New Roman" w:eastAsia="Times New Roman" w:hAnsi="Times New Roman" w:cs="Times New Roman"/>
          <w:sz w:val="24"/>
          <w:szCs w:val="24"/>
          <w:lang w:eastAsia="en-PH"/>
        </w:rPr>
        <w:t>considered to be</w:t>
      </w:r>
      <w:proofErr w:type="gramEnd"/>
      <w:r w:rsidR="00BD68B9">
        <w:rPr>
          <w:rFonts w:ascii="Times New Roman" w:eastAsia="Times New Roman" w:hAnsi="Times New Roman" w:cs="Times New Roman"/>
          <w:sz w:val="24"/>
          <w:szCs w:val="24"/>
          <w:lang w:eastAsia="en-PH"/>
        </w:rPr>
        <w:t xml:space="preserve"> </w:t>
      </w:r>
      <w:r w:rsidR="00574FCB">
        <w:rPr>
          <w:rFonts w:ascii="Times New Roman" w:eastAsia="Times New Roman" w:hAnsi="Times New Roman" w:cs="Times New Roman"/>
          <w:sz w:val="24"/>
          <w:szCs w:val="24"/>
          <w:lang w:eastAsia="en-PH"/>
        </w:rPr>
        <w:t>a syndrome when it is a recognizable pattern of symptoms of signs. When a medical condition is still solely known by clinical description, the medical professional has no knowledge of the condition’s underlying features.</w:t>
      </w:r>
      <w:r w:rsidR="008F622A">
        <w:rPr>
          <w:rFonts w:ascii="Times New Roman" w:eastAsia="Times New Roman" w:hAnsi="Times New Roman" w:cs="Times New Roman"/>
          <w:sz w:val="24"/>
          <w:szCs w:val="24"/>
          <w:lang w:eastAsia="en-PH"/>
        </w:rPr>
        <w:t xml:space="preserve"> Therefore, </w:t>
      </w:r>
      <w:r w:rsidR="008F622A">
        <w:rPr>
          <w:rFonts w:ascii="Times New Roman" w:eastAsia="Times New Roman" w:hAnsi="Times New Roman" w:cs="Times New Roman"/>
          <w:sz w:val="24"/>
          <w:szCs w:val="24"/>
          <w:lang w:eastAsia="en-PH"/>
        </w:rPr>
        <w:lastRenderedPageBreak/>
        <w:t>syndromes are arguably not considered to be diseases</w:t>
      </w:r>
      <w:r w:rsidR="00BD68B9">
        <w:rPr>
          <w:rStyle w:val="FootnoteReference"/>
          <w:rFonts w:ascii="Times New Roman" w:eastAsia="Times New Roman" w:hAnsi="Times New Roman" w:cs="Times New Roman"/>
          <w:sz w:val="24"/>
          <w:szCs w:val="24"/>
          <w:lang w:eastAsia="en-PH"/>
        </w:rPr>
        <w:footnoteReference w:id="43"/>
      </w:r>
      <w:r w:rsidR="006E07D3">
        <w:rPr>
          <w:rFonts w:ascii="Times New Roman" w:eastAsia="Times New Roman" w:hAnsi="Times New Roman" w:cs="Times New Roman"/>
          <w:sz w:val="24"/>
          <w:szCs w:val="24"/>
          <w:lang w:eastAsia="en-PH"/>
        </w:rPr>
        <w:t>, but many diseases can have similar clinical descriptions</w:t>
      </w:r>
      <w:r w:rsidR="008F622A">
        <w:rPr>
          <w:rFonts w:ascii="Times New Roman" w:eastAsia="Times New Roman" w:hAnsi="Times New Roman" w:cs="Times New Roman"/>
          <w:sz w:val="24"/>
          <w:szCs w:val="24"/>
          <w:lang w:eastAsia="en-PH"/>
        </w:rPr>
        <w:t>. For example,</w:t>
      </w:r>
      <w:r w:rsidR="00AE191E">
        <w:rPr>
          <w:rFonts w:ascii="Times New Roman" w:eastAsia="Times New Roman" w:hAnsi="Times New Roman" w:cs="Times New Roman"/>
          <w:sz w:val="24"/>
          <w:szCs w:val="24"/>
          <w:lang w:eastAsia="en-PH"/>
        </w:rPr>
        <w:t xml:space="preserve"> a psychiatrist’s diagnosis of depression is not made by virtue of its reference to some activity within the brain. Instead, psychiatric diagnoses are judgements made by the psychiatrist</w:t>
      </w:r>
      <w:r w:rsidR="000C3E16">
        <w:rPr>
          <w:rFonts w:ascii="Times New Roman" w:eastAsia="Times New Roman" w:hAnsi="Times New Roman" w:cs="Times New Roman"/>
          <w:sz w:val="24"/>
          <w:szCs w:val="24"/>
          <w:lang w:eastAsia="en-PH"/>
        </w:rPr>
        <w:t xml:space="preserve"> about how a person’s range of behaviors</w:t>
      </w:r>
      <w:r w:rsidR="006B35BE">
        <w:rPr>
          <w:rFonts w:ascii="Times New Roman" w:eastAsia="Times New Roman" w:hAnsi="Times New Roman" w:cs="Times New Roman"/>
          <w:sz w:val="24"/>
          <w:szCs w:val="24"/>
          <w:lang w:eastAsia="en-PH"/>
        </w:rPr>
        <w:t xml:space="preserve"> are related to that person’s thoughts and beliefs.</w:t>
      </w:r>
      <w:r w:rsidR="00F824A0">
        <w:rPr>
          <w:rStyle w:val="FootnoteReference"/>
          <w:rFonts w:ascii="Times New Roman" w:eastAsia="Times New Roman" w:hAnsi="Times New Roman" w:cs="Times New Roman"/>
          <w:sz w:val="24"/>
          <w:szCs w:val="24"/>
          <w:lang w:eastAsia="en-PH"/>
        </w:rPr>
        <w:footnoteReference w:id="44"/>
      </w:r>
    </w:p>
    <w:p w14:paraId="16CC7CFB" w14:textId="314B2655" w:rsidR="003D2B4C" w:rsidRDefault="00BD68B9" w:rsidP="008F550D">
      <w:pPr>
        <w:spacing w:after="0" w:line="480" w:lineRule="auto"/>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ab/>
      </w:r>
      <w:r w:rsidR="00FC1AED">
        <w:rPr>
          <w:rFonts w:ascii="Times New Roman" w:eastAsia="Times New Roman" w:hAnsi="Times New Roman" w:cs="Times New Roman"/>
          <w:sz w:val="24"/>
          <w:szCs w:val="24"/>
          <w:lang w:eastAsia="en-PH"/>
        </w:rPr>
        <w:t>On the other hand, the other three forms of classification are based on information regarding</w:t>
      </w:r>
      <w:r w:rsidR="00D54C00">
        <w:rPr>
          <w:rFonts w:ascii="Times New Roman" w:eastAsia="Times New Roman" w:hAnsi="Times New Roman" w:cs="Times New Roman"/>
          <w:sz w:val="24"/>
          <w:szCs w:val="24"/>
          <w:lang w:eastAsia="en-PH"/>
        </w:rPr>
        <w:t xml:space="preserve"> (1)</w:t>
      </w:r>
      <w:r w:rsidR="00FC1AED">
        <w:rPr>
          <w:rFonts w:ascii="Times New Roman" w:eastAsia="Times New Roman" w:hAnsi="Times New Roman" w:cs="Times New Roman"/>
          <w:sz w:val="24"/>
          <w:szCs w:val="24"/>
          <w:lang w:eastAsia="en-PH"/>
        </w:rPr>
        <w:t xml:space="preserve"> the </w:t>
      </w:r>
      <w:r w:rsidR="00447AD5">
        <w:rPr>
          <w:rFonts w:ascii="Times New Roman" w:eastAsia="Times New Roman" w:hAnsi="Times New Roman" w:cs="Times New Roman"/>
          <w:sz w:val="24"/>
          <w:szCs w:val="24"/>
          <w:lang w:eastAsia="en-PH"/>
        </w:rPr>
        <w:t>condition’s</w:t>
      </w:r>
      <w:r w:rsidR="00D54C00">
        <w:rPr>
          <w:rFonts w:ascii="Times New Roman" w:eastAsia="Times New Roman" w:hAnsi="Times New Roman" w:cs="Times New Roman"/>
          <w:sz w:val="24"/>
          <w:szCs w:val="24"/>
          <w:lang w:eastAsia="en-PH"/>
        </w:rPr>
        <w:t xml:space="preserve"> change to an organism’s anatomical structure, (2) a system’s reduction of function, or (3) the condition’s etiology.</w:t>
      </w:r>
      <w:r w:rsidR="003D2B4C">
        <w:rPr>
          <w:rStyle w:val="FootnoteReference"/>
          <w:rFonts w:ascii="Times New Roman" w:eastAsia="Times New Roman" w:hAnsi="Times New Roman" w:cs="Times New Roman"/>
          <w:sz w:val="24"/>
          <w:szCs w:val="24"/>
          <w:lang w:eastAsia="en-PH"/>
        </w:rPr>
        <w:footnoteReference w:id="45"/>
      </w:r>
      <w:r w:rsidR="00D54C00">
        <w:rPr>
          <w:rFonts w:ascii="Times New Roman" w:eastAsia="Times New Roman" w:hAnsi="Times New Roman" w:cs="Times New Roman"/>
          <w:sz w:val="24"/>
          <w:szCs w:val="24"/>
          <w:lang w:eastAsia="en-PH"/>
        </w:rPr>
        <w:t xml:space="preserve"> </w:t>
      </w:r>
      <w:r w:rsidR="003D2B4C">
        <w:rPr>
          <w:rFonts w:ascii="Times New Roman" w:eastAsia="Times New Roman" w:hAnsi="Times New Roman" w:cs="Times New Roman"/>
          <w:sz w:val="24"/>
          <w:szCs w:val="24"/>
          <w:lang w:eastAsia="en-PH"/>
        </w:rPr>
        <w:t>At that point of diagnosis, it is arguable that conditions in these categories can now be called ‘diseases’ by virtue of their reference to deeper, underlying features about the condition.</w:t>
      </w:r>
    </w:p>
    <w:p w14:paraId="7DBB9739" w14:textId="32BB5891" w:rsidR="00BD68B9" w:rsidRDefault="00BD68B9" w:rsidP="00ED0370">
      <w:pPr>
        <w:spacing w:after="0" w:line="480" w:lineRule="auto"/>
        <w:ind w:firstLine="720"/>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As a term belonging to the natural sciences, one of the main goals of </w:t>
      </w:r>
      <w:r w:rsidR="001A0150">
        <w:rPr>
          <w:rFonts w:ascii="Times New Roman" w:eastAsia="Times New Roman" w:hAnsi="Times New Roman" w:cs="Times New Roman"/>
          <w:sz w:val="24"/>
          <w:szCs w:val="24"/>
          <w:lang w:eastAsia="en-PH"/>
        </w:rPr>
        <w:t>the ‘disease’ concept is to capture some underlying feature</w:t>
      </w:r>
      <w:r w:rsidR="008F472B">
        <w:rPr>
          <w:rFonts w:ascii="Times New Roman" w:eastAsia="Times New Roman" w:hAnsi="Times New Roman" w:cs="Times New Roman"/>
          <w:sz w:val="24"/>
          <w:szCs w:val="24"/>
          <w:lang w:eastAsia="en-PH"/>
        </w:rPr>
        <w:t xml:space="preserve"> of </w:t>
      </w:r>
      <w:r w:rsidR="001A0150">
        <w:rPr>
          <w:rFonts w:ascii="Times New Roman" w:eastAsia="Times New Roman" w:hAnsi="Times New Roman" w:cs="Times New Roman"/>
          <w:sz w:val="24"/>
          <w:szCs w:val="24"/>
          <w:lang w:eastAsia="en-PH"/>
        </w:rPr>
        <w:t xml:space="preserve">reality. If this view </w:t>
      </w:r>
      <w:proofErr w:type="gramStart"/>
      <w:r w:rsidR="001A0150">
        <w:rPr>
          <w:rFonts w:ascii="Times New Roman" w:eastAsia="Times New Roman" w:hAnsi="Times New Roman" w:cs="Times New Roman"/>
          <w:sz w:val="24"/>
          <w:szCs w:val="24"/>
          <w:lang w:eastAsia="en-PH"/>
        </w:rPr>
        <w:t>is considered to be</w:t>
      </w:r>
      <w:proofErr w:type="gramEnd"/>
      <w:r w:rsidR="001A0150">
        <w:rPr>
          <w:rFonts w:ascii="Times New Roman" w:eastAsia="Times New Roman" w:hAnsi="Times New Roman" w:cs="Times New Roman"/>
          <w:sz w:val="24"/>
          <w:szCs w:val="24"/>
          <w:lang w:eastAsia="en-PH"/>
        </w:rPr>
        <w:t xml:space="preserve"> true, then the philosopher considers diseases to be natural kind</w:t>
      </w:r>
      <w:r w:rsidR="0063528E">
        <w:rPr>
          <w:rFonts w:ascii="Times New Roman" w:eastAsia="Times New Roman" w:hAnsi="Times New Roman" w:cs="Times New Roman"/>
          <w:sz w:val="24"/>
          <w:szCs w:val="24"/>
          <w:lang w:eastAsia="en-PH"/>
        </w:rPr>
        <w:t>s, mind-independent classifications of things in the natural world</w:t>
      </w:r>
      <w:r w:rsidR="001A0150">
        <w:rPr>
          <w:rFonts w:ascii="Times New Roman" w:eastAsia="Times New Roman" w:hAnsi="Times New Roman" w:cs="Times New Roman"/>
          <w:sz w:val="24"/>
          <w:szCs w:val="24"/>
          <w:lang w:eastAsia="en-PH"/>
        </w:rPr>
        <w:t>.</w:t>
      </w:r>
      <w:r w:rsidR="0063528E">
        <w:rPr>
          <w:rFonts w:ascii="Times New Roman" w:eastAsia="Times New Roman" w:hAnsi="Times New Roman" w:cs="Times New Roman"/>
          <w:sz w:val="24"/>
          <w:szCs w:val="24"/>
          <w:lang w:eastAsia="en-PH"/>
        </w:rPr>
        <w:t xml:space="preserve"> It is argued by some that the aim of science is the discovery of these natural kinds.</w:t>
      </w:r>
      <w:r w:rsidR="001A0150">
        <w:rPr>
          <w:rStyle w:val="FootnoteReference"/>
          <w:rFonts w:ascii="Times New Roman" w:eastAsia="Times New Roman" w:hAnsi="Times New Roman" w:cs="Times New Roman"/>
          <w:sz w:val="24"/>
          <w:szCs w:val="24"/>
          <w:lang w:eastAsia="en-PH"/>
        </w:rPr>
        <w:footnoteReference w:id="46"/>
      </w:r>
      <w:r w:rsidR="008F472B">
        <w:rPr>
          <w:rFonts w:ascii="Times New Roman" w:eastAsia="Times New Roman" w:hAnsi="Times New Roman" w:cs="Times New Roman"/>
          <w:sz w:val="24"/>
          <w:szCs w:val="24"/>
          <w:lang w:eastAsia="en-PH"/>
        </w:rPr>
        <w:t xml:space="preserve"> Similar to how a liquid </w:t>
      </w:r>
      <w:proofErr w:type="gramStart"/>
      <w:r w:rsidR="008F472B">
        <w:rPr>
          <w:rFonts w:ascii="Times New Roman" w:eastAsia="Times New Roman" w:hAnsi="Times New Roman" w:cs="Times New Roman"/>
          <w:sz w:val="24"/>
          <w:szCs w:val="24"/>
          <w:lang w:eastAsia="en-PH"/>
        </w:rPr>
        <w:t>is considered to be</w:t>
      </w:r>
      <w:proofErr w:type="gramEnd"/>
      <w:r w:rsidR="008F472B">
        <w:rPr>
          <w:rFonts w:ascii="Times New Roman" w:eastAsia="Times New Roman" w:hAnsi="Times New Roman" w:cs="Times New Roman"/>
          <w:sz w:val="24"/>
          <w:szCs w:val="24"/>
          <w:lang w:eastAsia="en-PH"/>
        </w:rPr>
        <w:t xml:space="preserve"> water </w:t>
      </w:r>
      <w:r w:rsidR="00FC1AED">
        <w:rPr>
          <w:rFonts w:ascii="Times New Roman" w:eastAsia="Times New Roman" w:hAnsi="Times New Roman" w:cs="Times New Roman"/>
          <w:sz w:val="24"/>
          <w:szCs w:val="24"/>
          <w:lang w:eastAsia="en-PH"/>
        </w:rPr>
        <w:t>only when its chemical structure is H</w:t>
      </w:r>
      <w:r w:rsidR="00FC1AED">
        <w:rPr>
          <w:rFonts w:ascii="Times New Roman" w:eastAsia="Times New Roman" w:hAnsi="Times New Roman" w:cs="Times New Roman"/>
          <w:sz w:val="24"/>
          <w:szCs w:val="24"/>
          <w:vertAlign w:val="subscript"/>
          <w:lang w:eastAsia="en-PH"/>
        </w:rPr>
        <w:t>2</w:t>
      </w:r>
      <w:r w:rsidR="00FC1AED">
        <w:rPr>
          <w:rFonts w:ascii="Times New Roman" w:eastAsia="Times New Roman" w:hAnsi="Times New Roman" w:cs="Times New Roman"/>
          <w:sz w:val="24"/>
          <w:szCs w:val="24"/>
          <w:lang w:eastAsia="en-PH"/>
        </w:rPr>
        <w:t>O, a condition is considered to be a case of tuberculosis only when</w:t>
      </w:r>
      <w:r w:rsidR="003D2B4C">
        <w:rPr>
          <w:rFonts w:ascii="Times New Roman" w:eastAsia="Times New Roman" w:hAnsi="Times New Roman" w:cs="Times New Roman"/>
          <w:sz w:val="24"/>
          <w:szCs w:val="24"/>
          <w:lang w:eastAsia="en-PH"/>
        </w:rPr>
        <w:t xml:space="preserve"> it has been caused by the bacterium known as </w:t>
      </w:r>
      <w:r w:rsidR="003D2B4C">
        <w:rPr>
          <w:rFonts w:ascii="Times New Roman" w:eastAsia="Times New Roman" w:hAnsi="Times New Roman" w:cs="Times New Roman"/>
          <w:i/>
          <w:iCs/>
          <w:sz w:val="24"/>
          <w:szCs w:val="24"/>
          <w:lang w:eastAsia="en-PH"/>
        </w:rPr>
        <w:t>Mycobacterium tuberculosis</w:t>
      </w:r>
      <w:r w:rsidR="003D2B4C">
        <w:rPr>
          <w:rFonts w:ascii="Times New Roman" w:eastAsia="Times New Roman" w:hAnsi="Times New Roman" w:cs="Times New Roman"/>
          <w:sz w:val="24"/>
          <w:szCs w:val="24"/>
          <w:lang w:eastAsia="en-PH"/>
        </w:rPr>
        <w:t xml:space="preserve">. On the other hand, if there were a hypothetical case where </w:t>
      </w:r>
      <w:r w:rsidR="009B68D1">
        <w:rPr>
          <w:rFonts w:ascii="Times New Roman" w:eastAsia="Times New Roman" w:hAnsi="Times New Roman" w:cs="Times New Roman"/>
          <w:sz w:val="24"/>
          <w:szCs w:val="24"/>
          <w:lang w:eastAsia="en-PH"/>
        </w:rPr>
        <w:t>a patient suffered from tuberculosis-like symptoms and it were discovered that the disease was caused by a different species of bacteria, then that would not be a case of tuberculosis.</w:t>
      </w:r>
      <w:r w:rsidR="00ED0370">
        <w:rPr>
          <w:rFonts w:ascii="Times New Roman" w:eastAsia="Times New Roman" w:hAnsi="Times New Roman" w:cs="Times New Roman"/>
          <w:sz w:val="24"/>
          <w:szCs w:val="24"/>
          <w:lang w:eastAsia="en-PH"/>
        </w:rPr>
        <w:t xml:space="preserve"> </w:t>
      </w:r>
      <w:r w:rsidR="00821D4C">
        <w:rPr>
          <w:rFonts w:ascii="Times New Roman" w:eastAsia="Times New Roman" w:hAnsi="Times New Roman" w:cs="Times New Roman"/>
          <w:sz w:val="24"/>
          <w:szCs w:val="24"/>
          <w:lang w:eastAsia="en-PH"/>
        </w:rPr>
        <w:t xml:space="preserve">In contrast, </w:t>
      </w:r>
      <w:r w:rsidR="00821D4C">
        <w:rPr>
          <w:rFonts w:ascii="Times New Roman" w:eastAsia="Times New Roman" w:hAnsi="Times New Roman" w:cs="Times New Roman"/>
          <w:sz w:val="24"/>
          <w:szCs w:val="24"/>
          <w:lang w:eastAsia="en-PH"/>
        </w:rPr>
        <w:lastRenderedPageBreak/>
        <w:t>non-natural kind terms such as ‘jade’</w:t>
      </w:r>
      <w:r w:rsidR="00ED0370">
        <w:rPr>
          <w:rFonts w:ascii="Times New Roman" w:eastAsia="Times New Roman" w:hAnsi="Times New Roman" w:cs="Times New Roman"/>
          <w:sz w:val="24"/>
          <w:szCs w:val="24"/>
          <w:lang w:eastAsia="en-PH"/>
        </w:rPr>
        <w:t>, which can refer to either jadeite or nephrite – two minerals with different compositions,</w:t>
      </w:r>
      <w:r w:rsidR="00821D4C">
        <w:rPr>
          <w:rFonts w:ascii="Times New Roman" w:eastAsia="Times New Roman" w:hAnsi="Times New Roman" w:cs="Times New Roman"/>
          <w:sz w:val="24"/>
          <w:szCs w:val="24"/>
          <w:lang w:eastAsia="en-PH"/>
        </w:rPr>
        <w:t xml:space="preserve"> are me</w:t>
      </w:r>
      <w:r w:rsidR="00ED0370">
        <w:rPr>
          <w:rFonts w:ascii="Times New Roman" w:eastAsia="Times New Roman" w:hAnsi="Times New Roman" w:cs="Times New Roman"/>
          <w:sz w:val="24"/>
          <w:szCs w:val="24"/>
          <w:lang w:eastAsia="en-PH"/>
        </w:rPr>
        <w:t xml:space="preserve">aningful for extra-scientific purposes such as their value in human society. Mental disorders </w:t>
      </w:r>
      <w:r w:rsidR="00D43671">
        <w:rPr>
          <w:rFonts w:ascii="Times New Roman" w:eastAsia="Times New Roman" w:hAnsi="Times New Roman" w:cs="Times New Roman"/>
          <w:sz w:val="24"/>
          <w:szCs w:val="24"/>
          <w:lang w:eastAsia="en-PH"/>
        </w:rPr>
        <w:t xml:space="preserve">and physical syndromes </w:t>
      </w:r>
      <w:r w:rsidR="00ED0370">
        <w:rPr>
          <w:rFonts w:ascii="Times New Roman" w:eastAsia="Times New Roman" w:hAnsi="Times New Roman" w:cs="Times New Roman"/>
          <w:sz w:val="24"/>
          <w:szCs w:val="24"/>
          <w:lang w:eastAsia="en-PH"/>
        </w:rPr>
        <w:t xml:space="preserve">are arguably non-natural kind terms </w:t>
      </w:r>
      <w:proofErr w:type="gramStart"/>
      <w:r w:rsidR="00ED0370">
        <w:rPr>
          <w:rFonts w:ascii="Times New Roman" w:eastAsia="Times New Roman" w:hAnsi="Times New Roman" w:cs="Times New Roman"/>
          <w:sz w:val="24"/>
          <w:szCs w:val="24"/>
          <w:lang w:eastAsia="en-PH"/>
        </w:rPr>
        <w:t>similar to</w:t>
      </w:r>
      <w:proofErr w:type="gramEnd"/>
      <w:r w:rsidR="00ED0370">
        <w:rPr>
          <w:rFonts w:ascii="Times New Roman" w:eastAsia="Times New Roman" w:hAnsi="Times New Roman" w:cs="Times New Roman"/>
          <w:sz w:val="24"/>
          <w:szCs w:val="24"/>
          <w:lang w:eastAsia="en-PH"/>
        </w:rPr>
        <w:t xml:space="preserve"> jade.</w:t>
      </w:r>
    </w:p>
    <w:p w14:paraId="1B251BBC" w14:textId="77777777" w:rsidR="00420CCA" w:rsidRPr="003D2B4C" w:rsidRDefault="00420CCA" w:rsidP="00420CCA">
      <w:pPr>
        <w:spacing w:after="0" w:line="480" w:lineRule="auto"/>
        <w:jc w:val="both"/>
        <w:rPr>
          <w:rFonts w:ascii="Times New Roman" w:eastAsia="Times New Roman" w:hAnsi="Times New Roman" w:cs="Times New Roman"/>
          <w:sz w:val="24"/>
          <w:szCs w:val="24"/>
          <w:lang w:eastAsia="en-PH"/>
        </w:rPr>
      </w:pPr>
    </w:p>
    <w:p w14:paraId="19989465" w14:textId="4666271D" w:rsidR="00936FEF" w:rsidRPr="00685E3F" w:rsidRDefault="00936FEF" w:rsidP="007E699A">
      <w:pPr>
        <w:spacing w:after="0" w:line="480" w:lineRule="auto"/>
        <w:rPr>
          <w:rFonts w:ascii="Times New Roman" w:eastAsia="Times New Roman" w:hAnsi="Times New Roman" w:cs="Times New Roman"/>
          <w:sz w:val="24"/>
          <w:szCs w:val="24"/>
          <w:lang w:eastAsia="en-PH"/>
        </w:rPr>
      </w:pPr>
      <w:r w:rsidRPr="00936FEF">
        <w:rPr>
          <w:rFonts w:ascii="Times New Roman" w:eastAsia="Times New Roman" w:hAnsi="Times New Roman" w:cs="Times New Roman"/>
          <w:b/>
          <w:bCs/>
          <w:color w:val="000000"/>
          <w:sz w:val="24"/>
          <w:szCs w:val="24"/>
          <w:lang w:eastAsia="en-PH"/>
        </w:rPr>
        <w:t>Conclusion</w:t>
      </w:r>
    </w:p>
    <w:p w14:paraId="1F0B5CD6" w14:textId="77777777" w:rsidR="00A649A9" w:rsidRPr="00936FEF" w:rsidRDefault="00A649A9" w:rsidP="007E699A">
      <w:pPr>
        <w:spacing w:after="0" w:line="480" w:lineRule="auto"/>
        <w:rPr>
          <w:rFonts w:ascii="Times New Roman" w:eastAsia="Times New Roman" w:hAnsi="Times New Roman" w:cs="Times New Roman"/>
          <w:sz w:val="24"/>
          <w:szCs w:val="24"/>
          <w:lang w:eastAsia="en-PH"/>
        </w:rPr>
      </w:pPr>
    </w:p>
    <w:p w14:paraId="0D8FBC4F" w14:textId="033F5A2A" w:rsidR="00FB5575" w:rsidRDefault="00936FEF" w:rsidP="00FB5575">
      <w:pPr>
        <w:spacing w:after="0" w:line="480" w:lineRule="auto"/>
        <w:ind w:firstLine="720"/>
        <w:jc w:val="both"/>
        <w:rPr>
          <w:rFonts w:ascii="Times New Roman" w:eastAsia="Times New Roman" w:hAnsi="Times New Roman" w:cs="Times New Roman"/>
          <w:color w:val="000000"/>
          <w:sz w:val="24"/>
          <w:szCs w:val="24"/>
          <w:lang w:eastAsia="en-PH"/>
        </w:rPr>
      </w:pPr>
      <w:r w:rsidRPr="00936FEF">
        <w:rPr>
          <w:rFonts w:ascii="Times New Roman" w:eastAsia="Times New Roman" w:hAnsi="Times New Roman" w:cs="Times New Roman"/>
          <w:color w:val="000000"/>
          <w:sz w:val="24"/>
          <w:szCs w:val="24"/>
          <w:lang w:eastAsia="en-PH"/>
        </w:rPr>
        <w:t>Again, I argue that, as a question between naturalism and non-naturalism, the question of “What is health?” can be regarded as a pseudo-problem stemming from a superficial similarity between technical and non-technical usages of the ‘health’ term. Whilst there has been attempts by both naturalists and non-naturalists to establish a theoretical framework that is amiable to the notions of ‘health’, ‘pathology’, and ‘illness’, </w:t>
      </w:r>
      <w:r w:rsidR="00FB5575">
        <w:rPr>
          <w:rFonts w:ascii="Times New Roman" w:eastAsia="Times New Roman" w:hAnsi="Times New Roman" w:cs="Times New Roman"/>
          <w:color w:val="000000"/>
          <w:sz w:val="24"/>
          <w:szCs w:val="24"/>
          <w:lang w:eastAsia="en-PH"/>
        </w:rPr>
        <w:t xml:space="preserve">I have argued that these attempts are generally unpersuasive for several reasons. </w:t>
      </w:r>
    </w:p>
    <w:p w14:paraId="30729C81" w14:textId="07E10431" w:rsidR="00FB5575" w:rsidRDefault="00FB5575" w:rsidP="00AF1115">
      <w:pPr>
        <w:spacing w:after="0" w:line="480" w:lineRule="auto"/>
        <w:ind w:firstLine="720"/>
        <w:jc w:val="both"/>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First, as I have said</w:t>
      </w:r>
      <w:r w:rsidR="002105E1">
        <w:rPr>
          <w:rFonts w:ascii="Times New Roman" w:eastAsia="Times New Roman" w:hAnsi="Times New Roman" w:cs="Times New Roman"/>
          <w:color w:val="000000"/>
          <w:sz w:val="24"/>
          <w:szCs w:val="24"/>
          <w:lang w:eastAsia="en-PH"/>
        </w:rPr>
        <w:t xml:space="preserve">, supporters of </w:t>
      </w:r>
      <w:r w:rsidR="008F0DF6">
        <w:rPr>
          <w:rFonts w:ascii="Times New Roman" w:eastAsia="Times New Roman" w:hAnsi="Times New Roman" w:cs="Times New Roman"/>
          <w:color w:val="000000"/>
          <w:sz w:val="24"/>
          <w:szCs w:val="24"/>
          <w:lang w:eastAsia="en-PH"/>
        </w:rPr>
        <w:t>either a</w:t>
      </w:r>
      <w:r w:rsidR="002105E1">
        <w:rPr>
          <w:rFonts w:ascii="Times New Roman" w:eastAsia="Times New Roman" w:hAnsi="Times New Roman" w:cs="Times New Roman"/>
          <w:color w:val="000000"/>
          <w:sz w:val="24"/>
          <w:szCs w:val="24"/>
          <w:lang w:eastAsia="en-PH"/>
        </w:rPr>
        <w:t xml:space="preserve"> naturalist</w:t>
      </w:r>
      <w:r w:rsidR="008F0DF6">
        <w:rPr>
          <w:rFonts w:ascii="Times New Roman" w:eastAsia="Times New Roman" w:hAnsi="Times New Roman" w:cs="Times New Roman"/>
          <w:color w:val="000000"/>
          <w:sz w:val="24"/>
          <w:szCs w:val="24"/>
          <w:lang w:eastAsia="en-PH"/>
        </w:rPr>
        <w:t xml:space="preserve"> or non-naturalist</w:t>
      </w:r>
      <w:r w:rsidR="002105E1">
        <w:rPr>
          <w:rFonts w:ascii="Times New Roman" w:eastAsia="Times New Roman" w:hAnsi="Times New Roman" w:cs="Times New Roman"/>
          <w:color w:val="000000"/>
          <w:sz w:val="24"/>
          <w:szCs w:val="24"/>
          <w:lang w:eastAsia="en-PH"/>
        </w:rPr>
        <w:t xml:space="preserve"> conception of health generally take an uncritical stance towards </w:t>
      </w:r>
      <w:r w:rsidR="008F0DF6">
        <w:rPr>
          <w:rFonts w:ascii="Times New Roman" w:eastAsia="Times New Roman" w:hAnsi="Times New Roman" w:cs="Times New Roman"/>
          <w:color w:val="000000"/>
          <w:sz w:val="24"/>
          <w:szCs w:val="24"/>
          <w:lang w:eastAsia="en-PH"/>
        </w:rPr>
        <w:t>the meaning of ‘health’ by overgeneralizing the utterance’s context and activity</w:t>
      </w:r>
      <w:r w:rsidR="002105E1">
        <w:rPr>
          <w:rFonts w:ascii="Times New Roman" w:eastAsia="Times New Roman" w:hAnsi="Times New Roman" w:cs="Times New Roman"/>
          <w:color w:val="000000"/>
          <w:sz w:val="24"/>
          <w:szCs w:val="24"/>
          <w:lang w:eastAsia="en-PH"/>
        </w:rPr>
        <w:t>.</w:t>
      </w:r>
      <w:r w:rsidR="008F0DF6">
        <w:rPr>
          <w:rFonts w:ascii="Times New Roman" w:eastAsia="Times New Roman" w:hAnsi="Times New Roman" w:cs="Times New Roman"/>
          <w:color w:val="000000"/>
          <w:sz w:val="24"/>
          <w:szCs w:val="24"/>
          <w:lang w:eastAsia="en-PH"/>
        </w:rPr>
        <w:t xml:space="preserve"> In the case of a naturalist-oriented conception of health, some philosophers and medical professionals treat the ‘health’ term as an assertion about an objective feature of reality where an organism’s internal mechanisms do not suffer any abnormal decrease in function by some identified cause.</w:t>
      </w:r>
      <w:r w:rsidR="00AF1115">
        <w:rPr>
          <w:rFonts w:ascii="Times New Roman" w:eastAsia="Times New Roman" w:hAnsi="Times New Roman" w:cs="Times New Roman"/>
          <w:color w:val="000000"/>
          <w:sz w:val="24"/>
          <w:szCs w:val="24"/>
          <w:lang w:eastAsia="en-PH"/>
        </w:rPr>
        <w:t xml:space="preserve"> On the other hand,</w:t>
      </w:r>
      <w:r w:rsidR="002105E1">
        <w:rPr>
          <w:rFonts w:ascii="Times New Roman" w:eastAsia="Times New Roman" w:hAnsi="Times New Roman" w:cs="Times New Roman"/>
          <w:color w:val="000000"/>
          <w:sz w:val="24"/>
          <w:szCs w:val="24"/>
          <w:lang w:eastAsia="en-PH"/>
        </w:rPr>
        <w:t xml:space="preserve"> supporters of a non-naturalist-oriented conception of health generally </w:t>
      </w:r>
      <w:r w:rsidR="00AF1115">
        <w:rPr>
          <w:rFonts w:ascii="Times New Roman" w:eastAsia="Times New Roman" w:hAnsi="Times New Roman" w:cs="Times New Roman"/>
          <w:color w:val="000000"/>
          <w:sz w:val="24"/>
          <w:szCs w:val="24"/>
          <w:lang w:eastAsia="en-PH"/>
        </w:rPr>
        <w:t xml:space="preserve">justify their theories by appealing to medical practice, the normative imperative to treat, and first-hand human experience of illness. Each camp does put forward justification for why ‘health’ has different meanings, but neither side has considered </w:t>
      </w:r>
      <w:r w:rsidR="003D5736">
        <w:rPr>
          <w:rFonts w:ascii="Times New Roman" w:eastAsia="Times New Roman" w:hAnsi="Times New Roman" w:cs="Times New Roman"/>
          <w:color w:val="000000"/>
          <w:sz w:val="24"/>
          <w:szCs w:val="24"/>
          <w:lang w:eastAsia="en-PH"/>
        </w:rPr>
        <w:t xml:space="preserve">the contextual </w:t>
      </w:r>
      <w:r w:rsidR="003D5736">
        <w:rPr>
          <w:rFonts w:ascii="Times New Roman" w:eastAsia="Times New Roman" w:hAnsi="Times New Roman" w:cs="Times New Roman"/>
          <w:color w:val="000000"/>
          <w:sz w:val="24"/>
          <w:szCs w:val="24"/>
          <w:lang w:eastAsia="en-PH"/>
        </w:rPr>
        <w:lastRenderedPageBreak/>
        <w:t xml:space="preserve">factors that determine when </w:t>
      </w:r>
      <w:r w:rsidR="009133E2">
        <w:rPr>
          <w:rFonts w:ascii="Times New Roman" w:eastAsia="Times New Roman" w:hAnsi="Times New Roman" w:cs="Times New Roman"/>
          <w:color w:val="000000"/>
          <w:sz w:val="24"/>
          <w:szCs w:val="24"/>
          <w:lang w:eastAsia="en-PH"/>
        </w:rPr>
        <w:t xml:space="preserve">either </w:t>
      </w:r>
      <w:r w:rsidR="00AF1115">
        <w:rPr>
          <w:rFonts w:ascii="Times New Roman" w:eastAsia="Times New Roman" w:hAnsi="Times New Roman" w:cs="Times New Roman"/>
          <w:color w:val="000000"/>
          <w:sz w:val="24"/>
          <w:szCs w:val="24"/>
          <w:lang w:eastAsia="en-PH"/>
        </w:rPr>
        <w:t>a naturalist or non-naturalist conception of ‘health’ is appropriate.</w:t>
      </w:r>
    </w:p>
    <w:p w14:paraId="4088DF05" w14:textId="77777777" w:rsidR="00853014" w:rsidRDefault="00CA2C99" w:rsidP="00FB5575">
      <w:pPr>
        <w:spacing w:after="0" w:line="480" w:lineRule="auto"/>
        <w:ind w:firstLine="720"/>
        <w:jc w:val="both"/>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Second, I believe the more important reason for the technical-nontechnical distinction is to provide an explanation for why empirical explanation and treatment often fails in the case of psychiatric diagnoses.</w:t>
      </w:r>
      <w:r w:rsidR="008C2D26">
        <w:rPr>
          <w:rFonts w:ascii="Times New Roman" w:eastAsia="Times New Roman" w:hAnsi="Times New Roman" w:cs="Times New Roman"/>
          <w:color w:val="000000"/>
          <w:sz w:val="24"/>
          <w:szCs w:val="24"/>
          <w:lang w:eastAsia="en-PH"/>
        </w:rPr>
        <w:t xml:space="preserve"> Unlike a person carrying a disease whose bodily condition can be predicted (when all relevant information is given) and thereby potentially manipulated, the behavior of a person diagnosed with a mental disorder cannot be easily predicted. As many psychiatrists know</w:t>
      </w:r>
      <w:r w:rsidR="00A53462">
        <w:rPr>
          <w:rFonts w:ascii="Times New Roman" w:eastAsia="Times New Roman" w:hAnsi="Times New Roman" w:cs="Times New Roman"/>
          <w:color w:val="000000"/>
          <w:sz w:val="24"/>
          <w:szCs w:val="24"/>
          <w:lang w:eastAsia="en-PH"/>
        </w:rPr>
        <w:t xml:space="preserve"> in practice</w:t>
      </w:r>
      <w:r w:rsidR="008C2D26">
        <w:rPr>
          <w:rFonts w:ascii="Times New Roman" w:eastAsia="Times New Roman" w:hAnsi="Times New Roman" w:cs="Times New Roman"/>
          <w:color w:val="000000"/>
          <w:sz w:val="24"/>
          <w:szCs w:val="24"/>
          <w:lang w:eastAsia="en-PH"/>
        </w:rPr>
        <w:t xml:space="preserve">, two people diagnosed with the same mental disorder can exhibit </w:t>
      </w:r>
      <w:r w:rsidR="00A53462">
        <w:rPr>
          <w:rFonts w:ascii="Times New Roman" w:eastAsia="Times New Roman" w:hAnsi="Times New Roman" w:cs="Times New Roman"/>
          <w:color w:val="000000"/>
          <w:sz w:val="24"/>
          <w:szCs w:val="24"/>
          <w:lang w:eastAsia="en-PH"/>
        </w:rPr>
        <w:t>significantly different sets of behavior.</w:t>
      </w:r>
      <w:r w:rsidR="000A188A">
        <w:rPr>
          <w:rFonts w:ascii="Times New Roman" w:eastAsia="Times New Roman" w:hAnsi="Times New Roman" w:cs="Times New Roman"/>
          <w:color w:val="000000"/>
          <w:sz w:val="24"/>
          <w:szCs w:val="24"/>
          <w:lang w:eastAsia="en-PH"/>
        </w:rPr>
        <w:t xml:space="preserve"> Neither do many psychiatric diagnoses adequately explain any underlying structure that causes</w:t>
      </w:r>
      <w:r w:rsidR="0001766C">
        <w:rPr>
          <w:rFonts w:ascii="Times New Roman" w:eastAsia="Times New Roman" w:hAnsi="Times New Roman" w:cs="Times New Roman"/>
          <w:color w:val="000000"/>
          <w:sz w:val="24"/>
          <w:szCs w:val="24"/>
          <w:lang w:eastAsia="en-PH"/>
        </w:rPr>
        <w:t xml:space="preserve"> the set of problematic behavior, if there even is any underlying structure at all.</w:t>
      </w:r>
      <w:r w:rsidR="00A53462">
        <w:rPr>
          <w:rStyle w:val="FootnoteReference"/>
          <w:rFonts w:ascii="Times New Roman" w:eastAsia="Times New Roman" w:hAnsi="Times New Roman" w:cs="Times New Roman"/>
          <w:color w:val="000000"/>
          <w:sz w:val="24"/>
          <w:szCs w:val="24"/>
          <w:lang w:eastAsia="en-PH"/>
        </w:rPr>
        <w:footnoteReference w:id="47"/>
      </w:r>
      <w:r w:rsidR="0001766C">
        <w:rPr>
          <w:rFonts w:ascii="Times New Roman" w:eastAsia="Times New Roman" w:hAnsi="Times New Roman" w:cs="Times New Roman"/>
          <w:color w:val="000000"/>
          <w:sz w:val="24"/>
          <w:szCs w:val="24"/>
          <w:lang w:eastAsia="en-PH"/>
        </w:rPr>
        <w:t xml:space="preserve"> </w:t>
      </w:r>
      <w:r w:rsidR="00F272C8">
        <w:rPr>
          <w:rFonts w:ascii="Times New Roman" w:eastAsia="Times New Roman" w:hAnsi="Times New Roman" w:cs="Times New Roman"/>
          <w:color w:val="000000"/>
          <w:sz w:val="24"/>
          <w:szCs w:val="24"/>
          <w:lang w:eastAsia="en-PH"/>
        </w:rPr>
        <w:t xml:space="preserve">Yet, for naturalists, diseases must be causally explained by some underlying structure </w:t>
      </w:r>
      <w:r w:rsidR="00853014">
        <w:rPr>
          <w:rFonts w:ascii="Times New Roman" w:eastAsia="Times New Roman" w:hAnsi="Times New Roman" w:cs="Times New Roman"/>
          <w:color w:val="000000"/>
          <w:sz w:val="24"/>
          <w:szCs w:val="24"/>
          <w:lang w:eastAsia="en-PH"/>
        </w:rPr>
        <w:t>present within the organism or system within the organism</w:t>
      </w:r>
      <w:r w:rsidR="0001766C">
        <w:rPr>
          <w:rFonts w:ascii="Times New Roman" w:eastAsia="Times New Roman" w:hAnsi="Times New Roman" w:cs="Times New Roman"/>
          <w:color w:val="000000"/>
          <w:sz w:val="24"/>
          <w:szCs w:val="24"/>
          <w:lang w:eastAsia="en-PH"/>
        </w:rPr>
        <w:t>.</w:t>
      </w:r>
      <w:r w:rsidR="00853014">
        <w:rPr>
          <w:rStyle w:val="FootnoteReference"/>
          <w:rFonts w:ascii="Times New Roman" w:eastAsia="Times New Roman" w:hAnsi="Times New Roman" w:cs="Times New Roman"/>
          <w:color w:val="000000"/>
          <w:sz w:val="24"/>
          <w:szCs w:val="24"/>
          <w:lang w:eastAsia="en-PH"/>
        </w:rPr>
        <w:footnoteReference w:id="48"/>
      </w:r>
      <w:r w:rsidR="0001766C">
        <w:rPr>
          <w:rFonts w:ascii="Times New Roman" w:eastAsia="Times New Roman" w:hAnsi="Times New Roman" w:cs="Times New Roman"/>
          <w:color w:val="000000"/>
          <w:sz w:val="24"/>
          <w:szCs w:val="24"/>
          <w:lang w:eastAsia="en-PH"/>
        </w:rPr>
        <w:t xml:space="preserve"> Even for diseases that have complex or no definite etiologies, there is an implicit assumption that an underlying structure can be found given enough time.</w:t>
      </w:r>
      <w:r w:rsidR="00853014">
        <w:rPr>
          <w:rFonts w:ascii="Times New Roman" w:eastAsia="Times New Roman" w:hAnsi="Times New Roman" w:cs="Times New Roman"/>
          <w:color w:val="000000"/>
          <w:sz w:val="24"/>
          <w:szCs w:val="24"/>
          <w:lang w:eastAsia="en-PH"/>
        </w:rPr>
        <w:t xml:space="preserve"> One might argue that mental disorders are diseases of this kind, but I am inclined to believe that mental disorders of this kind will inevitably turn out to be neurological diseases instead.</w:t>
      </w:r>
      <w:r w:rsidR="00853014">
        <w:rPr>
          <w:rStyle w:val="FootnoteReference"/>
          <w:rFonts w:ascii="Times New Roman" w:eastAsia="Times New Roman" w:hAnsi="Times New Roman" w:cs="Times New Roman"/>
          <w:color w:val="000000"/>
          <w:sz w:val="24"/>
          <w:szCs w:val="24"/>
          <w:lang w:eastAsia="en-PH"/>
        </w:rPr>
        <w:footnoteReference w:id="49"/>
      </w:r>
    </w:p>
    <w:p w14:paraId="0D178882" w14:textId="29802E01" w:rsidR="00853014" w:rsidRPr="00936FEF" w:rsidRDefault="00853014" w:rsidP="00FB5575">
      <w:pPr>
        <w:spacing w:after="0" w:line="480" w:lineRule="auto"/>
        <w:ind w:firstLine="720"/>
        <w:jc w:val="both"/>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For people who are inclined to agree with my view, further research that can be recommended is an individual analysis of each mental disorder currently known by the psychiatric community.</w:t>
      </w:r>
      <w:r w:rsidR="00D47A72">
        <w:rPr>
          <w:rFonts w:ascii="Times New Roman" w:eastAsia="Times New Roman" w:hAnsi="Times New Roman" w:cs="Times New Roman"/>
          <w:color w:val="000000"/>
          <w:sz w:val="24"/>
          <w:szCs w:val="24"/>
          <w:lang w:eastAsia="en-PH"/>
        </w:rPr>
        <w:t xml:space="preserve"> Whilst I am not optimistic about the possibility of discovering the etiology of all </w:t>
      </w:r>
      <w:r w:rsidR="00D47A72">
        <w:rPr>
          <w:rFonts w:ascii="Times New Roman" w:eastAsia="Times New Roman" w:hAnsi="Times New Roman" w:cs="Times New Roman"/>
          <w:color w:val="000000"/>
          <w:sz w:val="24"/>
          <w:szCs w:val="24"/>
          <w:lang w:eastAsia="en-PH"/>
        </w:rPr>
        <w:lastRenderedPageBreak/>
        <w:t xml:space="preserve">mental disorders, it is arguable that further research is necessary to </w:t>
      </w:r>
      <w:r w:rsidR="00520C29">
        <w:rPr>
          <w:rFonts w:ascii="Times New Roman" w:eastAsia="Times New Roman" w:hAnsi="Times New Roman" w:cs="Times New Roman"/>
          <w:color w:val="000000"/>
          <w:sz w:val="24"/>
          <w:szCs w:val="24"/>
          <w:lang w:eastAsia="en-PH"/>
        </w:rPr>
        <w:t xml:space="preserve">distinguish the mental disorders that are </w:t>
      </w:r>
      <w:proofErr w:type="gramStart"/>
      <w:r w:rsidR="009612C4">
        <w:rPr>
          <w:rFonts w:ascii="Times New Roman" w:eastAsia="Times New Roman" w:hAnsi="Times New Roman" w:cs="Times New Roman"/>
          <w:i/>
          <w:iCs/>
          <w:color w:val="000000"/>
          <w:sz w:val="24"/>
          <w:szCs w:val="24"/>
          <w:lang w:eastAsia="en-PH"/>
        </w:rPr>
        <w:t xml:space="preserve">actually </w:t>
      </w:r>
      <w:r w:rsidR="00520C29">
        <w:rPr>
          <w:rFonts w:ascii="Times New Roman" w:eastAsia="Times New Roman" w:hAnsi="Times New Roman" w:cs="Times New Roman"/>
          <w:color w:val="000000"/>
          <w:sz w:val="24"/>
          <w:szCs w:val="24"/>
          <w:lang w:eastAsia="en-PH"/>
        </w:rPr>
        <w:t>neurological</w:t>
      </w:r>
      <w:proofErr w:type="gramEnd"/>
      <w:r w:rsidR="00520C29">
        <w:rPr>
          <w:rFonts w:ascii="Times New Roman" w:eastAsia="Times New Roman" w:hAnsi="Times New Roman" w:cs="Times New Roman"/>
          <w:color w:val="000000"/>
          <w:sz w:val="24"/>
          <w:szCs w:val="24"/>
          <w:lang w:eastAsia="en-PH"/>
        </w:rPr>
        <w:t xml:space="preserve"> disease from mental disorders that are not.</w:t>
      </w:r>
    </w:p>
    <w:p w14:paraId="481411CC" w14:textId="2F677C41" w:rsidR="00AF1115" w:rsidRDefault="00AF1115" w:rsidP="007E699A">
      <w:pPr>
        <w:spacing w:after="0" w:line="480" w:lineRule="auto"/>
        <w:rPr>
          <w:rFonts w:ascii="Times New Roman" w:eastAsia="Times New Roman" w:hAnsi="Times New Roman" w:cs="Times New Roman"/>
          <w:sz w:val="24"/>
          <w:szCs w:val="24"/>
          <w:lang w:eastAsia="en-PH"/>
        </w:rPr>
      </w:pPr>
    </w:p>
    <w:p w14:paraId="30168E53" w14:textId="6C5ECF48" w:rsidR="009612C4" w:rsidRDefault="009612C4" w:rsidP="007E699A">
      <w:pPr>
        <w:spacing w:after="0" w:line="480" w:lineRule="auto"/>
        <w:rPr>
          <w:rFonts w:ascii="Times New Roman" w:eastAsia="Times New Roman" w:hAnsi="Times New Roman" w:cs="Times New Roman"/>
          <w:sz w:val="24"/>
          <w:szCs w:val="24"/>
          <w:lang w:eastAsia="en-PH"/>
        </w:rPr>
      </w:pPr>
    </w:p>
    <w:p w14:paraId="0C42E1CA" w14:textId="7CDCB3C2" w:rsidR="009612C4" w:rsidRDefault="009612C4" w:rsidP="007E699A">
      <w:pPr>
        <w:spacing w:after="0" w:line="480" w:lineRule="auto"/>
        <w:rPr>
          <w:rFonts w:ascii="Times New Roman" w:eastAsia="Times New Roman" w:hAnsi="Times New Roman" w:cs="Times New Roman"/>
          <w:sz w:val="24"/>
          <w:szCs w:val="24"/>
          <w:lang w:eastAsia="en-PH"/>
        </w:rPr>
      </w:pPr>
    </w:p>
    <w:p w14:paraId="39E90E37" w14:textId="3CD32DD2" w:rsidR="009612C4" w:rsidRDefault="009612C4" w:rsidP="007E699A">
      <w:pPr>
        <w:spacing w:after="0" w:line="480" w:lineRule="auto"/>
        <w:rPr>
          <w:rFonts w:ascii="Times New Roman" w:eastAsia="Times New Roman" w:hAnsi="Times New Roman" w:cs="Times New Roman"/>
          <w:sz w:val="24"/>
          <w:szCs w:val="24"/>
          <w:lang w:eastAsia="en-PH"/>
        </w:rPr>
      </w:pPr>
    </w:p>
    <w:p w14:paraId="0C91A2F7" w14:textId="4A2590C2" w:rsidR="009612C4" w:rsidRDefault="009612C4" w:rsidP="007E699A">
      <w:pPr>
        <w:spacing w:after="0" w:line="480" w:lineRule="auto"/>
        <w:rPr>
          <w:rFonts w:ascii="Times New Roman" w:eastAsia="Times New Roman" w:hAnsi="Times New Roman" w:cs="Times New Roman"/>
          <w:sz w:val="24"/>
          <w:szCs w:val="24"/>
          <w:lang w:eastAsia="en-PH"/>
        </w:rPr>
      </w:pPr>
    </w:p>
    <w:p w14:paraId="1E2F30B4" w14:textId="136C3525" w:rsidR="009612C4" w:rsidRDefault="009612C4" w:rsidP="007E699A">
      <w:pPr>
        <w:spacing w:after="0" w:line="480" w:lineRule="auto"/>
        <w:rPr>
          <w:rFonts w:ascii="Times New Roman" w:eastAsia="Times New Roman" w:hAnsi="Times New Roman" w:cs="Times New Roman"/>
          <w:sz w:val="24"/>
          <w:szCs w:val="24"/>
          <w:lang w:eastAsia="en-PH"/>
        </w:rPr>
      </w:pPr>
    </w:p>
    <w:p w14:paraId="393F986B" w14:textId="57C721C1" w:rsidR="009612C4" w:rsidRDefault="009612C4" w:rsidP="007E699A">
      <w:pPr>
        <w:spacing w:after="0" w:line="480" w:lineRule="auto"/>
        <w:rPr>
          <w:rFonts w:ascii="Times New Roman" w:eastAsia="Times New Roman" w:hAnsi="Times New Roman" w:cs="Times New Roman"/>
          <w:sz w:val="24"/>
          <w:szCs w:val="24"/>
          <w:lang w:eastAsia="en-PH"/>
        </w:rPr>
      </w:pPr>
    </w:p>
    <w:p w14:paraId="0D66BDA3" w14:textId="3985C57F" w:rsidR="009612C4" w:rsidRDefault="009612C4" w:rsidP="007E699A">
      <w:pPr>
        <w:spacing w:after="0" w:line="480" w:lineRule="auto"/>
        <w:rPr>
          <w:rFonts w:ascii="Times New Roman" w:eastAsia="Times New Roman" w:hAnsi="Times New Roman" w:cs="Times New Roman"/>
          <w:sz w:val="24"/>
          <w:szCs w:val="24"/>
          <w:lang w:eastAsia="en-PH"/>
        </w:rPr>
      </w:pPr>
    </w:p>
    <w:p w14:paraId="5BF66437" w14:textId="166F6BF9" w:rsidR="009612C4" w:rsidRDefault="009612C4" w:rsidP="007E699A">
      <w:pPr>
        <w:spacing w:after="0" w:line="480" w:lineRule="auto"/>
        <w:rPr>
          <w:rFonts w:ascii="Times New Roman" w:eastAsia="Times New Roman" w:hAnsi="Times New Roman" w:cs="Times New Roman"/>
          <w:sz w:val="24"/>
          <w:szCs w:val="24"/>
          <w:lang w:eastAsia="en-PH"/>
        </w:rPr>
      </w:pPr>
    </w:p>
    <w:p w14:paraId="4B8DE8B4" w14:textId="1E25128A" w:rsidR="009612C4" w:rsidRDefault="009612C4" w:rsidP="007E699A">
      <w:pPr>
        <w:spacing w:after="0" w:line="480" w:lineRule="auto"/>
        <w:rPr>
          <w:rFonts w:ascii="Times New Roman" w:eastAsia="Times New Roman" w:hAnsi="Times New Roman" w:cs="Times New Roman"/>
          <w:sz w:val="24"/>
          <w:szCs w:val="24"/>
          <w:lang w:eastAsia="en-PH"/>
        </w:rPr>
      </w:pPr>
    </w:p>
    <w:p w14:paraId="0F45071C" w14:textId="662E81E1" w:rsidR="009612C4" w:rsidRDefault="009612C4" w:rsidP="007E699A">
      <w:pPr>
        <w:spacing w:after="0" w:line="480" w:lineRule="auto"/>
        <w:rPr>
          <w:rFonts w:ascii="Times New Roman" w:eastAsia="Times New Roman" w:hAnsi="Times New Roman" w:cs="Times New Roman"/>
          <w:sz w:val="24"/>
          <w:szCs w:val="24"/>
          <w:lang w:eastAsia="en-PH"/>
        </w:rPr>
      </w:pPr>
    </w:p>
    <w:p w14:paraId="2139843C" w14:textId="3692B010" w:rsidR="009612C4" w:rsidRDefault="009612C4" w:rsidP="007E699A">
      <w:pPr>
        <w:spacing w:after="0" w:line="480" w:lineRule="auto"/>
        <w:rPr>
          <w:rFonts w:ascii="Times New Roman" w:eastAsia="Times New Roman" w:hAnsi="Times New Roman" w:cs="Times New Roman"/>
          <w:sz w:val="24"/>
          <w:szCs w:val="24"/>
          <w:lang w:eastAsia="en-PH"/>
        </w:rPr>
      </w:pPr>
    </w:p>
    <w:p w14:paraId="34792D7B" w14:textId="27D28F18" w:rsidR="009612C4" w:rsidRDefault="009612C4" w:rsidP="007E699A">
      <w:pPr>
        <w:spacing w:after="0" w:line="480" w:lineRule="auto"/>
        <w:rPr>
          <w:rFonts w:ascii="Times New Roman" w:eastAsia="Times New Roman" w:hAnsi="Times New Roman" w:cs="Times New Roman"/>
          <w:sz w:val="24"/>
          <w:szCs w:val="24"/>
          <w:lang w:eastAsia="en-PH"/>
        </w:rPr>
      </w:pPr>
    </w:p>
    <w:p w14:paraId="53C8432A" w14:textId="44C58BFB" w:rsidR="009612C4" w:rsidRDefault="009612C4" w:rsidP="007E699A">
      <w:pPr>
        <w:spacing w:after="0" w:line="480" w:lineRule="auto"/>
        <w:rPr>
          <w:rFonts w:ascii="Times New Roman" w:eastAsia="Times New Roman" w:hAnsi="Times New Roman" w:cs="Times New Roman"/>
          <w:sz w:val="24"/>
          <w:szCs w:val="24"/>
          <w:lang w:eastAsia="en-PH"/>
        </w:rPr>
      </w:pPr>
    </w:p>
    <w:p w14:paraId="69980156" w14:textId="07782254" w:rsidR="009612C4" w:rsidRDefault="009612C4" w:rsidP="007E699A">
      <w:pPr>
        <w:spacing w:after="0" w:line="480" w:lineRule="auto"/>
        <w:rPr>
          <w:rFonts w:ascii="Times New Roman" w:eastAsia="Times New Roman" w:hAnsi="Times New Roman" w:cs="Times New Roman"/>
          <w:sz w:val="24"/>
          <w:szCs w:val="24"/>
          <w:lang w:eastAsia="en-PH"/>
        </w:rPr>
      </w:pPr>
    </w:p>
    <w:p w14:paraId="26C99B14" w14:textId="1F4F0856" w:rsidR="009612C4" w:rsidRDefault="009612C4" w:rsidP="007E699A">
      <w:pPr>
        <w:spacing w:after="0" w:line="480" w:lineRule="auto"/>
        <w:rPr>
          <w:rFonts w:ascii="Times New Roman" w:eastAsia="Times New Roman" w:hAnsi="Times New Roman" w:cs="Times New Roman"/>
          <w:sz w:val="24"/>
          <w:szCs w:val="24"/>
          <w:lang w:eastAsia="en-PH"/>
        </w:rPr>
      </w:pPr>
    </w:p>
    <w:p w14:paraId="35FF9C51" w14:textId="2A1C976F" w:rsidR="009612C4" w:rsidRDefault="009612C4" w:rsidP="007E699A">
      <w:pPr>
        <w:spacing w:after="0" w:line="480" w:lineRule="auto"/>
        <w:rPr>
          <w:rFonts w:ascii="Times New Roman" w:eastAsia="Times New Roman" w:hAnsi="Times New Roman" w:cs="Times New Roman"/>
          <w:sz w:val="24"/>
          <w:szCs w:val="24"/>
          <w:lang w:eastAsia="en-PH"/>
        </w:rPr>
      </w:pPr>
    </w:p>
    <w:p w14:paraId="25EA4628" w14:textId="2792354A" w:rsidR="009612C4" w:rsidRDefault="009612C4" w:rsidP="007E699A">
      <w:pPr>
        <w:spacing w:after="0" w:line="480" w:lineRule="auto"/>
        <w:rPr>
          <w:rFonts w:ascii="Times New Roman" w:eastAsia="Times New Roman" w:hAnsi="Times New Roman" w:cs="Times New Roman"/>
          <w:sz w:val="24"/>
          <w:szCs w:val="24"/>
          <w:lang w:eastAsia="en-PH"/>
        </w:rPr>
      </w:pPr>
    </w:p>
    <w:p w14:paraId="102E5B75" w14:textId="77777777" w:rsidR="000519C0" w:rsidRDefault="000519C0" w:rsidP="007E699A">
      <w:pPr>
        <w:spacing w:after="0" w:line="480" w:lineRule="auto"/>
        <w:rPr>
          <w:rFonts w:ascii="Times New Roman" w:eastAsia="Times New Roman" w:hAnsi="Times New Roman" w:cs="Times New Roman"/>
          <w:sz w:val="24"/>
          <w:szCs w:val="24"/>
          <w:lang w:eastAsia="en-PH"/>
        </w:rPr>
        <w:sectPr w:rsidR="000519C0" w:rsidSect="00733BA5">
          <w:footerReference w:type="default" r:id="rId8"/>
          <w:pgSz w:w="12240" w:h="15840"/>
          <w:pgMar w:top="1440" w:right="1440" w:bottom="1440" w:left="1440" w:header="708" w:footer="708" w:gutter="0"/>
          <w:pgNumType w:start="1"/>
          <w:cols w:space="708"/>
          <w:docGrid w:linePitch="360"/>
        </w:sectPr>
      </w:pPr>
    </w:p>
    <w:p w14:paraId="314CC2A5" w14:textId="46B4D7A3" w:rsidR="00936FEF" w:rsidRPr="00936FEF" w:rsidRDefault="000519C0" w:rsidP="007E699A">
      <w:pPr>
        <w:spacing w:after="0" w:line="480" w:lineRule="auto"/>
        <w:rPr>
          <w:rFonts w:ascii="Times New Roman" w:eastAsia="Times New Roman" w:hAnsi="Times New Roman" w:cs="Times New Roman"/>
          <w:b/>
          <w:bCs/>
          <w:sz w:val="24"/>
          <w:szCs w:val="24"/>
          <w:lang w:eastAsia="en-PH"/>
        </w:rPr>
      </w:pPr>
      <w:r>
        <w:rPr>
          <w:rFonts w:ascii="Times New Roman" w:eastAsia="Times New Roman" w:hAnsi="Times New Roman" w:cs="Times New Roman"/>
          <w:b/>
          <w:bCs/>
          <w:color w:val="000000"/>
          <w:sz w:val="24"/>
          <w:szCs w:val="24"/>
          <w:lang w:eastAsia="en-PH"/>
        </w:rPr>
        <w:lastRenderedPageBreak/>
        <w:t>B</w:t>
      </w:r>
      <w:r w:rsidR="00936FEF" w:rsidRPr="00936FEF">
        <w:rPr>
          <w:rFonts w:ascii="Times New Roman" w:eastAsia="Times New Roman" w:hAnsi="Times New Roman" w:cs="Times New Roman"/>
          <w:b/>
          <w:bCs/>
          <w:color w:val="000000"/>
          <w:sz w:val="24"/>
          <w:szCs w:val="24"/>
          <w:lang w:eastAsia="en-PH"/>
        </w:rPr>
        <w:t>ibliography</w:t>
      </w:r>
      <w:r w:rsidR="00936FEF" w:rsidRPr="007E699A">
        <w:rPr>
          <w:rFonts w:ascii="Times New Roman" w:eastAsia="Times New Roman" w:hAnsi="Times New Roman" w:cs="Times New Roman"/>
          <w:b/>
          <w:bCs/>
          <w:color w:val="000000"/>
          <w:sz w:val="24"/>
          <w:szCs w:val="24"/>
          <w:lang w:eastAsia="en-PH"/>
        </w:rPr>
        <w:t>:</w:t>
      </w:r>
    </w:p>
    <w:p w14:paraId="1C30CBB2" w14:textId="77777777" w:rsidR="00936FEF" w:rsidRPr="007E699A" w:rsidRDefault="00936FEF" w:rsidP="007E699A">
      <w:pPr>
        <w:spacing w:after="0" w:line="480" w:lineRule="auto"/>
        <w:rPr>
          <w:rFonts w:ascii="Times New Roman" w:eastAsia="Times New Roman" w:hAnsi="Times New Roman" w:cs="Times New Roman"/>
          <w:color w:val="000000"/>
          <w:sz w:val="24"/>
          <w:szCs w:val="24"/>
          <w:lang w:eastAsia="en-PH"/>
        </w:rPr>
      </w:pPr>
    </w:p>
    <w:p w14:paraId="6F195D38" w14:textId="77777777" w:rsidR="00F201A2" w:rsidRDefault="00CC259F" w:rsidP="007E699A">
      <w:pPr>
        <w:spacing w:after="0" w:line="480" w:lineRule="auto"/>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 xml:space="preserve">Benning, Tony B. “No Such Thing as Mental Illness? Critical Reflections on the Major Ideas and </w:t>
      </w:r>
    </w:p>
    <w:p w14:paraId="74AE787C" w14:textId="77777777" w:rsidR="00F201A2" w:rsidRDefault="00CC259F" w:rsidP="00F201A2">
      <w:pPr>
        <w:spacing w:after="0" w:line="480" w:lineRule="auto"/>
        <w:ind w:firstLine="720"/>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 xml:space="preserve">Legacy of Thomas Szasz.” </w:t>
      </w:r>
      <w:proofErr w:type="spellStart"/>
      <w:r>
        <w:rPr>
          <w:rFonts w:ascii="Times New Roman" w:eastAsia="Times New Roman" w:hAnsi="Times New Roman" w:cs="Times New Roman"/>
          <w:i/>
          <w:iCs/>
          <w:color w:val="000000"/>
          <w:sz w:val="24"/>
          <w:szCs w:val="24"/>
          <w:lang w:eastAsia="en-PH"/>
        </w:rPr>
        <w:t>BJPsych</w:t>
      </w:r>
      <w:proofErr w:type="spellEnd"/>
      <w:r>
        <w:rPr>
          <w:rFonts w:ascii="Times New Roman" w:eastAsia="Times New Roman" w:hAnsi="Times New Roman" w:cs="Times New Roman"/>
          <w:i/>
          <w:iCs/>
          <w:color w:val="000000"/>
          <w:sz w:val="24"/>
          <w:szCs w:val="24"/>
          <w:lang w:eastAsia="en-PH"/>
        </w:rPr>
        <w:t xml:space="preserve"> Bulletin</w:t>
      </w:r>
      <w:r>
        <w:rPr>
          <w:rFonts w:ascii="Times New Roman" w:eastAsia="Times New Roman" w:hAnsi="Times New Roman" w:cs="Times New Roman"/>
          <w:color w:val="000000"/>
          <w:sz w:val="24"/>
          <w:szCs w:val="24"/>
          <w:lang w:eastAsia="en-PH"/>
        </w:rPr>
        <w:t xml:space="preserve"> 40, no. 6 (December 2016): 292-295. </w:t>
      </w:r>
    </w:p>
    <w:p w14:paraId="395FA57D" w14:textId="3B1A229B" w:rsidR="00CC259F" w:rsidRPr="00CC259F" w:rsidRDefault="00CC259F" w:rsidP="00F201A2">
      <w:pPr>
        <w:spacing w:after="0" w:line="480" w:lineRule="auto"/>
        <w:ind w:firstLine="720"/>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http://doi.org/</w:t>
      </w:r>
      <w:r w:rsidRPr="00CC259F">
        <w:rPr>
          <w:rStyle w:val="doi"/>
          <w:rFonts w:ascii="Times New Roman" w:hAnsi="Times New Roman" w:cs="Times New Roman"/>
          <w:sz w:val="24"/>
          <w:szCs w:val="24"/>
        </w:rPr>
        <w:t>10.1192/pb.bp.115.053249</w:t>
      </w:r>
    </w:p>
    <w:p w14:paraId="7C7874A5" w14:textId="5EF00794" w:rsidR="00936FEF" w:rsidRPr="007E699A" w:rsidRDefault="00936FEF" w:rsidP="007E699A">
      <w:pPr>
        <w:spacing w:after="0" w:line="480" w:lineRule="auto"/>
        <w:rPr>
          <w:rFonts w:ascii="Times New Roman" w:eastAsia="Times New Roman" w:hAnsi="Times New Roman" w:cs="Times New Roman"/>
          <w:i/>
          <w:iCs/>
          <w:color w:val="000000"/>
          <w:sz w:val="24"/>
          <w:szCs w:val="24"/>
          <w:lang w:eastAsia="en-PH"/>
        </w:rPr>
      </w:pPr>
      <w:proofErr w:type="spellStart"/>
      <w:r w:rsidRPr="00936FEF">
        <w:rPr>
          <w:rFonts w:ascii="Times New Roman" w:eastAsia="Times New Roman" w:hAnsi="Times New Roman" w:cs="Times New Roman"/>
          <w:color w:val="000000"/>
          <w:sz w:val="24"/>
          <w:szCs w:val="24"/>
          <w:lang w:eastAsia="en-PH"/>
        </w:rPr>
        <w:t>Boorse</w:t>
      </w:r>
      <w:proofErr w:type="spellEnd"/>
      <w:r w:rsidRPr="00936FEF">
        <w:rPr>
          <w:rFonts w:ascii="Times New Roman" w:eastAsia="Times New Roman" w:hAnsi="Times New Roman" w:cs="Times New Roman"/>
          <w:color w:val="000000"/>
          <w:sz w:val="24"/>
          <w:szCs w:val="24"/>
          <w:lang w:eastAsia="en-PH"/>
        </w:rPr>
        <w:t xml:space="preserve">, Christopher. “On the Distinction between Disease and Illness.” </w:t>
      </w:r>
      <w:r w:rsidRPr="00936FEF">
        <w:rPr>
          <w:rFonts w:ascii="Times New Roman" w:eastAsia="Times New Roman" w:hAnsi="Times New Roman" w:cs="Times New Roman"/>
          <w:i/>
          <w:iCs/>
          <w:color w:val="000000"/>
          <w:sz w:val="24"/>
          <w:szCs w:val="24"/>
          <w:lang w:eastAsia="en-PH"/>
        </w:rPr>
        <w:t>Philosophy &amp; Public</w:t>
      </w:r>
      <w:r w:rsidRPr="007E699A">
        <w:rPr>
          <w:rFonts w:ascii="Times New Roman" w:eastAsia="Times New Roman" w:hAnsi="Times New Roman" w:cs="Times New Roman"/>
          <w:i/>
          <w:iCs/>
          <w:color w:val="000000"/>
          <w:sz w:val="24"/>
          <w:szCs w:val="24"/>
          <w:lang w:eastAsia="en-PH"/>
        </w:rPr>
        <w:t xml:space="preserve"> </w:t>
      </w:r>
    </w:p>
    <w:p w14:paraId="76A52419" w14:textId="71FC7098" w:rsidR="00936FEF" w:rsidRPr="00936FEF" w:rsidRDefault="00936FEF" w:rsidP="007E699A">
      <w:pPr>
        <w:spacing w:after="0" w:line="480" w:lineRule="auto"/>
        <w:ind w:firstLine="720"/>
        <w:rPr>
          <w:rFonts w:ascii="Times New Roman" w:eastAsia="Times New Roman" w:hAnsi="Times New Roman" w:cs="Times New Roman"/>
          <w:i/>
          <w:iCs/>
          <w:color w:val="000000"/>
          <w:sz w:val="24"/>
          <w:szCs w:val="24"/>
          <w:lang w:eastAsia="en-PH"/>
        </w:rPr>
      </w:pPr>
      <w:r w:rsidRPr="00936FEF">
        <w:rPr>
          <w:rFonts w:ascii="Times New Roman" w:eastAsia="Times New Roman" w:hAnsi="Times New Roman" w:cs="Times New Roman"/>
          <w:i/>
          <w:iCs/>
          <w:color w:val="000000"/>
          <w:sz w:val="24"/>
          <w:szCs w:val="24"/>
          <w:lang w:eastAsia="en-PH"/>
        </w:rPr>
        <w:t>Affairs</w:t>
      </w:r>
      <w:r w:rsidRPr="00936FEF">
        <w:rPr>
          <w:rFonts w:ascii="Times New Roman" w:eastAsia="Times New Roman" w:hAnsi="Times New Roman" w:cs="Times New Roman"/>
          <w:color w:val="000000"/>
          <w:sz w:val="24"/>
          <w:szCs w:val="24"/>
          <w:lang w:eastAsia="en-PH"/>
        </w:rPr>
        <w:t xml:space="preserve"> 5, no. 1 (Autumn 1975): 49-68. https://www.jstor.org/stable/2265020.</w:t>
      </w:r>
    </w:p>
    <w:p w14:paraId="39FC7837" w14:textId="77777777" w:rsidR="00095A96" w:rsidRDefault="00095A96" w:rsidP="007E699A">
      <w:pPr>
        <w:spacing w:after="0" w:line="480" w:lineRule="auto"/>
        <w:rPr>
          <w:rFonts w:ascii="Times New Roman" w:eastAsia="Times New Roman" w:hAnsi="Times New Roman" w:cs="Times New Roman"/>
          <w:color w:val="000000"/>
          <w:sz w:val="24"/>
          <w:szCs w:val="24"/>
          <w:lang w:eastAsia="en-PH"/>
        </w:rPr>
      </w:pPr>
      <w:proofErr w:type="spellStart"/>
      <w:r>
        <w:rPr>
          <w:rFonts w:ascii="Times New Roman" w:eastAsia="Times New Roman" w:hAnsi="Times New Roman" w:cs="Times New Roman"/>
          <w:color w:val="000000"/>
          <w:sz w:val="24"/>
          <w:szCs w:val="24"/>
          <w:lang w:eastAsia="en-PH"/>
        </w:rPr>
        <w:t>Boorse</w:t>
      </w:r>
      <w:proofErr w:type="spellEnd"/>
      <w:r>
        <w:rPr>
          <w:rFonts w:ascii="Times New Roman" w:eastAsia="Times New Roman" w:hAnsi="Times New Roman" w:cs="Times New Roman"/>
          <w:color w:val="000000"/>
          <w:sz w:val="24"/>
          <w:szCs w:val="24"/>
          <w:lang w:eastAsia="en-PH"/>
        </w:rPr>
        <w:t xml:space="preserve">, Christopher. “Health as a Theoretical Concept.” </w:t>
      </w:r>
      <w:r>
        <w:rPr>
          <w:rFonts w:ascii="Times New Roman" w:eastAsia="Times New Roman" w:hAnsi="Times New Roman" w:cs="Times New Roman"/>
          <w:i/>
          <w:iCs/>
          <w:color w:val="000000"/>
          <w:sz w:val="24"/>
          <w:szCs w:val="24"/>
          <w:lang w:eastAsia="en-PH"/>
        </w:rPr>
        <w:t xml:space="preserve">Philosophy of Science </w:t>
      </w:r>
      <w:r>
        <w:rPr>
          <w:rFonts w:ascii="Times New Roman" w:eastAsia="Times New Roman" w:hAnsi="Times New Roman" w:cs="Times New Roman"/>
          <w:color w:val="000000"/>
          <w:sz w:val="24"/>
          <w:szCs w:val="24"/>
          <w:lang w:eastAsia="en-PH"/>
        </w:rPr>
        <w:t xml:space="preserve">44, no. 4 </w:t>
      </w:r>
    </w:p>
    <w:p w14:paraId="4A545E12" w14:textId="41036312" w:rsidR="00095A96" w:rsidRPr="00095A96" w:rsidRDefault="00095A96" w:rsidP="00095A96">
      <w:pPr>
        <w:spacing w:after="0" w:line="480" w:lineRule="auto"/>
        <w:ind w:firstLine="720"/>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(December 1977): 542-573</w:t>
      </w:r>
      <w:r w:rsidRPr="00095A96">
        <w:rPr>
          <w:rFonts w:ascii="Times New Roman" w:eastAsia="Times New Roman" w:hAnsi="Times New Roman" w:cs="Times New Roman"/>
          <w:color w:val="000000"/>
          <w:sz w:val="24"/>
          <w:szCs w:val="24"/>
          <w:lang w:eastAsia="en-PH"/>
        </w:rPr>
        <w:t xml:space="preserve">. </w:t>
      </w:r>
      <w:r w:rsidRPr="00095A96">
        <w:rPr>
          <w:rFonts w:ascii="Times New Roman" w:hAnsi="Times New Roman" w:cs="Times New Roman"/>
          <w:sz w:val="24"/>
          <w:szCs w:val="24"/>
        </w:rPr>
        <w:t>https://www.jstor.org/stable/186939</w:t>
      </w:r>
    </w:p>
    <w:p w14:paraId="65912717" w14:textId="14391829" w:rsidR="00095A96" w:rsidRDefault="00B75761" w:rsidP="007E699A">
      <w:pPr>
        <w:spacing w:after="0" w:line="480" w:lineRule="auto"/>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 xml:space="preserve">Calvo, Franz, Bryant T. </w:t>
      </w:r>
      <w:proofErr w:type="spellStart"/>
      <w:r>
        <w:rPr>
          <w:rFonts w:ascii="Times New Roman" w:eastAsia="Times New Roman" w:hAnsi="Times New Roman" w:cs="Times New Roman"/>
          <w:color w:val="000000"/>
          <w:sz w:val="24"/>
          <w:szCs w:val="24"/>
          <w:lang w:eastAsia="en-PH"/>
        </w:rPr>
        <w:t>Karras</w:t>
      </w:r>
      <w:proofErr w:type="spellEnd"/>
      <w:r>
        <w:rPr>
          <w:rFonts w:ascii="Times New Roman" w:eastAsia="Times New Roman" w:hAnsi="Times New Roman" w:cs="Times New Roman"/>
          <w:color w:val="000000"/>
          <w:sz w:val="24"/>
          <w:szCs w:val="24"/>
          <w:lang w:eastAsia="en-PH"/>
        </w:rPr>
        <w:t>, Richard Phillips, Ann Marie Kimball, and Fred Wolf.</w:t>
      </w:r>
    </w:p>
    <w:p w14:paraId="206F9AA5" w14:textId="77777777" w:rsidR="00095A96" w:rsidRDefault="00B75761" w:rsidP="00095A96">
      <w:pPr>
        <w:spacing w:after="0" w:line="480" w:lineRule="auto"/>
        <w:ind w:firstLine="720"/>
        <w:rPr>
          <w:rFonts w:ascii="Times New Roman" w:eastAsia="Times New Roman" w:hAnsi="Times New Roman" w:cs="Times New Roman"/>
          <w:i/>
          <w:iCs/>
          <w:color w:val="000000"/>
          <w:sz w:val="24"/>
          <w:szCs w:val="24"/>
          <w:lang w:eastAsia="en-PH"/>
        </w:rPr>
      </w:pPr>
      <w:r>
        <w:rPr>
          <w:rFonts w:ascii="Times New Roman" w:eastAsia="Times New Roman" w:hAnsi="Times New Roman" w:cs="Times New Roman"/>
          <w:color w:val="000000"/>
          <w:sz w:val="24"/>
          <w:szCs w:val="24"/>
          <w:lang w:eastAsia="en-PH"/>
        </w:rPr>
        <w:t>“Diagnoses, Syndromes, and Diseases</w:t>
      </w:r>
      <w:r w:rsidR="00095A96">
        <w:rPr>
          <w:rFonts w:ascii="Times New Roman" w:eastAsia="Times New Roman" w:hAnsi="Times New Roman" w:cs="Times New Roman"/>
          <w:color w:val="000000"/>
          <w:sz w:val="24"/>
          <w:szCs w:val="24"/>
          <w:lang w:eastAsia="en-PH"/>
        </w:rPr>
        <w:t xml:space="preserve">: A Knowledge Representation Problem.” </w:t>
      </w:r>
      <w:r w:rsidR="00095A96">
        <w:rPr>
          <w:rFonts w:ascii="Times New Roman" w:eastAsia="Times New Roman" w:hAnsi="Times New Roman" w:cs="Times New Roman"/>
          <w:i/>
          <w:iCs/>
          <w:color w:val="000000"/>
          <w:sz w:val="24"/>
          <w:szCs w:val="24"/>
          <w:lang w:eastAsia="en-PH"/>
        </w:rPr>
        <w:t xml:space="preserve">AMIA </w:t>
      </w:r>
    </w:p>
    <w:p w14:paraId="48F31502" w14:textId="77777777" w:rsidR="00095A96" w:rsidRDefault="00095A96" w:rsidP="00095A96">
      <w:pPr>
        <w:spacing w:after="0" w:line="480" w:lineRule="auto"/>
        <w:ind w:firstLine="720"/>
        <w:rPr>
          <w:rFonts w:ascii="Times New Roman" w:eastAsia="Times New Roman" w:hAnsi="Times New Roman" w:cs="Times New Roman"/>
          <w:color w:val="000000"/>
          <w:sz w:val="24"/>
          <w:szCs w:val="24"/>
          <w:lang w:eastAsia="en-PH"/>
        </w:rPr>
      </w:pPr>
      <w:r>
        <w:rPr>
          <w:rFonts w:ascii="Times New Roman" w:eastAsia="Times New Roman" w:hAnsi="Times New Roman" w:cs="Times New Roman"/>
          <w:i/>
          <w:iCs/>
          <w:color w:val="000000"/>
          <w:sz w:val="24"/>
          <w:szCs w:val="24"/>
          <w:lang w:eastAsia="en-PH"/>
        </w:rPr>
        <w:t>Annual Symposium Proceedings</w:t>
      </w:r>
      <w:r>
        <w:rPr>
          <w:rFonts w:ascii="Times New Roman" w:eastAsia="Times New Roman" w:hAnsi="Times New Roman" w:cs="Times New Roman"/>
          <w:color w:val="000000"/>
          <w:sz w:val="24"/>
          <w:szCs w:val="24"/>
          <w:lang w:eastAsia="en-PH"/>
        </w:rPr>
        <w:t xml:space="preserve">. (2003): 802. </w:t>
      </w:r>
    </w:p>
    <w:p w14:paraId="7CB97BE6" w14:textId="748C645C" w:rsidR="00B75761" w:rsidRPr="00095A96" w:rsidRDefault="00095A96" w:rsidP="00095A96">
      <w:pPr>
        <w:spacing w:after="0" w:line="480" w:lineRule="auto"/>
        <w:ind w:firstLine="720"/>
        <w:rPr>
          <w:rFonts w:ascii="Times New Roman" w:eastAsia="Times New Roman" w:hAnsi="Times New Roman" w:cs="Times New Roman"/>
          <w:i/>
          <w:iCs/>
          <w:color w:val="000000"/>
          <w:sz w:val="24"/>
          <w:szCs w:val="24"/>
          <w:lang w:eastAsia="en-PH"/>
        </w:rPr>
      </w:pPr>
      <w:r w:rsidRPr="00095A96">
        <w:rPr>
          <w:rFonts w:ascii="Times New Roman" w:eastAsia="Times New Roman" w:hAnsi="Times New Roman" w:cs="Times New Roman"/>
          <w:color w:val="000000"/>
          <w:sz w:val="24"/>
          <w:szCs w:val="24"/>
          <w:lang w:eastAsia="en-PH"/>
        </w:rPr>
        <w:t>https://www.ncbi.nlm.nih.gov/pmc/articles/PMC1480257/#</w:t>
      </w:r>
    </w:p>
    <w:p w14:paraId="1D280943" w14:textId="5BDB0772" w:rsidR="00936FEF" w:rsidRPr="007E699A" w:rsidRDefault="00936FEF" w:rsidP="007E699A">
      <w:pPr>
        <w:spacing w:after="0" w:line="480" w:lineRule="auto"/>
        <w:rPr>
          <w:rFonts w:ascii="Times New Roman" w:eastAsia="Times New Roman" w:hAnsi="Times New Roman" w:cs="Times New Roman"/>
          <w:color w:val="000000"/>
          <w:sz w:val="24"/>
          <w:szCs w:val="24"/>
          <w:lang w:eastAsia="en-PH"/>
        </w:rPr>
      </w:pPr>
      <w:r w:rsidRPr="00936FEF">
        <w:rPr>
          <w:rFonts w:ascii="Times New Roman" w:eastAsia="Times New Roman" w:hAnsi="Times New Roman" w:cs="Times New Roman"/>
          <w:color w:val="000000"/>
          <w:sz w:val="24"/>
          <w:szCs w:val="24"/>
          <w:lang w:eastAsia="en-PH"/>
        </w:rPr>
        <w:t>D’Amico, Robert. “Spreading Disease: A Controversy Concerning the Metaphysics of Disease.”</w:t>
      </w:r>
      <w:r w:rsidRPr="007E699A">
        <w:rPr>
          <w:rFonts w:ascii="Times New Roman" w:eastAsia="Times New Roman" w:hAnsi="Times New Roman" w:cs="Times New Roman"/>
          <w:color w:val="000000"/>
          <w:sz w:val="24"/>
          <w:szCs w:val="24"/>
          <w:lang w:eastAsia="en-PH"/>
        </w:rPr>
        <w:t xml:space="preserve"> </w:t>
      </w:r>
    </w:p>
    <w:p w14:paraId="15306BA8" w14:textId="77777777" w:rsidR="00936FEF" w:rsidRPr="007E699A" w:rsidRDefault="00936FEF" w:rsidP="007E699A">
      <w:pPr>
        <w:spacing w:after="0" w:line="480" w:lineRule="auto"/>
        <w:ind w:firstLine="720"/>
        <w:rPr>
          <w:rFonts w:ascii="Times New Roman" w:eastAsia="Times New Roman" w:hAnsi="Times New Roman" w:cs="Times New Roman"/>
          <w:color w:val="000000"/>
          <w:sz w:val="24"/>
          <w:szCs w:val="24"/>
          <w:lang w:eastAsia="en-PH"/>
        </w:rPr>
      </w:pPr>
      <w:r w:rsidRPr="00936FEF">
        <w:rPr>
          <w:rFonts w:ascii="Times New Roman" w:eastAsia="Times New Roman" w:hAnsi="Times New Roman" w:cs="Times New Roman"/>
          <w:i/>
          <w:iCs/>
          <w:color w:val="000000"/>
          <w:sz w:val="24"/>
          <w:szCs w:val="24"/>
          <w:lang w:eastAsia="en-PH"/>
        </w:rPr>
        <w:t>History and Philosophy of the Life Sciences</w:t>
      </w:r>
      <w:r w:rsidRPr="00936FEF">
        <w:rPr>
          <w:rFonts w:ascii="Times New Roman" w:eastAsia="Times New Roman" w:hAnsi="Times New Roman" w:cs="Times New Roman"/>
          <w:color w:val="000000"/>
          <w:sz w:val="24"/>
          <w:szCs w:val="24"/>
          <w:lang w:eastAsia="en-PH"/>
        </w:rPr>
        <w:t xml:space="preserve"> 20, no. 2 (1998): 143</w:t>
      </w:r>
      <w:r w:rsidRPr="007E699A">
        <w:rPr>
          <w:rFonts w:ascii="Times New Roman" w:eastAsia="Times New Roman" w:hAnsi="Times New Roman" w:cs="Times New Roman"/>
          <w:color w:val="000000"/>
          <w:sz w:val="24"/>
          <w:szCs w:val="24"/>
          <w:lang w:eastAsia="en-PH"/>
        </w:rPr>
        <w:t>-</w:t>
      </w:r>
    </w:p>
    <w:p w14:paraId="71E27EF3" w14:textId="0781AF58" w:rsidR="00936FEF" w:rsidRPr="00936FEF" w:rsidRDefault="00936FEF" w:rsidP="007E699A">
      <w:pPr>
        <w:spacing w:after="0" w:line="480" w:lineRule="auto"/>
        <w:ind w:left="720"/>
        <w:rPr>
          <w:rFonts w:ascii="Times New Roman" w:eastAsia="Times New Roman" w:hAnsi="Times New Roman" w:cs="Times New Roman"/>
          <w:sz w:val="24"/>
          <w:szCs w:val="24"/>
          <w:lang w:eastAsia="en-PH"/>
        </w:rPr>
      </w:pPr>
      <w:r w:rsidRPr="00936FEF">
        <w:rPr>
          <w:rFonts w:ascii="Times New Roman" w:eastAsia="Times New Roman" w:hAnsi="Times New Roman" w:cs="Times New Roman"/>
          <w:color w:val="000000"/>
          <w:sz w:val="24"/>
          <w:szCs w:val="24"/>
          <w:lang w:eastAsia="en-PH"/>
        </w:rPr>
        <w:t>162. </w:t>
      </w:r>
      <w:r w:rsidRPr="007E699A">
        <w:rPr>
          <w:rFonts w:ascii="Times New Roman" w:eastAsia="Times New Roman" w:hAnsi="Times New Roman" w:cs="Times New Roman"/>
          <w:sz w:val="24"/>
          <w:szCs w:val="24"/>
          <w:lang w:eastAsia="en-PH"/>
        </w:rPr>
        <w:t xml:space="preserve"> </w:t>
      </w:r>
      <w:r w:rsidRPr="00936FEF">
        <w:rPr>
          <w:rFonts w:ascii="Times New Roman" w:eastAsia="Times New Roman" w:hAnsi="Times New Roman" w:cs="Times New Roman"/>
          <w:color w:val="000000"/>
          <w:sz w:val="24"/>
          <w:szCs w:val="24"/>
          <w:lang w:eastAsia="en-PH"/>
        </w:rPr>
        <w:t>https://www.jstor.org/stable/23332099.</w:t>
      </w:r>
    </w:p>
    <w:p w14:paraId="3B256D9B" w14:textId="0436BA84" w:rsidR="00F42C29" w:rsidRDefault="00F42C29" w:rsidP="00F42C29">
      <w:pPr>
        <w:spacing w:after="0" w:line="480" w:lineRule="auto"/>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 xml:space="preserve">Hacker, P.M.S. “Wittgenstein and the Autonomy of Humanistic Understanding.” In </w:t>
      </w:r>
    </w:p>
    <w:p w14:paraId="3CCF9FEA" w14:textId="77777777" w:rsidR="00687693" w:rsidRDefault="00F42C29" w:rsidP="00F42C29">
      <w:pPr>
        <w:spacing w:after="0" w:line="480" w:lineRule="auto"/>
        <w:ind w:firstLine="720"/>
        <w:rPr>
          <w:rFonts w:ascii="Times New Roman" w:eastAsia="Times New Roman" w:hAnsi="Times New Roman" w:cs="Times New Roman"/>
          <w:color w:val="000000"/>
          <w:sz w:val="24"/>
          <w:szCs w:val="24"/>
          <w:lang w:eastAsia="en-PH"/>
        </w:rPr>
      </w:pPr>
      <w:r>
        <w:rPr>
          <w:rFonts w:ascii="Times New Roman" w:eastAsia="Times New Roman" w:hAnsi="Times New Roman" w:cs="Times New Roman"/>
          <w:i/>
          <w:iCs/>
          <w:color w:val="000000"/>
          <w:sz w:val="24"/>
          <w:szCs w:val="24"/>
          <w:lang w:eastAsia="en-PH"/>
        </w:rPr>
        <w:t>Wittgenstein: Connections and Controversies</w:t>
      </w:r>
      <w:r>
        <w:rPr>
          <w:rFonts w:ascii="Times New Roman" w:eastAsia="Times New Roman" w:hAnsi="Times New Roman" w:cs="Times New Roman"/>
          <w:color w:val="000000"/>
          <w:sz w:val="24"/>
          <w:szCs w:val="24"/>
          <w:lang w:eastAsia="en-PH"/>
        </w:rPr>
        <w:t xml:space="preserve">, edited by P.M.S. Hacker, </w:t>
      </w:r>
      <w:r w:rsidR="00687693">
        <w:rPr>
          <w:rFonts w:ascii="Times New Roman" w:eastAsia="Times New Roman" w:hAnsi="Times New Roman" w:cs="Times New Roman"/>
          <w:color w:val="000000"/>
          <w:sz w:val="24"/>
          <w:szCs w:val="24"/>
          <w:lang w:eastAsia="en-PH"/>
        </w:rPr>
        <w:t xml:space="preserve">34-73. Oxford: </w:t>
      </w:r>
    </w:p>
    <w:p w14:paraId="462DE017" w14:textId="63A49AB3" w:rsidR="00F42C29" w:rsidRPr="00F42C29" w:rsidRDefault="00687693" w:rsidP="00F42C29">
      <w:pPr>
        <w:spacing w:after="0" w:line="480" w:lineRule="auto"/>
        <w:ind w:firstLine="720"/>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Clarendon Press, 2001</w:t>
      </w:r>
    </w:p>
    <w:p w14:paraId="43DE7017" w14:textId="72190DA8" w:rsidR="00936FEF" w:rsidRPr="007E699A" w:rsidRDefault="00936FEF" w:rsidP="007E699A">
      <w:pPr>
        <w:spacing w:after="0" w:line="480" w:lineRule="auto"/>
        <w:rPr>
          <w:rFonts w:ascii="Times New Roman" w:eastAsia="Times New Roman" w:hAnsi="Times New Roman" w:cs="Times New Roman"/>
          <w:color w:val="000000"/>
          <w:sz w:val="24"/>
          <w:szCs w:val="24"/>
          <w:lang w:eastAsia="en-PH"/>
        </w:rPr>
      </w:pPr>
      <w:r w:rsidRPr="00936FEF">
        <w:rPr>
          <w:rFonts w:ascii="Times New Roman" w:eastAsia="Times New Roman" w:hAnsi="Times New Roman" w:cs="Times New Roman"/>
          <w:color w:val="000000"/>
          <w:sz w:val="24"/>
          <w:szCs w:val="24"/>
          <w:lang w:eastAsia="en-PH"/>
        </w:rPr>
        <w:t xml:space="preserve">Hausman, Daniel M. “Health, Naturalism, and Functional Efficiency.” </w:t>
      </w:r>
      <w:r w:rsidRPr="00936FEF">
        <w:rPr>
          <w:rFonts w:ascii="Times New Roman" w:eastAsia="Times New Roman" w:hAnsi="Times New Roman" w:cs="Times New Roman"/>
          <w:i/>
          <w:iCs/>
          <w:color w:val="000000"/>
          <w:sz w:val="24"/>
          <w:szCs w:val="24"/>
          <w:lang w:eastAsia="en-PH"/>
        </w:rPr>
        <w:t>Philosophy of Science</w:t>
      </w:r>
    </w:p>
    <w:p w14:paraId="30CB0F6A" w14:textId="1DCFB1A3" w:rsidR="00936FEF" w:rsidRPr="00936FEF" w:rsidRDefault="00936FEF" w:rsidP="007E699A">
      <w:pPr>
        <w:spacing w:after="0" w:line="480" w:lineRule="auto"/>
        <w:ind w:firstLine="720"/>
        <w:rPr>
          <w:rFonts w:ascii="Times New Roman" w:eastAsia="Times New Roman" w:hAnsi="Times New Roman" w:cs="Times New Roman"/>
          <w:sz w:val="24"/>
          <w:szCs w:val="24"/>
          <w:lang w:eastAsia="en-PH"/>
        </w:rPr>
      </w:pPr>
      <w:r w:rsidRPr="00936FEF">
        <w:rPr>
          <w:rFonts w:ascii="Times New Roman" w:eastAsia="Times New Roman" w:hAnsi="Times New Roman" w:cs="Times New Roman"/>
          <w:color w:val="000000"/>
          <w:sz w:val="24"/>
          <w:szCs w:val="24"/>
          <w:lang w:eastAsia="en-PH"/>
        </w:rPr>
        <w:t>79, no. 4 (October 2012): 519-541. https://doi.org/10.1086/668005</w:t>
      </w:r>
      <w:r w:rsidRPr="00936FEF">
        <w:rPr>
          <w:rFonts w:ascii="Times New Roman" w:eastAsia="Times New Roman" w:hAnsi="Times New Roman" w:cs="Times New Roman"/>
          <w:color w:val="1155CC"/>
          <w:sz w:val="24"/>
          <w:szCs w:val="24"/>
          <w:u w:val="single"/>
          <w:lang w:eastAsia="en-PH"/>
        </w:rPr>
        <w:t>.</w:t>
      </w:r>
    </w:p>
    <w:p w14:paraId="3540B938" w14:textId="346EF166" w:rsidR="008A6836" w:rsidRPr="008A6836" w:rsidRDefault="008A6836" w:rsidP="007E699A">
      <w:pPr>
        <w:spacing w:after="0" w:line="480" w:lineRule="auto"/>
        <w:rPr>
          <w:rFonts w:ascii="Times New Roman" w:eastAsia="Times New Roman" w:hAnsi="Times New Roman" w:cs="Times New Roman"/>
          <w:sz w:val="24"/>
          <w:szCs w:val="24"/>
          <w:lang w:eastAsia="en-PH"/>
        </w:rPr>
      </w:pPr>
      <w:r w:rsidRPr="00936FEF">
        <w:rPr>
          <w:rFonts w:ascii="Times New Roman" w:eastAsia="Times New Roman" w:hAnsi="Times New Roman" w:cs="Times New Roman"/>
          <w:color w:val="000000"/>
          <w:sz w:val="24"/>
          <w:szCs w:val="24"/>
          <w:lang w:eastAsia="en-PH"/>
        </w:rPr>
        <w:t xml:space="preserve">Horwich, Paul. </w:t>
      </w:r>
      <w:r w:rsidRPr="00936FEF">
        <w:rPr>
          <w:rFonts w:ascii="Times New Roman" w:eastAsia="Times New Roman" w:hAnsi="Times New Roman" w:cs="Times New Roman"/>
          <w:i/>
          <w:iCs/>
          <w:color w:val="000000"/>
          <w:sz w:val="24"/>
          <w:szCs w:val="24"/>
          <w:lang w:eastAsia="en-PH"/>
        </w:rPr>
        <w:t xml:space="preserve">Wittgenstein’s </w:t>
      </w:r>
      <w:proofErr w:type="spellStart"/>
      <w:r w:rsidRPr="00936FEF">
        <w:rPr>
          <w:rFonts w:ascii="Times New Roman" w:eastAsia="Times New Roman" w:hAnsi="Times New Roman" w:cs="Times New Roman"/>
          <w:i/>
          <w:iCs/>
          <w:color w:val="000000"/>
          <w:sz w:val="24"/>
          <w:szCs w:val="24"/>
          <w:lang w:eastAsia="en-PH"/>
        </w:rPr>
        <w:t>Metaphilosophy</w:t>
      </w:r>
      <w:proofErr w:type="spellEnd"/>
      <w:r w:rsidRPr="00936FEF">
        <w:rPr>
          <w:rFonts w:ascii="Times New Roman" w:eastAsia="Times New Roman" w:hAnsi="Times New Roman" w:cs="Times New Roman"/>
          <w:color w:val="000000"/>
          <w:sz w:val="24"/>
          <w:szCs w:val="24"/>
          <w:lang w:eastAsia="en-PH"/>
        </w:rPr>
        <w:t>. Oxford: Oxford University Press, 2012.</w:t>
      </w:r>
    </w:p>
    <w:p w14:paraId="14639DA7" w14:textId="1EC2E10F" w:rsidR="00936FEF" w:rsidRPr="007E699A" w:rsidRDefault="00936FEF" w:rsidP="007E699A">
      <w:pPr>
        <w:spacing w:after="0" w:line="480" w:lineRule="auto"/>
        <w:rPr>
          <w:rFonts w:ascii="Times New Roman" w:eastAsia="Times New Roman" w:hAnsi="Times New Roman" w:cs="Times New Roman"/>
          <w:i/>
          <w:iCs/>
          <w:color w:val="000000"/>
          <w:sz w:val="24"/>
          <w:szCs w:val="24"/>
          <w:lang w:eastAsia="en-PH"/>
        </w:rPr>
      </w:pPr>
      <w:r w:rsidRPr="00936FEF">
        <w:rPr>
          <w:rFonts w:ascii="Times New Roman" w:eastAsia="Times New Roman" w:hAnsi="Times New Roman" w:cs="Times New Roman"/>
          <w:color w:val="000000"/>
          <w:sz w:val="24"/>
          <w:szCs w:val="24"/>
          <w:lang w:eastAsia="en-PH"/>
        </w:rPr>
        <w:t xml:space="preserve">Horwich, Paul. “Wittgenstein’s Global </w:t>
      </w:r>
      <w:proofErr w:type="spellStart"/>
      <w:r w:rsidRPr="00936FEF">
        <w:rPr>
          <w:rFonts w:ascii="Times New Roman" w:eastAsia="Times New Roman" w:hAnsi="Times New Roman" w:cs="Times New Roman"/>
          <w:color w:val="000000"/>
          <w:sz w:val="24"/>
          <w:szCs w:val="24"/>
          <w:lang w:eastAsia="en-PH"/>
        </w:rPr>
        <w:t>Deflationism</w:t>
      </w:r>
      <w:proofErr w:type="spellEnd"/>
      <w:r w:rsidRPr="00936FEF">
        <w:rPr>
          <w:rFonts w:ascii="Times New Roman" w:eastAsia="Times New Roman" w:hAnsi="Times New Roman" w:cs="Times New Roman"/>
          <w:color w:val="000000"/>
          <w:sz w:val="24"/>
          <w:szCs w:val="24"/>
          <w:lang w:eastAsia="en-PH"/>
        </w:rPr>
        <w:t>.” in</w:t>
      </w:r>
      <w:r w:rsidRPr="00936FEF">
        <w:rPr>
          <w:rFonts w:ascii="Times New Roman" w:eastAsia="Times New Roman" w:hAnsi="Times New Roman" w:cs="Times New Roman"/>
          <w:i/>
          <w:iCs/>
          <w:color w:val="000000"/>
          <w:sz w:val="24"/>
          <w:szCs w:val="24"/>
          <w:lang w:eastAsia="en-PH"/>
        </w:rPr>
        <w:t xml:space="preserve"> The Oxford Handbook of</w:t>
      </w:r>
      <w:r w:rsidRPr="007E699A">
        <w:rPr>
          <w:rFonts w:ascii="Times New Roman" w:eastAsia="Times New Roman" w:hAnsi="Times New Roman" w:cs="Times New Roman"/>
          <w:i/>
          <w:iCs/>
          <w:color w:val="000000"/>
          <w:sz w:val="24"/>
          <w:szCs w:val="24"/>
          <w:lang w:eastAsia="en-PH"/>
        </w:rPr>
        <w:t xml:space="preserve"> </w:t>
      </w:r>
    </w:p>
    <w:p w14:paraId="4034C31E" w14:textId="77777777" w:rsidR="00936FEF" w:rsidRPr="007E699A" w:rsidRDefault="00936FEF" w:rsidP="007E699A">
      <w:pPr>
        <w:spacing w:after="0" w:line="480" w:lineRule="auto"/>
        <w:ind w:firstLine="720"/>
        <w:rPr>
          <w:rFonts w:ascii="Times New Roman" w:eastAsia="Times New Roman" w:hAnsi="Times New Roman" w:cs="Times New Roman"/>
          <w:color w:val="000000"/>
          <w:sz w:val="24"/>
          <w:szCs w:val="24"/>
          <w:lang w:eastAsia="en-PH"/>
        </w:rPr>
      </w:pPr>
      <w:r w:rsidRPr="00936FEF">
        <w:rPr>
          <w:rFonts w:ascii="Times New Roman" w:eastAsia="Times New Roman" w:hAnsi="Times New Roman" w:cs="Times New Roman"/>
          <w:i/>
          <w:iCs/>
          <w:color w:val="000000"/>
          <w:sz w:val="24"/>
          <w:szCs w:val="24"/>
          <w:lang w:eastAsia="en-PH"/>
        </w:rPr>
        <w:lastRenderedPageBreak/>
        <w:t>Philosophical Methodology</w:t>
      </w:r>
      <w:r w:rsidRPr="00936FEF">
        <w:rPr>
          <w:rFonts w:ascii="Times New Roman" w:eastAsia="Times New Roman" w:hAnsi="Times New Roman" w:cs="Times New Roman"/>
          <w:color w:val="000000"/>
          <w:sz w:val="24"/>
          <w:szCs w:val="24"/>
          <w:lang w:eastAsia="en-PH"/>
        </w:rPr>
        <w:t xml:space="preserve">, edited by Herman </w:t>
      </w:r>
      <w:proofErr w:type="spellStart"/>
      <w:r w:rsidRPr="00936FEF">
        <w:rPr>
          <w:rFonts w:ascii="Times New Roman" w:eastAsia="Times New Roman" w:hAnsi="Times New Roman" w:cs="Times New Roman"/>
          <w:color w:val="000000"/>
          <w:sz w:val="24"/>
          <w:szCs w:val="24"/>
          <w:lang w:eastAsia="en-PH"/>
        </w:rPr>
        <w:t>Cappelen</w:t>
      </w:r>
      <w:proofErr w:type="spellEnd"/>
      <w:r w:rsidRPr="00936FEF">
        <w:rPr>
          <w:rFonts w:ascii="Times New Roman" w:eastAsia="Times New Roman" w:hAnsi="Times New Roman" w:cs="Times New Roman"/>
          <w:color w:val="000000"/>
          <w:sz w:val="24"/>
          <w:szCs w:val="24"/>
          <w:lang w:eastAsia="en-PH"/>
        </w:rPr>
        <w:t xml:space="preserve">, Tamar </w:t>
      </w:r>
      <w:proofErr w:type="spellStart"/>
      <w:r w:rsidRPr="00936FEF">
        <w:rPr>
          <w:rFonts w:ascii="Times New Roman" w:eastAsia="Times New Roman" w:hAnsi="Times New Roman" w:cs="Times New Roman"/>
          <w:color w:val="000000"/>
          <w:sz w:val="24"/>
          <w:szCs w:val="24"/>
          <w:lang w:eastAsia="en-PH"/>
        </w:rPr>
        <w:t>Szabó</w:t>
      </w:r>
      <w:proofErr w:type="spellEnd"/>
      <w:r w:rsidRPr="00936FEF">
        <w:rPr>
          <w:rFonts w:ascii="Times New Roman" w:eastAsia="Times New Roman" w:hAnsi="Times New Roman" w:cs="Times New Roman"/>
          <w:color w:val="000000"/>
          <w:sz w:val="24"/>
          <w:szCs w:val="24"/>
          <w:lang w:eastAsia="en-PH"/>
        </w:rPr>
        <w:t xml:space="preserve"> </w:t>
      </w:r>
      <w:proofErr w:type="spellStart"/>
      <w:r w:rsidRPr="00936FEF">
        <w:rPr>
          <w:rFonts w:ascii="Times New Roman" w:eastAsia="Times New Roman" w:hAnsi="Times New Roman" w:cs="Times New Roman"/>
          <w:color w:val="000000"/>
          <w:sz w:val="24"/>
          <w:szCs w:val="24"/>
          <w:lang w:eastAsia="en-PH"/>
        </w:rPr>
        <w:t>Gendler</w:t>
      </w:r>
      <w:proofErr w:type="spellEnd"/>
      <w:r w:rsidRPr="00936FEF">
        <w:rPr>
          <w:rFonts w:ascii="Times New Roman" w:eastAsia="Times New Roman" w:hAnsi="Times New Roman" w:cs="Times New Roman"/>
          <w:color w:val="000000"/>
          <w:sz w:val="24"/>
          <w:szCs w:val="24"/>
          <w:lang w:eastAsia="en-PH"/>
        </w:rPr>
        <w:t xml:space="preserve">, and </w:t>
      </w:r>
    </w:p>
    <w:p w14:paraId="5ABF9BCD" w14:textId="1B7619B0" w:rsidR="00936FEF" w:rsidRPr="007E699A" w:rsidRDefault="00936FEF" w:rsidP="007E699A">
      <w:pPr>
        <w:spacing w:after="0" w:line="480" w:lineRule="auto"/>
        <w:ind w:firstLine="720"/>
        <w:rPr>
          <w:rFonts w:ascii="Times New Roman" w:eastAsia="Times New Roman" w:hAnsi="Times New Roman" w:cs="Times New Roman"/>
          <w:color w:val="000000"/>
          <w:sz w:val="24"/>
          <w:szCs w:val="24"/>
          <w:lang w:eastAsia="en-PH"/>
        </w:rPr>
      </w:pPr>
      <w:r w:rsidRPr="00936FEF">
        <w:rPr>
          <w:rFonts w:ascii="Times New Roman" w:eastAsia="Times New Roman" w:hAnsi="Times New Roman" w:cs="Times New Roman"/>
          <w:color w:val="000000"/>
          <w:sz w:val="24"/>
          <w:szCs w:val="24"/>
          <w:lang w:eastAsia="en-PH"/>
        </w:rPr>
        <w:t>John Hawthorne</w:t>
      </w:r>
      <w:r w:rsidR="00920E56">
        <w:rPr>
          <w:rFonts w:ascii="Times New Roman" w:eastAsia="Times New Roman" w:hAnsi="Times New Roman" w:cs="Times New Roman"/>
          <w:color w:val="000000"/>
          <w:sz w:val="24"/>
          <w:szCs w:val="24"/>
          <w:lang w:eastAsia="en-PH"/>
        </w:rPr>
        <w:t>, 1-22</w:t>
      </w:r>
      <w:r w:rsidRPr="00936FEF">
        <w:rPr>
          <w:rFonts w:ascii="Times New Roman" w:eastAsia="Times New Roman" w:hAnsi="Times New Roman" w:cs="Times New Roman"/>
          <w:color w:val="000000"/>
          <w:sz w:val="24"/>
          <w:szCs w:val="24"/>
          <w:lang w:eastAsia="en-PH"/>
        </w:rPr>
        <w:t>. Oxford: Oxford University Press, 2016.</w:t>
      </w:r>
      <w:r w:rsidRPr="007E699A">
        <w:rPr>
          <w:rFonts w:ascii="Times New Roman" w:eastAsia="Times New Roman" w:hAnsi="Times New Roman" w:cs="Times New Roman"/>
          <w:color w:val="000000"/>
          <w:sz w:val="24"/>
          <w:szCs w:val="24"/>
          <w:lang w:eastAsia="en-PH"/>
        </w:rPr>
        <w:t xml:space="preserve"> </w:t>
      </w:r>
    </w:p>
    <w:p w14:paraId="0AB9EEFA" w14:textId="432E1A9C" w:rsidR="00936FEF" w:rsidRPr="00936FEF" w:rsidRDefault="00936FEF" w:rsidP="007E699A">
      <w:pPr>
        <w:spacing w:after="0" w:line="480" w:lineRule="auto"/>
        <w:ind w:firstLine="720"/>
        <w:rPr>
          <w:rFonts w:ascii="Times New Roman" w:eastAsia="Times New Roman" w:hAnsi="Times New Roman" w:cs="Times New Roman"/>
          <w:i/>
          <w:iCs/>
          <w:color w:val="000000"/>
          <w:sz w:val="24"/>
          <w:szCs w:val="24"/>
          <w:lang w:eastAsia="en-PH"/>
        </w:rPr>
      </w:pPr>
      <w:r w:rsidRPr="00936FEF">
        <w:rPr>
          <w:rFonts w:ascii="Times New Roman" w:eastAsia="Times New Roman" w:hAnsi="Times New Roman" w:cs="Times New Roman"/>
          <w:color w:val="000000"/>
          <w:sz w:val="24"/>
          <w:szCs w:val="24"/>
          <w:lang w:eastAsia="en-PH"/>
        </w:rPr>
        <w:t>http//doi.org/10.1093/</w:t>
      </w:r>
      <w:proofErr w:type="spellStart"/>
      <w:r w:rsidRPr="00936FEF">
        <w:rPr>
          <w:rFonts w:ascii="Times New Roman" w:eastAsia="Times New Roman" w:hAnsi="Times New Roman" w:cs="Times New Roman"/>
          <w:color w:val="000000"/>
          <w:sz w:val="24"/>
          <w:szCs w:val="24"/>
          <w:lang w:eastAsia="en-PH"/>
        </w:rPr>
        <w:t>oxfordhb</w:t>
      </w:r>
      <w:proofErr w:type="spellEnd"/>
      <w:r w:rsidRPr="00936FEF">
        <w:rPr>
          <w:rFonts w:ascii="Times New Roman" w:eastAsia="Times New Roman" w:hAnsi="Times New Roman" w:cs="Times New Roman"/>
          <w:color w:val="000000"/>
          <w:sz w:val="24"/>
          <w:szCs w:val="24"/>
          <w:lang w:eastAsia="en-PH"/>
        </w:rPr>
        <w:t>/9780199668779.013.35</w:t>
      </w:r>
    </w:p>
    <w:p w14:paraId="33223F8E" w14:textId="77777777" w:rsidR="00936FEF" w:rsidRPr="00936FEF" w:rsidRDefault="00936FEF" w:rsidP="007E699A">
      <w:pPr>
        <w:spacing w:after="0" w:line="480" w:lineRule="auto"/>
        <w:rPr>
          <w:rFonts w:ascii="Times New Roman" w:eastAsia="Times New Roman" w:hAnsi="Times New Roman" w:cs="Times New Roman"/>
          <w:sz w:val="24"/>
          <w:szCs w:val="24"/>
          <w:lang w:eastAsia="en-PH"/>
        </w:rPr>
      </w:pPr>
      <w:r w:rsidRPr="00936FEF">
        <w:rPr>
          <w:rFonts w:ascii="Times New Roman" w:eastAsia="Times New Roman" w:hAnsi="Times New Roman" w:cs="Times New Roman"/>
          <w:color w:val="000000"/>
          <w:sz w:val="24"/>
          <w:szCs w:val="24"/>
          <w:lang w:eastAsia="en-PH"/>
        </w:rPr>
        <w:t xml:space="preserve">Moncrieff, Joanna. </w:t>
      </w:r>
      <w:proofErr w:type="gramStart"/>
      <w:r w:rsidRPr="00936FEF">
        <w:rPr>
          <w:rFonts w:ascii="Times New Roman" w:eastAsia="Times New Roman" w:hAnsi="Times New Roman" w:cs="Times New Roman"/>
          <w:color w:val="000000"/>
          <w:sz w:val="24"/>
          <w:szCs w:val="24"/>
          <w:lang w:eastAsia="en-PH"/>
        </w:rPr>
        <w:t>“ “</w:t>
      </w:r>
      <w:proofErr w:type="gramEnd"/>
      <w:r w:rsidRPr="00936FEF">
        <w:rPr>
          <w:rFonts w:ascii="Times New Roman" w:eastAsia="Times New Roman" w:hAnsi="Times New Roman" w:cs="Times New Roman"/>
          <w:color w:val="000000"/>
          <w:sz w:val="24"/>
          <w:szCs w:val="24"/>
          <w:lang w:eastAsia="en-PH"/>
        </w:rPr>
        <w:t>It Was the Brain Tumor That Done It!”: Szasz and Wittgenstein on the </w:t>
      </w:r>
    </w:p>
    <w:p w14:paraId="43ED022D" w14:textId="77777777" w:rsidR="00936FEF" w:rsidRPr="00936FEF" w:rsidRDefault="00936FEF" w:rsidP="007E699A">
      <w:pPr>
        <w:spacing w:after="0" w:line="480" w:lineRule="auto"/>
        <w:ind w:firstLine="720"/>
        <w:rPr>
          <w:rFonts w:ascii="Times New Roman" w:eastAsia="Times New Roman" w:hAnsi="Times New Roman" w:cs="Times New Roman"/>
          <w:sz w:val="24"/>
          <w:szCs w:val="24"/>
          <w:lang w:eastAsia="en-PH"/>
        </w:rPr>
      </w:pPr>
      <w:r w:rsidRPr="00936FEF">
        <w:rPr>
          <w:rFonts w:ascii="Times New Roman" w:eastAsia="Times New Roman" w:hAnsi="Times New Roman" w:cs="Times New Roman"/>
          <w:color w:val="000000"/>
          <w:sz w:val="24"/>
          <w:szCs w:val="24"/>
          <w:lang w:eastAsia="en-PH"/>
        </w:rPr>
        <w:t>Importance of Distinguishing Disease from Behavior and Implications for the Nature of </w:t>
      </w:r>
    </w:p>
    <w:p w14:paraId="76795F25" w14:textId="77777777" w:rsidR="00936FEF" w:rsidRPr="00936FEF" w:rsidRDefault="00936FEF" w:rsidP="007E699A">
      <w:pPr>
        <w:spacing w:after="0" w:line="480" w:lineRule="auto"/>
        <w:ind w:left="720"/>
        <w:rPr>
          <w:rFonts w:ascii="Times New Roman" w:eastAsia="Times New Roman" w:hAnsi="Times New Roman" w:cs="Times New Roman"/>
          <w:sz w:val="24"/>
          <w:szCs w:val="24"/>
          <w:lang w:eastAsia="en-PH"/>
        </w:rPr>
      </w:pPr>
      <w:r w:rsidRPr="00936FEF">
        <w:rPr>
          <w:rFonts w:ascii="Times New Roman" w:eastAsia="Times New Roman" w:hAnsi="Times New Roman" w:cs="Times New Roman"/>
          <w:color w:val="000000"/>
          <w:sz w:val="24"/>
          <w:szCs w:val="24"/>
          <w:lang w:eastAsia="en-PH"/>
        </w:rPr>
        <w:t xml:space="preserve">Mental Disorder.” </w:t>
      </w:r>
      <w:r w:rsidRPr="00936FEF">
        <w:rPr>
          <w:rFonts w:ascii="Times New Roman" w:eastAsia="Times New Roman" w:hAnsi="Times New Roman" w:cs="Times New Roman"/>
          <w:i/>
          <w:iCs/>
          <w:color w:val="000000"/>
          <w:sz w:val="24"/>
          <w:szCs w:val="24"/>
          <w:lang w:eastAsia="en-PH"/>
        </w:rPr>
        <w:t>Philosophy, Psychiatry, &amp; Psychology</w:t>
      </w:r>
      <w:r w:rsidRPr="00936FEF">
        <w:rPr>
          <w:rFonts w:ascii="Times New Roman" w:eastAsia="Times New Roman" w:hAnsi="Times New Roman" w:cs="Times New Roman"/>
          <w:color w:val="000000"/>
          <w:sz w:val="24"/>
          <w:szCs w:val="24"/>
          <w:lang w:eastAsia="en-PH"/>
        </w:rPr>
        <w:t xml:space="preserve"> 27, no. 2 (June 2020): 169-181. http://doi.org/10.1353/ppp.2020.0017.</w:t>
      </w:r>
    </w:p>
    <w:p w14:paraId="4BBE1F4D" w14:textId="77777777" w:rsidR="00936FEF" w:rsidRPr="007E699A" w:rsidRDefault="00936FEF" w:rsidP="007E699A">
      <w:pPr>
        <w:spacing w:after="0" w:line="480" w:lineRule="auto"/>
        <w:rPr>
          <w:rFonts w:ascii="Times New Roman" w:eastAsia="Times New Roman" w:hAnsi="Times New Roman" w:cs="Times New Roman"/>
          <w:i/>
          <w:iCs/>
          <w:color w:val="000000"/>
          <w:sz w:val="24"/>
          <w:szCs w:val="24"/>
          <w:lang w:eastAsia="en-PH"/>
        </w:rPr>
      </w:pPr>
      <w:proofErr w:type="spellStart"/>
      <w:r w:rsidRPr="00936FEF">
        <w:rPr>
          <w:rFonts w:ascii="Times New Roman" w:eastAsia="Times New Roman" w:hAnsi="Times New Roman" w:cs="Times New Roman"/>
          <w:color w:val="000000"/>
          <w:sz w:val="24"/>
          <w:szCs w:val="24"/>
          <w:lang w:eastAsia="en-PH"/>
        </w:rPr>
        <w:t>Nordenfelt</w:t>
      </w:r>
      <w:proofErr w:type="spellEnd"/>
      <w:r w:rsidRPr="00936FEF">
        <w:rPr>
          <w:rFonts w:ascii="Times New Roman" w:eastAsia="Times New Roman" w:hAnsi="Times New Roman" w:cs="Times New Roman"/>
          <w:color w:val="000000"/>
          <w:sz w:val="24"/>
          <w:szCs w:val="24"/>
          <w:lang w:eastAsia="en-PH"/>
        </w:rPr>
        <w:t xml:space="preserve">, Lennart. “Health and Disease: Two Philosophical Perspectives.” </w:t>
      </w:r>
      <w:r w:rsidRPr="00936FEF">
        <w:rPr>
          <w:rFonts w:ascii="Times New Roman" w:eastAsia="Times New Roman" w:hAnsi="Times New Roman" w:cs="Times New Roman"/>
          <w:i/>
          <w:iCs/>
          <w:color w:val="000000"/>
          <w:sz w:val="24"/>
          <w:szCs w:val="24"/>
          <w:lang w:eastAsia="en-PH"/>
        </w:rPr>
        <w:t>Journal of</w:t>
      </w:r>
      <w:r w:rsidRPr="007E699A">
        <w:rPr>
          <w:rFonts w:ascii="Times New Roman" w:eastAsia="Times New Roman" w:hAnsi="Times New Roman" w:cs="Times New Roman"/>
          <w:i/>
          <w:iCs/>
          <w:color w:val="000000"/>
          <w:sz w:val="24"/>
          <w:szCs w:val="24"/>
          <w:lang w:eastAsia="en-PH"/>
        </w:rPr>
        <w:t xml:space="preserve"> </w:t>
      </w:r>
    </w:p>
    <w:p w14:paraId="2C6911AD" w14:textId="77777777" w:rsidR="00936FEF" w:rsidRPr="007E699A" w:rsidRDefault="00936FEF" w:rsidP="007E699A">
      <w:pPr>
        <w:spacing w:after="0" w:line="480" w:lineRule="auto"/>
        <w:ind w:firstLine="720"/>
        <w:rPr>
          <w:rFonts w:ascii="Times New Roman" w:eastAsia="Times New Roman" w:hAnsi="Times New Roman" w:cs="Times New Roman"/>
          <w:color w:val="000000"/>
          <w:sz w:val="24"/>
          <w:szCs w:val="24"/>
          <w:lang w:eastAsia="en-PH"/>
        </w:rPr>
      </w:pPr>
      <w:r w:rsidRPr="00936FEF">
        <w:rPr>
          <w:rFonts w:ascii="Times New Roman" w:eastAsia="Times New Roman" w:hAnsi="Times New Roman" w:cs="Times New Roman"/>
          <w:i/>
          <w:iCs/>
          <w:color w:val="000000"/>
          <w:sz w:val="24"/>
          <w:szCs w:val="24"/>
          <w:lang w:eastAsia="en-PH"/>
        </w:rPr>
        <w:t xml:space="preserve">Epidemiology and Community Health </w:t>
      </w:r>
      <w:r w:rsidRPr="00936FEF">
        <w:rPr>
          <w:rFonts w:ascii="Times New Roman" w:eastAsia="Times New Roman" w:hAnsi="Times New Roman" w:cs="Times New Roman"/>
          <w:color w:val="000000"/>
          <w:sz w:val="24"/>
          <w:szCs w:val="24"/>
          <w:lang w:eastAsia="en-PH"/>
        </w:rPr>
        <w:t>40, no. 4 (December 1986): 281-284.</w:t>
      </w:r>
      <w:r w:rsidRPr="007E699A">
        <w:rPr>
          <w:rFonts w:ascii="Times New Roman" w:eastAsia="Times New Roman" w:hAnsi="Times New Roman" w:cs="Times New Roman"/>
          <w:color w:val="000000"/>
          <w:sz w:val="24"/>
          <w:szCs w:val="24"/>
          <w:lang w:eastAsia="en-PH"/>
        </w:rPr>
        <w:t xml:space="preserve"> </w:t>
      </w:r>
    </w:p>
    <w:p w14:paraId="26E6697D" w14:textId="08DD3842" w:rsidR="00936FEF" w:rsidRDefault="00CF58F7" w:rsidP="007E699A">
      <w:pPr>
        <w:spacing w:after="0" w:line="480" w:lineRule="auto"/>
        <w:ind w:firstLine="720"/>
        <w:rPr>
          <w:rFonts w:ascii="Times New Roman" w:eastAsia="Times New Roman" w:hAnsi="Times New Roman" w:cs="Times New Roman"/>
          <w:color w:val="000000"/>
          <w:sz w:val="24"/>
          <w:szCs w:val="24"/>
          <w:lang w:eastAsia="en-PH"/>
        </w:rPr>
      </w:pPr>
      <w:r w:rsidRPr="00CF58F7">
        <w:rPr>
          <w:rFonts w:ascii="Times New Roman" w:eastAsia="Times New Roman" w:hAnsi="Times New Roman" w:cs="Times New Roman"/>
          <w:color w:val="000000"/>
          <w:sz w:val="24"/>
          <w:szCs w:val="24"/>
          <w:lang w:eastAsia="en-PH"/>
        </w:rPr>
        <w:t>http://dx.doi.org/10.1136/jech.40.4.281</w:t>
      </w:r>
      <w:r w:rsidR="00936FEF" w:rsidRPr="00936FEF">
        <w:rPr>
          <w:rFonts w:ascii="Times New Roman" w:eastAsia="Times New Roman" w:hAnsi="Times New Roman" w:cs="Times New Roman"/>
          <w:color w:val="000000"/>
          <w:sz w:val="24"/>
          <w:szCs w:val="24"/>
          <w:lang w:eastAsia="en-PH"/>
        </w:rPr>
        <w:t>.</w:t>
      </w:r>
    </w:p>
    <w:p w14:paraId="2E32305E" w14:textId="77777777" w:rsidR="008A6836" w:rsidRDefault="00CF58F7" w:rsidP="00CF58F7">
      <w:pPr>
        <w:spacing w:after="0" w:line="480" w:lineRule="auto"/>
        <w:rPr>
          <w:rFonts w:ascii="Times New Roman" w:eastAsia="Times New Roman" w:hAnsi="Times New Roman" w:cs="Times New Roman"/>
          <w:i/>
          <w:iCs/>
          <w:sz w:val="24"/>
          <w:szCs w:val="24"/>
          <w:lang w:eastAsia="en-PH"/>
        </w:rPr>
      </w:pPr>
      <w:proofErr w:type="spellStart"/>
      <w:r>
        <w:rPr>
          <w:rFonts w:ascii="Times New Roman" w:eastAsia="Times New Roman" w:hAnsi="Times New Roman" w:cs="Times New Roman"/>
          <w:sz w:val="24"/>
          <w:szCs w:val="24"/>
          <w:lang w:eastAsia="en-PH"/>
        </w:rPr>
        <w:t>Nordenfelt</w:t>
      </w:r>
      <w:proofErr w:type="spellEnd"/>
      <w:r>
        <w:rPr>
          <w:rFonts w:ascii="Times New Roman" w:eastAsia="Times New Roman" w:hAnsi="Times New Roman" w:cs="Times New Roman"/>
          <w:sz w:val="24"/>
          <w:szCs w:val="24"/>
          <w:lang w:eastAsia="en-PH"/>
        </w:rPr>
        <w:t xml:space="preserve">, Lennart. “The Concepts of Health and Illness Revisited.” </w:t>
      </w:r>
      <w:r>
        <w:rPr>
          <w:rFonts w:ascii="Times New Roman" w:eastAsia="Times New Roman" w:hAnsi="Times New Roman" w:cs="Times New Roman"/>
          <w:i/>
          <w:iCs/>
          <w:sz w:val="24"/>
          <w:szCs w:val="24"/>
          <w:lang w:eastAsia="en-PH"/>
        </w:rPr>
        <w:t xml:space="preserve">Medicine, Health Care and </w:t>
      </w:r>
    </w:p>
    <w:p w14:paraId="25BA66D4" w14:textId="4F9A8FD2" w:rsidR="00CF58F7" w:rsidRPr="00CF58F7" w:rsidRDefault="00CF58F7" w:rsidP="008A6836">
      <w:pPr>
        <w:spacing w:after="0" w:line="480" w:lineRule="auto"/>
        <w:ind w:firstLine="720"/>
        <w:rPr>
          <w:rFonts w:ascii="Times New Roman" w:eastAsia="Times New Roman" w:hAnsi="Times New Roman" w:cs="Times New Roman"/>
          <w:sz w:val="24"/>
          <w:szCs w:val="24"/>
          <w:lang w:eastAsia="en-PH"/>
        </w:rPr>
      </w:pPr>
      <w:r>
        <w:rPr>
          <w:rFonts w:ascii="Times New Roman" w:eastAsia="Times New Roman" w:hAnsi="Times New Roman" w:cs="Times New Roman"/>
          <w:i/>
          <w:iCs/>
          <w:sz w:val="24"/>
          <w:szCs w:val="24"/>
          <w:lang w:eastAsia="en-PH"/>
        </w:rPr>
        <w:t>Philosophy</w:t>
      </w:r>
      <w:r>
        <w:rPr>
          <w:rFonts w:ascii="Times New Roman" w:eastAsia="Times New Roman" w:hAnsi="Times New Roman" w:cs="Times New Roman"/>
          <w:sz w:val="24"/>
          <w:szCs w:val="24"/>
          <w:lang w:eastAsia="en-PH"/>
        </w:rPr>
        <w:t xml:space="preserve"> 10, no. 1 (March 2007): 5-10. http://doi.org</w:t>
      </w:r>
      <w:r w:rsidRPr="00CF58F7">
        <w:rPr>
          <w:rFonts w:ascii="Times New Roman" w:eastAsia="Times New Roman" w:hAnsi="Times New Roman" w:cs="Times New Roman"/>
          <w:sz w:val="24"/>
          <w:szCs w:val="24"/>
          <w:lang w:eastAsia="en-PH"/>
        </w:rPr>
        <w:t>/</w:t>
      </w:r>
      <w:r w:rsidRPr="00CF58F7">
        <w:rPr>
          <w:rStyle w:val="identifier"/>
          <w:rFonts w:ascii="Times New Roman" w:hAnsi="Times New Roman" w:cs="Times New Roman"/>
          <w:sz w:val="24"/>
          <w:szCs w:val="24"/>
        </w:rPr>
        <w:t>10.1007/s11019-006-9017-3</w:t>
      </w:r>
    </w:p>
    <w:p w14:paraId="2CA5490D" w14:textId="77777777" w:rsidR="00A53462" w:rsidRDefault="00A53462" w:rsidP="007E699A">
      <w:pPr>
        <w:spacing w:after="0" w:line="480" w:lineRule="auto"/>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 xml:space="preserve">Rosenman, Stephen, and Julian </w:t>
      </w:r>
      <w:proofErr w:type="spellStart"/>
      <w:r>
        <w:rPr>
          <w:rFonts w:ascii="Times New Roman" w:eastAsia="Times New Roman" w:hAnsi="Times New Roman" w:cs="Times New Roman"/>
          <w:color w:val="000000"/>
          <w:sz w:val="24"/>
          <w:szCs w:val="24"/>
          <w:lang w:eastAsia="en-PH"/>
        </w:rPr>
        <w:t>Nasti</w:t>
      </w:r>
      <w:proofErr w:type="spellEnd"/>
      <w:r>
        <w:rPr>
          <w:rFonts w:ascii="Times New Roman" w:eastAsia="Times New Roman" w:hAnsi="Times New Roman" w:cs="Times New Roman"/>
          <w:color w:val="000000"/>
          <w:sz w:val="24"/>
          <w:szCs w:val="24"/>
          <w:lang w:eastAsia="en-PH"/>
        </w:rPr>
        <w:t xml:space="preserve">. “Psychiatric Diagnoses are not Mental Processes: </w:t>
      </w:r>
    </w:p>
    <w:p w14:paraId="4DD7703B" w14:textId="77777777" w:rsidR="00A53462" w:rsidRDefault="00A53462" w:rsidP="00A53462">
      <w:pPr>
        <w:spacing w:after="0" w:line="480" w:lineRule="auto"/>
        <w:ind w:firstLine="720"/>
        <w:rPr>
          <w:rFonts w:ascii="Times New Roman" w:eastAsia="Times New Roman" w:hAnsi="Times New Roman" w:cs="Times New Roman"/>
          <w:i/>
          <w:iCs/>
          <w:color w:val="000000"/>
          <w:sz w:val="24"/>
          <w:szCs w:val="24"/>
          <w:lang w:eastAsia="en-PH"/>
        </w:rPr>
      </w:pPr>
      <w:r>
        <w:rPr>
          <w:rFonts w:ascii="Times New Roman" w:eastAsia="Times New Roman" w:hAnsi="Times New Roman" w:cs="Times New Roman"/>
          <w:color w:val="000000"/>
          <w:sz w:val="24"/>
          <w:szCs w:val="24"/>
          <w:lang w:eastAsia="en-PH"/>
        </w:rPr>
        <w:t xml:space="preserve">Wittgenstein on Conceptual Confusion.” </w:t>
      </w:r>
      <w:r>
        <w:rPr>
          <w:rFonts w:ascii="Times New Roman" w:eastAsia="Times New Roman" w:hAnsi="Times New Roman" w:cs="Times New Roman"/>
          <w:i/>
          <w:iCs/>
          <w:color w:val="000000"/>
          <w:sz w:val="24"/>
          <w:szCs w:val="24"/>
          <w:lang w:eastAsia="en-PH"/>
        </w:rPr>
        <w:t xml:space="preserve">Australian &amp; New Zealand Journal of </w:t>
      </w:r>
    </w:p>
    <w:p w14:paraId="68968F42" w14:textId="77777777" w:rsidR="00A53462" w:rsidRDefault="00A53462" w:rsidP="00A53462">
      <w:pPr>
        <w:spacing w:after="0" w:line="480" w:lineRule="auto"/>
        <w:ind w:firstLine="720"/>
        <w:rPr>
          <w:rFonts w:ascii="Times New Roman" w:eastAsia="Times New Roman" w:hAnsi="Times New Roman" w:cs="Times New Roman"/>
          <w:color w:val="000000"/>
          <w:sz w:val="24"/>
          <w:szCs w:val="24"/>
          <w:lang w:eastAsia="en-PH"/>
        </w:rPr>
      </w:pPr>
      <w:r>
        <w:rPr>
          <w:rFonts w:ascii="Times New Roman" w:eastAsia="Times New Roman" w:hAnsi="Times New Roman" w:cs="Times New Roman"/>
          <w:i/>
          <w:iCs/>
          <w:color w:val="000000"/>
          <w:sz w:val="24"/>
          <w:szCs w:val="24"/>
          <w:lang w:eastAsia="en-PH"/>
        </w:rPr>
        <w:t>Psychiatry</w:t>
      </w:r>
      <w:r>
        <w:rPr>
          <w:rFonts w:ascii="Times New Roman" w:eastAsia="Times New Roman" w:hAnsi="Times New Roman" w:cs="Times New Roman"/>
          <w:color w:val="000000"/>
          <w:sz w:val="24"/>
          <w:szCs w:val="24"/>
          <w:lang w:eastAsia="en-PH"/>
        </w:rPr>
        <w:t xml:space="preserve"> 46, no. 11 (November 2012): 10</w:t>
      </w:r>
      <w:r w:rsidRPr="00A53462">
        <w:rPr>
          <w:rFonts w:ascii="Times New Roman" w:eastAsia="Times New Roman" w:hAnsi="Times New Roman" w:cs="Times New Roman"/>
          <w:color w:val="000000"/>
          <w:sz w:val="24"/>
          <w:szCs w:val="24"/>
          <w:lang w:eastAsia="en-PH"/>
        </w:rPr>
        <w:t xml:space="preserve">46-1052. </w:t>
      </w:r>
    </w:p>
    <w:p w14:paraId="7134F921" w14:textId="5CF971FB" w:rsidR="00A53462" w:rsidRPr="00A53462" w:rsidRDefault="00A53462" w:rsidP="00A53462">
      <w:pPr>
        <w:spacing w:after="0" w:line="480" w:lineRule="auto"/>
        <w:ind w:firstLine="720"/>
        <w:rPr>
          <w:rFonts w:ascii="Times New Roman" w:eastAsia="Times New Roman" w:hAnsi="Times New Roman" w:cs="Times New Roman"/>
          <w:color w:val="000000"/>
          <w:sz w:val="24"/>
          <w:szCs w:val="24"/>
          <w:lang w:eastAsia="en-PH"/>
        </w:rPr>
      </w:pPr>
      <w:r w:rsidRPr="00A53462">
        <w:rPr>
          <w:rFonts w:ascii="Times New Roman" w:hAnsi="Times New Roman" w:cs="Times New Roman"/>
          <w:sz w:val="24"/>
          <w:szCs w:val="24"/>
        </w:rPr>
        <w:t>https://doi.org/10.1177/0004867412446090</w:t>
      </w:r>
    </w:p>
    <w:p w14:paraId="4C9AD783" w14:textId="77777777" w:rsidR="00BF5475" w:rsidRDefault="00740BAF" w:rsidP="008A6836">
      <w:pPr>
        <w:spacing w:after="0" w:line="480" w:lineRule="auto"/>
        <w:rPr>
          <w:rFonts w:ascii="Times New Roman" w:eastAsia="Times New Roman" w:hAnsi="Times New Roman" w:cs="Times New Roman"/>
          <w:i/>
          <w:iCs/>
          <w:sz w:val="24"/>
          <w:szCs w:val="24"/>
          <w:lang w:eastAsia="en-PH"/>
        </w:rPr>
      </w:pPr>
      <w:proofErr w:type="spellStart"/>
      <w:r>
        <w:rPr>
          <w:rFonts w:ascii="Times New Roman" w:eastAsia="Times New Roman" w:hAnsi="Times New Roman" w:cs="Times New Roman"/>
          <w:sz w:val="24"/>
          <w:szCs w:val="24"/>
          <w:lang w:eastAsia="en-PH"/>
        </w:rPr>
        <w:t>Scadding</w:t>
      </w:r>
      <w:proofErr w:type="spellEnd"/>
      <w:r>
        <w:rPr>
          <w:rFonts w:ascii="Times New Roman" w:eastAsia="Times New Roman" w:hAnsi="Times New Roman" w:cs="Times New Roman"/>
          <w:sz w:val="24"/>
          <w:szCs w:val="24"/>
          <w:lang w:eastAsia="en-PH"/>
        </w:rPr>
        <w:t xml:space="preserve">, J.G. “Health and Disease: What Can Medicine Do </w:t>
      </w:r>
      <w:proofErr w:type="gramStart"/>
      <w:r>
        <w:rPr>
          <w:rFonts w:ascii="Times New Roman" w:eastAsia="Times New Roman" w:hAnsi="Times New Roman" w:cs="Times New Roman"/>
          <w:sz w:val="24"/>
          <w:szCs w:val="24"/>
          <w:lang w:eastAsia="en-PH"/>
        </w:rPr>
        <w:t>For</w:t>
      </w:r>
      <w:proofErr w:type="gramEnd"/>
      <w:r>
        <w:rPr>
          <w:rFonts w:ascii="Times New Roman" w:eastAsia="Times New Roman" w:hAnsi="Times New Roman" w:cs="Times New Roman"/>
          <w:sz w:val="24"/>
          <w:szCs w:val="24"/>
          <w:lang w:eastAsia="en-PH"/>
        </w:rPr>
        <w:t xml:space="preserve"> Philosophy?” </w:t>
      </w:r>
      <w:r>
        <w:rPr>
          <w:rFonts w:ascii="Times New Roman" w:eastAsia="Times New Roman" w:hAnsi="Times New Roman" w:cs="Times New Roman"/>
          <w:i/>
          <w:iCs/>
          <w:sz w:val="24"/>
          <w:szCs w:val="24"/>
          <w:lang w:eastAsia="en-PH"/>
        </w:rPr>
        <w:t xml:space="preserve">Journal of </w:t>
      </w:r>
    </w:p>
    <w:p w14:paraId="0B264E0D" w14:textId="7DC012B6" w:rsidR="00740BAF" w:rsidRPr="00740BAF" w:rsidRDefault="00740BAF" w:rsidP="00BF5475">
      <w:pPr>
        <w:spacing w:after="0" w:line="480" w:lineRule="auto"/>
        <w:ind w:firstLine="720"/>
        <w:rPr>
          <w:rFonts w:ascii="Times New Roman" w:eastAsia="Times New Roman" w:hAnsi="Times New Roman" w:cs="Times New Roman"/>
          <w:sz w:val="24"/>
          <w:szCs w:val="24"/>
          <w:lang w:eastAsia="en-PH"/>
        </w:rPr>
      </w:pPr>
      <w:r>
        <w:rPr>
          <w:rFonts w:ascii="Times New Roman" w:eastAsia="Times New Roman" w:hAnsi="Times New Roman" w:cs="Times New Roman"/>
          <w:i/>
          <w:iCs/>
          <w:sz w:val="24"/>
          <w:szCs w:val="24"/>
          <w:lang w:eastAsia="en-PH"/>
        </w:rPr>
        <w:t>Medical Ethics</w:t>
      </w:r>
      <w:r>
        <w:rPr>
          <w:rFonts w:ascii="Times New Roman" w:eastAsia="Times New Roman" w:hAnsi="Times New Roman" w:cs="Times New Roman"/>
          <w:sz w:val="24"/>
          <w:szCs w:val="24"/>
          <w:lang w:eastAsia="en-PH"/>
        </w:rPr>
        <w:t xml:space="preserve"> </w:t>
      </w:r>
      <w:r w:rsidR="00BF5475">
        <w:rPr>
          <w:rFonts w:ascii="Times New Roman" w:eastAsia="Times New Roman" w:hAnsi="Times New Roman" w:cs="Times New Roman"/>
          <w:sz w:val="24"/>
          <w:szCs w:val="24"/>
          <w:lang w:eastAsia="en-PH"/>
        </w:rPr>
        <w:t>14, no. 1 (1988): 118-12</w:t>
      </w:r>
      <w:r w:rsidR="00BF5475" w:rsidRPr="00BF5475">
        <w:rPr>
          <w:rFonts w:ascii="Times New Roman" w:eastAsia="Times New Roman" w:hAnsi="Times New Roman" w:cs="Times New Roman"/>
          <w:sz w:val="24"/>
          <w:szCs w:val="24"/>
          <w:lang w:eastAsia="en-PH"/>
        </w:rPr>
        <w:t xml:space="preserve">4. </w:t>
      </w:r>
      <w:r w:rsidR="00BF5475" w:rsidRPr="00BF5475">
        <w:rPr>
          <w:rFonts w:ascii="Times New Roman" w:hAnsi="Times New Roman" w:cs="Times New Roman"/>
          <w:sz w:val="24"/>
          <w:szCs w:val="24"/>
        </w:rPr>
        <w:t>http://dx.doi.org/10.1136/jme.14.3.118</w:t>
      </w:r>
    </w:p>
    <w:p w14:paraId="4F6A63DA" w14:textId="77777777" w:rsidR="00D5606B" w:rsidRDefault="00D5606B" w:rsidP="008A6836">
      <w:pPr>
        <w:spacing w:after="0" w:line="480" w:lineRule="auto"/>
        <w:rPr>
          <w:rFonts w:ascii="Times New Roman" w:eastAsia="Times New Roman" w:hAnsi="Times New Roman" w:cs="Times New Roman"/>
          <w:i/>
          <w:iCs/>
          <w:sz w:val="24"/>
          <w:szCs w:val="24"/>
          <w:lang w:eastAsia="en-PH"/>
        </w:rPr>
      </w:pPr>
      <w:proofErr w:type="spellStart"/>
      <w:r>
        <w:rPr>
          <w:rFonts w:ascii="Times New Roman" w:eastAsia="Times New Roman" w:hAnsi="Times New Roman" w:cs="Times New Roman"/>
          <w:sz w:val="24"/>
          <w:szCs w:val="24"/>
          <w:lang w:eastAsia="en-PH"/>
        </w:rPr>
        <w:t>Svenaeus</w:t>
      </w:r>
      <w:proofErr w:type="spellEnd"/>
      <w:r>
        <w:rPr>
          <w:rFonts w:ascii="Times New Roman" w:eastAsia="Times New Roman" w:hAnsi="Times New Roman" w:cs="Times New Roman"/>
          <w:sz w:val="24"/>
          <w:szCs w:val="24"/>
          <w:lang w:eastAsia="en-PH"/>
        </w:rPr>
        <w:t xml:space="preserve">, Fredrik. “A Defense of the Phenomenological Account of Health and Illness.” </w:t>
      </w:r>
      <w:r>
        <w:rPr>
          <w:rFonts w:ascii="Times New Roman" w:eastAsia="Times New Roman" w:hAnsi="Times New Roman" w:cs="Times New Roman"/>
          <w:i/>
          <w:iCs/>
          <w:sz w:val="24"/>
          <w:szCs w:val="24"/>
          <w:lang w:eastAsia="en-PH"/>
        </w:rPr>
        <w:t xml:space="preserve">Journal </w:t>
      </w:r>
    </w:p>
    <w:p w14:paraId="7F7E30BB" w14:textId="77777777" w:rsidR="00D5606B" w:rsidRDefault="00D5606B" w:rsidP="00D5606B">
      <w:pPr>
        <w:spacing w:after="0" w:line="480" w:lineRule="auto"/>
        <w:ind w:firstLine="720"/>
        <w:rPr>
          <w:rFonts w:ascii="Times New Roman" w:eastAsia="Times New Roman" w:hAnsi="Times New Roman" w:cs="Times New Roman"/>
          <w:sz w:val="24"/>
          <w:szCs w:val="24"/>
          <w:lang w:eastAsia="en-PH"/>
        </w:rPr>
      </w:pPr>
      <w:r>
        <w:rPr>
          <w:rFonts w:ascii="Times New Roman" w:eastAsia="Times New Roman" w:hAnsi="Times New Roman" w:cs="Times New Roman"/>
          <w:i/>
          <w:iCs/>
          <w:sz w:val="24"/>
          <w:szCs w:val="24"/>
          <w:lang w:eastAsia="en-PH"/>
        </w:rPr>
        <w:t>of Medicine and Philosophy</w:t>
      </w:r>
      <w:r>
        <w:rPr>
          <w:rFonts w:ascii="Times New Roman" w:eastAsia="Times New Roman" w:hAnsi="Times New Roman" w:cs="Times New Roman"/>
          <w:sz w:val="24"/>
          <w:szCs w:val="24"/>
          <w:lang w:eastAsia="en-PH"/>
        </w:rPr>
        <w:t xml:space="preserve"> 44, no. 4 (August 2019): </w:t>
      </w:r>
      <w:r w:rsidRPr="00D5606B">
        <w:rPr>
          <w:rFonts w:ascii="Times New Roman" w:eastAsia="Times New Roman" w:hAnsi="Times New Roman" w:cs="Times New Roman"/>
          <w:sz w:val="24"/>
          <w:szCs w:val="24"/>
          <w:lang w:eastAsia="en-PH"/>
        </w:rPr>
        <w:t xml:space="preserve">459-478. </w:t>
      </w:r>
    </w:p>
    <w:p w14:paraId="70CA4004" w14:textId="3F857FA2" w:rsidR="00D5606B" w:rsidRPr="00D5606B" w:rsidRDefault="00D5606B" w:rsidP="00D5606B">
      <w:pPr>
        <w:spacing w:after="0" w:line="480" w:lineRule="auto"/>
        <w:ind w:firstLine="720"/>
        <w:rPr>
          <w:rFonts w:ascii="Times New Roman" w:eastAsia="Times New Roman" w:hAnsi="Times New Roman" w:cs="Times New Roman"/>
          <w:sz w:val="24"/>
          <w:szCs w:val="24"/>
          <w:lang w:eastAsia="en-PH"/>
        </w:rPr>
      </w:pPr>
      <w:r w:rsidRPr="00D5606B">
        <w:rPr>
          <w:rFonts w:ascii="Times New Roman" w:hAnsi="Times New Roman" w:cs="Times New Roman"/>
          <w:sz w:val="24"/>
          <w:szCs w:val="24"/>
        </w:rPr>
        <w:t>https://doi.org/10.1093/jmp/jhz013</w:t>
      </w:r>
    </w:p>
    <w:p w14:paraId="75A09850" w14:textId="44EA6FA7" w:rsidR="008A6836" w:rsidRDefault="008A6836" w:rsidP="008A6836">
      <w:pPr>
        <w:spacing w:after="0" w:line="480" w:lineRule="auto"/>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Szasz, Thomas. “The Myth of Mental Illness.” </w:t>
      </w:r>
      <w:r>
        <w:rPr>
          <w:rFonts w:ascii="Times New Roman" w:eastAsia="Times New Roman" w:hAnsi="Times New Roman" w:cs="Times New Roman"/>
          <w:i/>
          <w:iCs/>
          <w:sz w:val="24"/>
          <w:szCs w:val="24"/>
          <w:lang w:eastAsia="en-PH"/>
        </w:rPr>
        <w:t>American Psychologist</w:t>
      </w:r>
      <w:r>
        <w:rPr>
          <w:rFonts w:ascii="Times New Roman" w:eastAsia="Times New Roman" w:hAnsi="Times New Roman" w:cs="Times New Roman"/>
          <w:sz w:val="24"/>
          <w:szCs w:val="24"/>
          <w:lang w:eastAsia="en-PH"/>
        </w:rPr>
        <w:t xml:space="preserve"> 15, no. 2 (1960): 113-118. </w:t>
      </w:r>
    </w:p>
    <w:p w14:paraId="4E42D98B" w14:textId="79FFFAEE" w:rsidR="008A6836" w:rsidRPr="008A6836" w:rsidRDefault="008A6836" w:rsidP="008A6836">
      <w:pPr>
        <w:spacing w:after="0" w:line="480" w:lineRule="auto"/>
        <w:ind w:firstLine="720"/>
        <w:rPr>
          <w:rFonts w:ascii="Times New Roman" w:eastAsia="Times New Roman" w:hAnsi="Times New Roman" w:cs="Times New Roman"/>
          <w:sz w:val="24"/>
          <w:szCs w:val="24"/>
          <w:lang w:eastAsia="en-PH"/>
        </w:rPr>
      </w:pPr>
      <w:r w:rsidRPr="008A6836">
        <w:rPr>
          <w:rFonts w:ascii="Times New Roman" w:hAnsi="Times New Roman" w:cs="Times New Roman"/>
          <w:sz w:val="24"/>
          <w:szCs w:val="24"/>
        </w:rPr>
        <w:t>https://doi.org/10.1037/h0046535</w:t>
      </w:r>
    </w:p>
    <w:p w14:paraId="7010E063" w14:textId="77777777" w:rsidR="001C1331" w:rsidRDefault="001C1331" w:rsidP="007E699A">
      <w:pPr>
        <w:spacing w:after="0" w:line="480" w:lineRule="auto"/>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lastRenderedPageBreak/>
        <w:t xml:space="preserve">Szasz, Thomas. “Mental Illness Is Still a Myth.” </w:t>
      </w:r>
      <w:r>
        <w:rPr>
          <w:rFonts w:ascii="Times New Roman" w:eastAsia="Times New Roman" w:hAnsi="Times New Roman" w:cs="Times New Roman"/>
          <w:i/>
          <w:iCs/>
          <w:color w:val="000000"/>
          <w:sz w:val="24"/>
          <w:szCs w:val="24"/>
          <w:lang w:eastAsia="en-PH"/>
        </w:rPr>
        <w:t>Society</w:t>
      </w:r>
      <w:r>
        <w:rPr>
          <w:rFonts w:ascii="Times New Roman" w:eastAsia="Times New Roman" w:hAnsi="Times New Roman" w:cs="Times New Roman"/>
          <w:color w:val="000000"/>
          <w:sz w:val="24"/>
          <w:szCs w:val="24"/>
          <w:lang w:eastAsia="en-PH"/>
        </w:rPr>
        <w:t xml:space="preserve"> 31, no. 1 (May 1994): 34-39. </w:t>
      </w:r>
    </w:p>
    <w:p w14:paraId="13DBE116" w14:textId="3D152A9F" w:rsidR="001C1331" w:rsidRPr="001C1331" w:rsidRDefault="001C1331" w:rsidP="001C1331">
      <w:pPr>
        <w:spacing w:after="0" w:line="480" w:lineRule="auto"/>
        <w:ind w:firstLine="720"/>
        <w:rPr>
          <w:rFonts w:ascii="Times New Roman" w:eastAsia="Times New Roman" w:hAnsi="Times New Roman" w:cs="Times New Roman"/>
          <w:color w:val="000000"/>
          <w:sz w:val="24"/>
          <w:szCs w:val="24"/>
          <w:lang w:eastAsia="en-PH"/>
        </w:rPr>
      </w:pPr>
      <w:r w:rsidRPr="001C1331">
        <w:rPr>
          <w:rFonts w:ascii="Times New Roman" w:hAnsi="Times New Roman" w:cs="Times New Roman"/>
          <w:sz w:val="24"/>
          <w:szCs w:val="24"/>
        </w:rPr>
        <w:t>https://doi.org/10.1007/BF02693245</w:t>
      </w:r>
    </w:p>
    <w:p w14:paraId="7069AC9C" w14:textId="6D849F30" w:rsidR="00936FEF" w:rsidRPr="00936FEF" w:rsidRDefault="00936FEF" w:rsidP="007E699A">
      <w:pPr>
        <w:spacing w:after="0" w:line="480" w:lineRule="auto"/>
        <w:rPr>
          <w:rFonts w:ascii="Times New Roman" w:eastAsia="Times New Roman" w:hAnsi="Times New Roman" w:cs="Times New Roman"/>
          <w:sz w:val="24"/>
          <w:szCs w:val="24"/>
          <w:lang w:eastAsia="en-PH"/>
        </w:rPr>
      </w:pPr>
      <w:r w:rsidRPr="00936FEF">
        <w:rPr>
          <w:rFonts w:ascii="Times New Roman" w:eastAsia="Times New Roman" w:hAnsi="Times New Roman" w:cs="Times New Roman"/>
          <w:color w:val="000000"/>
          <w:sz w:val="24"/>
          <w:szCs w:val="24"/>
          <w:lang w:eastAsia="en-PH"/>
        </w:rPr>
        <w:t>Szasz, Thomas. “Defining Disease: The Gold Standard of Disease versus the Fiat Standard of </w:t>
      </w:r>
    </w:p>
    <w:p w14:paraId="210FD276" w14:textId="77777777" w:rsidR="00936FEF" w:rsidRPr="00936FEF" w:rsidRDefault="00936FEF" w:rsidP="007E699A">
      <w:pPr>
        <w:spacing w:after="0" w:line="480" w:lineRule="auto"/>
        <w:ind w:firstLine="720"/>
        <w:rPr>
          <w:rFonts w:ascii="Times New Roman" w:eastAsia="Times New Roman" w:hAnsi="Times New Roman" w:cs="Times New Roman"/>
          <w:sz w:val="24"/>
          <w:szCs w:val="24"/>
          <w:lang w:eastAsia="en-PH"/>
        </w:rPr>
      </w:pPr>
      <w:r w:rsidRPr="00936FEF">
        <w:rPr>
          <w:rFonts w:ascii="Times New Roman" w:eastAsia="Times New Roman" w:hAnsi="Times New Roman" w:cs="Times New Roman"/>
          <w:color w:val="000000"/>
          <w:sz w:val="24"/>
          <w:szCs w:val="24"/>
          <w:lang w:eastAsia="en-PH"/>
        </w:rPr>
        <w:t xml:space="preserve">Diagnosis.” </w:t>
      </w:r>
      <w:r w:rsidRPr="00936FEF">
        <w:rPr>
          <w:rFonts w:ascii="Times New Roman" w:eastAsia="Times New Roman" w:hAnsi="Times New Roman" w:cs="Times New Roman"/>
          <w:i/>
          <w:iCs/>
          <w:color w:val="000000"/>
          <w:sz w:val="24"/>
          <w:szCs w:val="24"/>
          <w:lang w:eastAsia="en-PH"/>
        </w:rPr>
        <w:t xml:space="preserve">The Independent Review </w:t>
      </w:r>
      <w:r w:rsidRPr="00936FEF">
        <w:rPr>
          <w:rFonts w:ascii="Times New Roman" w:eastAsia="Times New Roman" w:hAnsi="Times New Roman" w:cs="Times New Roman"/>
          <w:color w:val="000000"/>
          <w:sz w:val="24"/>
          <w:szCs w:val="24"/>
          <w:lang w:eastAsia="en-PH"/>
        </w:rPr>
        <w:t>10, no. 3 (Winter 2006): 325-336. </w:t>
      </w:r>
    </w:p>
    <w:p w14:paraId="7709C105" w14:textId="53AA300C" w:rsidR="00936FEF" w:rsidRDefault="008A6836" w:rsidP="007E699A">
      <w:pPr>
        <w:spacing w:after="0" w:line="480" w:lineRule="auto"/>
        <w:ind w:firstLine="720"/>
        <w:rPr>
          <w:rFonts w:ascii="Times New Roman" w:eastAsia="Times New Roman" w:hAnsi="Times New Roman" w:cs="Times New Roman"/>
          <w:color w:val="000000"/>
          <w:sz w:val="24"/>
          <w:szCs w:val="24"/>
          <w:lang w:eastAsia="en-PH"/>
        </w:rPr>
      </w:pPr>
      <w:r w:rsidRPr="008A6836">
        <w:rPr>
          <w:rFonts w:ascii="Times New Roman" w:eastAsia="Times New Roman" w:hAnsi="Times New Roman" w:cs="Times New Roman"/>
          <w:color w:val="000000"/>
          <w:sz w:val="24"/>
          <w:szCs w:val="24"/>
          <w:lang w:eastAsia="en-PH"/>
        </w:rPr>
        <w:t>https://www.jstor.org/stable/24562328</w:t>
      </w:r>
      <w:r w:rsidR="00936FEF" w:rsidRPr="00936FEF">
        <w:rPr>
          <w:rFonts w:ascii="Times New Roman" w:eastAsia="Times New Roman" w:hAnsi="Times New Roman" w:cs="Times New Roman"/>
          <w:color w:val="000000"/>
          <w:sz w:val="24"/>
          <w:szCs w:val="24"/>
          <w:lang w:eastAsia="en-PH"/>
        </w:rPr>
        <w:t>.</w:t>
      </w:r>
    </w:p>
    <w:p w14:paraId="2AE64134" w14:textId="77777777" w:rsidR="006852F6" w:rsidRDefault="006852F6" w:rsidP="007E699A">
      <w:pPr>
        <w:spacing w:after="0" w:line="480" w:lineRule="auto"/>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 xml:space="preserve">Szasz, Thomas. “The Myth of Mental Illness: 50 Years Later.” </w:t>
      </w:r>
      <w:r>
        <w:rPr>
          <w:rFonts w:ascii="Times New Roman" w:eastAsia="Times New Roman" w:hAnsi="Times New Roman" w:cs="Times New Roman"/>
          <w:i/>
          <w:iCs/>
          <w:color w:val="000000"/>
          <w:sz w:val="24"/>
          <w:szCs w:val="24"/>
          <w:lang w:eastAsia="en-PH"/>
        </w:rPr>
        <w:t>The Psychiatrist</w:t>
      </w:r>
      <w:r>
        <w:rPr>
          <w:rFonts w:ascii="Times New Roman" w:eastAsia="Times New Roman" w:hAnsi="Times New Roman" w:cs="Times New Roman"/>
          <w:color w:val="000000"/>
          <w:sz w:val="24"/>
          <w:szCs w:val="24"/>
          <w:lang w:eastAsia="en-PH"/>
        </w:rPr>
        <w:t xml:space="preserve"> 35, no. 5 (2011): </w:t>
      </w:r>
    </w:p>
    <w:p w14:paraId="28EA8B56" w14:textId="2AC0360C" w:rsidR="006852F6" w:rsidRPr="006852F6" w:rsidRDefault="006852F6" w:rsidP="006852F6">
      <w:pPr>
        <w:spacing w:after="0" w:line="480" w:lineRule="auto"/>
        <w:ind w:firstLine="720"/>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 xml:space="preserve">179-182. </w:t>
      </w:r>
      <w:r w:rsidRPr="006852F6">
        <w:rPr>
          <w:rFonts w:ascii="Times New Roman" w:eastAsia="Times New Roman" w:hAnsi="Times New Roman" w:cs="Times New Roman"/>
          <w:color w:val="000000"/>
          <w:sz w:val="24"/>
          <w:szCs w:val="24"/>
          <w:lang w:eastAsia="en-PH"/>
        </w:rPr>
        <w:t>http://doi.org/</w:t>
      </w:r>
      <w:r w:rsidRPr="006852F6">
        <w:rPr>
          <w:rFonts w:ascii="Times New Roman" w:hAnsi="Times New Roman" w:cs="Times New Roman"/>
          <w:sz w:val="24"/>
          <w:szCs w:val="24"/>
        </w:rPr>
        <w:t>10.1192/pb.bp.110.031310</w:t>
      </w:r>
    </w:p>
    <w:p w14:paraId="743F5178" w14:textId="5F24FC29" w:rsidR="00936FEF" w:rsidRPr="007E699A" w:rsidRDefault="00936FEF" w:rsidP="007E699A">
      <w:pPr>
        <w:spacing w:after="0" w:line="480" w:lineRule="auto"/>
        <w:rPr>
          <w:rFonts w:ascii="Times New Roman" w:eastAsia="Times New Roman" w:hAnsi="Times New Roman" w:cs="Times New Roman"/>
          <w:color w:val="000000"/>
          <w:sz w:val="24"/>
          <w:szCs w:val="24"/>
          <w:lang w:eastAsia="en-PH"/>
        </w:rPr>
      </w:pPr>
      <w:r w:rsidRPr="00936FEF">
        <w:rPr>
          <w:rFonts w:ascii="Times New Roman" w:eastAsia="Times New Roman" w:hAnsi="Times New Roman" w:cs="Times New Roman"/>
          <w:color w:val="000000"/>
          <w:sz w:val="24"/>
          <w:szCs w:val="24"/>
          <w:lang w:eastAsia="en-PH"/>
        </w:rPr>
        <w:t>Trigg, Jonathan, and Michael Kalish. “Explaining How the Mind Works: On the Relation</w:t>
      </w:r>
      <w:r w:rsidRPr="007E699A">
        <w:rPr>
          <w:rFonts w:ascii="Times New Roman" w:eastAsia="Times New Roman" w:hAnsi="Times New Roman" w:cs="Times New Roman"/>
          <w:color w:val="000000"/>
          <w:sz w:val="24"/>
          <w:szCs w:val="24"/>
          <w:lang w:eastAsia="en-PH"/>
        </w:rPr>
        <w:t xml:space="preserve"> </w:t>
      </w:r>
    </w:p>
    <w:p w14:paraId="5FD46DD3" w14:textId="77777777" w:rsidR="00936FEF" w:rsidRPr="007E699A" w:rsidRDefault="00936FEF" w:rsidP="007E699A">
      <w:pPr>
        <w:spacing w:after="0" w:line="480" w:lineRule="auto"/>
        <w:ind w:firstLine="720"/>
        <w:rPr>
          <w:rFonts w:ascii="Times New Roman" w:eastAsia="Times New Roman" w:hAnsi="Times New Roman" w:cs="Times New Roman"/>
          <w:color w:val="000000"/>
          <w:sz w:val="24"/>
          <w:szCs w:val="24"/>
          <w:lang w:eastAsia="en-PH"/>
        </w:rPr>
      </w:pPr>
      <w:r w:rsidRPr="00936FEF">
        <w:rPr>
          <w:rFonts w:ascii="Times New Roman" w:eastAsia="Times New Roman" w:hAnsi="Times New Roman" w:cs="Times New Roman"/>
          <w:color w:val="000000"/>
          <w:sz w:val="24"/>
          <w:szCs w:val="24"/>
          <w:lang w:eastAsia="en-PH"/>
        </w:rPr>
        <w:t>Between</w:t>
      </w:r>
      <w:r w:rsidRPr="007E699A">
        <w:rPr>
          <w:rFonts w:ascii="Times New Roman" w:eastAsia="Times New Roman" w:hAnsi="Times New Roman" w:cs="Times New Roman"/>
          <w:color w:val="000000"/>
          <w:sz w:val="24"/>
          <w:szCs w:val="24"/>
          <w:lang w:eastAsia="en-PH"/>
        </w:rPr>
        <w:t xml:space="preserve"> </w:t>
      </w:r>
      <w:r w:rsidRPr="00936FEF">
        <w:rPr>
          <w:rFonts w:ascii="Times New Roman" w:eastAsia="Times New Roman" w:hAnsi="Times New Roman" w:cs="Times New Roman"/>
          <w:color w:val="000000"/>
          <w:sz w:val="24"/>
          <w:szCs w:val="24"/>
          <w:lang w:eastAsia="en-PH"/>
        </w:rPr>
        <w:t xml:space="preserve">Cognitive Science and Philosophy.” </w:t>
      </w:r>
      <w:r w:rsidRPr="00936FEF">
        <w:rPr>
          <w:rFonts w:ascii="Times New Roman" w:eastAsia="Times New Roman" w:hAnsi="Times New Roman" w:cs="Times New Roman"/>
          <w:i/>
          <w:iCs/>
          <w:color w:val="000000"/>
          <w:sz w:val="24"/>
          <w:szCs w:val="24"/>
          <w:lang w:eastAsia="en-PH"/>
        </w:rPr>
        <w:t>Topics in Cognitive Science</w:t>
      </w:r>
      <w:r w:rsidRPr="00936FEF">
        <w:rPr>
          <w:rFonts w:ascii="Times New Roman" w:eastAsia="Times New Roman" w:hAnsi="Times New Roman" w:cs="Times New Roman"/>
          <w:color w:val="000000"/>
          <w:sz w:val="24"/>
          <w:szCs w:val="24"/>
          <w:lang w:eastAsia="en-PH"/>
        </w:rPr>
        <w:t xml:space="preserve"> 3, no. 2 (April</w:t>
      </w:r>
      <w:r w:rsidRPr="007E699A">
        <w:rPr>
          <w:rFonts w:ascii="Times New Roman" w:eastAsia="Times New Roman" w:hAnsi="Times New Roman" w:cs="Times New Roman"/>
          <w:color w:val="000000"/>
          <w:sz w:val="24"/>
          <w:szCs w:val="24"/>
          <w:lang w:eastAsia="en-PH"/>
        </w:rPr>
        <w:t xml:space="preserve"> </w:t>
      </w:r>
    </w:p>
    <w:p w14:paraId="2C86702B" w14:textId="2A34A934" w:rsidR="009162AE" w:rsidRDefault="00936FEF" w:rsidP="00BF5475">
      <w:pPr>
        <w:spacing w:after="0" w:line="480" w:lineRule="auto"/>
        <w:ind w:firstLine="720"/>
        <w:rPr>
          <w:rFonts w:ascii="Times New Roman" w:eastAsia="Times New Roman" w:hAnsi="Times New Roman" w:cs="Times New Roman"/>
          <w:color w:val="000000"/>
          <w:sz w:val="24"/>
          <w:szCs w:val="24"/>
          <w:lang w:eastAsia="en-PH"/>
        </w:rPr>
      </w:pPr>
      <w:r w:rsidRPr="00936FEF">
        <w:rPr>
          <w:rFonts w:ascii="Times New Roman" w:eastAsia="Times New Roman" w:hAnsi="Times New Roman" w:cs="Times New Roman"/>
          <w:color w:val="000000"/>
          <w:sz w:val="24"/>
          <w:szCs w:val="24"/>
          <w:lang w:eastAsia="en-PH"/>
        </w:rPr>
        <w:t>2011):</w:t>
      </w:r>
      <w:r w:rsidRPr="007E699A">
        <w:rPr>
          <w:rFonts w:ascii="Times New Roman" w:eastAsia="Times New Roman" w:hAnsi="Times New Roman" w:cs="Times New Roman"/>
          <w:color w:val="000000"/>
          <w:sz w:val="24"/>
          <w:szCs w:val="24"/>
          <w:lang w:eastAsia="en-PH"/>
        </w:rPr>
        <w:t xml:space="preserve"> </w:t>
      </w:r>
      <w:r w:rsidRPr="00936FEF">
        <w:rPr>
          <w:rFonts w:ascii="Times New Roman" w:eastAsia="Times New Roman" w:hAnsi="Times New Roman" w:cs="Times New Roman"/>
          <w:color w:val="000000"/>
          <w:sz w:val="24"/>
          <w:szCs w:val="24"/>
          <w:lang w:eastAsia="en-PH"/>
        </w:rPr>
        <w:t xml:space="preserve">399-424. </w:t>
      </w:r>
      <w:r w:rsidR="00BF5475" w:rsidRPr="00BF5475">
        <w:rPr>
          <w:rFonts w:ascii="Times New Roman" w:eastAsia="Times New Roman" w:hAnsi="Times New Roman" w:cs="Times New Roman"/>
          <w:color w:val="000000"/>
          <w:sz w:val="24"/>
          <w:szCs w:val="24"/>
          <w:lang w:eastAsia="en-PH"/>
        </w:rPr>
        <w:t>https://doi.org/10.1111/j.1756-8765.2011.01142.x</w:t>
      </w:r>
      <w:r w:rsidRPr="00936FEF">
        <w:rPr>
          <w:rFonts w:ascii="Times New Roman" w:eastAsia="Times New Roman" w:hAnsi="Times New Roman" w:cs="Times New Roman"/>
          <w:color w:val="000000"/>
          <w:sz w:val="24"/>
          <w:szCs w:val="24"/>
          <w:lang w:eastAsia="en-PH"/>
        </w:rPr>
        <w:t>.</w:t>
      </w:r>
    </w:p>
    <w:p w14:paraId="185E9E3E" w14:textId="77777777" w:rsidR="00D037E4" w:rsidRDefault="00D037E4" w:rsidP="00D037E4">
      <w:pPr>
        <w:spacing w:after="0" w:line="480" w:lineRule="auto"/>
        <w:rPr>
          <w:rStyle w:val="identifier"/>
          <w:rFonts w:ascii="Times New Roman" w:hAnsi="Times New Roman" w:cs="Times New Roman"/>
          <w:sz w:val="24"/>
          <w:szCs w:val="24"/>
        </w:rPr>
      </w:pPr>
      <w:r>
        <w:rPr>
          <w:rStyle w:val="identifier"/>
          <w:rFonts w:ascii="Times New Roman" w:hAnsi="Times New Roman" w:cs="Times New Roman"/>
          <w:sz w:val="24"/>
          <w:szCs w:val="24"/>
        </w:rPr>
        <w:t xml:space="preserve">Wittgenstein, Ludwig. </w:t>
      </w:r>
      <w:r>
        <w:rPr>
          <w:rStyle w:val="identifier"/>
          <w:rFonts w:ascii="Times New Roman" w:hAnsi="Times New Roman" w:cs="Times New Roman"/>
          <w:i/>
          <w:iCs/>
          <w:sz w:val="24"/>
          <w:szCs w:val="24"/>
        </w:rPr>
        <w:t>Philosophical Investigations</w:t>
      </w:r>
      <w:r>
        <w:rPr>
          <w:rStyle w:val="identifier"/>
          <w:rFonts w:ascii="Times New Roman" w:hAnsi="Times New Roman" w:cs="Times New Roman"/>
          <w:sz w:val="24"/>
          <w:szCs w:val="24"/>
        </w:rPr>
        <w:t xml:space="preserve"> </w:t>
      </w:r>
      <w:r w:rsidRPr="00D037E4">
        <w:rPr>
          <w:rStyle w:val="identifier"/>
          <w:rFonts w:ascii="Times New Roman" w:hAnsi="Times New Roman" w:cs="Times New Roman"/>
          <w:sz w:val="24"/>
          <w:szCs w:val="24"/>
        </w:rPr>
        <w:t>(2nd</w:t>
      </w:r>
      <w:r>
        <w:rPr>
          <w:rStyle w:val="identifier"/>
          <w:rFonts w:ascii="Times New Roman" w:hAnsi="Times New Roman" w:cs="Times New Roman"/>
          <w:sz w:val="24"/>
          <w:szCs w:val="24"/>
        </w:rPr>
        <w:t xml:space="preserve"> Edition). Translated by G.E.M. </w:t>
      </w:r>
    </w:p>
    <w:p w14:paraId="728558FC" w14:textId="2C711F95" w:rsidR="00685E3F" w:rsidRPr="00045EAF" w:rsidRDefault="00D037E4" w:rsidP="00045EAF">
      <w:pPr>
        <w:spacing w:after="0" w:line="480" w:lineRule="auto"/>
        <w:ind w:firstLine="720"/>
        <w:rPr>
          <w:rFonts w:ascii="Times New Roman" w:hAnsi="Times New Roman" w:cs="Times New Roman"/>
          <w:sz w:val="24"/>
          <w:szCs w:val="24"/>
        </w:rPr>
      </w:pPr>
      <w:r>
        <w:rPr>
          <w:rStyle w:val="identifier"/>
          <w:rFonts w:ascii="Times New Roman" w:hAnsi="Times New Roman" w:cs="Times New Roman"/>
          <w:sz w:val="24"/>
          <w:szCs w:val="24"/>
        </w:rPr>
        <w:t>Anscombe. Oxford: Blackwell Publishers, 1958.</w:t>
      </w:r>
    </w:p>
    <w:sectPr w:rsidR="00685E3F" w:rsidRPr="00045EAF" w:rsidSect="00733BA5">
      <w:footerReference w:type="default" r:id="rId9"/>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A993D" w14:textId="77777777" w:rsidR="00956565" w:rsidRDefault="00956565" w:rsidP="00A53462">
      <w:pPr>
        <w:spacing w:after="0" w:line="240" w:lineRule="auto"/>
      </w:pPr>
      <w:r>
        <w:separator/>
      </w:r>
    </w:p>
  </w:endnote>
  <w:endnote w:type="continuationSeparator" w:id="0">
    <w:p w14:paraId="2E813049" w14:textId="77777777" w:rsidR="00956565" w:rsidRDefault="00956565" w:rsidP="00A53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4206992"/>
      <w:docPartObj>
        <w:docPartGallery w:val="Page Numbers (Bottom of Page)"/>
        <w:docPartUnique/>
      </w:docPartObj>
    </w:sdtPr>
    <w:sdtEndPr>
      <w:rPr>
        <w:noProof/>
      </w:rPr>
    </w:sdtEndPr>
    <w:sdtContent>
      <w:p w14:paraId="1459879D" w14:textId="77777777" w:rsidR="00733BA5" w:rsidRDefault="00733B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B43FBE" w14:textId="77777777" w:rsidR="00733BA5" w:rsidRDefault="00733B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E61E4" w14:textId="5B0464C0" w:rsidR="000519C0" w:rsidRDefault="000519C0">
    <w:pPr>
      <w:pStyle w:val="Footer"/>
      <w:jc w:val="right"/>
    </w:pPr>
  </w:p>
  <w:p w14:paraId="418E2173" w14:textId="77777777" w:rsidR="000519C0" w:rsidRDefault="00051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BD811" w14:textId="77777777" w:rsidR="00956565" w:rsidRDefault="00956565" w:rsidP="00A53462">
      <w:pPr>
        <w:spacing w:after="0" w:line="240" w:lineRule="auto"/>
      </w:pPr>
      <w:r>
        <w:separator/>
      </w:r>
    </w:p>
  </w:footnote>
  <w:footnote w:type="continuationSeparator" w:id="0">
    <w:p w14:paraId="0AC29DF3" w14:textId="77777777" w:rsidR="00956565" w:rsidRDefault="00956565" w:rsidP="00A53462">
      <w:pPr>
        <w:spacing w:after="0" w:line="240" w:lineRule="auto"/>
      </w:pPr>
      <w:r>
        <w:continuationSeparator/>
      </w:r>
    </w:p>
  </w:footnote>
  <w:footnote w:id="1">
    <w:p w14:paraId="424A913A" w14:textId="494865FA" w:rsidR="00345DBA" w:rsidRDefault="00345DBA">
      <w:pPr>
        <w:pStyle w:val="FootnoteText"/>
      </w:pPr>
      <w:r>
        <w:rPr>
          <w:rStyle w:val="FootnoteReference"/>
        </w:rPr>
        <w:footnoteRef/>
      </w:r>
      <w:r>
        <w:t xml:space="preserve"> Christopher Boorse, “Health as a Theoretical Notion,” </w:t>
      </w:r>
      <w:r>
        <w:rPr>
          <w:i/>
          <w:iCs/>
        </w:rPr>
        <w:t xml:space="preserve">Philosophy of Science </w:t>
      </w:r>
      <w:r>
        <w:t>44, no. 4 (December 1977): 5</w:t>
      </w:r>
      <w:r w:rsidR="003B748A">
        <w:t>50-551</w:t>
      </w:r>
      <w:r>
        <w:t xml:space="preserve">. </w:t>
      </w:r>
      <w:r w:rsidRPr="00D5606B">
        <w:rPr>
          <w:rFonts w:cstheme="minorHAnsi"/>
        </w:rPr>
        <w:t>https://www.jstor.org/stable/186939</w:t>
      </w:r>
    </w:p>
  </w:footnote>
  <w:footnote w:id="2">
    <w:p w14:paraId="10FD7180" w14:textId="6F60ECF5" w:rsidR="00DE5A27" w:rsidRDefault="00DE5A27">
      <w:pPr>
        <w:pStyle w:val="FootnoteText"/>
      </w:pPr>
      <w:r>
        <w:rPr>
          <w:rStyle w:val="FootnoteReference"/>
        </w:rPr>
        <w:footnoteRef/>
      </w:r>
      <w:r>
        <w:t xml:space="preserve"> Christopher Boorse, “Health as a Theoretical Notion,”</w:t>
      </w:r>
      <w:r w:rsidR="003166E7">
        <w:t xml:space="preserve"> 558-559. There is controversy concerning whether or not a disease should be defined as being atypical. For more on this, </w:t>
      </w:r>
      <w:r w:rsidR="002B4FC4">
        <w:t xml:space="preserve">kindly </w:t>
      </w:r>
      <w:r w:rsidR="003166E7">
        <w:t xml:space="preserve">refer to </w:t>
      </w:r>
      <w:r w:rsidR="00733BA5">
        <w:t>p</w:t>
      </w:r>
      <w:r w:rsidR="00363AF4">
        <w:t>.</w:t>
      </w:r>
      <w:r w:rsidR="00733BA5">
        <w:t xml:space="preserve"> 4-5 </w:t>
      </w:r>
      <w:r w:rsidR="00363AF4">
        <w:t>of this paper concerning Hausman</w:t>
      </w:r>
      <w:r w:rsidR="003166E7">
        <w:t>.</w:t>
      </w:r>
    </w:p>
  </w:footnote>
  <w:footnote w:id="3">
    <w:p w14:paraId="65878B7B" w14:textId="5B93F297" w:rsidR="003D47EE" w:rsidRPr="00101FF6" w:rsidRDefault="003D47EE">
      <w:pPr>
        <w:pStyle w:val="FootnoteText"/>
        <w:rPr>
          <w:lang w:val="en-US"/>
        </w:rPr>
      </w:pPr>
      <w:r>
        <w:rPr>
          <w:rStyle w:val="FootnoteReference"/>
        </w:rPr>
        <w:footnoteRef/>
      </w:r>
      <w:r>
        <w:t xml:space="preserve"> </w:t>
      </w:r>
      <w:r w:rsidR="00101FF6">
        <w:t xml:space="preserve">Daniel M. Hausman, “Health, Naturalism, and Functional Efficiency,” </w:t>
      </w:r>
      <w:r w:rsidR="00101FF6">
        <w:rPr>
          <w:i/>
          <w:iCs/>
        </w:rPr>
        <w:t>Philosophy of Science</w:t>
      </w:r>
      <w:r w:rsidR="00101FF6">
        <w:t xml:space="preserve"> 79, no. 4 (October </w:t>
      </w:r>
      <w:r w:rsidR="005B0929">
        <w:t xml:space="preserve">2012): </w:t>
      </w:r>
      <w:r w:rsidR="005B0929" w:rsidRPr="005B0929">
        <w:rPr>
          <w:rFonts w:cstheme="minorHAnsi"/>
        </w:rPr>
        <w:t xml:space="preserve">520. </w:t>
      </w:r>
      <w:r w:rsidR="005B0929" w:rsidRPr="005B0929">
        <w:rPr>
          <w:rFonts w:eastAsia="Times New Roman" w:cstheme="minorHAnsi"/>
          <w:color w:val="000000"/>
          <w:lang w:eastAsia="en-PH"/>
        </w:rPr>
        <w:t>https://doi.org/10.1086/668005</w:t>
      </w:r>
      <w:r w:rsidR="005B0929" w:rsidRPr="005B0929">
        <w:rPr>
          <w:rFonts w:eastAsia="Times New Roman" w:cstheme="minorHAnsi"/>
          <w:color w:val="1155CC"/>
          <w:u w:val="single"/>
          <w:lang w:eastAsia="en-PH"/>
        </w:rPr>
        <w:t>.</w:t>
      </w:r>
    </w:p>
  </w:footnote>
  <w:footnote w:id="4">
    <w:p w14:paraId="41DA6E71" w14:textId="2D70C70D" w:rsidR="00E67264" w:rsidRPr="00D5606B" w:rsidRDefault="00E67264">
      <w:pPr>
        <w:pStyle w:val="FootnoteText"/>
        <w:rPr>
          <w:lang w:val="en-US"/>
        </w:rPr>
      </w:pPr>
      <w:r>
        <w:rPr>
          <w:rStyle w:val="FootnoteReference"/>
        </w:rPr>
        <w:footnoteRef/>
      </w:r>
      <w:r>
        <w:t xml:space="preserve"> </w:t>
      </w:r>
      <w:r w:rsidR="00ED7DFD">
        <w:t xml:space="preserve">Lennart Nordenfelt, “The Concepts of Health and Illness Revisited,” </w:t>
      </w:r>
      <w:r w:rsidR="00ED7DFD">
        <w:rPr>
          <w:i/>
          <w:iCs/>
        </w:rPr>
        <w:t xml:space="preserve">Medicine, Health Care and Philosophy </w:t>
      </w:r>
      <w:r w:rsidR="00D5606B">
        <w:t xml:space="preserve">10, no. 1 (March 2007): 5. </w:t>
      </w:r>
      <w:r w:rsidR="00D5606B" w:rsidRPr="00D5606B">
        <w:rPr>
          <w:rFonts w:eastAsia="Times New Roman" w:cstheme="minorHAnsi"/>
          <w:lang w:eastAsia="en-PH"/>
        </w:rPr>
        <w:t>http://doi.org/</w:t>
      </w:r>
      <w:r w:rsidR="00D5606B" w:rsidRPr="00D5606B">
        <w:rPr>
          <w:rStyle w:val="identifier"/>
          <w:rFonts w:cstheme="minorHAnsi"/>
        </w:rPr>
        <w:t>10.1007/s11019-006-9017-3</w:t>
      </w:r>
    </w:p>
  </w:footnote>
  <w:footnote w:id="5">
    <w:p w14:paraId="1681E55B" w14:textId="09D6C2C3" w:rsidR="00B54B38" w:rsidRPr="00272344" w:rsidRDefault="00B54B38" w:rsidP="00700475">
      <w:pPr>
        <w:spacing w:after="0" w:line="240" w:lineRule="auto"/>
        <w:rPr>
          <w:rFonts w:eastAsia="Times New Roman" w:cstheme="minorHAnsi"/>
          <w:color w:val="000000"/>
          <w:sz w:val="20"/>
          <w:szCs w:val="20"/>
          <w:lang w:eastAsia="en-PH"/>
        </w:rPr>
      </w:pPr>
      <w:r>
        <w:rPr>
          <w:rStyle w:val="FootnoteReference"/>
        </w:rPr>
        <w:footnoteRef/>
      </w:r>
      <w:r>
        <w:t xml:space="preserve"> </w:t>
      </w:r>
      <w:r w:rsidR="00700475">
        <w:rPr>
          <w:rFonts w:eastAsia="Times New Roman" w:cstheme="minorHAnsi"/>
          <w:color w:val="000000"/>
          <w:sz w:val="20"/>
          <w:szCs w:val="20"/>
          <w:lang w:eastAsia="en-PH"/>
        </w:rPr>
        <w:t>Christopher Boorse,</w:t>
      </w:r>
      <w:r w:rsidR="00700475" w:rsidRPr="00700475">
        <w:rPr>
          <w:rFonts w:eastAsia="Times New Roman" w:cstheme="minorHAnsi"/>
          <w:color w:val="000000"/>
          <w:sz w:val="20"/>
          <w:szCs w:val="20"/>
          <w:lang w:eastAsia="en-PH"/>
        </w:rPr>
        <w:t xml:space="preserve"> “On the Distinction between Disease and Illness</w:t>
      </w:r>
      <w:r w:rsidR="00700475">
        <w:rPr>
          <w:rFonts w:eastAsia="Times New Roman" w:cstheme="minorHAnsi"/>
          <w:color w:val="000000"/>
          <w:sz w:val="20"/>
          <w:szCs w:val="20"/>
          <w:lang w:eastAsia="en-PH"/>
        </w:rPr>
        <w:t>,</w:t>
      </w:r>
      <w:r w:rsidR="00700475" w:rsidRPr="00700475">
        <w:rPr>
          <w:rFonts w:eastAsia="Times New Roman" w:cstheme="minorHAnsi"/>
          <w:color w:val="000000"/>
          <w:sz w:val="20"/>
          <w:szCs w:val="20"/>
          <w:lang w:eastAsia="en-PH"/>
        </w:rPr>
        <w:t xml:space="preserve">” </w:t>
      </w:r>
      <w:r w:rsidR="00700475" w:rsidRPr="00700475">
        <w:rPr>
          <w:rFonts w:eastAsia="Times New Roman" w:cstheme="minorHAnsi"/>
          <w:i/>
          <w:iCs/>
          <w:color w:val="000000"/>
          <w:sz w:val="20"/>
          <w:szCs w:val="20"/>
          <w:lang w:eastAsia="en-PH"/>
        </w:rPr>
        <w:t>Philosophy &amp; Public</w:t>
      </w:r>
      <w:r w:rsidR="00700475">
        <w:rPr>
          <w:rFonts w:eastAsia="Times New Roman" w:cstheme="minorHAnsi"/>
          <w:i/>
          <w:iCs/>
          <w:color w:val="000000"/>
          <w:sz w:val="20"/>
          <w:szCs w:val="20"/>
          <w:lang w:eastAsia="en-PH"/>
        </w:rPr>
        <w:t xml:space="preserve"> </w:t>
      </w:r>
      <w:r w:rsidR="00700475" w:rsidRPr="00700475">
        <w:rPr>
          <w:rFonts w:eastAsia="Times New Roman" w:cstheme="minorHAnsi"/>
          <w:i/>
          <w:iCs/>
          <w:color w:val="000000"/>
          <w:sz w:val="20"/>
          <w:szCs w:val="20"/>
          <w:lang w:eastAsia="en-PH"/>
        </w:rPr>
        <w:t>Affairs</w:t>
      </w:r>
      <w:r w:rsidR="00700475" w:rsidRPr="00700475">
        <w:rPr>
          <w:rFonts w:eastAsia="Times New Roman" w:cstheme="minorHAnsi"/>
          <w:color w:val="000000"/>
          <w:sz w:val="20"/>
          <w:szCs w:val="20"/>
          <w:lang w:eastAsia="en-PH"/>
        </w:rPr>
        <w:t xml:space="preserve"> 5, no. 1 (Autumn 1975): </w:t>
      </w:r>
      <w:r w:rsidR="00700475" w:rsidRPr="00272344">
        <w:rPr>
          <w:rFonts w:eastAsia="Times New Roman" w:cstheme="minorHAnsi"/>
          <w:color w:val="000000"/>
          <w:sz w:val="20"/>
          <w:szCs w:val="20"/>
          <w:lang w:eastAsia="en-PH"/>
        </w:rPr>
        <w:t xml:space="preserve">61. </w:t>
      </w:r>
      <w:r w:rsidR="008B4E71" w:rsidRPr="00272344">
        <w:rPr>
          <w:rFonts w:eastAsia="Times New Roman" w:cstheme="minorHAnsi"/>
          <w:color w:val="000000"/>
          <w:sz w:val="20"/>
          <w:szCs w:val="20"/>
          <w:lang w:eastAsia="en-PH"/>
        </w:rPr>
        <w:t xml:space="preserve">https://www.jstor.org/stable/2265020. The belief that </w:t>
      </w:r>
      <w:r w:rsidR="00F527B8" w:rsidRPr="00272344">
        <w:rPr>
          <w:rFonts w:eastAsia="Times New Roman" w:cstheme="minorHAnsi"/>
          <w:color w:val="000000"/>
          <w:sz w:val="20"/>
          <w:szCs w:val="20"/>
          <w:lang w:eastAsia="en-PH"/>
        </w:rPr>
        <w:t xml:space="preserve">cases of illness are </w:t>
      </w:r>
      <w:r w:rsidR="00C77986" w:rsidRPr="00272344">
        <w:rPr>
          <w:rFonts w:eastAsia="Times New Roman" w:cstheme="minorHAnsi"/>
          <w:color w:val="000000"/>
          <w:sz w:val="20"/>
          <w:szCs w:val="20"/>
          <w:lang w:eastAsia="en-PH"/>
        </w:rPr>
        <w:t xml:space="preserve">necessarily </w:t>
      </w:r>
      <w:r w:rsidR="00F527B8" w:rsidRPr="00272344">
        <w:rPr>
          <w:rFonts w:eastAsia="Times New Roman" w:cstheme="minorHAnsi"/>
          <w:color w:val="000000"/>
          <w:sz w:val="20"/>
          <w:szCs w:val="20"/>
          <w:lang w:eastAsia="en-PH"/>
        </w:rPr>
        <w:t>cases of</w:t>
      </w:r>
      <w:r w:rsidR="008B4E71" w:rsidRPr="00272344">
        <w:rPr>
          <w:rFonts w:eastAsia="Times New Roman" w:cstheme="minorHAnsi"/>
          <w:color w:val="000000"/>
          <w:sz w:val="20"/>
          <w:szCs w:val="20"/>
          <w:lang w:eastAsia="en-PH"/>
        </w:rPr>
        <w:t xml:space="preserve"> disease is not supported by the non-naturalist conception of </w:t>
      </w:r>
      <w:r w:rsidR="00F527B8" w:rsidRPr="00272344">
        <w:rPr>
          <w:rFonts w:eastAsia="Times New Roman" w:cstheme="minorHAnsi"/>
          <w:color w:val="000000"/>
          <w:sz w:val="20"/>
          <w:szCs w:val="20"/>
          <w:lang w:eastAsia="en-PH"/>
        </w:rPr>
        <w:t xml:space="preserve">health. For example, Fredrik Svenaeus in his </w:t>
      </w:r>
      <w:r w:rsidR="00F527B8" w:rsidRPr="00272344">
        <w:rPr>
          <w:i/>
          <w:iCs/>
          <w:sz w:val="20"/>
          <w:szCs w:val="20"/>
        </w:rPr>
        <w:t xml:space="preserve">A Defense of the Phenomenological Account of Health and Illness </w:t>
      </w:r>
      <w:r w:rsidR="00F527B8" w:rsidRPr="00272344">
        <w:rPr>
          <w:sz w:val="20"/>
          <w:szCs w:val="20"/>
        </w:rPr>
        <w:t xml:space="preserve">argues that persons may experience illness despite not being afflicted with any disease. </w:t>
      </w:r>
      <w:r w:rsidR="0003708D" w:rsidRPr="00272344">
        <w:rPr>
          <w:sz w:val="20"/>
          <w:szCs w:val="20"/>
        </w:rPr>
        <w:t>For more on this, kindly refer to Nordenfelt p. 461-465.</w:t>
      </w:r>
    </w:p>
  </w:footnote>
  <w:footnote w:id="6">
    <w:p w14:paraId="3139BD9A" w14:textId="66773FE2" w:rsidR="00B6749D" w:rsidRDefault="00B6749D">
      <w:pPr>
        <w:pStyle w:val="FootnoteText"/>
      </w:pPr>
      <w:r>
        <w:rPr>
          <w:rStyle w:val="FootnoteReference"/>
        </w:rPr>
        <w:footnoteRef/>
      </w:r>
      <w:r>
        <w:t xml:space="preserve"> </w:t>
      </w:r>
      <w:r w:rsidR="000063CF">
        <w:t xml:space="preserve">Nordenfelt, “The Concepts of Health and Illness Revisited,” 6. Nordenfelt uses the term ‘holistic theory of health’ to refer to this notion. I am using the term ‘non-naturalist conception of health’ for two reasons. One, I want to emphasize the disagreement between naturalist and holistic proponents of health. Second, I wish to </w:t>
      </w:r>
      <w:r w:rsidR="00081047">
        <w:t xml:space="preserve">broaden Nordenfelt’s view to include phenomenological accounts of health such as the one proposed by Svenaeus in his </w:t>
      </w:r>
      <w:r w:rsidR="00081047">
        <w:rPr>
          <w:i/>
          <w:iCs/>
        </w:rPr>
        <w:t>A Defense of the Phenomenological Account of Health and Illness</w:t>
      </w:r>
      <w:r w:rsidR="00081047">
        <w:t xml:space="preserve">. Whilst I believe it is not explicitly said in any text, philosophers that propose a phenomenological account of health often describe the ‘health’ term in a way that coheres with holistic theories of health. </w:t>
      </w:r>
      <w:r w:rsidR="005C4CF8">
        <w:t>For example</w:t>
      </w:r>
      <w:r w:rsidR="00081047">
        <w:t xml:space="preserve">, Svenaeus’ notion of health as a ‘homelike being-in-the-world’ </w:t>
      </w:r>
      <w:r w:rsidR="005C4CF8">
        <w:t>can be interpreted as the person’s capacity to accomplish the goals which would exemplify their personal identity.</w:t>
      </w:r>
      <w:r w:rsidR="00B54B38">
        <w:t xml:space="preserve"> When a person is unable to accomplish their personal goals, then it is arguable that the person is phenomenologically in a mode of ‘unhomelike being-in-the-world’. For more on this, kindly refer to Nordenfelt p. 461-465.</w:t>
      </w:r>
    </w:p>
  </w:footnote>
  <w:footnote w:id="7">
    <w:p w14:paraId="513981F9" w14:textId="2A7FC6AF" w:rsidR="004A114F" w:rsidRPr="00272344" w:rsidRDefault="00C958F6" w:rsidP="004A114F">
      <w:pPr>
        <w:spacing w:after="0" w:line="240" w:lineRule="auto"/>
        <w:rPr>
          <w:rFonts w:ascii="Times New Roman" w:eastAsia="Times New Roman" w:hAnsi="Times New Roman" w:cs="Times New Roman"/>
          <w:color w:val="000000"/>
          <w:sz w:val="20"/>
          <w:szCs w:val="20"/>
          <w:lang w:eastAsia="en-PH"/>
        </w:rPr>
      </w:pPr>
      <w:r>
        <w:rPr>
          <w:rStyle w:val="FootnoteReference"/>
        </w:rPr>
        <w:footnoteRef/>
      </w:r>
      <w:r w:rsidR="004A114F">
        <w:t xml:space="preserve"> </w:t>
      </w:r>
      <w:r w:rsidR="00F365E6" w:rsidRPr="00272344">
        <w:rPr>
          <w:sz w:val="20"/>
          <w:szCs w:val="20"/>
        </w:rPr>
        <w:t xml:space="preserve">Lennart Nordenfelt, “Health and Disease: Two Philosophical Perspectives,” </w:t>
      </w:r>
      <w:r w:rsidR="00F365E6" w:rsidRPr="00272344">
        <w:rPr>
          <w:i/>
          <w:iCs/>
          <w:sz w:val="20"/>
          <w:szCs w:val="20"/>
        </w:rPr>
        <w:t>Journal of</w:t>
      </w:r>
      <w:r w:rsidR="004A114F" w:rsidRPr="00272344">
        <w:rPr>
          <w:i/>
          <w:iCs/>
          <w:sz w:val="20"/>
          <w:szCs w:val="20"/>
        </w:rPr>
        <w:t xml:space="preserve"> </w:t>
      </w:r>
      <w:r w:rsidR="00F365E6" w:rsidRPr="00272344">
        <w:rPr>
          <w:rFonts w:cstheme="minorHAnsi"/>
          <w:i/>
          <w:iCs/>
          <w:sz w:val="20"/>
          <w:szCs w:val="20"/>
        </w:rPr>
        <w:t>Epidemiology and Community Health</w:t>
      </w:r>
      <w:r w:rsidR="00F365E6" w:rsidRPr="00272344">
        <w:rPr>
          <w:rFonts w:cstheme="minorHAnsi"/>
          <w:sz w:val="20"/>
          <w:szCs w:val="20"/>
        </w:rPr>
        <w:t xml:space="preserve"> 40, no. 4 (December 1986): 281-282.</w:t>
      </w:r>
      <w:r w:rsidR="004A114F" w:rsidRPr="00272344">
        <w:rPr>
          <w:rFonts w:cstheme="minorHAnsi"/>
          <w:sz w:val="20"/>
          <w:szCs w:val="20"/>
        </w:rPr>
        <w:t xml:space="preserve"> </w:t>
      </w:r>
      <w:r w:rsidR="004A114F" w:rsidRPr="00272344">
        <w:rPr>
          <w:rFonts w:eastAsia="Times New Roman" w:cstheme="minorHAnsi"/>
          <w:color w:val="000000"/>
          <w:sz w:val="20"/>
          <w:szCs w:val="20"/>
          <w:lang w:eastAsia="en-PH"/>
        </w:rPr>
        <w:t>http://dx.doi.org/10.1136/jech.40.4.281.</w:t>
      </w:r>
    </w:p>
    <w:p w14:paraId="073C7D6D" w14:textId="263C1F5A" w:rsidR="00C958F6" w:rsidRPr="00F365E6" w:rsidRDefault="00C958F6">
      <w:pPr>
        <w:pStyle w:val="FootnoteText"/>
        <w:rPr>
          <w:lang w:val="en-US"/>
        </w:rPr>
      </w:pPr>
    </w:p>
  </w:footnote>
  <w:footnote w:id="8">
    <w:p w14:paraId="1A8FF949" w14:textId="4AFF2741" w:rsidR="00FC012E" w:rsidRDefault="00FC012E">
      <w:pPr>
        <w:pStyle w:val="FootnoteText"/>
      </w:pPr>
      <w:r>
        <w:rPr>
          <w:rStyle w:val="FootnoteReference"/>
        </w:rPr>
        <w:footnoteRef/>
      </w:r>
      <w:r>
        <w:t xml:space="preserve"> Nordenfelt, “The Concepts of Health and Illness Revisited,” 8-9.</w:t>
      </w:r>
    </w:p>
  </w:footnote>
  <w:footnote w:id="9">
    <w:p w14:paraId="5D4E04F7" w14:textId="321058E0" w:rsidR="004A114F" w:rsidRPr="004A114F" w:rsidRDefault="004A114F">
      <w:pPr>
        <w:pStyle w:val="FootnoteText"/>
        <w:rPr>
          <w:lang w:val="en-US"/>
        </w:rPr>
      </w:pPr>
      <w:r>
        <w:rPr>
          <w:rStyle w:val="FootnoteReference"/>
        </w:rPr>
        <w:footnoteRef/>
      </w:r>
      <w:r>
        <w:t xml:space="preserve"> </w:t>
      </w:r>
      <w:r w:rsidR="00E62E9F">
        <w:t>Boorse, “On the Distinction between Disease and Illness,” 61.</w:t>
      </w:r>
    </w:p>
  </w:footnote>
  <w:footnote w:id="10">
    <w:p w14:paraId="55FB3D71" w14:textId="1D007B6D" w:rsidR="005E0D0A" w:rsidRDefault="005E0D0A">
      <w:pPr>
        <w:pStyle w:val="FootnoteText"/>
      </w:pPr>
      <w:r>
        <w:rPr>
          <w:rStyle w:val="FootnoteReference"/>
        </w:rPr>
        <w:footnoteRef/>
      </w:r>
      <w:r>
        <w:t xml:space="preserve"> </w:t>
      </w:r>
      <w:r w:rsidR="00FF0BD6">
        <w:t>Hausman, “Health, Naturalism, and Functional Efficiency,” 523-524.</w:t>
      </w:r>
      <w:r w:rsidR="002B4FC4">
        <w:t xml:space="preserve"> </w:t>
      </w:r>
      <w:r w:rsidR="00CD2288" w:rsidRPr="00FF0BD6">
        <w:t>Although</w:t>
      </w:r>
      <w:r w:rsidR="00CD2288">
        <w:t xml:space="preserve"> this criticism is charged</w:t>
      </w:r>
      <w:r w:rsidR="004F0D44">
        <w:t xml:space="preserve"> by Hausman</w:t>
      </w:r>
      <w:r w:rsidR="00CD2288">
        <w:t xml:space="preserve"> against Boorse, it is arguable that this criticism is a misreading of Boorse. In p. 546-547 of Boorse’s </w:t>
      </w:r>
      <w:r w:rsidR="00CD2288">
        <w:rPr>
          <w:i/>
          <w:iCs/>
        </w:rPr>
        <w:t>Health as a Theoretical Concept</w:t>
      </w:r>
      <w:r w:rsidR="00CD2288">
        <w:t>, he notes that statistical abnormality is insufficient in defining disease.</w:t>
      </w:r>
    </w:p>
  </w:footnote>
  <w:footnote w:id="11">
    <w:p w14:paraId="5BE3E24B" w14:textId="4ED77C21" w:rsidR="00A3390B" w:rsidRPr="00CD2288" w:rsidRDefault="00A3390B">
      <w:pPr>
        <w:pStyle w:val="FootnoteText"/>
      </w:pPr>
      <w:r>
        <w:rPr>
          <w:rStyle w:val="FootnoteReference"/>
        </w:rPr>
        <w:footnoteRef/>
      </w:r>
      <w:r>
        <w:t xml:space="preserve"> </w:t>
      </w:r>
      <w:r w:rsidR="00CD2288">
        <w:rPr>
          <w:rFonts w:eastAsia="Times New Roman" w:cstheme="minorHAnsi"/>
          <w:color w:val="000000"/>
          <w:lang w:eastAsia="en-PH"/>
        </w:rPr>
        <w:t>Christopher Boorse,</w:t>
      </w:r>
      <w:r w:rsidR="00CD2288" w:rsidRPr="00700475">
        <w:rPr>
          <w:rFonts w:eastAsia="Times New Roman" w:cstheme="minorHAnsi"/>
          <w:color w:val="000000"/>
          <w:lang w:eastAsia="en-PH"/>
        </w:rPr>
        <w:t xml:space="preserve"> “On the Distinction between Disease and Illness</w:t>
      </w:r>
      <w:r w:rsidR="00CD2288">
        <w:rPr>
          <w:rFonts w:eastAsia="Times New Roman" w:cstheme="minorHAnsi"/>
          <w:color w:val="000000"/>
          <w:lang w:eastAsia="en-PH"/>
        </w:rPr>
        <w:t>,</w:t>
      </w:r>
      <w:r w:rsidR="00CD2288" w:rsidRPr="00700475">
        <w:rPr>
          <w:rFonts w:eastAsia="Times New Roman" w:cstheme="minorHAnsi"/>
          <w:color w:val="000000"/>
          <w:lang w:eastAsia="en-PH"/>
        </w:rPr>
        <w:t>”</w:t>
      </w:r>
      <w:r w:rsidR="00CD2288">
        <w:rPr>
          <w:rFonts w:eastAsia="Times New Roman" w:cstheme="minorHAnsi"/>
          <w:color w:val="000000"/>
          <w:lang w:eastAsia="en-PH"/>
        </w:rPr>
        <w:t xml:space="preserve"> 58-59.</w:t>
      </w:r>
    </w:p>
  </w:footnote>
  <w:footnote w:id="12">
    <w:p w14:paraId="0AF45052" w14:textId="2E1D659F" w:rsidR="0017630C" w:rsidRPr="0017630C" w:rsidRDefault="0017630C">
      <w:pPr>
        <w:pStyle w:val="FootnoteText"/>
        <w:rPr>
          <w:lang w:val="en-US"/>
        </w:rPr>
      </w:pPr>
      <w:r>
        <w:rPr>
          <w:rStyle w:val="FootnoteReference"/>
        </w:rPr>
        <w:footnoteRef/>
      </w:r>
      <w:r>
        <w:t xml:space="preserve"> </w:t>
      </w:r>
      <w:r>
        <w:rPr>
          <w:lang w:val="en-US"/>
        </w:rPr>
        <w:t xml:space="preserve">Hausman, “Health, Naturalism, and Functional Efficiency,” </w:t>
      </w:r>
      <w:r w:rsidR="00B35F25">
        <w:rPr>
          <w:lang w:val="en-US"/>
        </w:rPr>
        <w:t>534-535.</w:t>
      </w:r>
    </w:p>
  </w:footnote>
  <w:footnote w:id="13">
    <w:p w14:paraId="2F5F2F57" w14:textId="46C8AB86" w:rsidR="006E17B2" w:rsidRDefault="006E17B2">
      <w:pPr>
        <w:pStyle w:val="FootnoteText"/>
      </w:pPr>
      <w:r>
        <w:rPr>
          <w:rStyle w:val="FootnoteReference"/>
        </w:rPr>
        <w:footnoteRef/>
      </w:r>
      <w:r>
        <w:t xml:space="preserve"> </w:t>
      </w:r>
      <w:r w:rsidRPr="00CB68A2">
        <w:rPr>
          <w:rFonts w:cstheme="minorHAnsi"/>
        </w:rPr>
        <w:t xml:space="preserve">Paul Horwich, “Wittgenstein’s Global Deflationism,” in </w:t>
      </w:r>
      <w:r w:rsidRPr="00CB68A2">
        <w:rPr>
          <w:rFonts w:cstheme="minorHAnsi"/>
          <w:i/>
          <w:iCs/>
        </w:rPr>
        <w:t>The Oxford Handbook of Philosophical Methodology</w:t>
      </w:r>
      <w:r w:rsidRPr="00CB68A2">
        <w:rPr>
          <w:rFonts w:cstheme="minorHAnsi"/>
        </w:rPr>
        <w:t>, ed. Herman Cappelen, Tamar Szabó Gendle</w:t>
      </w:r>
      <w:r>
        <w:rPr>
          <w:rFonts w:cstheme="minorHAnsi"/>
        </w:rPr>
        <w:t>r, and John Hawthorne (Oxford: Oxford University Press, 2016), 1.</w:t>
      </w:r>
    </w:p>
  </w:footnote>
  <w:footnote w:id="14">
    <w:p w14:paraId="3DD9170D" w14:textId="1B690B33" w:rsidR="008F1328" w:rsidRPr="00CB68A2" w:rsidRDefault="008F1328" w:rsidP="00CB68A2">
      <w:pPr>
        <w:pStyle w:val="Heading2"/>
        <w:spacing w:before="0" w:beforeAutospacing="0" w:after="0" w:afterAutospacing="0"/>
        <w:rPr>
          <w:rFonts w:asciiTheme="minorHAnsi" w:hAnsiTheme="minorHAnsi" w:cstheme="minorHAnsi"/>
          <w:b w:val="0"/>
          <w:bCs w:val="0"/>
          <w:sz w:val="20"/>
          <w:szCs w:val="20"/>
        </w:rPr>
      </w:pPr>
      <w:r w:rsidRPr="00CB68A2">
        <w:rPr>
          <w:rStyle w:val="FootnoteReference"/>
          <w:rFonts w:asciiTheme="minorHAnsi" w:hAnsiTheme="minorHAnsi" w:cstheme="minorHAnsi"/>
          <w:b w:val="0"/>
          <w:bCs w:val="0"/>
          <w:sz w:val="20"/>
          <w:szCs w:val="20"/>
        </w:rPr>
        <w:footnoteRef/>
      </w:r>
      <w:r w:rsidRPr="00CB68A2">
        <w:rPr>
          <w:rFonts w:asciiTheme="minorHAnsi" w:hAnsiTheme="minorHAnsi" w:cstheme="minorHAnsi"/>
          <w:b w:val="0"/>
          <w:bCs w:val="0"/>
          <w:sz w:val="20"/>
          <w:szCs w:val="20"/>
        </w:rPr>
        <w:t xml:space="preserve"> Paul Horwich,</w:t>
      </w:r>
      <w:r w:rsidR="00920E56" w:rsidRPr="00CB68A2">
        <w:rPr>
          <w:rFonts w:asciiTheme="minorHAnsi" w:hAnsiTheme="minorHAnsi" w:cstheme="minorHAnsi"/>
          <w:b w:val="0"/>
          <w:bCs w:val="0"/>
          <w:sz w:val="20"/>
          <w:szCs w:val="20"/>
        </w:rPr>
        <w:t xml:space="preserve"> “Wittgenstein’s Global Deflationism,” </w:t>
      </w:r>
      <w:r w:rsidR="00CB68A2">
        <w:rPr>
          <w:rFonts w:asciiTheme="minorHAnsi" w:hAnsiTheme="minorHAnsi" w:cstheme="minorHAnsi"/>
          <w:b w:val="0"/>
          <w:bCs w:val="0"/>
          <w:sz w:val="20"/>
          <w:szCs w:val="20"/>
        </w:rPr>
        <w:t>4-6.</w:t>
      </w:r>
    </w:p>
  </w:footnote>
  <w:footnote w:id="15">
    <w:p w14:paraId="2DD05813" w14:textId="6D451272" w:rsidR="006B1F5E" w:rsidRPr="006B1F5E" w:rsidRDefault="006B1F5E">
      <w:pPr>
        <w:pStyle w:val="FootnoteText"/>
        <w:rPr>
          <w:lang w:val="en-US"/>
        </w:rPr>
      </w:pPr>
      <w:r>
        <w:rPr>
          <w:rStyle w:val="FootnoteReference"/>
        </w:rPr>
        <w:footnoteRef/>
      </w:r>
      <w:r>
        <w:t xml:space="preserve"> </w:t>
      </w:r>
      <w:r w:rsidRPr="00CB68A2">
        <w:rPr>
          <w:rFonts w:cstheme="minorHAnsi"/>
        </w:rPr>
        <w:t xml:space="preserve">Paul Horwich, “Wittgenstein’s Global Deflationism,” </w:t>
      </w:r>
      <w:r w:rsidR="00044D40">
        <w:rPr>
          <w:rFonts w:cstheme="minorHAnsi"/>
        </w:rPr>
        <w:t>3-4</w:t>
      </w:r>
      <w:r>
        <w:rPr>
          <w:rFonts w:cstheme="minorHAnsi"/>
        </w:rPr>
        <w:t>.</w:t>
      </w:r>
    </w:p>
  </w:footnote>
  <w:footnote w:id="16">
    <w:p w14:paraId="77C5BF2F" w14:textId="5C9AC818" w:rsidR="00773601" w:rsidRDefault="00773601">
      <w:pPr>
        <w:pStyle w:val="FootnoteText"/>
      </w:pPr>
      <w:r>
        <w:rPr>
          <w:rStyle w:val="FootnoteReference"/>
        </w:rPr>
        <w:footnoteRef/>
      </w:r>
      <w:r>
        <w:t xml:space="preserve"> </w:t>
      </w:r>
      <w:r w:rsidRPr="00CB68A2">
        <w:rPr>
          <w:rFonts w:cstheme="minorHAnsi"/>
        </w:rPr>
        <w:t xml:space="preserve">Paul Horwich, “Wittgenstein’s Global Deflationism,” </w:t>
      </w:r>
      <w:r>
        <w:rPr>
          <w:rFonts w:cstheme="minorHAnsi"/>
        </w:rPr>
        <w:t>11-12.</w:t>
      </w:r>
    </w:p>
  </w:footnote>
  <w:footnote w:id="17">
    <w:p w14:paraId="2FEA9EC3" w14:textId="2C7BAE12" w:rsidR="006B1F5E" w:rsidRPr="00C9169C" w:rsidRDefault="006B1F5E">
      <w:pPr>
        <w:pStyle w:val="FootnoteText"/>
        <w:rPr>
          <w:lang w:val="en-US"/>
        </w:rPr>
      </w:pPr>
      <w:r>
        <w:rPr>
          <w:rStyle w:val="FootnoteReference"/>
        </w:rPr>
        <w:footnoteRef/>
      </w:r>
      <w:r>
        <w:t xml:space="preserve"> </w:t>
      </w:r>
      <w:r w:rsidR="00773601">
        <w:t>Paul Horwich,</w:t>
      </w:r>
      <w:r w:rsidR="00C9169C">
        <w:t xml:space="preserve"> </w:t>
      </w:r>
      <w:r w:rsidR="00C9169C">
        <w:rPr>
          <w:i/>
          <w:iCs/>
        </w:rPr>
        <w:t>Wittgenstein’s Metaphilosophy</w:t>
      </w:r>
      <w:r w:rsidR="00C9169C">
        <w:t xml:space="preserve"> (Oxford: Oxford University Press, 2012), 10.</w:t>
      </w:r>
    </w:p>
  </w:footnote>
  <w:footnote w:id="18">
    <w:p w14:paraId="51F1E461" w14:textId="07799F0A" w:rsidR="00CB68A2" w:rsidRPr="00B274B4" w:rsidRDefault="00CB68A2" w:rsidP="00CB68A2">
      <w:pPr>
        <w:pStyle w:val="FootnoteText"/>
      </w:pPr>
      <w:r>
        <w:rPr>
          <w:rStyle w:val="FootnoteReference"/>
        </w:rPr>
        <w:footnoteRef/>
      </w:r>
      <w:r>
        <w:t xml:space="preserve"> </w:t>
      </w:r>
      <w:r w:rsidR="00B274B4">
        <w:t xml:space="preserve">Paul Horwich, </w:t>
      </w:r>
      <w:r w:rsidR="00B274B4">
        <w:rPr>
          <w:i/>
          <w:iCs/>
        </w:rPr>
        <w:t>Wittgenstein’s Metaphilosophy</w:t>
      </w:r>
      <w:r w:rsidR="00B274B4">
        <w:t xml:space="preserve">, </w:t>
      </w:r>
      <w:r w:rsidR="007D73FC">
        <w:t>173-17</w:t>
      </w:r>
      <w:r w:rsidR="00272344">
        <w:t>7</w:t>
      </w:r>
      <w:r w:rsidR="007D73FC">
        <w:t>.</w:t>
      </w:r>
    </w:p>
  </w:footnote>
  <w:footnote w:id="19">
    <w:p w14:paraId="1212FD18" w14:textId="52BD463C" w:rsidR="00463E18" w:rsidRDefault="00463E18">
      <w:pPr>
        <w:pStyle w:val="FootnoteText"/>
      </w:pPr>
      <w:r>
        <w:rPr>
          <w:rStyle w:val="FootnoteReference"/>
        </w:rPr>
        <w:footnoteRef/>
      </w:r>
      <w:r>
        <w:t xml:space="preserve"> This does not imply that experiences do not exist. However, what I am arguing for is the notion that </w:t>
      </w:r>
      <w:r w:rsidR="005B4B57">
        <w:t>sensation</w:t>
      </w:r>
      <w:r>
        <w:t xml:space="preserve"> terms such as ‘pain’ are </w:t>
      </w:r>
      <w:r w:rsidR="006E17B2">
        <w:t>semantically different</w:t>
      </w:r>
      <w:r>
        <w:t xml:space="preserve"> </w:t>
      </w:r>
      <w:r w:rsidR="006E17B2">
        <w:t>compared to the primitive reference of</w:t>
      </w:r>
      <w:r>
        <w:t xml:space="preserve"> an object.</w:t>
      </w:r>
    </w:p>
  </w:footnote>
  <w:footnote w:id="20">
    <w:p w14:paraId="041A9EC6" w14:textId="2E045B11" w:rsidR="0057180F" w:rsidRPr="0057180F" w:rsidRDefault="0057180F">
      <w:pPr>
        <w:pStyle w:val="FootnoteText"/>
      </w:pPr>
      <w:r>
        <w:rPr>
          <w:rStyle w:val="FootnoteReference"/>
        </w:rPr>
        <w:footnoteRef/>
      </w:r>
      <w:r>
        <w:t xml:space="preserve"> Paul Horwich, </w:t>
      </w:r>
      <w:r>
        <w:rPr>
          <w:i/>
          <w:iCs/>
        </w:rPr>
        <w:t>Wittgenstein’s Metaphilosophy</w:t>
      </w:r>
      <w:r>
        <w:t xml:space="preserve">, </w:t>
      </w:r>
      <w:r w:rsidR="00121236">
        <w:t>186-188.</w:t>
      </w:r>
    </w:p>
  </w:footnote>
  <w:footnote w:id="21">
    <w:p w14:paraId="6875FC7F" w14:textId="70891D1B" w:rsidR="005E6C2F" w:rsidRPr="005E6C2F" w:rsidRDefault="005E6C2F">
      <w:pPr>
        <w:pStyle w:val="FootnoteText"/>
      </w:pPr>
      <w:r>
        <w:rPr>
          <w:rStyle w:val="FootnoteReference"/>
        </w:rPr>
        <w:footnoteRef/>
      </w:r>
      <w:r>
        <w:t xml:space="preserve"> Ludwig Wittgenstein, </w:t>
      </w:r>
      <w:r>
        <w:rPr>
          <w:i/>
          <w:iCs/>
        </w:rPr>
        <w:t>Philosophical Investigations</w:t>
      </w:r>
      <w:r w:rsidR="00D037E4">
        <w:rPr>
          <w:i/>
          <w:iCs/>
        </w:rPr>
        <w:t xml:space="preserve"> </w:t>
      </w:r>
      <w:r w:rsidR="00D037E4">
        <w:t>(2nd ed.)</w:t>
      </w:r>
      <w:r>
        <w:t xml:space="preserve">, trans. G.E.M Anscombe. (Oxford, </w:t>
      </w:r>
      <w:r w:rsidR="00D037E4">
        <w:t>Blackwell Publishers, 1958), 89e.</w:t>
      </w:r>
    </w:p>
  </w:footnote>
  <w:footnote w:id="22">
    <w:p w14:paraId="059740D0" w14:textId="4EF397F2" w:rsidR="00B706E3" w:rsidRPr="00F42C29" w:rsidRDefault="00B706E3" w:rsidP="00CB68A2">
      <w:pPr>
        <w:pStyle w:val="FootnoteText"/>
      </w:pPr>
      <w:r>
        <w:rPr>
          <w:rStyle w:val="FootnoteReference"/>
        </w:rPr>
        <w:footnoteRef/>
      </w:r>
      <w:r>
        <w:t xml:space="preserve"> </w:t>
      </w:r>
      <w:r w:rsidR="00F42C29">
        <w:t xml:space="preserve">P.M.S Hacker, “Wittgenstein and the Autonomy of Humanistic Understanding,” in </w:t>
      </w:r>
      <w:r w:rsidR="00F42C29">
        <w:rPr>
          <w:i/>
          <w:iCs/>
        </w:rPr>
        <w:t>Wittgenstein: Connections and Controversies</w:t>
      </w:r>
      <w:r w:rsidR="00F42C29">
        <w:t>, ed. P.M.S. Hacker (Oxford: Clarendon Press, 2001), 34-36.</w:t>
      </w:r>
    </w:p>
  </w:footnote>
  <w:footnote w:id="23">
    <w:p w14:paraId="0D5A3905" w14:textId="490CADB8" w:rsidR="00C04D58" w:rsidRDefault="00C04D58">
      <w:pPr>
        <w:pStyle w:val="FootnoteText"/>
      </w:pPr>
      <w:r>
        <w:rPr>
          <w:rStyle w:val="FootnoteReference"/>
        </w:rPr>
        <w:footnoteRef/>
      </w:r>
      <w:r>
        <w:t xml:space="preserve"> </w:t>
      </w:r>
      <w:r w:rsidR="00F30452">
        <w:t xml:space="preserve">Paul Horwich, </w:t>
      </w:r>
      <w:r w:rsidR="00F30452">
        <w:rPr>
          <w:i/>
          <w:iCs/>
        </w:rPr>
        <w:t>Wittgenstein’s Metaphilosophy</w:t>
      </w:r>
      <w:r w:rsidR="00F30452">
        <w:t>, 170.</w:t>
      </w:r>
    </w:p>
  </w:footnote>
  <w:footnote w:id="24">
    <w:p w14:paraId="230B620C" w14:textId="026971A8" w:rsidR="00F30452" w:rsidRPr="00592490" w:rsidRDefault="00F30452">
      <w:pPr>
        <w:pStyle w:val="FootnoteText"/>
      </w:pPr>
      <w:r>
        <w:rPr>
          <w:rStyle w:val="FootnoteReference"/>
        </w:rPr>
        <w:footnoteRef/>
      </w:r>
      <w:r>
        <w:t xml:space="preserve"> </w:t>
      </w:r>
      <w:r w:rsidR="00592490">
        <w:t xml:space="preserve">Paui Horwich, </w:t>
      </w:r>
      <w:r w:rsidR="00592490">
        <w:rPr>
          <w:i/>
          <w:iCs/>
        </w:rPr>
        <w:t>Wittgenstein’s Metaphilosophy</w:t>
      </w:r>
      <w:r w:rsidR="00592490">
        <w:t>, 196.</w:t>
      </w:r>
    </w:p>
  </w:footnote>
  <w:footnote w:id="25">
    <w:p w14:paraId="489AF69D" w14:textId="03B7A063" w:rsidR="00531F28" w:rsidRPr="00D01D66" w:rsidRDefault="00531F28" w:rsidP="002F5C51">
      <w:pPr>
        <w:spacing w:after="0" w:line="240" w:lineRule="auto"/>
        <w:rPr>
          <w:rFonts w:eastAsia="Times New Roman" w:cstheme="minorHAnsi"/>
          <w:sz w:val="20"/>
          <w:szCs w:val="20"/>
          <w:lang w:eastAsia="en-PH"/>
        </w:rPr>
      </w:pPr>
      <w:r w:rsidRPr="00D01D66">
        <w:rPr>
          <w:rStyle w:val="FootnoteReference"/>
          <w:sz w:val="20"/>
          <w:szCs w:val="20"/>
        </w:rPr>
        <w:footnoteRef/>
      </w:r>
      <w:r w:rsidRPr="00D01D66">
        <w:rPr>
          <w:sz w:val="20"/>
          <w:szCs w:val="20"/>
        </w:rPr>
        <w:t xml:space="preserve"> </w:t>
      </w:r>
      <w:r w:rsidR="002F5C51" w:rsidRPr="00D01D66">
        <w:rPr>
          <w:sz w:val="20"/>
          <w:szCs w:val="20"/>
        </w:rPr>
        <w:t xml:space="preserve">Fredrik Svenaeus, “A Defense of the Phenomenological Account of Health and Illness,” </w:t>
      </w:r>
      <w:r w:rsidR="002F5C51" w:rsidRPr="00D01D66">
        <w:rPr>
          <w:i/>
          <w:iCs/>
          <w:sz w:val="20"/>
          <w:szCs w:val="20"/>
        </w:rPr>
        <w:t xml:space="preserve">Journal of Medicine and </w:t>
      </w:r>
      <w:r w:rsidR="002F5C51" w:rsidRPr="00D01D66">
        <w:rPr>
          <w:rFonts w:cstheme="minorHAnsi"/>
          <w:i/>
          <w:iCs/>
          <w:sz w:val="20"/>
          <w:szCs w:val="20"/>
        </w:rPr>
        <w:t xml:space="preserve">Philosophy </w:t>
      </w:r>
      <w:r w:rsidR="002F5C51" w:rsidRPr="00D01D66">
        <w:rPr>
          <w:rFonts w:eastAsia="Times New Roman" w:cstheme="minorHAnsi"/>
          <w:sz w:val="20"/>
          <w:szCs w:val="20"/>
          <w:lang w:eastAsia="en-PH"/>
        </w:rPr>
        <w:t xml:space="preserve">44, no. 4 (August 2019): </w:t>
      </w:r>
      <w:r w:rsidR="00922DAE" w:rsidRPr="00D01D66">
        <w:rPr>
          <w:rFonts w:eastAsia="Times New Roman" w:cstheme="minorHAnsi"/>
          <w:sz w:val="20"/>
          <w:szCs w:val="20"/>
          <w:lang w:eastAsia="en-PH"/>
        </w:rPr>
        <w:t>470,</w:t>
      </w:r>
      <w:r w:rsidR="002F5C51" w:rsidRPr="00D01D66">
        <w:rPr>
          <w:rFonts w:eastAsia="Times New Roman" w:cstheme="minorHAnsi"/>
          <w:sz w:val="20"/>
          <w:szCs w:val="20"/>
          <w:lang w:eastAsia="en-PH"/>
        </w:rPr>
        <w:t xml:space="preserve"> </w:t>
      </w:r>
      <w:r w:rsidR="002F5C51" w:rsidRPr="00D01D66">
        <w:rPr>
          <w:rFonts w:cstheme="minorHAnsi"/>
          <w:sz w:val="20"/>
          <w:szCs w:val="20"/>
        </w:rPr>
        <w:t>https://doi.org/10.1093/jmp/jhz013</w:t>
      </w:r>
    </w:p>
  </w:footnote>
  <w:footnote w:id="26">
    <w:p w14:paraId="1866484C" w14:textId="62D6AB88" w:rsidR="0040704B" w:rsidRPr="00D01D66" w:rsidRDefault="0040704B">
      <w:pPr>
        <w:pStyle w:val="FootnoteText"/>
      </w:pPr>
      <w:r w:rsidRPr="00D01D66">
        <w:rPr>
          <w:rStyle w:val="FootnoteReference"/>
        </w:rPr>
        <w:footnoteRef/>
      </w:r>
      <w:r w:rsidRPr="00D01D66">
        <w:t xml:space="preserve"> </w:t>
      </w:r>
      <w:r w:rsidR="00474C8E" w:rsidRPr="00D01D66">
        <w:rPr>
          <w:lang w:val="en-US"/>
        </w:rPr>
        <w:t>Hausman, “Health, Naturalism, and Functional Efficiency,” 520.</w:t>
      </w:r>
    </w:p>
  </w:footnote>
  <w:footnote w:id="27">
    <w:p w14:paraId="0C054282" w14:textId="7E80ED90" w:rsidR="00513BF9" w:rsidRDefault="00513BF9">
      <w:pPr>
        <w:pStyle w:val="FootnoteText"/>
      </w:pPr>
      <w:r w:rsidRPr="00D01D66">
        <w:rPr>
          <w:rStyle w:val="FootnoteReference"/>
        </w:rPr>
        <w:footnoteRef/>
      </w:r>
      <w:r w:rsidRPr="00D01D66">
        <w:t xml:space="preserve"> Nordenfelt,</w:t>
      </w:r>
      <w:r w:rsidR="00893635" w:rsidRPr="00D01D66">
        <w:t xml:space="preserve"> “Health and Disease: Two Philosophical Perspectives,” 283.</w:t>
      </w:r>
    </w:p>
  </w:footnote>
  <w:footnote w:id="28">
    <w:p w14:paraId="061E5145" w14:textId="47882D1E" w:rsidR="00DB4CFB" w:rsidRPr="00F3119D" w:rsidRDefault="00DB4CFB">
      <w:pPr>
        <w:pStyle w:val="FootnoteText"/>
      </w:pPr>
      <w:r>
        <w:rPr>
          <w:rStyle w:val="FootnoteReference"/>
        </w:rPr>
        <w:footnoteRef/>
      </w:r>
      <w:r>
        <w:t xml:space="preserve"> </w:t>
      </w:r>
      <w:r w:rsidR="006E1CEC">
        <w:t xml:space="preserve">Ludwig Wittgenstein, </w:t>
      </w:r>
      <w:r w:rsidR="006E1CEC">
        <w:rPr>
          <w:i/>
          <w:iCs/>
        </w:rPr>
        <w:t>Philosophical Investigations,</w:t>
      </w:r>
      <w:r w:rsidR="00F3119D">
        <w:rPr>
          <w:i/>
          <w:iCs/>
        </w:rPr>
        <w:t xml:space="preserve"> </w:t>
      </w:r>
      <w:r w:rsidR="00F3119D">
        <w:t>31e.</w:t>
      </w:r>
    </w:p>
  </w:footnote>
  <w:footnote w:id="29">
    <w:p w14:paraId="500517FB" w14:textId="41642EC1" w:rsidR="0089701C" w:rsidRPr="00D01D66" w:rsidRDefault="0089701C" w:rsidP="0089701C">
      <w:pPr>
        <w:spacing w:after="0" w:line="240" w:lineRule="auto"/>
        <w:rPr>
          <w:rFonts w:ascii="Times New Roman" w:eastAsia="Times New Roman" w:hAnsi="Times New Roman" w:cs="Times New Roman"/>
          <w:color w:val="000000"/>
          <w:sz w:val="20"/>
          <w:szCs w:val="20"/>
          <w:lang w:eastAsia="en-PH"/>
        </w:rPr>
      </w:pPr>
      <w:r w:rsidRPr="00D01D66">
        <w:rPr>
          <w:rStyle w:val="FootnoteReference"/>
          <w:sz w:val="20"/>
          <w:szCs w:val="20"/>
        </w:rPr>
        <w:footnoteRef/>
      </w:r>
      <w:r w:rsidRPr="00D01D66">
        <w:rPr>
          <w:sz w:val="20"/>
          <w:szCs w:val="20"/>
        </w:rPr>
        <w:t xml:space="preserve"> Thomas Szasz, “Defining Disease: The Gold Standard of Disease versus the Fiat Standard of Diagnosis,” </w:t>
      </w:r>
      <w:r w:rsidRPr="00D01D66">
        <w:rPr>
          <w:i/>
          <w:iCs/>
          <w:sz w:val="20"/>
          <w:szCs w:val="20"/>
        </w:rPr>
        <w:t xml:space="preserve">The Independent Review </w:t>
      </w:r>
      <w:r w:rsidRPr="00D01D66">
        <w:rPr>
          <w:sz w:val="20"/>
          <w:szCs w:val="20"/>
        </w:rPr>
        <w:t xml:space="preserve">10, no. 3 (Winter 2006): 327-239, </w:t>
      </w:r>
      <w:r w:rsidRPr="00D01D66">
        <w:rPr>
          <w:rFonts w:eastAsia="Times New Roman" w:cstheme="minorHAnsi"/>
          <w:color w:val="000000"/>
          <w:sz w:val="20"/>
          <w:szCs w:val="20"/>
          <w:lang w:eastAsia="en-PH"/>
        </w:rPr>
        <w:t>https://www.jstor.org/stable/24562328.</w:t>
      </w:r>
      <w:r w:rsidRPr="00D01D66">
        <w:rPr>
          <w:sz w:val="20"/>
          <w:szCs w:val="20"/>
        </w:rPr>
        <w:t xml:space="preserve"> Medical practice is often considered to rely on medical theory. Although I will not argue for it in this paper, I believe that this does not universally apply to all forms of medical practice. One obvious counterexample to this assumption is the case of traditional medicine. Traditional medicine does not justify its practices by virtue of some scientific theory or model, yet it is still intuitively considered to be a form of medical treatment to the ill. Another possible counterexample is Szasz’ argument against the inclusion of mental illnesses as a disease, as stated in his works.</w:t>
      </w:r>
    </w:p>
  </w:footnote>
  <w:footnote w:id="30">
    <w:p w14:paraId="2A62130D" w14:textId="7F14BF0A" w:rsidR="00DE3E9C" w:rsidRPr="00D01D66" w:rsidRDefault="00DE3E9C">
      <w:pPr>
        <w:pStyle w:val="FootnoteText"/>
      </w:pPr>
      <w:r w:rsidRPr="00D01D66">
        <w:rPr>
          <w:rStyle w:val="FootnoteReference"/>
        </w:rPr>
        <w:footnoteRef/>
      </w:r>
      <w:r w:rsidRPr="00D01D66">
        <w:t xml:space="preserve"> </w:t>
      </w:r>
      <w:r w:rsidRPr="00D01D66">
        <w:rPr>
          <w:rFonts w:cstheme="minorHAnsi"/>
        </w:rPr>
        <w:t>Thomas Szasz, “</w:t>
      </w:r>
      <w:r w:rsidRPr="00D01D66">
        <w:rPr>
          <w:rFonts w:eastAsia="Times New Roman" w:cstheme="minorHAnsi"/>
          <w:color w:val="000000"/>
          <w:lang w:eastAsia="en-PH"/>
        </w:rPr>
        <w:t xml:space="preserve">The Myth of Mental Illness: 50 Years Later,” </w:t>
      </w:r>
      <w:r w:rsidRPr="00D01D66">
        <w:rPr>
          <w:rFonts w:eastAsia="Times New Roman" w:cstheme="minorHAnsi"/>
          <w:i/>
          <w:iCs/>
          <w:color w:val="000000"/>
          <w:lang w:eastAsia="en-PH"/>
        </w:rPr>
        <w:t>The Psychiatrist</w:t>
      </w:r>
      <w:r w:rsidRPr="00D01D66">
        <w:rPr>
          <w:rFonts w:eastAsia="Times New Roman" w:cstheme="minorHAnsi"/>
          <w:color w:val="000000"/>
          <w:lang w:eastAsia="en-PH"/>
        </w:rPr>
        <w:t xml:space="preserve"> 35, no. 5 (2011): 181,</w:t>
      </w:r>
      <w:r w:rsidR="000D5985">
        <w:rPr>
          <w:rFonts w:eastAsia="Times New Roman" w:cstheme="minorHAnsi"/>
          <w:color w:val="000000"/>
          <w:lang w:eastAsia="en-PH"/>
        </w:rPr>
        <w:t xml:space="preserve"> </w:t>
      </w:r>
      <w:r w:rsidRPr="00D01D66">
        <w:rPr>
          <w:rFonts w:eastAsia="Times New Roman" w:cstheme="minorHAnsi"/>
          <w:color w:val="000000"/>
          <w:lang w:eastAsia="en-PH"/>
        </w:rPr>
        <w:t>http://doi.org/</w:t>
      </w:r>
      <w:r w:rsidRPr="00D01D66">
        <w:rPr>
          <w:rFonts w:cstheme="minorHAnsi"/>
        </w:rPr>
        <w:t>10.1192/pb.bp.110.031310</w:t>
      </w:r>
    </w:p>
  </w:footnote>
  <w:footnote w:id="31">
    <w:p w14:paraId="432C6198" w14:textId="5974A18E" w:rsidR="00992D16" w:rsidRPr="000D5985" w:rsidRDefault="00992D16" w:rsidP="000D5985">
      <w:pPr>
        <w:spacing w:after="0" w:line="240" w:lineRule="auto"/>
        <w:rPr>
          <w:rFonts w:eastAsia="Times New Roman" w:cstheme="minorHAnsi"/>
          <w:color w:val="000000"/>
          <w:sz w:val="20"/>
          <w:szCs w:val="20"/>
          <w:lang w:eastAsia="en-PH"/>
        </w:rPr>
      </w:pPr>
      <w:r w:rsidRPr="00D01D66">
        <w:rPr>
          <w:rStyle w:val="FootnoteReference"/>
          <w:sz w:val="20"/>
          <w:szCs w:val="20"/>
        </w:rPr>
        <w:footnoteRef/>
      </w:r>
      <w:r w:rsidRPr="00D01D66">
        <w:rPr>
          <w:sz w:val="20"/>
          <w:szCs w:val="20"/>
        </w:rPr>
        <w:t xml:space="preserve"> </w:t>
      </w:r>
      <w:r w:rsidR="00ED026B" w:rsidRPr="00D01D66">
        <w:rPr>
          <w:rFonts w:eastAsia="Times New Roman" w:cstheme="minorHAnsi"/>
          <w:color w:val="000000"/>
          <w:sz w:val="20"/>
          <w:szCs w:val="20"/>
          <w:lang w:eastAsia="en-PH"/>
        </w:rPr>
        <w:t xml:space="preserve">Thomas Szasz, “Mental Illness Is Still a Myth,” </w:t>
      </w:r>
      <w:r w:rsidR="00ED026B" w:rsidRPr="00D01D66">
        <w:rPr>
          <w:rFonts w:eastAsia="Times New Roman" w:cstheme="minorHAnsi"/>
          <w:i/>
          <w:iCs/>
          <w:color w:val="000000"/>
          <w:sz w:val="20"/>
          <w:szCs w:val="20"/>
          <w:lang w:eastAsia="en-PH"/>
        </w:rPr>
        <w:t>Society</w:t>
      </w:r>
      <w:r w:rsidR="00ED026B" w:rsidRPr="00D01D66">
        <w:rPr>
          <w:rFonts w:eastAsia="Times New Roman" w:cstheme="minorHAnsi"/>
          <w:color w:val="000000"/>
          <w:sz w:val="20"/>
          <w:szCs w:val="20"/>
          <w:lang w:eastAsia="en-PH"/>
        </w:rPr>
        <w:t xml:space="preserve"> 31, no. 1 (May 1994): 36,</w:t>
      </w:r>
      <w:r w:rsidR="000D5985">
        <w:rPr>
          <w:rFonts w:eastAsia="Times New Roman" w:cstheme="minorHAnsi"/>
          <w:color w:val="000000"/>
          <w:sz w:val="20"/>
          <w:szCs w:val="20"/>
          <w:lang w:eastAsia="en-PH"/>
        </w:rPr>
        <w:t xml:space="preserve"> </w:t>
      </w:r>
      <w:r w:rsidR="00ED026B" w:rsidRPr="00D01D66">
        <w:rPr>
          <w:rFonts w:cstheme="minorHAnsi"/>
          <w:sz w:val="20"/>
          <w:szCs w:val="20"/>
        </w:rPr>
        <w:t>https://doi.org/10.1007/BF02693245</w:t>
      </w:r>
    </w:p>
  </w:footnote>
  <w:footnote w:id="32">
    <w:p w14:paraId="32557E66" w14:textId="6D7E4213" w:rsidR="001C0EF9" w:rsidRPr="00DD4AB2" w:rsidRDefault="001C0EF9">
      <w:pPr>
        <w:pStyle w:val="FootnoteText"/>
      </w:pPr>
      <w:r>
        <w:rPr>
          <w:rStyle w:val="FootnoteReference"/>
        </w:rPr>
        <w:footnoteRef/>
      </w:r>
      <w:r>
        <w:t xml:space="preserve"> </w:t>
      </w:r>
      <w:r w:rsidR="00DD4AB2">
        <w:t xml:space="preserve">Joanna Moncrieff, “ “It </w:t>
      </w:r>
      <w:r w:rsidR="00A23325">
        <w:t>Wa</w:t>
      </w:r>
      <w:r w:rsidR="00DD4AB2">
        <w:t xml:space="preserve">s </w:t>
      </w:r>
      <w:r w:rsidR="00A23325">
        <w:t>T</w:t>
      </w:r>
      <w:r w:rsidR="00DD4AB2">
        <w:t xml:space="preserve">he Brain Tumor </w:t>
      </w:r>
      <w:r w:rsidR="00A23325">
        <w:t>T</w:t>
      </w:r>
      <w:r w:rsidR="00DD4AB2">
        <w:t xml:space="preserve">hat Done It!”: Szasz and Wittgenstein on the Importance of Distinguishing Disease from Behavior and Implications for the Nature of Mental Disorder,” </w:t>
      </w:r>
      <w:r w:rsidR="00DD4AB2">
        <w:rPr>
          <w:i/>
          <w:iCs/>
        </w:rPr>
        <w:t xml:space="preserve">Philosophy, Psychiatry, &amp; Psychology </w:t>
      </w:r>
      <w:r w:rsidR="00DD4AB2">
        <w:t xml:space="preserve">27, no. 2 (June 2020): </w:t>
      </w:r>
      <w:r w:rsidR="00DD4AB2" w:rsidRPr="00DD4AB2">
        <w:rPr>
          <w:rFonts w:cstheme="minorHAnsi"/>
        </w:rPr>
        <w:t xml:space="preserve">170, </w:t>
      </w:r>
      <w:r w:rsidR="00DD4AB2" w:rsidRPr="00DD4AB2">
        <w:rPr>
          <w:rFonts w:eastAsia="Times New Roman" w:cstheme="minorHAnsi"/>
          <w:color w:val="000000"/>
          <w:lang w:eastAsia="en-PH"/>
        </w:rPr>
        <w:t>http://doi.org/10.1353/ppp.2020.0017.</w:t>
      </w:r>
    </w:p>
  </w:footnote>
  <w:footnote w:id="33">
    <w:p w14:paraId="489D2425" w14:textId="4456E9BB" w:rsidR="00273152" w:rsidRDefault="00273152">
      <w:pPr>
        <w:pStyle w:val="FootnoteText"/>
      </w:pPr>
      <w:r>
        <w:rPr>
          <w:rStyle w:val="FootnoteReference"/>
        </w:rPr>
        <w:footnoteRef/>
      </w:r>
      <w:r>
        <w:t xml:space="preserve"> </w:t>
      </w:r>
      <w:r w:rsidR="003C69B8">
        <w:rPr>
          <w:rFonts w:eastAsia="Times New Roman" w:cstheme="minorHAnsi"/>
          <w:lang w:eastAsia="en-PH"/>
        </w:rPr>
        <w:t>J.G. Scadding,</w:t>
      </w:r>
      <w:r w:rsidR="003C69B8" w:rsidRPr="00922DAE">
        <w:rPr>
          <w:rFonts w:eastAsia="Times New Roman" w:cstheme="minorHAnsi"/>
          <w:lang w:eastAsia="en-PH"/>
        </w:rPr>
        <w:t xml:space="preserve"> “Health and Disease: What Can Medicine Do For Philosophy?” </w:t>
      </w:r>
      <w:r w:rsidR="003C69B8" w:rsidRPr="00922DAE">
        <w:rPr>
          <w:rFonts w:eastAsia="Times New Roman" w:cstheme="minorHAnsi"/>
          <w:i/>
          <w:iCs/>
          <w:lang w:eastAsia="en-PH"/>
        </w:rPr>
        <w:t>Journal of</w:t>
      </w:r>
      <w:r w:rsidR="003C69B8">
        <w:rPr>
          <w:rFonts w:eastAsia="Times New Roman" w:cstheme="minorHAnsi"/>
          <w:i/>
          <w:iCs/>
          <w:lang w:eastAsia="en-PH"/>
        </w:rPr>
        <w:t xml:space="preserve"> </w:t>
      </w:r>
      <w:r w:rsidR="003C69B8" w:rsidRPr="00922DAE">
        <w:rPr>
          <w:rFonts w:eastAsia="Times New Roman" w:cstheme="minorHAnsi"/>
          <w:i/>
          <w:iCs/>
          <w:lang w:eastAsia="en-PH"/>
        </w:rPr>
        <w:t>Medical Ethics</w:t>
      </w:r>
      <w:r w:rsidR="003C69B8" w:rsidRPr="00922DAE">
        <w:rPr>
          <w:rFonts w:eastAsia="Times New Roman" w:cstheme="minorHAnsi"/>
          <w:lang w:eastAsia="en-PH"/>
        </w:rPr>
        <w:t xml:space="preserve"> 14, no. 1 (1988): 1</w:t>
      </w:r>
      <w:r w:rsidR="003C69B8">
        <w:rPr>
          <w:rFonts w:eastAsia="Times New Roman" w:cstheme="minorHAnsi"/>
          <w:lang w:eastAsia="en-PH"/>
        </w:rPr>
        <w:t>22,</w:t>
      </w:r>
      <w:r w:rsidR="003C69B8" w:rsidRPr="00922DAE">
        <w:rPr>
          <w:rFonts w:eastAsia="Times New Roman" w:cstheme="minorHAnsi"/>
          <w:lang w:eastAsia="en-PH"/>
        </w:rPr>
        <w:t xml:space="preserve"> </w:t>
      </w:r>
      <w:r w:rsidR="003C69B8" w:rsidRPr="00922DAE">
        <w:rPr>
          <w:rFonts w:cstheme="minorHAnsi"/>
        </w:rPr>
        <w:t>http://dx.doi.org/10.1136/jme.14.3.118</w:t>
      </w:r>
    </w:p>
  </w:footnote>
  <w:footnote w:id="34">
    <w:p w14:paraId="7B8B039B" w14:textId="2F0174DD" w:rsidR="00A23325" w:rsidRDefault="00A23325">
      <w:pPr>
        <w:pStyle w:val="FootnoteText"/>
      </w:pPr>
      <w:r>
        <w:rPr>
          <w:rStyle w:val="FootnoteReference"/>
        </w:rPr>
        <w:footnoteRef/>
      </w:r>
      <w:r>
        <w:t xml:space="preserve"> Moncrieff, “ “It Was The Brain Tumor That Done It!” ,” 175.</w:t>
      </w:r>
    </w:p>
  </w:footnote>
  <w:footnote w:id="35">
    <w:p w14:paraId="5BFBF23B" w14:textId="4C012F7E" w:rsidR="002705E0" w:rsidRPr="00B52631" w:rsidRDefault="002705E0" w:rsidP="00B52631">
      <w:pPr>
        <w:spacing w:after="0" w:line="240" w:lineRule="auto"/>
        <w:rPr>
          <w:rFonts w:eastAsia="Times New Roman" w:cstheme="minorHAnsi"/>
          <w:sz w:val="20"/>
          <w:szCs w:val="20"/>
          <w:lang w:eastAsia="en-PH"/>
        </w:rPr>
      </w:pPr>
      <w:r>
        <w:rPr>
          <w:rStyle w:val="FootnoteReference"/>
        </w:rPr>
        <w:footnoteRef/>
      </w:r>
      <w:r>
        <w:t xml:space="preserve"> Thomas Szasz, “</w:t>
      </w:r>
      <w:r w:rsidR="00E459AF">
        <w:t xml:space="preserve">The Myth of </w:t>
      </w:r>
      <w:r w:rsidR="00E459AF" w:rsidRPr="00B52631">
        <w:rPr>
          <w:rFonts w:cstheme="minorHAnsi"/>
          <w:sz w:val="20"/>
          <w:szCs w:val="20"/>
        </w:rPr>
        <w:t>Mental Illness,”</w:t>
      </w:r>
      <w:r w:rsidR="00737850" w:rsidRPr="00B52631">
        <w:rPr>
          <w:rFonts w:cstheme="minorHAnsi"/>
          <w:sz w:val="20"/>
          <w:szCs w:val="20"/>
        </w:rPr>
        <w:t xml:space="preserve"> </w:t>
      </w:r>
      <w:r w:rsidR="00B52631" w:rsidRPr="00B52631">
        <w:rPr>
          <w:rFonts w:eastAsia="Times New Roman" w:cstheme="minorHAnsi"/>
          <w:i/>
          <w:iCs/>
          <w:sz w:val="20"/>
          <w:szCs w:val="20"/>
          <w:lang w:eastAsia="en-PH"/>
        </w:rPr>
        <w:t>American Psychologist</w:t>
      </w:r>
      <w:r w:rsidR="00B52631" w:rsidRPr="00B52631">
        <w:rPr>
          <w:rFonts w:eastAsia="Times New Roman" w:cstheme="minorHAnsi"/>
          <w:sz w:val="20"/>
          <w:szCs w:val="20"/>
          <w:lang w:eastAsia="en-PH"/>
        </w:rPr>
        <w:t xml:space="preserve"> 15, no. 2 (1960): 11</w:t>
      </w:r>
      <w:r w:rsidR="00B52631">
        <w:rPr>
          <w:rFonts w:eastAsia="Times New Roman" w:cstheme="minorHAnsi"/>
          <w:sz w:val="20"/>
          <w:szCs w:val="20"/>
          <w:lang w:eastAsia="en-PH"/>
        </w:rPr>
        <w:t xml:space="preserve">4, </w:t>
      </w:r>
      <w:r w:rsidR="00B52631" w:rsidRPr="00B52631">
        <w:rPr>
          <w:rFonts w:cstheme="minorHAnsi"/>
          <w:sz w:val="20"/>
          <w:szCs w:val="20"/>
        </w:rPr>
        <w:t>https://doi.org/10.1037/h0046535</w:t>
      </w:r>
    </w:p>
  </w:footnote>
  <w:footnote w:id="36">
    <w:p w14:paraId="6C46A2B8" w14:textId="617F2ACD" w:rsidR="002705E0" w:rsidRDefault="002705E0">
      <w:pPr>
        <w:pStyle w:val="FootnoteText"/>
      </w:pPr>
      <w:r>
        <w:rPr>
          <w:rStyle w:val="FootnoteReference"/>
        </w:rPr>
        <w:footnoteRef/>
      </w:r>
      <w:r>
        <w:t xml:space="preserve"> </w:t>
      </w:r>
      <w:r w:rsidR="00B52631">
        <w:t>Moncrieff, “ “It Was The Brain Tumor That Done It!” ,” 17</w:t>
      </w:r>
      <w:r w:rsidR="00C460C6">
        <w:t>4</w:t>
      </w:r>
      <w:r w:rsidR="00B52631">
        <w:t>.</w:t>
      </w:r>
    </w:p>
  </w:footnote>
  <w:footnote w:id="37">
    <w:p w14:paraId="18850C1F" w14:textId="0E8093A7" w:rsidR="00A23325" w:rsidRPr="00B43500" w:rsidRDefault="00A23325" w:rsidP="00B43500">
      <w:pPr>
        <w:spacing w:after="0" w:line="240" w:lineRule="auto"/>
        <w:rPr>
          <w:rFonts w:eastAsia="Times New Roman" w:cstheme="minorHAnsi"/>
          <w:color w:val="000000"/>
          <w:sz w:val="20"/>
          <w:szCs w:val="20"/>
          <w:lang w:eastAsia="en-PH"/>
        </w:rPr>
      </w:pPr>
      <w:r w:rsidRPr="00DC2A70">
        <w:rPr>
          <w:rStyle w:val="FootnoteReference"/>
          <w:rFonts w:cstheme="minorHAnsi"/>
          <w:sz w:val="20"/>
          <w:szCs w:val="20"/>
        </w:rPr>
        <w:footnoteRef/>
      </w:r>
      <w:r w:rsidRPr="00DC2A70">
        <w:rPr>
          <w:rFonts w:cstheme="minorHAnsi"/>
          <w:sz w:val="20"/>
          <w:szCs w:val="20"/>
        </w:rPr>
        <w:t xml:space="preserve"> </w:t>
      </w:r>
      <w:r w:rsidR="00DC2A70">
        <w:rPr>
          <w:rFonts w:eastAsia="Times New Roman" w:cstheme="minorHAnsi"/>
          <w:color w:val="000000"/>
          <w:sz w:val="20"/>
          <w:szCs w:val="20"/>
          <w:lang w:eastAsia="en-PH"/>
        </w:rPr>
        <w:t>Tony B. Benning,</w:t>
      </w:r>
      <w:r w:rsidR="00DC2A70" w:rsidRPr="00DC2A70">
        <w:rPr>
          <w:rFonts w:eastAsia="Times New Roman" w:cstheme="minorHAnsi"/>
          <w:color w:val="000000"/>
          <w:sz w:val="20"/>
          <w:szCs w:val="20"/>
          <w:lang w:eastAsia="en-PH"/>
        </w:rPr>
        <w:t xml:space="preserve"> “No Such Thing as Mental Illness? Critical Reflections on the Major Ideas and</w:t>
      </w:r>
      <w:r w:rsidR="00DC2A70">
        <w:rPr>
          <w:rFonts w:eastAsia="Times New Roman" w:cstheme="minorHAnsi"/>
          <w:color w:val="000000"/>
          <w:sz w:val="20"/>
          <w:szCs w:val="20"/>
          <w:lang w:eastAsia="en-PH"/>
        </w:rPr>
        <w:t xml:space="preserve"> </w:t>
      </w:r>
      <w:r w:rsidR="00DC2A70" w:rsidRPr="00DC2A70">
        <w:rPr>
          <w:rFonts w:eastAsia="Times New Roman" w:cstheme="minorHAnsi"/>
          <w:color w:val="000000"/>
          <w:sz w:val="20"/>
          <w:szCs w:val="20"/>
          <w:lang w:eastAsia="en-PH"/>
        </w:rPr>
        <w:t>Legacy of Thomas Szasz</w:t>
      </w:r>
      <w:r w:rsidR="00DC2A70">
        <w:rPr>
          <w:rFonts w:eastAsia="Times New Roman" w:cstheme="minorHAnsi"/>
          <w:color w:val="000000"/>
          <w:sz w:val="20"/>
          <w:szCs w:val="20"/>
          <w:lang w:eastAsia="en-PH"/>
        </w:rPr>
        <w:t>,</w:t>
      </w:r>
      <w:r w:rsidR="00DC2A70" w:rsidRPr="00DC2A70">
        <w:rPr>
          <w:rFonts w:eastAsia="Times New Roman" w:cstheme="minorHAnsi"/>
          <w:color w:val="000000"/>
          <w:sz w:val="20"/>
          <w:szCs w:val="20"/>
          <w:lang w:eastAsia="en-PH"/>
        </w:rPr>
        <w:t xml:space="preserve">” </w:t>
      </w:r>
      <w:r w:rsidR="00DC2A70" w:rsidRPr="00DC2A70">
        <w:rPr>
          <w:rFonts w:eastAsia="Times New Roman" w:cstheme="minorHAnsi"/>
          <w:i/>
          <w:iCs/>
          <w:color w:val="000000"/>
          <w:sz w:val="20"/>
          <w:szCs w:val="20"/>
          <w:lang w:eastAsia="en-PH"/>
        </w:rPr>
        <w:t>BJPsych Bulletin</w:t>
      </w:r>
      <w:r w:rsidR="00DC2A70" w:rsidRPr="00DC2A70">
        <w:rPr>
          <w:rFonts w:eastAsia="Times New Roman" w:cstheme="minorHAnsi"/>
          <w:color w:val="000000"/>
          <w:sz w:val="20"/>
          <w:szCs w:val="20"/>
          <w:lang w:eastAsia="en-PH"/>
        </w:rPr>
        <w:t xml:space="preserve"> 40, no. 6 (December 2016): 29</w:t>
      </w:r>
      <w:r w:rsidR="00DC2A70">
        <w:rPr>
          <w:rFonts w:eastAsia="Times New Roman" w:cstheme="minorHAnsi"/>
          <w:color w:val="000000"/>
          <w:sz w:val="20"/>
          <w:szCs w:val="20"/>
          <w:lang w:eastAsia="en-PH"/>
        </w:rPr>
        <w:t>4,</w:t>
      </w:r>
      <w:r w:rsidR="00DC2A70" w:rsidRPr="00DC2A70">
        <w:rPr>
          <w:rFonts w:eastAsia="Times New Roman" w:cstheme="minorHAnsi"/>
          <w:color w:val="000000"/>
          <w:sz w:val="20"/>
          <w:szCs w:val="20"/>
          <w:lang w:eastAsia="en-PH"/>
        </w:rPr>
        <w:t xml:space="preserve"> http://doi.org/</w:t>
      </w:r>
      <w:r w:rsidR="00DC2A70" w:rsidRPr="00DC2A70">
        <w:rPr>
          <w:rStyle w:val="doi"/>
          <w:rFonts w:cstheme="minorHAnsi"/>
          <w:sz w:val="20"/>
          <w:szCs w:val="20"/>
        </w:rPr>
        <w:t>10.1192/pb.bp.115.053249</w:t>
      </w:r>
    </w:p>
  </w:footnote>
  <w:footnote w:id="38">
    <w:p w14:paraId="3FAA4789" w14:textId="24E6BF42" w:rsidR="00B23E07" w:rsidRPr="00B23E07" w:rsidRDefault="00B23E07">
      <w:pPr>
        <w:pStyle w:val="FootnoteText"/>
      </w:pPr>
      <w:r>
        <w:rPr>
          <w:rStyle w:val="FootnoteReference"/>
        </w:rPr>
        <w:footnoteRef/>
      </w:r>
      <w:r>
        <w:t xml:space="preserve"> In p. 35 of Szasz’s </w:t>
      </w:r>
      <w:r>
        <w:rPr>
          <w:i/>
          <w:iCs/>
        </w:rPr>
        <w:t>Mental Illness is Still a Myth</w:t>
      </w:r>
      <w:r>
        <w:t>, he describes mental illness as a metaphorical use of the term ‘illness’ whereas the proper literal use of ‘illness’ only refers to physical diseases.</w:t>
      </w:r>
    </w:p>
  </w:footnote>
  <w:footnote w:id="39">
    <w:p w14:paraId="374FCB49" w14:textId="68514291" w:rsidR="00B43500" w:rsidRDefault="00B43500">
      <w:pPr>
        <w:pStyle w:val="FootnoteText"/>
      </w:pPr>
      <w:r>
        <w:rPr>
          <w:rStyle w:val="FootnoteReference"/>
        </w:rPr>
        <w:footnoteRef/>
      </w:r>
      <w:r>
        <w:t xml:space="preserve"> </w:t>
      </w:r>
      <w:r w:rsidR="003F542D">
        <w:t>Szasz, “The Myth of Mental Illness,” 114.</w:t>
      </w:r>
    </w:p>
  </w:footnote>
  <w:footnote w:id="40">
    <w:p w14:paraId="3C88356A" w14:textId="4684E041" w:rsidR="00420CCA" w:rsidRPr="00045EAF" w:rsidRDefault="00420CCA">
      <w:pPr>
        <w:pStyle w:val="FootnoteText"/>
      </w:pPr>
      <w:r>
        <w:rPr>
          <w:rStyle w:val="FootnoteReference"/>
        </w:rPr>
        <w:footnoteRef/>
      </w:r>
      <w:r>
        <w:t xml:space="preserve"> Johnathan Trigg, and Michael Kalish, “Explaining How the Mind Works: On the Relation Between Cognitive Science and Philosophy,” </w:t>
      </w:r>
      <w:r>
        <w:rPr>
          <w:i/>
          <w:iCs/>
        </w:rPr>
        <w:t>Topics in Cognitive Science</w:t>
      </w:r>
      <w:r w:rsidR="00045EAF">
        <w:rPr>
          <w:i/>
          <w:iCs/>
        </w:rPr>
        <w:t xml:space="preserve"> </w:t>
      </w:r>
      <w:r w:rsidR="00045EAF">
        <w:t xml:space="preserve">3, no. 2 (April 2011): 407. </w:t>
      </w:r>
      <w:r w:rsidR="00045EAF" w:rsidRPr="00045EAF">
        <w:rPr>
          <w:rFonts w:eastAsia="Times New Roman" w:cstheme="minorHAnsi"/>
          <w:color w:val="000000"/>
          <w:lang w:eastAsia="en-PH"/>
        </w:rPr>
        <w:t>https://doi.org/10.1111/j.1756-8765.2011.01142.x.</w:t>
      </w:r>
    </w:p>
  </w:footnote>
  <w:footnote w:id="41">
    <w:p w14:paraId="6F0C88D3" w14:textId="70F5FB35" w:rsidR="002E3327" w:rsidRDefault="002E3327">
      <w:pPr>
        <w:pStyle w:val="FootnoteText"/>
      </w:pPr>
      <w:r>
        <w:rPr>
          <w:rStyle w:val="FootnoteReference"/>
        </w:rPr>
        <w:footnoteRef/>
      </w:r>
      <w:r>
        <w:t xml:space="preserve"> </w:t>
      </w:r>
      <w:r w:rsidR="00E7625E">
        <w:t>Boorse, “On the Distinction between Disease and Illness,” 62-68.</w:t>
      </w:r>
    </w:p>
  </w:footnote>
  <w:footnote w:id="42">
    <w:p w14:paraId="6F4B6531" w14:textId="03135210" w:rsidR="00EB5CDD" w:rsidRPr="00792F41" w:rsidRDefault="00EB5CDD" w:rsidP="00792F41">
      <w:pPr>
        <w:spacing w:after="0" w:line="240" w:lineRule="auto"/>
        <w:rPr>
          <w:rFonts w:eastAsia="Times New Roman" w:cstheme="minorHAnsi"/>
          <w:i/>
          <w:iCs/>
          <w:sz w:val="20"/>
          <w:szCs w:val="20"/>
          <w:lang w:eastAsia="en-PH"/>
        </w:rPr>
      </w:pPr>
      <w:r w:rsidRPr="00922DAE">
        <w:rPr>
          <w:rStyle w:val="FootnoteReference"/>
          <w:rFonts w:cstheme="minorHAnsi"/>
          <w:sz w:val="20"/>
          <w:szCs w:val="20"/>
        </w:rPr>
        <w:footnoteRef/>
      </w:r>
      <w:r w:rsidRPr="00922DAE">
        <w:rPr>
          <w:rFonts w:cstheme="minorHAnsi"/>
          <w:sz w:val="20"/>
          <w:szCs w:val="20"/>
        </w:rPr>
        <w:t xml:space="preserve"> </w:t>
      </w:r>
      <w:r w:rsidR="00922DAE">
        <w:rPr>
          <w:rFonts w:eastAsia="Times New Roman" w:cstheme="minorHAnsi"/>
          <w:sz w:val="20"/>
          <w:szCs w:val="20"/>
          <w:lang w:eastAsia="en-PH"/>
        </w:rPr>
        <w:t>Scadding,</w:t>
      </w:r>
      <w:r w:rsidR="00922DAE" w:rsidRPr="00922DAE">
        <w:rPr>
          <w:rFonts w:eastAsia="Times New Roman" w:cstheme="minorHAnsi"/>
          <w:sz w:val="20"/>
          <w:szCs w:val="20"/>
          <w:lang w:eastAsia="en-PH"/>
        </w:rPr>
        <w:t xml:space="preserve"> “Health and Disease: What Can Medicine Do For Philosophy?” 1</w:t>
      </w:r>
      <w:r w:rsidR="00922DAE">
        <w:rPr>
          <w:rFonts w:eastAsia="Times New Roman" w:cstheme="minorHAnsi"/>
          <w:sz w:val="20"/>
          <w:szCs w:val="20"/>
          <w:lang w:eastAsia="en-PH"/>
        </w:rPr>
        <w:t>1</w:t>
      </w:r>
      <w:r w:rsidR="00FC1AED">
        <w:rPr>
          <w:rFonts w:eastAsia="Times New Roman" w:cstheme="minorHAnsi"/>
          <w:sz w:val="20"/>
          <w:szCs w:val="20"/>
          <w:lang w:eastAsia="en-PH"/>
        </w:rPr>
        <w:t>9.</w:t>
      </w:r>
    </w:p>
  </w:footnote>
  <w:footnote w:id="43">
    <w:p w14:paraId="3513F282" w14:textId="6487C4A5" w:rsidR="00BD68B9" w:rsidRPr="003D5736" w:rsidRDefault="00BD68B9" w:rsidP="00B52631">
      <w:pPr>
        <w:spacing w:after="0" w:line="240" w:lineRule="auto"/>
        <w:rPr>
          <w:rFonts w:eastAsia="Times New Roman" w:cstheme="minorHAnsi"/>
          <w:color w:val="000000"/>
          <w:sz w:val="20"/>
          <w:szCs w:val="20"/>
          <w:lang w:eastAsia="en-PH"/>
        </w:rPr>
      </w:pPr>
      <w:r w:rsidRPr="003D5736">
        <w:rPr>
          <w:rStyle w:val="FootnoteReference"/>
          <w:rFonts w:cstheme="minorHAnsi"/>
          <w:sz w:val="20"/>
          <w:szCs w:val="20"/>
        </w:rPr>
        <w:footnoteRef/>
      </w:r>
      <w:r w:rsidRPr="003D5736">
        <w:rPr>
          <w:rFonts w:cstheme="minorHAnsi"/>
          <w:sz w:val="20"/>
          <w:szCs w:val="20"/>
        </w:rPr>
        <w:t xml:space="preserve"> </w:t>
      </w:r>
      <w:r w:rsidR="000C3E16" w:rsidRPr="003D5736">
        <w:rPr>
          <w:rFonts w:eastAsia="Times New Roman" w:cstheme="minorHAnsi"/>
          <w:color w:val="000000"/>
          <w:sz w:val="20"/>
          <w:szCs w:val="20"/>
          <w:lang w:eastAsia="en-PH"/>
        </w:rPr>
        <w:t xml:space="preserve">Franz Calvo, Bryant T. Karras, Richard Phillips, Ann Marie Kimball, and Fred Wolf, “Diagnoses, Syndromes, and Diseases: A Knowledge Representation Problem,” </w:t>
      </w:r>
      <w:r w:rsidR="000C3E16" w:rsidRPr="003D5736">
        <w:rPr>
          <w:rFonts w:eastAsia="Times New Roman" w:cstheme="minorHAnsi"/>
          <w:i/>
          <w:iCs/>
          <w:color w:val="000000"/>
          <w:sz w:val="20"/>
          <w:szCs w:val="20"/>
          <w:lang w:eastAsia="en-PH"/>
        </w:rPr>
        <w:t>AMIA Annual Symposium Proceedings</w:t>
      </w:r>
      <w:r w:rsidR="000C3E16" w:rsidRPr="003D5736">
        <w:rPr>
          <w:rFonts w:eastAsia="Times New Roman" w:cstheme="minorHAnsi"/>
          <w:color w:val="000000"/>
          <w:sz w:val="20"/>
          <w:szCs w:val="20"/>
          <w:lang w:eastAsia="en-PH"/>
        </w:rPr>
        <w:t>, (2003): 802, https://www.ncbi.nlm.nih.gov/pmc/articles/PMC1480257/#</w:t>
      </w:r>
    </w:p>
  </w:footnote>
  <w:footnote w:id="44">
    <w:p w14:paraId="61F11C96" w14:textId="41411378" w:rsidR="00F824A0" w:rsidRPr="003D5736" w:rsidRDefault="00F824A0" w:rsidP="003D5736">
      <w:pPr>
        <w:spacing w:after="0" w:line="240" w:lineRule="auto"/>
        <w:rPr>
          <w:rFonts w:ascii="Times New Roman" w:eastAsia="Times New Roman" w:hAnsi="Times New Roman" w:cs="Times New Roman"/>
          <w:color w:val="000000"/>
          <w:sz w:val="20"/>
          <w:szCs w:val="20"/>
          <w:lang w:eastAsia="en-PH"/>
        </w:rPr>
      </w:pPr>
      <w:r w:rsidRPr="003D5736">
        <w:rPr>
          <w:rStyle w:val="FootnoteReference"/>
          <w:sz w:val="20"/>
          <w:szCs w:val="20"/>
        </w:rPr>
        <w:footnoteRef/>
      </w:r>
      <w:r w:rsidRPr="003D5736">
        <w:rPr>
          <w:sz w:val="20"/>
          <w:szCs w:val="20"/>
        </w:rPr>
        <w:t xml:space="preserve"> Stephen Rosenman, and Julian Nasti, “Psychiatric Diagnoses are not Mental Processes: Wittgenstein on Conceptual Confusion,” </w:t>
      </w:r>
      <w:r w:rsidRPr="003D5736">
        <w:rPr>
          <w:i/>
          <w:iCs/>
          <w:sz w:val="20"/>
          <w:szCs w:val="20"/>
        </w:rPr>
        <w:t xml:space="preserve">Australian &amp; New Zealand Journal of Psychiatry </w:t>
      </w:r>
      <w:r w:rsidRPr="003D5736">
        <w:rPr>
          <w:sz w:val="20"/>
          <w:szCs w:val="20"/>
        </w:rPr>
        <w:t xml:space="preserve">46, no. 11 (November 2012): </w:t>
      </w:r>
      <w:r w:rsidR="003D5736" w:rsidRPr="003D5736">
        <w:rPr>
          <w:sz w:val="20"/>
          <w:szCs w:val="20"/>
        </w:rPr>
        <w:t>1048-1049</w:t>
      </w:r>
      <w:r w:rsidR="003D5736" w:rsidRPr="003D5736">
        <w:rPr>
          <w:rFonts w:cstheme="minorHAnsi"/>
          <w:sz w:val="20"/>
          <w:szCs w:val="20"/>
        </w:rPr>
        <w:t>. https://doi.org/10.1177/0004867412446090</w:t>
      </w:r>
    </w:p>
  </w:footnote>
  <w:footnote w:id="45">
    <w:p w14:paraId="2B0A611F" w14:textId="6160104F" w:rsidR="003D2B4C" w:rsidRPr="003D5736" w:rsidRDefault="003D2B4C">
      <w:pPr>
        <w:pStyle w:val="FootnoteText"/>
      </w:pPr>
      <w:r w:rsidRPr="003D5736">
        <w:rPr>
          <w:rStyle w:val="FootnoteReference"/>
        </w:rPr>
        <w:footnoteRef/>
      </w:r>
      <w:r w:rsidRPr="003D5736">
        <w:t xml:space="preserve"> Scadding, “</w:t>
      </w:r>
      <w:r w:rsidRPr="003D5736">
        <w:rPr>
          <w:rFonts w:eastAsia="Times New Roman" w:cstheme="minorHAnsi"/>
          <w:lang w:eastAsia="en-PH"/>
        </w:rPr>
        <w:t>Health and Disease: What Can Medicine Do For Philosophy?” 119-120.</w:t>
      </w:r>
    </w:p>
  </w:footnote>
  <w:footnote w:id="46">
    <w:p w14:paraId="72F8E622" w14:textId="74A218E8" w:rsidR="001A0150" w:rsidRPr="003D5736" w:rsidRDefault="001A0150" w:rsidP="006B35BE">
      <w:pPr>
        <w:spacing w:after="0" w:line="240" w:lineRule="auto"/>
        <w:rPr>
          <w:rFonts w:eastAsia="Times New Roman" w:cstheme="minorHAnsi"/>
          <w:color w:val="000000"/>
          <w:sz w:val="20"/>
          <w:szCs w:val="20"/>
          <w:lang w:eastAsia="en-PH"/>
        </w:rPr>
      </w:pPr>
      <w:r w:rsidRPr="003D5736">
        <w:rPr>
          <w:rStyle w:val="FootnoteReference"/>
          <w:sz w:val="20"/>
          <w:szCs w:val="20"/>
        </w:rPr>
        <w:footnoteRef/>
      </w:r>
      <w:r w:rsidRPr="003D5736">
        <w:rPr>
          <w:sz w:val="20"/>
          <w:szCs w:val="20"/>
        </w:rPr>
        <w:t xml:space="preserve"> </w:t>
      </w:r>
      <w:r w:rsidR="006B35BE" w:rsidRPr="003D5736">
        <w:rPr>
          <w:rFonts w:eastAsia="Times New Roman" w:cstheme="minorHAnsi"/>
          <w:color w:val="000000"/>
          <w:sz w:val="20"/>
          <w:szCs w:val="20"/>
          <w:lang w:eastAsia="en-PH"/>
        </w:rPr>
        <w:t xml:space="preserve">Robert D’amico, “Spreading Disease: A Controversy Concerning the Metaphysics of Disease,” </w:t>
      </w:r>
      <w:r w:rsidR="006B35BE" w:rsidRPr="003D5736">
        <w:rPr>
          <w:rFonts w:eastAsia="Times New Roman" w:cstheme="minorHAnsi"/>
          <w:i/>
          <w:iCs/>
          <w:color w:val="000000"/>
          <w:sz w:val="20"/>
          <w:szCs w:val="20"/>
          <w:lang w:eastAsia="en-PH"/>
        </w:rPr>
        <w:t>History and Philosophy of the Life Sciences</w:t>
      </w:r>
      <w:r w:rsidR="006B35BE" w:rsidRPr="003D5736">
        <w:rPr>
          <w:rFonts w:eastAsia="Times New Roman" w:cstheme="minorHAnsi"/>
          <w:color w:val="000000"/>
          <w:sz w:val="20"/>
          <w:szCs w:val="20"/>
          <w:lang w:eastAsia="en-PH"/>
        </w:rPr>
        <w:t xml:space="preserve"> 20, no. 2 (1998): </w:t>
      </w:r>
      <w:r w:rsidR="0063528E" w:rsidRPr="003D5736">
        <w:rPr>
          <w:rFonts w:eastAsia="Times New Roman" w:cstheme="minorHAnsi"/>
          <w:color w:val="000000"/>
          <w:sz w:val="20"/>
          <w:szCs w:val="20"/>
          <w:lang w:eastAsia="en-PH"/>
        </w:rPr>
        <w:t>145-146, https://www.jstor.org/stable/23332099</w:t>
      </w:r>
      <w:r w:rsidR="006B35BE" w:rsidRPr="003D5736">
        <w:rPr>
          <w:rFonts w:eastAsia="Times New Roman" w:cstheme="minorHAnsi"/>
          <w:color w:val="000000"/>
          <w:sz w:val="20"/>
          <w:szCs w:val="20"/>
          <w:lang w:eastAsia="en-PH"/>
        </w:rPr>
        <w:t>.</w:t>
      </w:r>
    </w:p>
  </w:footnote>
  <w:footnote w:id="47">
    <w:p w14:paraId="4351E6EC" w14:textId="4B9B115C" w:rsidR="00A53462" w:rsidRDefault="00A53462">
      <w:pPr>
        <w:pStyle w:val="FootnoteText"/>
      </w:pPr>
      <w:r>
        <w:rPr>
          <w:rStyle w:val="FootnoteReference"/>
        </w:rPr>
        <w:footnoteRef/>
      </w:r>
      <w:r>
        <w:t xml:space="preserve"> Rosenman, and Nasti, “Psychiatric Diagnoses,” 1046.</w:t>
      </w:r>
    </w:p>
  </w:footnote>
  <w:footnote w:id="48">
    <w:p w14:paraId="4E560577" w14:textId="78F3B80C" w:rsidR="00853014" w:rsidRDefault="00853014">
      <w:pPr>
        <w:pStyle w:val="FootnoteText"/>
      </w:pPr>
      <w:r>
        <w:rPr>
          <w:rStyle w:val="FootnoteReference"/>
        </w:rPr>
        <w:footnoteRef/>
      </w:r>
      <w:r>
        <w:t xml:space="preserve"> </w:t>
      </w:r>
      <w:r w:rsidR="0008151C">
        <w:t xml:space="preserve">D’Amico, “Spreading Disease,” </w:t>
      </w:r>
      <w:r w:rsidR="00E95F6D">
        <w:t>144-147.</w:t>
      </w:r>
    </w:p>
  </w:footnote>
  <w:footnote w:id="49">
    <w:p w14:paraId="059863C4" w14:textId="2C487515" w:rsidR="00853014" w:rsidRDefault="00853014">
      <w:pPr>
        <w:pStyle w:val="FootnoteText"/>
      </w:pPr>
      <w:r>
        <w:rPr>
          <w:rStyle w:val="FootnoteReference"/>
        </w:rPr>
        <w:footnoteRef/>
      </w:r>
      <w:r>
        <w:t xml:space="preserve"> </w:t>
      </w:r>
      <w:r w:rsidR="00E3371D">
        <w:t>Moncrieff</w:t>
      </w:r>
      <w:r w:rsidR="0008151C">
        <w:t>, “ “It Was The Brain Tumor That Done It!” ,” 175. One example of a neurological disorder previously thought to be a mental disorder is neurosyphilis. Once the causally necessary conditions of a mental disorder are properly understood, the disorder can often be classified as a concern belonging to the natural sciences instead. Other times, psychiatrists might wish to distinguish the mental disorder from regular mental disorders by classifying it as a neuropsychiatric condition, as was the case of dementia.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05AF7"/>
    <w:multiLevelType w:val="multilevel"/>
    <w:tmpl w:val="F6A4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26ABB"/>
    <w:multiLevelType w:val="multilevel"/>
    <w:tmpl w:val="C292F6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2A2F32"/>
    <w:multiLevelType w:val="multilevel"/>
    <w:tmpl w:val="9EA474F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1A6E44"/>
    <w:multiLevelType w:val="multilevel"/>
    <w:tmpl w:val="E3804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610D3D"/>
    <w:multiLevelType w:val="multilevel"/>
    <w:tmpl w:val="52CCDBC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4008A3"/>
    <w:multiLevelType w:val="multilevel"/>
    <w:tmpl w:val="EE48E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8C6BB2"/>
    <w:multiLevelType w:val="multilevel"/>
    <w:tmpl w:val="95E2A87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AF7FA6"/>
    <w:multiLevelType w:val="multilevel"/>
    <w:tmpl w:val="AE243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FF6A78"/>
    <w:multiLevelType w:val="multilevel"/>
    <w:tmpl w:val="A9E65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0F20F7"/>
    <w:multiLevelType w:val="multilevel"/>
    <w:tmpl w:val="D0B2C0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6019255">
    <w:abstractNumId w:val="0"/>
  </w:num>
  <w:num w:numId="2" w16cid:durableId="924844544">
    <w:abstractNumId w:val="3"/>
  </w:num>
  <w:num w:numId="3" w16cid:durableId="419836311">
    <w:abstractNumId w:val="9"/>
  </w:num>
  <w:num w:numId="4" w16cid:durableId="1673684262">
    <w:abstractNumId w:val="9"/>
  </w:num>
  <w:num w:numId="5" w16cid:durableId="1922449983">
    <w:abstractNumId w:val="1"/>
    <w:lvlOverride w:ilvl="0">
      <w:lvl w:ilvl="0">
        <w:numFmt w:val="decimal"/>
        <w:lvlText w:val="%1."/>
        <w:lvlJc w:val="left"/>
      </w:lvl>
    </w:lvlOverride>
  </w:num>
  <w:num w:numId="6" w16cid:durableId="1507281670">
    <w:abstractNumId w:val="2"/>
    <w:lvlOverride w:ilvl="0">
      <w:lvl w:ilvl="0">
        <w:numFmt w:val="decimal"/>
        <w:lvlText w:val="%1."/>
        <w:lvlJc w:val="left"/>
      </w:lvl>
    </w:lvlOverride>
  </w:num>
  <w:num w:numId="7" w16cid:durableId="146870750">
    <w:abstractNumId w:val="2"/>
    <w:lvlOverride w:ilvl="0">
      <w:lvl w:ilvl="0">
        <w:numFmt w:val="decimal"/>
        <w:lvlText w:val="%1."/>
        <w:lvlJc w:val="left"/>
      </w:lvl>
    </w:lvlOverride>
    <w:lvlOverride w:ilvl="1">
      <w:lvl w:ilvl="1">
        <w:numFmt w:val="lowerLetter"/>
        <w:lvlText w:val="%2."/>
        <w:lvlJc w:val="left"/>
      </w:lvl>
    </w:lvlOverride>
  </w:num>
  <w:num w:numId="8" w16cid:durableId="333193067">
    <w:abstractNumId w:val="6"/>
    <w:lvlOverride w:ilvl="0">
      <w:lvl w:ilvl="0">
        <w:numFmt w:val="decimal"/>
        <w:lvlText w:val="%1."/>
        <w:lvlJc w:val="left"/>
      </w:lvl>
    </w:lvlOverride>
  </w:num>
  <w:num w:numId="9" w16cid:durableId="1936280274">
    <w:abstractNumId w:val="6"/>
    <w:lvlOverride w:ilvl="0">
      <w:lvl w:ilvl="0">
        <w:numFmt w:val="decimal"/>
        <w:lvlText w:val="%1."/>
        <w:lvlJc w:val="left"/>
      </w:lvl>
    </w:lvlOverride>
    <w:lvlOverride w:ilvl="1">
      <w:lvl w:ilvl="1">
        <w:numFmt w:val="lowerLetter"/>
        <w:lvlText w:val="%2."/>
        <w:lvlJc w:val="left"/>
      </w:lvl>
    </w:lvlOverride>
  </w:num>
  <w:num w:numId="10" w16cid:durableId="1407146297">
    <w:abstractNumId w:val="7"/>
    <w:lvlOverride w:ilvl="0">
      <w:lvl w:ilvl="0">
        <w:numFmt w:val="lowerLetter"/>
        <w:lvlText w:val="%1."/>
        <w:lvlJc w:val="left"/>
      </w:lvl>
    </w:lvlOverride>
  </w:num>
  <w:num w:numId="11" w16cid:durableId="1257252465">
    <w:abstractNumId w:val="5"/>
  </w:num>
  <w:num w:numId="12" w16cid:durableId="1333753578">
    <w:abstractNumId w:val="5"/>
  </w:num>
  <w:num w:numId="13" w16cid:durableId="618417625">
    <w:abstractNumId w:val="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4" w16cid:durableId="824056342">
    <w:abstractNumId w:val="4"/>
  </w:num>
  <w:num w:numId="15" w16cid:durableId="10814164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FEF"/>
    <w:rsid w:val="000063CF"/>
    <w:rsid w:val="00016593"/>
    <w:rsid w:val="0001766C"/>
    <w:rsid w:val="0003708D"/>
    <w:rsid w:val="00040D33"/>
    <w:rsid w:val="00044D40"/>
    <w:rsid w:val="00045EAF"/>
    <w:rsid w:val="000519C0"/>
    <w:rsid w:val="00054122"/>
    <w:rsid w:val="00063E8F"/>
    <w:rsid w:val="000679EF"/>
    <w:rsid w:val="000733C1"/>
    <w:rsid w:val="00077939"/>
    <w:rsid w:val="00081047"/>
    <w:rsid w:val="0008151C"/>
    <w:rsid w:val="00095A96"/>
    <w:rsid w:val="000A188A"/>
    <w:rsid w:val="000A210D"/>
    <w:rsid w:val="000C3262"/>
    <w:rsid w:val="000C3E16"/>
    <w:rsid w:val="000D5985"/>
    <w:rsid w:val="000E68FC"/>
    <w:rsid w:val="00101FF6"/>
    <w:rsid w:val="00102D95"/>
    <w:rsid w:val="0010430B"/>
    <w:rsid w:val="00107A87"/>
    <w:rsid w:val="00111593"/>
    <w:rsid w:val="00113AFC"/>
    <w:rsid w:val="00113C8F"/>
    <w:rsid w:val="00121236"/>
    <w:rsid w:val="00122A40"/>
    <w:rsid w:val="00124378"/>
    <w:rsid w:val="00132F05"/>
    <w:rsid w:val="00133C20"/>
    <w:rsid w:val="00135164"/>
    <w:rsid w:val="00146EF9"/>
    <w:rsid w:val="00165637"/>
    <w:rsid w:val="001674FE"/>
    <w:rsid w:val="0017611D"/>
    <w:rsid w:val="0017630C"/>
    <w:rsid w:val="001A0150"/>
    <w:rsid w:val="001A129A"/>
    <w:rsid w:val="001A45FA"/>
    <w:rsid w:val="001C0EF9"/>
    <w:rsid w:val="001C1331"/>
    <w:rsid w:val="001F5427"/>
    <w:rsid w:val="00207728"/>
    <w:rsid w:val="002105E1"/>
    <w:rsid w:val="00212A30"/>
    <w:rsid w:val="00217831"/>
    <w:rsid w:val="00232DD7"/>
    <w:rsid w:val="00234A82"/>
    <w:rsid w:val="00243BA6"/>
    <w:rsid w:val="002705E0"/>
    <w:rsid w:val="00272344"/>
    <w:rsid w:val="00273152"/>
    <w:rsid w:val="00285B9D"/>
    <w:rsid w:val="00291ECF"/>
    <w:rsid w:val="002933C3"/>
    <w:rsid w:val="002B4FC4"/>
    <w:rsid w:val="002C689F"/>
    <w:rsid w:val="002E3327"/>
    <w:rsid w:val="002F5C51"/>
    <w:rsid w:val="00314433"/>
    <w:rsid w:val="003166E7"/>
    <w:rsid w:val="00335112"/>
    <w:rsid w:val="00342765"/>
    <w:rsid w:val="00345DBA"/>
    <w:rsid w:val="00353BE5"/>
    <w:rsid w:val="00363AF4"/>
    <w:rsid w:val="00383576"/>
    <w:rsid w:val="00384CB4"/>
    <w:rsid w:val="003B6A69"/>
    <w:rsid w:val="003B748A"/>
    <w:rsid w:val="003C69B8"/>
    <w:rsid w:val="003D2B4C"/>
    <w:rsid w:val="003D4571"/>
    <w:rsid w:val="003D47EE"/>
    <w:rsid w:val="003D5736"/>
    <w:rsid w:val="003F1F84"/>
    <w:rsid w:val="003F542D"/>
    <w:rsid w:val="0040704B"/>
    <w:rsid w:val="00420CCA"/>
    <w:rsid w:val="00425D39"/>
    <w:rsid w:val="0042741D"/>
    <w:rsid w:val="00431BBA"/>
    <w:rsid w:val="00436E3F"/>
    <w:rsid w:val="00447AD5"/>
    <w:rsid w:val="00457967"/>
    <w:rsid w:val="00463E18"/>
    <w:rsid w:val="00474C8E"/>
    <w:rsid w:val="0048220B"/>
    <w:rsid w:val="004A114F"/>
    <w:rsid w:val="004A523C"/>
    <w:rsid w:val="004B1130"/>
    <w:rsid w:val="004C3772"/>
    <w:rsid w:val="004D24C2"/>
    <w:rsid w:val="004F0D44"/>
    <w:rsid w:val="004F238F"/>
    <w:rsid w:val="00513BF9"/>
    <w:rsid w:val="00520C29"/>
    <w:rsid w:val="0053119E"/>
    <w:rsid w:val="005313B8"/>
    <w:rsid w:val="00531F28"/>
    <w:rsid w:val="00562806"/>
    <w:rsid w:val="00563FEF"/>
    <w:rsid w:val="0057180F"/>
    <w:rsid w:val="00574FCB"/>
    <w:rsid w:val="00575AC3"/>
    <w:rsid w:val="00577B3C"/>
    <w:rsid w:val="00584DD0"/>
    <w:rsid w:val="00592490"/>
    <w:rsid w:val="005B0929"/>
    <w:rsid w:val="005B4B57"/>
    <w:rsid w:val="005C4CF8"/>
    <w:rsid w:val="005E0D0A"/>
    <w:rsid w:val="005E6C2F"/>
    <w:rsid w:val="005F2A00"/>
    <w:rsid w:val="00606F64"/>
    <w:rsid w:val="006141F8"/>
    <w:rsid w:val="00625CD3"/>
    <w:rsid w:val="0063528E"/>
    <w:rsid w:val="00637FC3"/>
    <w:rsid w:val="00673F8B"/>
    <w:rsid w:val="00676220"/>
    <w:rsid w:val="006835E6"/>
    <w:rsid w:val="006842B1"/>
    <w:rsid w:val="006852F6"/>
    <w:rsid w:val="00685E3F"/>
    <w:rsid w:val="00687693"/>
    <w:rsid w:val="00694A9F"/>
    <w:rsid w:val="006A391B"/>
    <w:rsid w:val="006B1F5E"/>
    <w:rsid w:val="006B35BE"/>
    <w:rsid w:val="006E006F"/>
    <w:rsid w:val="006E07D3"/>
    <w:rsid w:val="006E17B2"/>
    <w:rsid w:val="006E1CEC"/>
    <w:rsid w:val="006E3B31"/>
    <w:rsid w:val="006E4C92"/>
    <w:rsid w:val="00700475"/>
    <w:rsid w:val="007028C7"/>
    <w:rsid w:val="0071164B"/>
    <w:rsid w:val="00731DE2"/>
    <w:rsid w:val="00733BA5"/>
    <w:rsid w:val="00734F3B"/>
    <w:rsid w:val="00737850"/>
    <w:rsid w:val="00740BAF"/>
    <w:rsid w:val="007509FE"/>
    <w:rsid w:val="00773601"/>
    <w:rsid w:val="0077607E"/>
    <w:rsid w:val="00785290"/>
    <w:rsid w:val="00785501"/>
    <w:rsid w:val="00787046"/>
    <w:rsid w:val="007912AF"/>
    <w:rsid w:val="00792F41"/>
    <w:rsid w:val="007957A6"/>
    <w:rsid w:val="00796612"/>
    <w:rsid w:val="007A1F6D"/>
    <w:rsid w:val="007C11DF"/>
    <w:rsid w:val="007D73FC"/>
    <w:rsid w:val="007E699A"/>
    <w:rsid w:val="008168CA"/>
    <w:rsid w:val="00821D4C"/>
    <w:rsid w:val="00853014"/>
    <w:rsid w:val="00855255"/>
    <w:rsid w:val="008751E7"/>
    <w:rsid w:val="00876D6B"/>
    <w:rsid w:val="00893635"/>
    <w:rsid w:val="0089701C"/>
    <w:rsid w:val="008973D2"/>
    <w:rsid w:val="008A639E"/>
    <w:rsid w:val="008A6836"/>
    <w:rsid w:val="008B4E71"/>
    <w:rsid w:val="008C28DD"/>
    <w:rsid w:val="008C2D26"/>
    <w:rsid w:val="008E1798"/>
    <w:rsid w:val="008F0DF6"/>
    <w:rsid w:val="008F1328"/>
    <w:rsid w:val="008F472B"/>
    <w:rsid w:val="008F550D"/>
    <w:rsid w:val="008F622A"/>
    <w:rsid w:val="009133E2"/>
    <w:rsid w:val="009162AE"/>
    <w:rsid w:val="00920E56"/>
    <w:rsid w:val="00922DAE"/>
    <w:rsid w:val="00924A25"/>
    <w:rsid w:val="00931057"/>
    <w:rsid w:val="00936FEF"/>
    <w:rsid w:val="00955CDE"/>
    <w:rsid w:val="00956565"/>
    <w:rsid w:val="009612C4"/>
    <w:rsid w:val="00970F41"/>
    <w:rsid w:val="009715AA"/>
    <w:rsid w:val="00992D16"/>
    <w:rsid w:val="0099741C"/>
    <w:rsid w:val="009B68D1"/>
    <w:rsid w:val="009C4703"/>
    <w:rsid w:val="009C7D04"/>
    <w:rsid w:val="009D31E5"/>
    <w:rsid w:val="009E262B"/>
    <w:rsid w:val="009F67D7"/>
    <w:rsid w:val="00A16DDD"/>
    <w:rsid w:val="00A23325"/>
    <w:rsid w:val="00A31BEF"/>
    <w:rsid w:val="00A3390B"/>
    <w:rsid w:val="00A43CBA"/>
    <w:rsid w:val="00A4737C"/>
    <w:rsid w:val="00A53462"/>
    <w:rsid w:val="00A649A9"/>
    <w:rsid w:val="00A7683B"/>
    <w:rsid w:val="00A77BFE"/>
    <w:rsid w:val="00AC1748"/>
    <w:rsid w:val="00AC761D"/>
    <w:rsid w:val="00AD090B"/>
    <w:rsid w:val="00AE05F0"/>
    <w:rsid w:val="00AE1531"/>
    <w:rsid w:val="00AE191E"/>
    <w:rsid w:val="00AF1115"/>
    <w:rsid w:val="00AF3305"/>
    <w:rsid w:val="00B12958"/>
    <w:rsid w:val="00B14A99"/>
    <w:rsid w:val="00B23063"/>
    <w:rsid w:val="00B23A3C"/>
    <w:rsid w:val="00B23E07"/>
    <w:rsid w:val="00B274B4"/>
    <w:rsid w:val="00B35F25"/>
    <w:rsid w:val="00B36930"/>
    <w:rsid w:val="00B43500"/>
    <w:rsid w:val="00B52631"/>
    <w:rsid w:val="00B54AF2"/>
    <w:rsid w:val="00B54B38"/>
    <w:rsid w:val="00B637AC"/>
    <w:rsid w:val="00B6749D"/>
    <w:rsid w:val="00B706E3"/>
    <w:rsid w:val="00B75761"/>
    <w:rsid w:val="00B90320"/>
    <w:rsid w:val="00B95DFA"/>
    <w:rsid w:val="00B96580"/>
    <w:rsid w:val="00BA56E8"/>
    <w:rsid w:val="00BB745D"/>
    <w:rsid w:val="00BD68B9"/>
    <w:rsid w:val="00BE1964"/>
    <w:rsid w:val="00BE53FF"/>
    <w:rsid w:val="00BF5475"/>
    <w:rsid w:val="00C04D58"/>
    <w:rsid w:val="00C27F24"/>
    <w:rsid w:val="00C3136D"/>
    <w:rsid w:val="00C460C6"/>
    <w:rsid w:val="00C46988"/>
    <w:rsid w:val="00C56899"/>
    <w:rsid w:val="00C705FA"/>
    <w:rsid w:val="00C713FD"/>
    <w:rsid w:val="00C77986"/>
    <w:rsid w:val="00C803C4"/>
    <w:rsid w:val="00C82610"/>
    <w:rsid w:val="00C849FB"/>
    <w:rsid w:val="00C86152"/>
    <w:rsid w:val="00C90F26"/>
    <w:rsid w:val="00C9169C"/>
    <w:rsid w:val="00C958F6"/>
    <w:rsid w:val="00CA2C99"/>
    <w:rsid w:val="00CB68A2"/>
    <w:rsid w:val="00CC259F"/>
    <w:rsid w:val="00CD06B0"/>
    <w:rsid w:val="00CD2288"/>
    <w:rsid w:val="00CD2B8C"/>
    <w:rsid w:val="00CD50D4"/>
    <w:rsid w:val="00CD7E93"/>
    <w:rsid w:val="00CE3F04"/>
    <w:rsid w:val="00CF38F4"/>
    <w:rsid w:val="00CF49D8"/>
    <w:rsid w:val="00CF58F7"/>
    <w:rsid w:val="00D01D66"/>
    <w:rsid w:val="00D037E4"/>
    <w:rsid w:val="00D30B6F"/>
    <w:rsid w:val="00D43671"/>
    <w:rsid w:val="00D47A72"/>
    <w:rsid w:val="00D53592"/>
    <w:rsid w:val="00D54C00"/>
    <w:rsid w:val="00D5606B"/>
    <w:rsid w:val="00D8454B"/>
    <w:rsid w:val="00D90ACD"/>
    <w:rsid w:val="00D92E56"/>
    <w:rsid w:val="00DA4F3B"/>
    <w:rsid w:val="00DB3744"/>
    <w:rsid w:val="00DB3843"/>
    <w:rsid w:val="00DB4CFB"/>
    <w:rsid w:val="00DC2A70"/>
    <w:rsid w:val="00DC6157"/>
    <w:rsid w:val="00DD4AB2"/>
    <w:rsid w:val="00DE3B61"/>
    <w:rsid w:val="00DE3E9C"/>
    <w:rsid w:val="00DE5A27"/>
    <w:rsid w:val="00DF5C0B"/>
    <w:rsid w:val="00E12B97"/>
    <w:rsid w:val="00E14884"/>
    <w:rsid w:val="00E25C63"/>
    <w:rsid w:val="00E3371D"/>
    <w:rsid w:val="00E35047"/>
    <w:rsid w:val="00E459AF"/>
    <w:rsid w:val="00E45AF4"/>
    <w:rsid w:val="00E60FB5"/>
    <w:rsid w:val="00E62E9F"/>
    <w:rsid w:val="00E6317D"/>
    <w:rsid w:val="00E67264"/>
    <w:rsid w:val="00E7625E"/>
    <w:rsid w:val="00E847EE"/>
    <w:rsid w:val="00E95F6D"/>
    <w:rsid w:val="00EB5CDD"/>
    <w:rsid w:val="00ED026B"/>
    <w:rsid w:val="00ED0370"/>
    <w:rsid w:val="00ED7DFD"/>
    <w:rsid w:val="00EE25CD"/>
    <w:rsid w:val="00F201A2"/>
    <w:rsid w:val="00F2272A"/>
    <w:rsid w:val="00F272C8"/>
    <w:rsid w:val="00F30452"/>
    <w:rsid w:val="00F3119D"/>
    <w:rsid w:val="00F35A79"/>
    <w:rsid w:val="00F365E6"/>
    <w:rsid w:val="00F3767B"/>
    <w:rsid w:val="00F42C29"/>
    <w:rsid w:val="00F43B45"/>
    <w:rsid w:val="00F44D38"/>
    <w:rsid w:val="00F46080"/>
    <w:rsid w:val="00F527B8"/>
    <w:rsid w:val="00F67CF2"/>
    <w:rsid w:val="00F82015"/>
    <w:rsid w:val="00F824A0"/>
    <w:rsid w:val="00F843CA"/>
    <w:rsid w:val="00F85FE2"/>
    <w:rsid w:val="00FB2E11"/>
    <w:rsid w:val="00FB5575"/>
    <w:rsid w:val="00FC012E"/>
    <w:rsid w:val="00FC1AED"/>
    <w:rsid w:val="00FC6A1C"/>
    <w:rsid w:val="00FC6A74"/>
    <w:rsid w:val="00FD0CF2"/>
    <w:rsid w:val="00FD12AB"/>
    <w:rsid w:val="00FD33F0"/>
    <w:rsid w:val="00FF0BD6"/>
    <w:rsid w:val="00FF39D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F4475"/>
  <w15:chartTrackingRefBased/>
  <w15:docId w15:val="{4A9AE49A-CB12-4539-BE07-6A8FB55FE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B68A2"/>
    <w:pPr>
      <w:spacing w:before="100" w:beforeAutospacing="1" w:after="100" w:afterAutospacing="1" w:line="240" w:lineRule="auto"/>
      <w:outlineLvl w:val="1"/>
    </w:pPr>
    <w:rPr>
      <w:rFonts w:ascii="Times New Roman" w:eastAsia="Times New Roman" w:hAnsi="Times New Roman" w:cs="Times New Roman"/>
      <w:b/>
      <w:bCs/>
      <w:sz w:val="36"/>
      <w:szCs w:val="3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6FEF"/>
    <w:pPr>
      <w:spacing w:before="100" w:beforeAutospacing="1" w:after="100" w:afterAutospacing="1" w:line="240" w:lineRule="auto"/>
    </w:pPr>
    <w:rPr>
      <w:rFonts w:ascii="Times New Roman" w:eastAsia="Times New Roman" w:hAnsi="Times New Roman" w:cs="Times New Roman"/>
      <w:sz w:val="24"/>
      <w:szCs w:val="24"/>
      <w:lang w:eastAsia="en-PH"/>
    </w:rPr>
  </w:style>
  <w:style w:type="paragraph" w:styleId="FootnoteText">
    <w:name w:val="footnote text"/>
    <w:basedOn w:val="Normal"/>
    <w:link w:val="FootnoteTextChar"/>
    <w:uiPriority w:val="99"/>
    <w:semiHidden/>
    <w:unhideWhenUsed/>
    <w:rsid w:val="00A534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3462"/>
    <w:rPr>
      <w:sz w:val="20"/>
      <w:szCs w:val="20"/>
    </w:rPr>
  </w:style>
  <w:style w:type="character" w:styleId="FootnoteReference">
    <w:name w:val="footnote reference"/>
    <w:basedOn w:val="DefaultParagraphFont"/>
    <w:uiPriority w:val="99"/>
    <w:semiHidden/>
    <w:unhideWhenUsed/>
    <w:rsid w:val="00A53462"/>
    <w:rPr>
      <w:vertAlign w:val="superscript"/>
    </w:rPr>
  </w:style>
  <w:style w:type="character" w:styleId="Hyperlink">
    <w:name w:val="Hyperlink"/>
    <w:basedOn w:val="DefaultParagraphFont"/>
    <w:uiPriority w:val="99"/>
    <w:unhideWhenUsed/>
    <w:rsid w:val="00A53462"/>
    <w:rPr>
      <w:color w:val="0000FF"/>
      <w:u w:val="single"/>
    </w:rPr>
  </w:style>
  <w:style w:type="character" w:styleId="UnresolvedMention">
    <w:name w:val="Unresolved Mention"/>
    <w:basedOn w:val="DefaultParagraphFont"/>
    <w:uiPriority w:val="99"/>
    <w:semiHidden/>
    <w:unhideWhenUsed/>
    <w:rsid w:val="00CF58F7"/>
    <w:rPr>
      <w:color w:val="605E5C"/>
      <w:shd w:val="clear" w:color="auto" w:fill="E1DFDD"/>
    </w:rPr>
  </w:style>
  <w:style w:type="character" w:customStyle="1" w:styleId="identifier">
    <w:name w:val="identifier"/>
    <w:basedOn w:val="DefaultParagraphFont"/>
    <w:rsid w:val="00CF58F7"/>
  </w:style>
  <w:style w:type="character" w:customStyle="1" w:styleId="doi">
    <w:name w:val="doi"/>
    <w:basedOn w:val="DefaultParagraphFont"/>
    <w:rsid w:val="00CC259F"/>
  </w:style>
  <w:style w:type="paragraph" w:styleId="ListParagraph">
    <w:name w:val="List Paragraph"/>
    <w:basedOn w:val="Normal"/>
    <w:uiPriority w:val="34"/>
    <w:qFormat/>
    <w:rsid w:val="00B706E3"/>
    <w:pPr>
      <w:ind w:left="720"/>
      <w:contextualSpacing/>
    </w:pPr>
  </w:style>
  <w:style w:type="character" w:customStyle="1" w:styleId="Heading2Char">
    <w:name w:val="Heading 2 Char"/>
    <w:basedOn w:val="DefaultParagraphFont"/>
    <w:link w:val="Heading2"/>
    <w:uiPriority w:val="9"/>
    <w:rsid w:val="00CB68A2"/>
    <w:rPr>
      <w:rFonts w:ascii="Times New Roman" w:eastAsia="Times New Roman" w:hAnsi="Times New Roman" w:cs="Times New Roman"/>
      <w:b/>
      <w:bCs/>
      <w:sz w:val="36"/>
      <w:szCs w:val="36"/>
      <w:lang w:eastAsia="en-PH"/>
    </w:rPr>
  </w:style>
  <w:style w:type="paragraph" w:styleId="Header">
    <w:name w:val="header"/>
    <w:basedOn w:val="Normal"/>
    <w:link w:val="HeaderChar"/>
    <w:uiPriority w:val="99"/>
    <w:unhideWhenUsed/>
    <w:rsid w:val="00B369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930"/>
  </w:style>
  <w:style w:type="paragraph" w:styleId="Footer">
    <w:name w:val="footer"/>
    <w:basedOn w:val="Normal"/>
    <w:link w:val="FooterChar"/>
    <w:uiPriority w:val="99"/>
    <w:unhideWhenUsed/>
    <w:rsid w:val="00B369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589329">
      <w:bodyDiv w:val="1"/>
      <w:marLeft w:val="0"/>
      <w:marRight w:val="0"/>
      <w:marTop w:val="0"/>
      <w:marBottom w:val="0"/>
      <w:divBdr>
        <w:top w:val="none" w:sz="0" w:space="0" w:color="auto"/>
        <w:left w:val="none" w:sz="0" w:space="0" w:color="auto"/>
        <w:bottom w:val="none" w:sz="0" w:space="0" w:color="auto"/>
        <w:right w:val="none" w:sz="0" w:space="0" w:color="auto"/>
      </w:divBdr>
    </w:div>
    <w:div w:id="614410901">
      <w:bodyDiv w:val="1"/>
      <w:marLeft w:val="0"/>
      <w:marRight w:val="0"/>
      <w:marTop w:val="0"/>
      <w:marBottom w:val="0"/>
      <w:divBdr>
        <w:top w:val="none" w:sz="0" w:space="0" w:color="auto"/>
        <w:left w:val="none" w:sz="0" w:space="0" w:color="auto"/>
        <w:bottom w:val="none" w:sz="0" w:space="0" w:color="auto"/>
        <w:right w:val="none" w:sz="0" w:space="0" w:color="auto"/>
      </w:divBdr>
    </w:div>
    <w:div w:id="1054886923">
      <w:bodyDiv w:val="1"/>
      <w:marLeft w:val="0"/>
      <w:marRight w:val="0"/>
      <w:marTop w:val="0"/>
      <w:marBottom w:val="0"/>
      <w:divBdr>
        <w:top w:val="none" w:sz="0" w:space="0" w:color="auto"/>
        <w:left w:val="none" w:sz="0" w:space="0" w:color="auto"/>
        <w:bottom w:val="none" w:sz="0" w:space="0" w:color="auto"/>
        <w:right w:val="none" w:sz="0" w:space="0" w:color="auto"/>
      </w:divBdr>
    </w:div>
    <w:div w:id="1120874443">
      <w:bodyDiv w:val="1"/>
      <w:marLeft w:val="0"/>
      <w:marRight w:val="0"/>
      <w:marTop w:val="0"/>
      <w:marBottom w:val="0"/>
      <w:divBdr>
        <w:top w:val="none" w:sz="0" w:space="0" w:color="auto"/>
        <w:left w:val="none" w:sz="0" w:space="0" w:color="auto"/>
        <w:bottom w:val="none" w:sz="0" w:space="0" w:color="auto"/>
        <w:right w:val="none" w:sz="0" w:space="0" w:color="auto"/>
      </w:divBdr>
    </w:div>
    <w:div w:id="1940605145">
      <w:bodyDiv w:val="1"/>
      <w:marLeft w:val="0"/>
      <w:marRight w:val="0"/>
      <w:marTop w:val="0"/>
      <w:marBottom w:val="0"/>
      <w:divBdr>
        <w:top w:val="none" w:sz="0" w:space="0" w:color="auto"/>
        <w:left w:val="none" w:sz="0" w:space="0" w:color="auto"/>
        <w:bottom w:val="none" w:sz="0" w:space="0" w:color="auto"/>
        <w:right w:val="none" w:sz="0" w:space="0" w:color="auto"/>
      </w:divBdr>
    </w:div>
    <w:div w:id="204590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B0AF8-32A5-4462-B529-4D8091864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6142</Words>
  <Characters>35012</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Ray Espino</dc:creator>
  <cp:keywords/>
  <dc:description/>
  <cp:lastModifiedBy>Reynaldo Espino</cp:lastModifiedBy>
  <cp:revision>2</cp:revision>
  <cp:lastPrinted>2022-02-05T16:31:00Z</cp:lastPrinted>
  <dcterms:created xsi:type="dcterms:W3CDTF">2022-10-22T01:38:00Z</dcterms:created>
  <dcterms:modified xsi:type="dcterms:W3CDTF">2022-10-22T01:38:00Z</dcterms:modified>
</cp:coreProperties>
</file>