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925" w:rsidRPr="00024617" w:rsidRDefault="00490925" w:rsidP="00024617">
      <w:pPr>
        <w:spacing w:line="480" w:lineRule="auto"/>
        <w:jc w:val="both"/>
        <w:rPr>
          <w:rFonts w:ascii="Times New Roman" w:hAnsi="Times New Roman"/>
          <w:b/>
          <w:bCs/>
          <w:sz w:val="24"/>
          <w:szCs w:val="24"/>
          <w:lang w:val="en-US"/>
        </w:rPr>
      </w:pPr>
      <w:bookmarkStart w:id="0" w:name="_Hlk124518898"/>
      <w:r w:rsidRPr="00024617">
        <w:rPr>
          <w:rFonts w:ascii="Times New Roman" w:hAnsi="Times New Roman"/>
          <w:b/>
          <w:bCs/>
          <w:sz w:val="24"/>
          <w:szCs w:val="24"/>
          <w:lang w:val="en-US"/>
        </w:rPr>
        <w:t>On Epistemic Black Holes. How Self-Sealing Belief Systems Develop and Evolve</w:t>
      </w:r>
    </w:p>
    <w:p w:rsidR="00490925" w:rsidRPr="00024617" w:rsidRDefault="00490925" w:rsidP="00024617">
      <w:pPr>
        <w:spacing w:line="480" w:lineRule="auto"/>
        <w:jc w:val="both"/>
        <w:rPr>
          <w:rFonts w:ascii="Times New Roman" w:hAnsi="Times New Roman"/>
          <w:b/>
          <w:bCs/>
          <w:i/>
          <w:iCs/>
          <w:sz w:val="24"/>
          <w:szCs w:val="24"/>
          <w:lang w:val="en-US"/>
        </w:rPr>
      </w:pPr>
      <w:r w:rsidRPr="00024617">
        <w:rPr>
          <w:rFonts w:ascii="Times New Roman" w:hAnsi="Times New Roman"/>
          <w:b/>
          <w:bCs/>
          <w:i/>
          <w:iCs/>
          <w:sz w:val="24"/>
          <w:szCs w:val="24"/>
          <w:lang w:val="en-US"/>
        </w:rPr>
        <w:t xml:space="preserve">Abstract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Some belief systems postulate intelligent agents that are deliberately evading detection and thus sabotaging any possible investigation into their existence. This may give rise to an ‘epistemic black hole’, as we call it: a complex of beliefs that is extremely attractive but hard to escape from. We describe the outlines of epistemic black holes in a range of different domains: politics, history, psychology, and religion. Because of their extreme resilience to counterevidence, such belief systems suffer from a recurring problem of arbitrariness and proliferating alternatives, and they tend to develop and evolve in analogous ways. Shedding light on how epistemic black holes function can protect us against their allure.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Keywords: belief systems; irrationality; conspiracy theories; epistemology; cultural evolution; divine hiddenness; Freudian psychoanalysis; witchcraft beliefs </w:t>
      </w:r>
    </w:p>
    <w:p w:rsidR="00490925" w:rsidRPr="00024617" w:rsidRDefault="00490925" w:rsidP="00024617">
      <w:pPr>
        <w:spacing w:line="480" w:lineRule="auto"/>
        <w:rPr>
          <w:rFonts w:ascii="Times New Roman" w:hAnsi="Times New Roman"/>
          <w:sz w:val="24"/>
          <w:szCs w:val="24"/>
          <w:lang w:val="en-US"/>
        </w:rPr>
      </w:pPr>
    </w:p>
    <w:p w:rsidR="00490925" w:rsidRPr="00024617" w:rsidRDefault="00490925" w:rsidP="00024617">
      <w:pPr>
        <w:spacing w:line="480" w:lineRule="auto"/>
        <w:jc w:val="both"/>
        <w:rPr>
          <w:rFonts w:ascii="Times New Roman" w:eastAsiaTheme="majorEastAsia" w:hAnsi="Times New Roman"/>
          <w:sz w:val="24"/>
          <w:szCs w:val="24"/>
          <w:lang w:val="en-US"/>
        </w:rPr>
      </w:pPr>
      <w:r w:rsidRPr="00024617">
        <w:rPr>
          <w:rFonts w:ascii="Times New Roman" w:hAnsi="Times New Roman"/>
          <w:sz w:val="24"/>
          <w:szCs w:val="24"/>
          <w:lang w:val="en-US"/>
        </w:rPr>
        <w:br w:type="page"/>
      </w:r>
    </w:p>
    <w:p w:rsidR="00490925" w:rsidRPr="00024617" w:rsidRDefault="00490925" w:rsidP="00024617">
      <w:pPr>
        <w:spacing w:line="480" w:lineRule="auto"/>
        <w:jc w:val="both"/>
        <w:rPr>
          <w:rFonts w:ascii="Times New Roman" w:hAnsi="Times New Roman"/>
          <w:b/>
          <w:bCs/>
          <w:sz w:val="24"/>
          <w:szCs w:val="24"/>
          <w:lang w:val="en-US"/>
        </w:rPr>
      </w:pPr>
      <w:bookmarkStart w:id="1" w:name="_Toc45717978"/>
      <w:bookmarkStart w:id="2" w:name="_Toc117878432"/>
      <w:r w:rsidRPr="00024617">
        <w:rPr>
          <w:rFonts w:ascii="Times New Roman" w:hAnsi="Times New Roman"/>
          <w:b/>
          <w:bCs/>
          <w:sz w:val="24"/>
          <w:szCs w:val="24"/>
          <w:lang w:val="en-US"/>
        </w:rPr>
        <w:lastRenderedPageBreak/>
        <w:t>On Epistemic Black Holes. How Self-Sealing Belief Systems Develop and Evolve</w:t>
      </w:r>
    </w:p>
    <w:p w:rsidR="00490925" w:rsidRPr="00024617" w:rsidRDefault="00490925" w:rsidP="00024617">
      <w:pPr>
        <w:pStyle w:val="Kop1"/>
        <w:spacing w:line="480" w:lineRule="auto"/>
        <w:jc w:val="both"/>
        <w:rPr>
          <w:rFonts w:ascii="Times New Roman" w:hAnsi="Times New Roman" w:cs="Times New Roman"/>
          <w:color w:val="auto"/>
          <w:sz w:val="24"/>
          <w:szCs w:val="24"/>
          <w:lang w:val="en-US"/>
        </w:rPr>
      </w:pPr>
      <w:r w:rsidRPr="00024617">
        <w:rPr>
          <w:rFonts w:ascii="Times New Roman" w:hAnsi="Times New Roman" w:cs="Times New Roman"/>
          <w:color w:val="auto"/>
          <w:sz w:val="24"/>
          <w:szCs w:val="24"/>
          <w:lang w:val="en-US"/>
        </w:rPr>
        <w:t>Introduction</w:t>
      </w:r>
      <w:bookmarkEnd w:id="1"/>
      <w:bookmarkEnd w:id="2"/>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“To believe passionately in the palpably not true,” wrote the American essayist H. L. Mencken, is the “chief occupation of mankind.” Mencken was clearly overstating his case, as humans are by and large rational creatures and most of our beliefs are at least approximately true </w:t>
      </w:r>
      <w:r w:rsidRPr="00024617">
        <w:rPr>
          <w:rFonts w:ascii="Times New Roman" w:hAnsi="Times New Roman"/>
          <w:noProof/>
          <w:sz w:val="24"/>
          <w:szCs w:val="24"/>
          <w:lang w:val="en-US"/>
        </w:rPr>
        <w:t>(Mercier, 2020; Pinker, 2021)</w:t>
      </w:r>
      <w:r w:rsidRPr="00024617">
        <w:rPr>
          <w:rFonts w:ascii="Times New Roman" w:hAnsi="Times New Roman"/>
          <w:sz w:val="24"/>
          <w:szCs w:val="24"/>
          <w:lang w:val="en-US"/>
        </w:rPr>
        <w:t xml:space="preserve">. But Mencken’s sentiment is understandable. Here’s a sample of some extremely implausible and unfounded beliefs that are endorsed by many apparently sane and rational people even in the age of modern science: the Moon landing never happened but was staged in a Hollywood studio; extraterrestrial visitors have abducted people in their sleep and conducted sexual experiments on them; the 9/11 attacks were an inside job carried out by the Bush administration; all living creatures were created in their present form a couple of thousands years ago; the world is secretly run by a small clique of Satan-worshipping pedophiles (or by a super-race of extraterrestrial lizard beings); the vaccines against COVID-19 contain </w:t>
      </w:r>
      <w:proofErr w:type="spellStart"/>
      <w:r w:rsidRPr="00024617">
        <w:rPr>
          <w:rFonts w:ascii="Times New Roman" w:hAnsi="Times New Roman"/>
          <w:sz w:val="24"/>
          <w:szCs w:val="24"/>
          <w:lang w:val="en-US"/>
        </w:rPr>
        <w:t>nano</w:t>
      </w:r>
      <w:proofErr w:type="spellEnd"/>
      <w:r w:rsidRPr="00024617">
        <w:rPr>
          <w:rFonts w:ascii="Times New Roman" w:hAnsi="Times New Roman"/>
          <w:sz w:val="24"/>
          <w:szCs w:val="24"/>
          <w:lang w:val="en-US"/>
        </w:rPr>
        <w:t>-tech microchips invented by Bill Gates in a plan for mind control and world domination; and the Earth is a flat disc surrounded by a wall of ice known as ‘Antarctica’.</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But are such beliefs really “palpably untrue”? One dimension that remains relatively unexplored in explaining the cultural success of such unfounded beliefs is the role of epistemology, in particular the structure of certain beliefs and the evidential relations between them. In this paper, we outline the existence of ‘epistemic black holes’, namely belief systems that are structured in such a way that they exert an exceptionally strong attraction on unwitting believers, and from which it is very difficult to escape, once you have fallen into their orbit. What these epistemic black holes have in common, we shall argue, is that they involve some sort of intentional agency (either a single agent or a consortium of different agents working together) that deliberately attempts to evade detection and sabotage our investigation into its/their existence. By drawing </w:t>
      </w:r>
      <w:r w:rsidRPr="00024617">
        <w:rPr>
          <w:rFonts w:ascii="Times New Roman" w:hAnsi="Times New Roman"/>
          <w:sz w:val="24"/>
          <w:szCs w:val="24"/>
          <w:lang w:val="en-US"/>
        </w:rPr>
        <w:lastRenderedPageBreak/>
        <w:t xml:space="preserve">parallels between such epistemic black holes in a range of different domains, we gain more insight into their enduring appeal and their cultural development.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Here’s an outline of the paper. First, we present the conceptual outline of epistemic black holes and explain their remarkable resilience to adverse evidence and outside attacks (section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_Ref104752162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2.1</w:t>
      </w:r>
      <w:r w:rsidRPr="00024617">
        <w:rPr>
          <w:rFonts w:ascii="Times New Roman" w:hAnsi="Times New Roman"/>
          <w:sz w:val="24"/>
          <w:szCs w:val="24"/>
          <w:lang w:val="en-US"/>
        </w:rPr>
        <w:fldChar w:fldCharType="end"/>
      </w:r>
      <w:r w:rsidRPr="00024617">
        <w:rPr>
          <w:rFonts w:ascii="Times New Roman" w:hAnsi="Times New Roman"/>
          <w:sz w:val="24"/>
          <w:szCs w:val="24"/>
          <w:lang w:val="en-US"/>
        </w:rPr>
        <w:t>). Next, we show that this structure is instantiated by a range of different belief systems, starting with certain unfounded conspiracy theories about historical events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_Ref104752170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2.2</w:t>
      </w:r>
      <w:r w:rsidRPr="00024617">
        <w:rPr>
          <w:rFonts w:ascii="Times New Roman" w:hAnsi="Times New Roman"/>
          <w:sz w:val="24"/>
          <w:szCs w:val="24"/>
          <w:lang w:val="en-US"/>
        </w:rPr>
        <w:fldChar w:fldCharType="end"/>
      </w:r>
      <w:r w:rsidRPr="00024617">
        <w:rPr>
          <w:rFonts w:ascii="Times New Roman" w:hAnsi="Times New Roman"/>
          <w:sz w:val="24"/>
          <w:szCs w:val="24"/>
          <w:lang w:val="en-US"/>
        </w:rPr>
        <w:t>). We then outline epistemic black holes in the domain of religious belief: after briefly discussing the tradition of ‘divine hiddenness’ in theism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_Ref112340474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3.2.1</w:t>
      </w:r>
      <w:r w:rsidRPr="00024617">
        <w:rPr>
          <w:rFonts w:ascii="Times New Roman" w:hAnsi="Times New Roman"/>
          <w:sz w:val="24"/>
          <w:szCs w:val="24"/>
          <w:lang w:val="en-US"/>
        </w:rPr>
        <w:fldChar w:fldCharType="end"/>
      </w:r>
      <w:r w:rsidRPr="00024617">
        <w:rPr>
          <w:rFonts w:ascii="Times New Roman" w:hAnsi="Times New Roman"/>
          <w:sz w:val="24"/>
          <w:szCs w:val="24"/>
          <w:lang w:val="en-US"/>
        </w:rPr>
        <w:t>), we develop the case study of witchcraft beliefs in early modern Europe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_Ref112340458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3.2.2</w:t>
      </w:r>
      <w:r w:rsidRPr="00024617">
        <w:rPr>
          <w:rFonts w:ascii="Times New Roman" w:hAnsi="Times New Roman"/>
          <w:sz w:val="24"/>
          <w:szCs w:val="24"/>
          <w:lang w:val="en-US"/>
        </w:rPr>
        <w:fldChar w:fldCharType="end"/>
      </w:r>
      <w:r w:rsidRPr="00024617">
        <w:rPr>
          <w:rFonts w:ascii="Times New Roman" w:hAnsi="Times New Roman"/>
          <w:sz w:val="24"/>
          <w:szCs w:val="24"/>
          <w:lang w:val="en-US"/>
        </w:rPr>
        <w:t xml:space="preserve">). Finally we look at a surprising example of an epistemic black hole in the history of psychology: Freudian psychoanalysis. In section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_Ref102412022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3</w:t>
      </w:r>
      <w:r w:rsidRPr="00024617">
        <w:rPr>
          <w:rFonts w:ascii="Times New Roman" w:hAnsi="Times New Roman"/>
          <w:sz w:val="24"/>
          <w:szCs w:val="24"/>
          <w:lang w:val="en-US"/>
        </w:rPr>
        <w:fldChar w:fldCharType="end"/>
      </w:r>
      <w:r w:rsidRPr="00024617">
        <w:rPr>
          <w:rFonts w:ascii="Times New Roman" w:hAnsi="Times New Roman"/>
          <w:sz w:val="24"/>
          <w:szCs w:val="24"/>
          <w:lang w:val="en-US"/>
        </w:rPr>
        <w:t>, we make some observations about the cultural dynamics and development of ‘black hole’ belief systems. In particular, owing to their self-insulating nature, they suffer from arbitrariness and a proliferation of alternatives. As a result, they are liable to schisms and internal disarray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_Ref102412083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3.1</w:t>
      </w:r>
      <w:r w:rsidRPr="00024617">
        <w:rPr>
          <w:rFonts w:ascii="Times New Roman" w:hAnsi="Times New Roman"/>
          <w:sz w:val="24"/>
          <w:szCs w:val="24"/>
          <w:lang w:val="en-US"/>
        </w:rPr>
        <w:fldChar w:fldCharType="end"/>
      </w:r>
      <w:r w:rsidRPr="00024617">
        <w:rPr>
          <w:rFonts w:ascii="Times New Roman" w:hAnsi="Times New Roman"/>
          <w:sz w:val="24"/>
          <w:szCs w:val="24"/>
          <w:lang w:val="en-US"/>
        </w:rPr>
        <w:t>), and often evolve to reflect changing cultural environments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_Ref104481353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3.2</w:t>
      </w:r>
      <w:r w:rsidRPr="00024617">
        <w:rPr>
          <w:rFonts w:ascii="Times New Roman" w:hAnsi="Times New Roman"/>
          <w:sz w:val="24"/>
          <w:szCs w:val="24"/>
          <w:lang w:val="en-US"/>
        </w:rPr>
        <w:fldChar w:fldCharType="end"/>
      </w:r>
      <w:r w:rsidRPr="00024617">
        <w:rPr>
          <w:rFonts w:ascii="Times New Roman" w:hAnsi="Times New Roman"/>
          <w:sz w:val="24"/>
          <w:szCs w:val="24"/>
          <w:lang w:val="en-US"/>
        </w:rPr>
        <w:t xml:space="preserve">). </w:t>
      </w:r>
    </w:p>
    <w:p w:rsidR="00490925" w:rsidRPr="00024617" w:rsidRDefault="00490925" w:rsidP="00024617">
      <w:pPr>
        <w:pStyle w:val="Kop1"/>
        <w:spacing w:line="480" w:lineRule="auto"/>
        <w:rPr>
          <w:rFonts w:ascii="Times New Roman" w:hAnsi="Times New Roman" w:cs="Times New Roman"/>
          <w:color w:val="auto"/>
          <w:sz w:val="24"/>
          <w:szCs w:val="24"/>
          <w:lang w:val="en-US"/>
        </w:rPr>
      </w:pPr>
      <w:bookmarkStart w:id="3" w:name="_Toc101201902"/>
      <w:bookmarkStart w:id="4" w:name="_Toc101201903"/>
      <w:bookmarkStart w:id="5" w:name="_Toc101201904"/>
      <w:bookmarkStart w:id="6" w:name="_Toc101201905"/>
      <w:bookmarkStart w:id="7" w:name="_Toc101201906"/>
      <w:bookmarkStart w:id="8" w:name="_Toc101201907"/>
      <w:bookmarkStart w:id="9" w:name="_Toc101201908"/>
      <w:bookmarkStart w:id="10" w:name="_Toc101201909"/>
      <w:bookmarkStart w:id="11" w:name="_Toc101201910"/>
      <w:bookmarkStart w:id="12" w:name="_Toc101201911"/>
      <w:bookmarkStart w:id="13" w:name="_Toc101201912"/>
      <w:bookmarkStart w:id="14" w:name="_Toc101201913"/>
      <w:bookmarkStart w:id="15" w:name="_Toc101201914"/>
      <w:bookmarkStart w:id="16" w:name="_Toc101201915"/>
      <w:bookmarkStart w:id="17" w:name="_Toc101201916"/>
      <w:bookmarkStart w:id="18" w:name="_Toc67075386"/>
      <w:bookmarkStart w:id="19" w:name="_Toc45717982"/>
      <w:bookmarkStart w:id="20" w:name="_Ref72864558"/>
      <w:bookmarkStart w:id="21" w:name="_Toc11787843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024617">
        <w:rPr>
          <w:rFonts w:ascii="Times New Roman" w:hAnsi="Times New Roman" w:cs="Times New Roman"/>
          <w:color w:val="auto"/>
          <w:sz w:val="24"/>
          <w:szCs w:val="24"/>
          <w:lang w:val="en-US"/>
        </w:rPr>
        <w:t xml:space="preserve">Epistemic </w:t>
      </w:r>
      <w:bookmarkEnd w:id="19"/>
      <w:bookmarkEnd w:id="20"/>
      <w:r w:rsidRPr="00024617">
        <w:rPr>
          <w:rFonts w:ascii="Times New Roman" w:hAnsi="Times New Roman" w:cs="Times New Roman"/>
          <w:color w:val="auto"/>
          <w:sz w:val="24"/>
          <w:szCs w:val="24"/>
          <w:lang w:val="en-US"/>
        </w:rPr>
        <w:t>Black Holes</w:t>
      </w:r>
      <w:bookmarkEnd w:id="21"/>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If we want to explain the visible world, we sometimes have to invoke the existence of invisible entities. Many of our best scientific theories involve such “</w:t>
      </w:r>
      <w:proofErr w:type="spellStart"/>
      <w:r w:rsidRPr="00024617">
        <w:rPr>
          <w:rFonts w:ascii="Times New Roman" w:hAnsi="Times New Roman"/>
          <w:sz w:val="24"/>
          <w:szCs w:val="24"/>
          <w:lang w:val="en-US"/>
        </w:rPr>
        <w:t>unobservables</w:t>
      </w:r>
      <w:proofErr w:type="spellEnd"/>
      <w:r w:rsidRPr="00024617">
        <w:rPr>
          <w:rFonts w:ascii="Times New Roman" w:hAnsi="Times New Roman"/>
          <w:sz w:val="24"/>
          <w:szCs w:val="24"/>
          <w:lang w:val="en-US"/>
        </w:rPr>
        <w:t xml:space="preserve">”, entities and processes that are not (directly) observable by human senses. In some of our theoretical explanations of the world, we also have to invoke the actions of </w:t>
      </w:r>
      <w:r w:rsidRPr="00024617">
        <w:rPr>
          <w:rFonts w:ascii="Times New Roman" w:hAnsi="Times New Roman"/>
          <w:i/>
          <w:iCs/>
          <w:sz w:val="24"/>
          <w:szCs w:val="24"/>
          <w:lang w:val="en-US"/>
        </w:rPr>
        <w:t>agents</w:t>
      </w:r>
      <w:r w:rsidRPr="00024617">
        <w:rPr>
          <w:rFonts w:ascii="Times New Roman" w:hAnsi="Times New Roman"/>
          <w:sz w:val="24"/>
          <w:szCs w:val="24"/>
          <w:lang w:val="en-US"/>
        </w:rPr>
        <w:t xml:space="preserve">: intelligent entities capable of harboring intentions, developing plans, or forming desires </w:t>
      </w:r>
      <w:r w:rsidRPr="00024617">
        <w:rPr>
          <w:rFonts w:ascii="Times New Roman" w:hAnsi="Times New Roman"/>
          <w:noProof/>
          <w:sz w:val="24"/>
          <w:szCs w:val="24"/>
          <w:lang w:val="en-US"/>
        </w:rPr>
        <w:t>(Dennett, 1987)</w:t>
      </w:r>
      <w:r w:rsidRPr="00024617">
        <w:rPr>
          <w:rFonts w:ascii="Times New Roman" w:hAnsi="Times New Roman"/>
          <w:sz w:val="24"/>
          <w:szCs w:val="24"/>
          <w:lang w:val="en-US"/>
        </w:rPr>
        <w:t xml:space="preserve">. In some belief systems, both of these elements are conjoined in a way that gives rise to a special epistemological situation: the belief system postulates some form of hidden intelligent agency that is deliberately trying to evade detection, and thus to thwart our investigation into its existence or its actions.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 xml:space="preserve">Even though agents with such intentions definitely exist, and sometimes need to be invoked to make sense of the world, such belief systems threaten to create what can be termed an </w:t>
      </w:r>
      <w:r w:rsidRPr="00024617">
        <w:rPr>
          <w:rFonts w:ascii="Times New Roman" w:hAnsi="Times New Roman"/>
          <w:i/>
          <w:iCs/>
          <w:sz w:val="24"/>
          <w:szCs w:val="24"/>
          <w:lang w:val="en-US"/>
        </w:rPr>
        <w:t>epistemic black hole</w:t>
      </w:r>
      <w:r w:rsidRPr="00024617">
        <w:rPr>
          <w:rFonts w:ascii="Times New Roman" w:hAnsi="Times New Roman"/>
          <w:sz w:val="24"/>
          <w:szCs w:val="24"/>
          <w:lang w:val="en-US"/>
        </w:rPr>
        <w:t xml:space="preserve">, into which unwary truth-seekers may be drawn, and from which it is very difficult to escape again (XXX). The analogy between belief systems and black holes was originally introduced by Stephen Law, who talked about “a bubble of belief that, while seductively easy to enter, can then be almost impossible to think your way out of again.” </w:t>
      </w:r>
      <w:r w:rsidRPr="00024617">
        <w:rPr>
          <w:rFonts w:ascii="Times New Roman" w:hAnsi="Times New Roman"/>
          <w:noProof/>
          <w:sz w:val="24"/>
          <w:szCs w:val="24"/>
          <w:lang w:val="en-US"/>
        </w:rPr>
        <w:t>(Law, 2011, p. 9)</w:t>
      </w:r>
      <w:r w:rsidRPr="00024617">
        <w:rPr>
          <w:rFonts w:ascii="Times New Roman" w:hAnsi="Times New Roman"/>
          <w:sz w:val="24"/>
          <w:szCs w:val="24"/>
          <w:lang w:val="en-US"/>
        </w:rPr>
        <w:t xml:space="preserve"> The metaphor captures the observation that, once people have endorsed such a belief system, for whatever reason, it may be very hard to shake them out of their conviction, since they can now explain away any missing evidence or counterevidence they are confronted with. Depending on the levels of power and intelligence attributed to the alleged intelligent agency, it can become very hard to refute or criticize such a belief system. As we will see, some epistemic black holes involve different agents working in consort, while others only postulate a single cohesive agent scheming behind the scenes.</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Epistemic black holes can be seen as especially strong versions of what Dan Sperber called “cultural attractors” </w:t>
      </w:r>
      <w:r w:rsidRPr="00024617">
        <w:rPr>
          <w:rFonts w:ascii="Times New Roman" w:hAnsi="Times New Roman"/>
          <w:noProof/>
          <w:sz w:val="24"/>
          <w:szCs w:val="24"/>
          <w:lang w:val="en-US"/>
        </w:rPr>
        <w:t>(Sperber, 1996)</w:t>
      </w:r>
      <w:r w:rsidRPr="00024617">
        <w:rPr>
          <w:rFonts w:ascii="Times New Roman" w:hAnsi="Times New Roman"/>
          <w:sz w:val="24"/>
          <w:szCs w:val="24"/>
          <w:lang w:val="en-US"/>
        </w:rPr>
        <w:t xml:space="preserve">. In Sperber’s influential epidemiology of representations, beliefs and other cultural representations tend to converge around certain identifiable “attractors” in the space of all possible representations. According to Sperber, the location of these cultural attractors is mostly (though not exclusively) determined by universal and innate features of the human mind. Certain types of representations recur across cultural environments because they resonate with human intuitions, cognitive biases and psychological tendencies, and hence are more readily distributed and disseminated. Epistemic black holes can be seen as exceptional cases of such cultural attractors: they are beliefs systems equipped with a self-sealing logic that render them extremely alluring and hard to resist.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Epistemic black holes can also be regarded as special cases of ‘unfalsifiable’ theories </w:t>
      </w:r>
      <w:r w:rsidRPr="00024617">
        <w:rPr>
          <w:rFonts w:ascii="Times New Roman" w:hAnsi="Times New Roman"/>
          <w:noProof/>
          <w:sz w:val="24"/>
          <w:szCs w:val="24"/>
          <w:lang w:val="en-US"/>
        </w:rPr>
        <w:t>(Popper, 1959, 1963/2002)</w:t>
      </w:r>
      <w:r w:rsidRPr="00024617">
        <w:rPr>
          <w:rFonts w:ascii="Times New Roman" w:hAnsi="Times New Roman"/>
          <w:sz w:val="24"/>
          <w:szCs w:val="24"/>
          <w:lang w:val="en-US"/>
        </w:rPr>
        <w:t xml:space="preserve">, namely cases in which the unfalsifiable character derives from intentional </w:t>
      </w:r>
      <w:r w:rsidRPr="00024617">
        <w:rPr>
          <w:rFonts w:ascii="Times New Roman" w:hAnsi="Times New Roman"/>
          <w:sz w:val="24"/>
          <w:szCs w:val="24"/>
          <w:lang w:val="en-US"/>
        </w:rPr>
        <w:lastRenderedPageBreak/>
        <w:t xml:space="preserve">agency. According to Karl Popper, every scientific theory must rule out certain possible states of affairs, so that it is susceptible to refutation. If a theory is not falsifiable, meaning that it is compatible with every conceivable state of affairs, it should be regarded as pseudoscientific. In Popper’s philosophy of science, however, falsifiability is treated as a purely logical property of a theory, independent from how advocates of a theory respond to refutations. In later developments of Popper’s </w:t>
      </w:r>
      <w:proofErr w:type="spellStart"/>
      <w:r w:rsidRPr="00024617">
        <w:rPr>
          <w:rFonts w:ascii="Times New Roman" w:hAnsi="Times New Roman"/>
          <w:sz w:val="24"/>
          <w:szCs w:val="24"/>
          <w:lang w:val="en-US"/>
        </w:rPr>
        <w:t>falsificationism</w:t>
      </w:r>
      <w:proofErr w:type="spellEnd"/>
      <w:r w:rsidRPr="00024617">
        <w:rPr>
          <w:rFonts w:ascii="Times New Roman" w:hAnsi="Times New Roman"/>
          <w:sz w:val="24"/>
          <w:szCs w:val="24"/>
          <w:lang w:val="en-US"/>
        </w:rPr>
        <w:t xml:space="preserve">, </w:t>
      </w:r>
      <w:r w:rsidRPr="00024617">
        <w:rPr>
          <w:rFonts w:ascii="Times New Roman" w:hAnsi="Times New Roman"/>
          <w:noProof/>
          <w:sz w:val="24"/>
          <w:szCs w:val="24"/>
          <w:lang w:val="en-US"/>
        </w:rPr>
        <w:t>(e.g. Lakatos, 1970)</w:t>
      </w:r>
      <w:r w:rsidRPr="00024617">
        <w:rPr>
          <w:rFonts w:ascii="Times New Roman" w:hAnsi="Times New Roman"/>
          <w:sz w:val="24"/>
          <w:szCs w:val="24"/>
          <w:lang w:val="en-US"/>
        </w:rPr>
        <w:t>, the focus shifted to how theorists modified the theory in the face of recalcitrant evidence.</w:t>
      </w:r>
      <w:r w:rsidRPr="00024617">
        <w:rPr>
          <w:rStyle w:val="Eindnootmarkering"/>
          <w:rFonts w:ascii="Times New Roman" w:hAnsi="Times New Roman"/>
          <w:sz w:val="24"/>
          <w:szCs w:val="24"/>
          <w:lang w:val="en-US"/>
        </w:rPr>
        <w:endnoteReference w:id="1"/>
      </w:r>
      <w:r w:rsidRPr="00024617">
        <w:rPr>
          <w:rFonts w:ascii="Times New Roman" w:hAnsi="Times New Roman"/>
          <w:sz w:val="24"/>
          <w:szCs w:val="24"/>
          <w:lang w:val="en-US"/>
        </w:rPr>
        <w:t xml:space="preserve"> In line with this shift, our account of epistemic black holes also focuses on the dynamical development of a theory over time and how believers deal with recalcitrant evidence.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Some philosophers have questioned whether the criterion of “</w:t>
      </w:r>
      <w:proofErr w:type="spellStart"/>
      <w:r w:rsidRPr="00024617">
        <w:rPr>
          <w:rFonts w:ascii="Times New Roman" w:hAnsi="Times New Roman"/>
          <w:sz w:val="24"/>
          <w:szCs w:val="24"/>
          <w:lang w:val="en-US"/>
        </w:rPr>
        <w:t>unfalsifiability</w:t>
      </w:r>
      <w:proofErr w:type="spellEnd"/>
      <w:r w:rsidRPr="00024617">
        <w:rPr>
          <w:rFonts w:ascii="Times New Roman" w:hAnsi="Times New Roman"/>
          <w:sz w:val="24"/>
          <w:szCs w:val="24"/>
          <w:lang w:val="en-US"/>
        </w:rPr>
        <w:t xml:space="preserve">” is an inappropriate one when we have reason to suspect that we are dealing with purposeful agents working behind the scenes? Notably, Brian Keeley has pointed out that, whereas the natural sciences deal with inanimate objects that are not modifying their behavior when they are being studied, social scientists are dealing with intentional agents who could interfere with the research </w:t>
      </w:r>
      <w:r w:rsidRPr="00024617">
        <w:rPr>
          <w:rFonts w:ascii="Times New Roman" w:hAnsi="Times New Roman"/>
          <w:noProof/>
          <w:sz w:val="24"/>
          <w:szCs w:val="24"/>
          <w:lang w:val="en-US"/>
        </w:rPr>
        <w:t>(see also Harris, 2018; Keeley, 1999; Keeley, 2018)</w:t>
      </w:r>
      <w:r w:rsidRPr="00024617">
        <w:rPr>
          <w:rFonts w:ascii="Times New Roman" w:hAnsi="Times New Roman"/>
          <w:sz w:val="24"/>
          <w:szCs w:val="24"/>
          <w:lang w:val="en-US"/>
        </w:rPr>
        <w:t xml:space="preserve">. For instance, they could try sabotage our investigation by trying to erase or manipulate the evidence for their own existence. But although this problem of “reflexivity” pointed out by Keeley is real, and it indeed creates complications that natural scientists never have to worry about, this does not mean that we should lower our epistemic standards for the social sciences, or exempt theories about intentional agents from ordinary standards of explanation. What it does show is that the benchmark of falsifiability is harder to achieve when you are dealing with purposeful agents, especially ones that are motivated to remain hidden and sabotage your investigation. In the most pessimistic case, we would be forced to throw up our hands and admit that good explanations are out of reach </w:t>
      </w:r>
      <w:r w:rsidRPr="00024617">
        <w:rPr>
          <w:rFonts w:ascii="Times New Roman" w:hAnsi="Times New Roman"/>
          <w:noProof/>
          <w:sz w:val="24"/>
          <w:szCs w:val="24"/>
          <w:lang w:val="en-US"/>
        </w:rPr>
        <w:t>(for a fuller discusion, see Napolitano, 2021section 5.2)</w:t>
      </w:r>
      <w:r w:rsidRPr="00024617">
        <w:rPr>
          <w:rFonts w:ascii="Times New Roman" w:hAnsi="Times New Roman"/>
          <w:sz w:val="24"/>
          <w:szCs w:val="24"/>
          <w:lang w:val="en-US"/>
        </w:rPr>
        <w:t xml:space="preserve">. In any event, as we </w:t>
      </w:r>
      <w:r w:rsidRPr="00024617">
        <w:rPr>
          <w:rFonts w:ascii="Times New Roman" w:hAnsi="Times New Roman"/>
          <w:sz w:val="24"/>
          <w:szCs w:val="24"/>
          <w:lang w:val="en-US"/>
        </w:rPr>
        <w:lastRenderedPageBreak/>
        <w:t>will see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REF _Ref102412083 \r \h  \* MERGEFORMAT </w:instrText>
      </w:r>
      <w:r w:rsidRPr="00024617">
        <w:rPr>
          <w:rFonts w:ascii="Times New Roman" w:hAnsi="Times New Roman"/>
          <w:sz w:val="24"/>
          <w:szCs w:val="24"/>
          <w:lang w:val="en-US"/>
        </w:rPr>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4.1</w:t>
      </w:r>
      <w:r w:rsidRPr="00024617">
        <w:rPr>
          <w:rFonts w:ascii="Times New Roman" w:hAnsi="Times New Roman"/>
          <w:sz w:val="24"/>
          <w:szCs w:val="24"/>
          <w:lang w:val="en-US"/>
        </w:rPr>
        <w:fldChar w:fldCharType="end"/>
      </w:r>
      <w:r w:rsidRPr="00024617">
        <w:rPr>
          <w:rFonts w:ascii="Times New Roman" w:hAnsi="Times New Roman"/>
          <w:sz w:val="24"/>
          <w:szCs w:val="24"/>
          <w:lang w:val="en-US"/>
        </w:rPr>
        <w:t xml:space="preserve">), exempting agential theories from the criterion of falsifiability is problematic because gives rise to a problem of explanatory arbitrariness and proliferating alternatives. </w:t>
      </w:r>
    </w:p>
    <w:p w:rsidR="00490925" w:rsidRPr="00024617" w:rsidRDefault="00490925" w:rsidP="00024617">
      <w:pPr>
        <w:pStyle w:val="Kop1"/>
        <w:spacing w:line="480" w:lineRule="auto"/>
        <w:rPr>
          <w:rFonts w:ascii="Times New Roman" w:hAnsi="Times New Roman" w:cs="Times New Roman"/>
          <w:color w:val="auto"/>
          <w:sz w:val="24"/>
          <w:szCs w:val="24"/>
          <w:lang w:val="en-US"/>
        </w:rPr>
      </w:pPr>
      <w:bookmarkStart w:id="22" w:name="_Toc117878434"/>
      <w:r w:rsidRPr="00024617">
        <w:rPr>
          <w:rFonts w:ascii="Times New Roman" w:hAnsi="Times New Roman" w:cs="Times New Roman"/>
          <w:color w:val="auto"/>
          <w:sz w:val="24"/>
          <w:szCs w:val="24"/>
          <w:lang w:val="en-US"/>
        </w:rPr>
        <w:t>Case Studies</w:t>
      </w:r>
      <w:bookmarkEnd w:id="22"/>
    </w:p>
    <w:p w:rsidR="00490925" w:rsidRPr="00024617" w:rsidRDefault="00490925" w:rsidP="00024617">
      <w:pPr>
        <w:pStyle w:val="Kop2"/>
        <w:spacing w:line="480" w:lineRule="auto"/>
        <w:jc w:val="both"/>
        <w:rPr>
          <w:rFonts w:ascii="Times New Roman" w:hAnsi="Times New Roman" w:cs="Times New Roman"/>
          <w:color w:val="auto"/>
          <w:sz w:val="24"/>
          <w:szCs w:val="24"/>
          <w:lang w:val="en-US"/>
        </w:rPr>
      </w:pPr>
      <w:bookmarkStart w:id="23" w:name="_Toc117878435"/>
      <w:r w:rsidRPr="00024617">
        <w:rPr>
          <w:rFonts w:ascii="Times New Roman" w:hAnsi="Times New Roman" w:cs="Times New Roman"/>
          <w:color w:val="auto"/>
          <w:sz w:val="24"/>
          <w:szCs w:val="24"/>
          <w:lang w:val="en-US"/>
        </w:rPr>
        <w:t>Unfounded Conspiracy Theories</w:t>
      </w:r>
      <w:bookmarkEnd w:id="23"/>
    </w:p>
    <w:p w:rsidR="00490925" w:rsidRPr="00024617" w:rsidRDefault="00490925" w:rsidP="00024617">
      <w:pPr>
        <w:spacing w:line="480" w:lineRule="auto"/>
        <w:jc w:val="both"/>
        <w:rPr>
          <w:rFonts w:ascii="Times New Roman" w:hAnsi="Times New Roman"/>
          <w:sz w:val="24"/>
          <w:szCs w:val="24"/>
          <w:lang w:val="en-US"/>
        </w:rPr>
      </w:pPr>
      <w:bookmarkStart w:id="24" w:name="_Hlk104476603"/>
      <w:r w:rsidRPr="00024617">
        <w:rPr>
          <w:rFonts w:ascii="Times New Roman" w:hAnsi="Times New Roman"/>
          <w:sz w:val="24"/>
          <w:szCs w:val="24"/>
          <w:lang w:val="en-US"/>
        </w:rPr>
        <w:t xml:space="preserve">If one defines “conspiracy theory” </w:t>
      </w:r>
      <w:r w:rsidR="006E3A95">
        <w:rPr>
          <w:rFonts w:ascii="Times New Roman" w:hAnsi="Times New Roman"/>
          <w:sz w:val="24"/>
          <w:szCs w:val="24"/>
          <w:lang w:val="en-US"/>
        </w:rPr>
        <w:t xml:space="preserve">simply </w:t>
      </w:r>
      <w:r w:rsidRPr="00024617">
        <w:rPr>
          <w:rFonts w:ascii="Times New Roman" w:hAnsi="Times New Roman"/>
          <w:sz w:val="24"/>
          <w:szCs w:val="24"/>
          <w:lang w:val="en-US"/>
        </w:rPr>
        <w:t>as a</w:t>
      </w:r>
      <w:r w:rsidR="00BA6B93">
        <w:rPr>
          <w:rFonts w:ascii="Times New Roman" w:hAnsi="Times New Roman"/>
          <w:sz w:val="24"/>
          <w:szCs w:val="24"/>
          <w:lang w:val="en-US"/>
        </w:rPr>
        <w:t xml:space="preserve">n explanation </w:t>
      </w:r>
      <w:r w:rsidRPr="00024617">
        <w:rPr>
          <w:rFonts w:ascii="Times New Roman" w:hAnsi="Times New Roman"/>
          <w:sz w:val="24"/>
          <w:szCs w:val="24"/>
          <w:lang w:val="en-US"/>
        </w:rPr>
        <w:t>of history (or recent events) that centers around the actions of a small group of people working behind the scenes, usually with nefarious or criminal intentions, then it is clear that not all conspiracy theories are unfounded or irrational.</w:t>
      </w:r>
      <w:r w:rsidRPr="00024617">
        <w:rPr>
          <w:rStyle w:val="Eindnootmarkering"/>
          <w:rFonts w:ascii="Times New Roman" w:hAnsi="Times New Roman"/>
          <w:sz w:val="24"/>
          <w:szCs w:val="24"/>
          <w:lang w:val="en-US"/>
        </w:rPr>
        <w:endnoteReference w:id="2"/>
      </w:r>
      <w:r w:rsidRPr="00024617">
        <w:rPr>
          <w:rFonts w:ascii="Times New Roman" w:hAnsi="Times New Roman"/>
          <w:sz w:val="24"/>
          <w:szCs w:val="24"/>
          <w:lang w:val="en-US"/>
        </w:rPr>
        <w:t xml:space="preserve"> Indeed, the pages of history are replete with well-documented plots and conspiracies (e.g. the Watergate scandal, the murder of Julius Caesar, the October Revolution, the Moscow show trials), and there may be others that we have yet to unveil. But this is not how the term “conspiracy theory” is ordinarily used </w:t>
      </w:r>
      <w:r w:rsidRPr="00024617">
        <w:rPr>
          <w:rFonts w:ascii="Times New Roman" w:hAnsi="Times New Roman"/>
          <w:noProof/>
          <w:sz w:val="24"/>
          <w:szCs w:val="24"/>
          <w:lang w:val="en-US"/>
        </w:rPr>
        <w:t>(Douglas, van Prooijen, &amp; Sutton, 2022; Napolitano &amp; Reuter, 2021)</w:t>
      </w:r>
      <w:r w:rsidRPr="00024617">
        <w:rPr>
          <w:rFonts w:ascii="Times New Roman" w:hAnsi="Times New Roman"/>
          <w:sz w:val="24"/>
          <w:szCs w:val="24"/>
          <w:lang w:val="en-US"/>
        </w:rPr>
        <w:t xml:space="preserve">. Instead, “conspiracy theories” refer to a class of unfounded and </w:t>
      </w:r>
      <w:r w:rsidR="007B62A9">
        <w:rPr>
          <w:rFonts w:ascii="Times New Roman" w:hAnsi="Times New Roman"/>
          <w:sz w:val="24"/>
          <w:szCs w:val="24"/>
          <w:lang w:val="en-US"/>
        </w:rPr>
        <w:t xml:space="preserve">implausible </w:t>
      </w:r>
      <w:r w:rsidRPr="00024617">
        <w:rPr>
          <w:rFonts w:ascii="Times New Roman" w:hAnsi="Times New Roman"/>
          <w:sz w:val="24"/>
          <w:szCs w:val="24"/>
          <w:lang w:val="en-US"/>
        </w:rPr>
        <w:t xml:space="preserve">theories that are held in the absence of good evidence. Examples include the belief that the moon landing was staged in a Hollywood studio, that 9/11 was an inside job perpetrated by the Bush administration, or that the Sandy Hook school shooting was staged with paid actors as part of a gun control campaign. It also includes broader conspiratorial worldviews that explain all or most historical events as resulting from the intentions of a small cadre of invisible actors, such as the Elders of Zion, the Rothschilds, or the Illuminati </w:t>
      </w:r>
      <w:r w:rsidRPr="00024617">
        <w:rPr>
          <w:rFonts w:ascii="Times New Roman" w:hAnsi="Times New Roman"/>
          <w:noProof/>
          <w:sz w:val="24"/>
          <w:szCs w:val="24"/>
          <w:lang w:val="en-US"/>
        </w:rPr>
        <w:t>(Byford, 2011; Pipes, 1999; Uscinski, 2018)</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In our understanding, all of these theories can be characterized as epistemic black holes. Even though some conspiracy theories ha</w:t>
      </w:r>
      <w:r w:rsidR="0044588E">
        <w:rPr>
          <w:rFonts w:ascii="Times New Roman" w:hAnsi="Times New Roman"/>
          <w:sz w:val="24"/>
          <w:szCs w:val="24"/>
          <w:lang w:val="en-US"/>
        </w:rPr>
        <w:t>d</w:t>
      </w:r>
      <w:r w:rsidRPr="00024617">
        <w:rPr>
          <w:rFonts w:ascii="Times New Roman" w:hAnsi="Times New Roman"/>
          <w:sz w:val="24"/>
          <w:szCs w:val="24"/>
          <w:lang w:val="en-US"/>
        </w:rPr>
        <w:t xml:space="preserve"> some plausibility when initially proposed (such as the theory that Lee Harvey Oswald was just a patsy in a larger plot against JFK), proponents of this theory have gradually fallen into an epistemic black hole from which it is very difficult to escape.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 xml:space="preserve">The attraction of such an epistemic black holes is easy to understand. If you postulate the existence of intelligent agents working behind the scenes to cover up the evidence for </w:t>
      </w:r>
      <w:r w:rsidR="00F65A79">
        <w:rPr>
          <w:rFonts w:ascii="Times New Roman" w:hAnsi="Times New Roman"/>
          <w:sz w:val="24"/>
          <w:szCs w:val="24"/>
          <w:lang w:val="en-US"/>
        </w:rPr>
        <w:t>their</w:t>
      </w:r>
      <w:r w:rsidRPr="00024617">
        <w:rPr>
          <w:rFonts w:ascii="Times New Roman" w:hAnsi="Times New Roman"/>
          <w:sz w:val="24"/>
          <w:szCs w:val="24"/>
          <w:lang w:val="en-US"/>
        </w:rPr>
        <w:t xml:space="preserve"> existence, then you have some reason to expect an absence of evidence for your theory, and even the discovery of (false) counterevidence. If the conspiracy is real, after all, the conspirators will try their best to throw you off the scent and sabotage your investigation </w:t>
      </w:r>
      <w:r w:rsidRPr="00024617">
        <w:rPr>
          <w:rFonts w:ascii="Times New Roman" w:hAnsi="Times New Roman"/>
          <w:noProof/>
          <w:sz w:val="24"/>
          <w:szCs w:val="24"/>
          <w:lang w:val="en-US"/>
        </w:rPr>
        <w:t>(Clarke, 2002; Keeley, 1999)</w:t>
      </w:r>
      <w:r w:rsidRPr="00024617">
        <w:rPr>
          <w:rFonts w:ascii="Times New Roman" w:hAnsi="Times New Roman"/>
          <w:sz w:val="24"/>
          <w:szCs w:val="24"/>
          <w:lang w:val="en-US"/>
        </w:rPr>
        <w:t xml:space="preserve">. </w:t>
      </w:r>
      <w:bookmarkEnd w:id="24"/>
      <w:r w:rsidRPr="00024617">
        <w:rPr>
          <w:rFonts w:ascii="Times New Roman" w:hAnsi="Times New Roman"/>
          <w:sz w:val="24"/>
          <w:szCs w:val="24"/>
          <w:lang w:val="en-US"/>
        </w:rPr>
        <w:t xml:space="preserve">Depending on how powerful and smart the culprits are, it can therefore become very hard to definitively refute a conspiracy theory or to convince yourself that the conspiracy is a figment of your imagination. By their very nature, conspiracy theories have an “elaborate support structure of auxiliary hypotheses” </w:t>
      </w:r>
      <w:r w:rsidRPr="00024617">
        <w:rPr>
          <w:rFonts w:ascii="Times New Roman" w:hAnsi="Times New Roman"/>
          <w:noProof/>
          <w:sz w:val="24"/>
          <w:szCs w:val="24"/>
          <w:lang w:val="en-US"/>
        </w:rPr>
        <w:t>(Gershman, 2019, p. 22)</w:t>
      </w:r>
      <w:r w:rsidRPr="00024617">
        <w:rPr>
          <w:rFonts w:ascii="Times New Roman" w:hAnsi="Times New Roman"/>
          <w:sz w:val="24"/>
          <w:szCs w:val="24"/>
          <w:lang w:val="en-US"/>
        </w:rPr>
        <w:t xml:space="preserve"> that allow them to explain away virtually any conflicting evidence. Or as Napolitano calls it, unfounded conspiracy theories suffer from “evidential self-insulation” </w:t>
      </w:r>
      <w:r w:rsidRPr="00024617">
        <w:rPr>
          <w:rFonts w:ascii="Times New Roman" w:hAnsi="Times New Roman"/>
          <w:noProof/>
          <w:sz w:val="24"/>
          <w:szCs w:val="24"/>
          <w:lang w:val="en-US"/>
        </w:rPr>
        <w:t>(Napolitano, 2021)</w:t>
      </w:r>
      <w:r w:rsidRPr="00024617">
        <w:rPr>
          <w:rFonts w:ascii="Times New Roman" w:hAnsi="Times New Roman"/>
          <w:sz w:val="24"/>
          <w:szCs w:val="24"/>
          <w:lang w:val="en-US"/>
        </w:rPr>
        <w:t>.</w:t>
      </w:r>
      <w:r w:rsidRPr="00024617">
        <w:rPr>
          <w:rStyle w:val="Eindnootmarkering"/>
          <w:rFonts w:ascii="Times New Roman" w:hAnsi="Times New Roman"/>
          <w:sz w:val="24"/>
          <w:szCs w:val="24"/>
          <w:lang w:val="en-US"/>
        </w:rPr>
        <w:endnoteReference w:id="3"/>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How </w:t>
      </w:r>
      <w:r w:rsidR="00657F86">
        <w:rPr>
          <w:rFonts w:ascii="Times New Roman" w:hAnsi="Times New Roman"/>
          <w:sz w:val="24"/>
          <w:szCs w:val="24"/>
          <w:lang w:val="en-US"/>
        </w:rPr>
        <w:t xml:space="preserve">then </w:t>
      </w:r>
      <w:r w:rsidRPr="00024617">
        <w:rPr>
          <w:rFonts w:ascii="Times New Roman" w:hAnsi="Times New Roman"/>
          <w:sz w:val="24"/>
          <w:szCs w:val="24"/>
          <w:lang w:val="en-US"/>
        </w:rPr>
        <w:t xml:space="preserve">do we tell apart legitimate hypothesis about conspiracies from epistemic black holes? In physics, the “event horizon” is the boundary around a black hole beyond which nothing can escape. Although there is no equivalently clear-cut “horizon” in the domain of conspiracy theorizing, a tell-tale sign of epistemic black holes is that they have a tendency to grow larger and more elaborate over time. To explain away missing evidence or apparent counterevidence, conspiracy theorists are forced to either enlarge the circle of conspirators, or attribute ever more power and cunning to them </w:t>
      </w:r>
      <w:r w:rsidRPr="00024617">
        <w:rPr>
          <w:rFonts w:ascii="Times New Roman" w:hAnsi="Times New Roman"/>
          <w:noProof/>
          <w:sz w:val="24"/>
          <w:szCs w:val="24"/>
          <w:lang w:val="en-US"/>
        </w:rPr>
        <w:t>(Boudry, 2022; Clarke, 2002; Keeley, 1999; Shermer, 2022)</w:t>
      </w:r>
      <w:r w:rsidRPr="00024617">
        <w:rPr>
          <w:rFonts w:ascii="Times New Roman" w:hAnsi="Times New Roman"/>
          <w:sz w:val="24"/>
          <w:szCs w:val="24"/>
          <w:lang w:val="en-US"/>
        </w:rPr>
        <w:t>. As a result, when skeptical investigators unearth evidence against the hypothesis of a conspiracy, this is often interpreted by believers as evidence of an even larger plot. As a result, it becomes possible to maintain such beliefs in the complete absence of any positive evidence, and even in the face of strong counterevidence.</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For instance, the most infamous document in the history of conspiracy theories, which was used by the Nazis as a “warrant for genocide” </w:t>
      </w:r>
      <w:r w:rsidRPr="00024617">
        <w:rPr>
          <w:rFonts w:ascii="Times New Roman" w:hAnsi="Times New Roman"/>
          <w:noProof/>
          <w:sz w:val="24"/>
          <w:szCs w:val="24"/>
          <w:lang w:val="en-US"/>
        </w:rPr>
        <w:t>(Cohn, 1967)</w:t>
      </w:r>
      <w:r w:rsidRPr="00024617">
        <w:rPr>
          <w:rFonts w:ascii="Times New Roman" w:hAnsi="Times New Roman"/>
          <w:sz w:val="24"/>
          <w:szCs w:val="24"/>
          <w:lang w:val="en-US"/>
        </w:rPr>
        <w:t xml:space="preserve">, is known as the </w:t>
      </w:r>
      <w:r w:rsidRPr="00024617">
        <w:rPr>
          <w:rFonts w:ascii="Times New Roman" w:hAnsi="Times New Roman"/>
          <w:i/>
          <w:iCs/>
          <w:sz w:val="24"/>
          <w:szCs w:val="24"/>
          <w:lang w:val="en-US"/>
        </w:rPr>
        <w:t>Protocols of the Elders of Zion</w:t>
      </w:r>
      <w:r w:rsidRPr="00024617">
        <w:rPr>
          <w:rFonts w:ascii="Times New Roman" w:hAnsi="Times New Roman"/>
          <w:sz w:val="24"/>
          <w:szCs w:val="24"/>
          <w:lang w:val="en-US"/>
        </w:rPr>
        <w:t>. In actual fact, the document is a forgery originating in 19</w:t>
      </w:r>
      <w:r w:rsidRPr="00024617">
        <w:rPr>
          <w:rFonts w:ascii="Times New Roman" w:hAnsi="Times New Roman"/>
          <w:sz w:val="24"/>
          <w:szCs w:val="24"/>
          <w:vertAlign w:val="superscript"/>
          <w:lang w:val="en-US"/>
        </w:rPr>
        <w:t>th</w:t>
      </w:r>
      <w:r w:rsidRPr="00024617">
        <w:rPr>
          <w:rFonts w:ascii="Times New Roman" w:hAnsi="Times New Roman"/>
          <w:sz w:val="24"/>
          <w:szCs w:val="24"/>
          <w:lang w:val="en-US"/>
        </w:rPr>
        <w:t xml:space="preserve"> century Czarist Russia, and </w:t>
      </w:r>
      <w:r w:rsidRPr="00024617">
        <w:rPr>
          <w:rFonts w:ascii="Times New Roman" w:hAnsi="Times New Roman"/>
          <w:sz w:val="24"/>
          <w:szCs w:val="24"/>
          <w:lang w:val="en-US"/>
        </w:rPr>
        <w:lastRenderedPageBreak/>
        <w:t xml:space="preserve">had been exposed as such long before the Nazi party and assorted antisemitic movements throughout Europe started touting the document as evidence of a global conspiracy of international Jewry. Interestingly, when strong evidence of the forgery was unearthed, according to the historian Jovan Byford, “many of the book's admirers simply dismissed [it] as a campaign by Jews to undermine the 'leaked' document which exposes so clearly their sinister secret” </w:t>
      </w:r>
      <w:r w:rsidRPr="00024617">
        <w:rPr>
          <w:rFonts w:ascii="Times New Roman" w:hAnsi="Times New Roman"/>
          <w:noProof/>
          <w:sz w:val="24"/>
          <w:szCs w:val="24"/>
          <w:lang w:val="en-US"/>
        </w:rPr>
        <w:t>(2011, p. 55)</w:t>
      </w:r>
      <w:r w:rsidRPr="00024617">
        <w:rPr>
          <w:rFonts w:ascii="Times New Roman" w:hAnsi="Times New Roman"/>
          <w:sz w:val="24"/>
          <w:szCs w:val="24"/>
          <w:lang w:val="en-US"/>
        </w:rPr>
        <w:t xml:space="preserve">. In a similar vein, according to Hannah Arendt, the story of a global Jewish conspiracy benefited from the built-in and self-sealing notion that, the “more consistently a discussion of the Jewish question was avoided by all parties and organs of public opinion,” the more believers became convinced that “Jews were the true representatives of the powers that be” </w:t>
      </w:r>
      <w:r w:rsidRPr="00024617">
        <w:rPr>
          <w:rFonts w:ascii="Times New Roman" w:hAnsi="Times New Roman"/>
          <w:noProof/>
          <w:sz w:val="24"/>
          <w:szCs w:val="24"/>
          <w:lang w:val="en-US"/>
        </w:rPr>
        <w:t>(Arendt, 1951/2017, pp. 462-463)</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Although such arguments appear blatantly question-begging, they make good sense from the perspective of the conspiracy theory. If the Protocols had been an authentic document and if the Elders of Zion as portrayed there really existed, we would </w:t>
      </w:r>
      <w:r w:rsidRPr="00024617">
        <w:rPr>
          <w:rFonts w:ascii="Times New Roman" w:hAnsi="Times New Roman"/>
          <w:i/>
          <w:iCs/>
          <w:sz w:val="24"/>
          <w:szCs w:val="24"/>
          <w:lang w:val="en-US"/>
        </w:rPr>
        <w:t xml:space="preserve">expect </w:t>
      </w:r>
      <w:r w:rsidRPr="00024617">
        <w:rPr>
          <w:rFonts w:ascii="Times New Roman" w:hAnsi="Times New Roman"/>
          <w:sz w:val="24"/>
          <w:szCs w:val="24"/>
          <w:lang w:val="en-US"/>
        </w:rPr>
        <w:t xml:space="preserve">them to dissimulate the evidence for their secret plans. And if the Jews really controlled all the other parties behind the scenes, we would expect those parties to remain suspiciously silent on (or dismissive of) the “Jewish question.” In the 1905 introduction to the </w:t>
      </w:r>
      <w:r w:rsidRPr="00024617">
        <w:rPr>
          <w:rFonts w:ascii="Times New Roman" w:hAnsi="Times New Roman"/>
          <w:i/>
          <w:iCs/>
          <w:sz w:val="24"/>
          <w:szCs w:val="24"/>
          <w:lang w:val="en-US"/>
        </w:rPr>
        <w:t>Protocols</w:t>
      </w:r>
      <w:r w:rsidRPr="00024617">
        <w:rPr>
          <w:rFonts w:ascii="Times New Roman" w:hAnsi="Times New Roman"/>
          <w:sz w:val="24"/>
          <w:szCs w:val="24"/>
          <w:lang w:val="en-US"/>
        </w:rPr>
        <w:t xml:space="preserve">, the reader is warned not to be fooled by the absence of witnesses to corroborate the reality of the organization and their evil plans. In fact, such an absence of evidence is exactly what we should expect: </w:t>
      </w:r>
    </w:p>
    <w:p w:rsidR="00490925" w:rsidRPr="00024617" w:rsidRDefault="00490925" w:rsidP="00024617">
      <w:pPr>
        <w:spacing w:line="480" w:lineRule="auto"/>
        <w:ind w:left="708"/>
        <w:jc w:val="both"/>
        <w:rPr>
          <w:rFonts w:ascii="Times New Roman" w:hAnsi="Times New Roman"/>
          <w:sz w:val="24"/>
          <w:szCs w:val="24"/>
          <w:lang w:val="en-US"/>
        </w:rPr>
      </w:pPr>
      <w:r w:rsidRPr="00024617">
        <w:rPr>
          <w:rFonts w:ascii="Times New Roman" w:hAnsi="Times New Roman"/>
          <w:sz w:val="24"/>
          <w:szCs w:val="24"/>
          <w:lang w:val="en-US"/>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sidRPr="00024617">
        <w:rPr>
          <w:rFonts w:ascii="Times New Roman" w:hAnsi="Times New Roman"/>
          <w:i/>
          <w:iCs/>
          <w:sz w:val="24"/>
          <w:szCs w:val="24"/>
          <w:lang w:val="en-US"/>
        </w:rPr>
        <w:t xml:space="preserve"> </w:t>
      </w:r>
      <w:r w:rsidRPr="00024617">
        <w:rPr>
          <w:rFonts w:ascii="Times New Roman" w:hAnsi="Times New Roman"/>
          <w:noProof/>
          <w:sz w:val="24"/>
          <w:szCs w:val="24"/>
          <w:lang w:val="en-US"/>
        </w:rPr>
        <w:t>(Nilus, 2009, p. iv)</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Even today, a full century after having been debunked, the Protocols are still being regularly reprinted, disseminated and discussed as an authentic document, now predominantly in the Islamic world, but also elsewhere.</w:t>
      </w:r>
      <w:r w:rsidRPr="00024617">
        <w:rPr>
          <w:rFonts w:ascii="Times New Roman" w:hAnsi="Times New Roman"/>
          <w:sz w:val="24"/>
          <w:szCs w:val="24"/>
          <w:vertAlign w:val="superscript"/>
          <w:lang w:val="en-US"/>
        </w:rPr>
        <w:endnoteReference w:id="4"/>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A similar self-sealing logic can be observed with many other popular conspiracy theories. When the 9/11 Commission, set up by the U.S. Congress, published its final 585-page report in 2004, reviewing half a million documents and detailing the responsibility of Al Qaeda and the failures of U.S. intelligence agencies in excruciating detail, conspiracy theorists were hardly impressed. After all, if the U.S. government had itself staged the attack as a false flag operation, in order to create a pretext for invading Iraq and Afghanistan, we would </w:t>
      </w:r>
      <w:r w:rsidRPr="00024617">
        <w:rPr>
          <w:rFonts w:ascii="Times New Roman" w:hAnsi="Times New Roman"/>
          <w:i/>
          <w:iCs/>
          <w:sz w:val="24"/>
          <w:szCs w:val="24"/>
          <w:lang w:val="en-US"/>
        </w:rPr>
        <w:t>expect</w:t>
      </w:r>
      <w:r w:rsidRPr="00024617">
        <w:rPr>
          <w:rFonts w:ascii="Times New Roman" w:hAnsi="Times New Roman"/>
          <w:sz w:val="24"/>
          <w:szCs w:val="24"/>
          <w:lang w:val="en-US"/>
        </w:rPr>
        <w:t xml:space="preserve"> them to fabricate a sham report full of false evidence and distortions.</w:t>
      </w:r>
      <w:r w:rsidRPr="00024617">
        <w:rPr>
          <w:rStyle w:val="Eindnootmarkering"/>
          <w:rFonts w:ascii="Times New Roman" w:hAnsi="Times New Roman"/>
          <w:sz w:val="24"/>
          <w:szCs w:val="24"/>
          <w:lang w:val="en-US"/>
        </w:rPr>
        <w:endnoteReference w:id="5"/>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An initially credible conspiracy hypothesis about a specific historical event (such as the murder of John F. Kennedy) may degenerate into an epistemic black hole when it ends up attributing superhuman powers and intelligence to some unseen conspirators working behind the scenes. But there is a different and more general sense in which conspiracy theorizing functions like a black hole. Empirical research shows that the best predictor of belief in any given (unfounded) conspiracy theory is belief in other conspiracy theories. Again, this is not unreasonable. If you come to believe that “they” have massively deceived us about one historical event, it becomes more plausible to suspect similar deception behind other historical events. For instance, if the U.S. government could execute a false-flag operation like the 9/11 attacks, is it not reasonable to suspect that other so-called terrorist attacks are similarly staged? </w:t>
      </w:r>
      <w:proofErr w:type="spellStart"/>
      <w:r w:rsidRPr="00024617">
        <w:rPr>
          <w:rFonts w:ascii="Times New Roman" w:hAnsi="Times New Roman"/>
          <w:sz w:val="24"/>
          <w:szCs w:val="24"/>
          <w:lang w:val="en-US"/>
        </w:rPr>
        <w:t>Goertzel</w:t>
      </w:r>
      <w:proofErr w:type="spellEnd"/>
      <w:r w:rsidRPr="00024617">
        <w:rPr>
          <w:rFonts w:ascii="Times New Roman" w:hAnsi="Times New Roman"/>
          <w:sz w:val="24"/>
          <w:szCs w:val="24"/>
          <w:lang w:val="en-US"/>
        </w:rPr>
        <w:t xml:space="preserve"> </w:t>
      </w:r>
      <w:r w:rsidRPr="00024617">
        <w:rPr>
          <w:rFonts w:ascii="Times New Roman" w:hAnsi="Times New Roman"/>
          <w:noProof/>
          <w:sz w:val="24"/>
          <w:szCs w:val="24"/>
          <w:lang w:val="en-US"/>
        </w:rPr>
        <w:t>(1994)</w:t>
      </w:r>
      <w:r w:rsidRPr="00024617">
        <w:rPr>
          <w:rFonts w:ascii="Times New Roman" w:hAnsi="Times New Roman"/>
          <w:sz w:val="24"/>
          <w:szCs w:val="24"/>
          <w:lang w:val="en-US"/>
        </w:rPr>
        <w:t xml:space="preserve"> has proposed that conspiracy thinking forms a “</w:t>
      </w:r>
      <w:proofErr w:type="spellStart"/>
      <w:r w:rsidRPr="00024617">
        <w:rPr>
          <w:rFonts w:ascii="Times New Roman" w:hAnsi="Times New Roman"/>
          <w:sz w:val="24"/>
          <w:szCs w:val="24"/>
          <w:lang w:val="en-US"/>
        </w:rPr>
        <w:t>monological</w:t>
      </w:r>
      <w:proofErr w:type="spellEnd"/>
      <w:r w:rsidRPr="00024617">
        <w:rPr>
          <w:rFonts w:ascii="Times New Roman" w:hAnsi="Times New Roman"/>
          <w:sz w:val="24"/>
          <w:szCs w:val="24"/>
          <w:lang w:val="en-US"/>
        </w:rPr>
        <w:t xml:space="preserve"> belief system,” in which all beliefs reinforce one another in a self-sealing system </w:t>
      </w:r>
      <w:r w:rsidRPr="00024617">
        <w:rPr>
          <w:rFonts w:ascii="Times New Roman" w:hAnsi="Times New Roman"/>
          <w:noProof/>
          <w:sz w:val="24"/>
          <w:szCs w:val="24"/>
          <w:lang w:val="en-US"/>
        </w:rPr>
        <w:t>(Swami et al., 2011)</w:t>
      </w:r>
      <w:r w:rsidRPr="00024617">
        <w:rPr>
          <w:rFonts w:ascii="Times New Roman" w:hAnsi="Times New Roman"/>
          <w:sz w:val="24"/>
          <w:szCs w:val="24"/>
          <w:lang w:val="en-US"/>
        </w:rPr>
        <w:t>. Although recent evidence has cast doubt on the “</w:t>
      </w:r>
      <w:proofErr w:type="spellStart"/>
      <w:r w:rsidRPr="00024617">
        <w:rPr>
          <w:rFonts w:ascii="Times New Roman" w:hAnsi="Times New Roman"/>
          <w:sz w:val="24"/>
          <w:szCs w:val="24"/>
          <w:lang w:val="en-US"/>
        </w:rPr>
        <w:t>monological</w:t>
      </w:r>
      <w:proofErr w:type="spellEnd"/>
      <w:r w:rsidRPr="00024617">
        <w:rPr>
          <w:rFonts w:ascii="Times New Roman" w:hAnsi="Times New Roman"/>
          <w:sz w:val="24"/>
          <w:szCs w:val="24"/>
          <w:lang w:val="en-US"/>
        </w:rPr>
        <w:t xml:space="preserve">” character of conspiracy thinking, indicating that specific conspiracy theories cluster along partisan and ideological fault lines </w:t>
      </w:r>
      <w:r w:rsidRPr="00024617">
        <w:rPr>
          <w:rFonts w:ascii="Times New Roman" w:hAnsi="Times New Roman"/>
          <w:noProof/>
          <w:sz w:val="24"/>
          <w:szCs w:val="24"/>
          <w:lang w:val="en-US"/>
        </w:rPr>
        <w:t>(Enders et al., 2021)</w:t>
      </w:r>
      <w:r w:rsidRPr="00024617">
        <w:rPr>
          <w:rFonts w:ascii="Times New Roman" w:hAnsi="Times New Roman"/>
          <w:sz w:val="24"/>
          <w:szCs w:val="24"/>
          <w:lang w:val="en-US"/>
        </w:rPr>
        <w:t xml:space="preserve">, it is still true that a network of conspiracy theories can mutually reinforce together. The metaphor </w:t>
      </w:r>
      <w:r w:rsidRPr="00024617">
        <w:rPr>
          <w:rFonts w:ascii="Times New Roman" w:hAnsi="Times New Roman"/>
          <w:sz w:val="24"/>
          <w:szCs w:val="24"/>
          <w:lang w:val="en-US"/>
        </w:rPr>
        <w:lastRenderedPageBreak/>
        <w:t xml:space="preserve">of an epistemic black hole seems especially apposite in situations where more reasonable conspiracy beliefs function as “gateways” to ever more lurid conspiratorial beliefs </w:t>
      </w:r>
      <w:r w:rsidRPr="00024617">
        <w:rPr>
          <w:rFonts w:ascii="Times New Roman" w:hAnsi="Times New Roman"/>
          <w:noProof/>
          <w:sz w:val="24"/>
          <w:szCs w:val="24"/>
          <w:lang w:val="en-US"/>
        </w:rPr>
        <w:t>(Shermer, 2022)</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In sum, conspiracy believers can end up being trapped in a labyrinth from which it is almost impossible to escape. This is not just because of some psychological defect on the part of conspiracy theorists (although these surely also play a role), but because of the very structure of the belief system within which they reason.</w:t>
      </w:r>
    </w:p>
    <w:p w:rsidR="00490925" w:rsidRPr="00024617" w:rsidRDefault="00490925" w:rsidP="00024617">
      <w:pPr>
        <w:pStyle w:val="Kop2"/>
        <w:spacing w:line="480" w:lineRule="auto"/>
        <w:jc w:val="both"/>
        <w:rPr>
          <w:rFonts w:ascii="Times New Roman" w:hAnsi="Times New Roman" w:cs="Times New Roman"/>
          <w:color w:val="auto"/>
          <w:sz w:val="24"/>
          <w:szCs w:val="24"/>
          <w:lang w:val="en-US"/>
        </w:rPr>
      </w:pPr>
      <w:bookmarkStart w:id="25" w:name="_Toc101201920"/>
      <w:bookmarkStart w:id="26" w:name="_Toc101201921"/>
      <w:bookmarkStart w:id="27" w:name="_Toc101201922"/>
      <w:bookmarkStart w:id="28" w:name="_Toc101201923"/>
      <w:bookmarkStart w:id="29" w:name="_Toc101201924"/>
      <w:bookmarkStart w:id="30" w:name="_Toc101201925"/>
      <w:bookmarkStart w:id="31" w:name="_Toc101201926"/>
      <w:bookmarkStart w:id="32" w:name="_Toc101201927"/>
      <w:bookmarkStart w:id="33" w:name="_Toc101201928"/>
      <w:bookmarkStart w:id="34" w:name="_Toc101201929"/>
      <w:bookmarkStart w:id="35" w:name="_Toc101201930"/>
      <w:bookmarkStart w:id="36" w:name="_Toc101201931"/>
      <w:bookmarkStart w:id="37" w:name="_Toc101201932"/>
      <w:bookmarkStart w:id="38" w:name="_Toc101201933"/>
      <w:bookmarkStart w:id="39" w:name="_Toc101201934"/>
      <w:bookmarkStart w:id="40" w:name="_Toc45717986"/>
      <w:bookmarkStart w:id="41" w:name="_Ref104481259"/>
      <w:bookmarkStart w:id="42" w:name="_Ref10475206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24617">
        <w:rPr>
          <w:rFonts w:ascii="Times New Roman" w:hAnsi="Times New Roman" w:cs="Times New Roman"/>
          <w:color w:val="auto"/>
          <w:sz w:val="24"/>
          <w:szCs w:val="24"/>
          <w:lang w:val="en-US"/>
        </w:rPr>
        <w:t>Religion and Supernatural Black Holes</w:t>
      </w:r>
    </w:p>
    <w:p w:rsidR="00490925" w:rsidRPr="00024617" w:rsidRDefault="00490925" w:rsidP="00024617">
      <w:pPr>
        <w:pStyle w:val="Kop3"/>
        <w:spacing w:line="480" w:lineRule="auto"/>
        <w:rPr>
          <w:rFonts w:ascii="Times New Roman" w:hAnsi="Times New Roman" w:cs="Times New Roman"/>
          <w:color w:val="auto"/>
          <w:lang w:val="en-US"/>
        </w:rPr>
      </w:pPr>
      <w:bookmarkStart w:id="43" w:name="_Ref112340474"/>
      <w:bookmarkStart w:id="44" w:name="_Toc117878437"/>
      <w:r w:rsidRPr="00024617">
        <w:rPr>
          <w:rFonts w:ascii="Times New Roman" w:hAnsi="Times New Roman" w:cs="Times New Roman"/>
          <w:color w:val="auto"/>
          <w:lang w:val="en-US"/>
        </w:rPr>
        <w:t>Divine hiddenness</w:t>
      </w:r>
      <w:bookmarkEnd w:id="43"/>
      <w:bookmarkEnd w:id="44"/>
      <w:r w:rsidRPr="00024617">
        <w:rPr>
          <w:rFonts w:ascii="Times New Roman" w:hAnsi="Times New Roman" w:cs="Times New Roman"/>
          <w:color w:val="auto"/>
          <w:lang w:val="en-US"/>
        </w:rPr>
        <w:t xml:space="preserve"> </w:t>
      </w:r>
    </w:p>
    <w:bookmarkEnd w:id="40"/>
    <w:bookmarkEnd w:id="41"/>
    <w:bookmarkEnd w:id="42"/>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The realm of religion and supernatural belief offers a wide array of unobservable “occluded agents” </w:t>
      </w:r>
      <w:r w:rsidRPr="00024617">
        <w:rPr>
          <w:rFonts w:ascii="Times New Roman" w:hAnsi="Times New Roman"/>
          <w:noProof/>
          <w:sz w:val="24"/>
          <w:szCs w:val="24"/>
          <w:lang w:val="en-US"/>
        </w:rPr>
        <w:t>(Robertson, 2016)</w:t>
      </w:r>
      <w:r w:rsidRPr="00024617">
        <w:rPr>
          <w:rFonts w:ascii="Times New Roman" w:hAnsi="Times New Roman"/>
          <w:sz w:val="24"/>
          <w:szCs w:val="24"/>
          <w:lang w:val="en-US"/>
        </w:rPr>
        <w:t xml:space="preserve"> that are residing beyond the visible universe and may be interfering with the evidence for their own existence, thus potentially opening up an epistemic black hole.</w:t>
      </w:r>
      <w:r w:rsidRPr="00024617">
        <w:rPr>
          <w:rStyle w:val="Eindnootmarkering"/>
          <w:rFonts w:ascii="Times New Roman" w:hAnsi="Times New Roman"/>
          <w:sz w:val="24"/>
          <w:szCs w:val="24"/>
          <w:lang w:val="en-US"/>
        </w:rPr>
        <w:t xml:space="preserve"> </w:t>
      </w:r>
      <w:r w:rsidRPr="00024617">
        <w:rPr>
          <w:rFonts w:ascii="Times New Roman" w:hAnsi="Times New Roman"/>
          <w:sz w:val="24"/>
          <w:szCs w:val="24"/>
          <w:lang w:val="en-US"/>
        </w:rPr>
        <w:t xml:space="preserve">For instance, important strands within the world religions of Islam and Christianity conceive of God as secretly working behind the scenes, even covering up the evidence for his own existence. In the Bible, for instance, God is sometimes portrayed as deliberately hiding from human beings, as in this complaint from the Book of Isaiah: “Truly, thou art a God who </w:t>
      </w:r>
      <w:proofErr w:type="spellStart"/>
      <w:r w:rsidRPr="00024617">
        <w:rPr>
          <w:rFonts w:ascii="Times New Roman" w:hAnsi="Times New Roman"/>
          <w:sz w:val="24"/>
          <w:szCs w:val="24"/>
          <w:lang w:val="en-US"/>
        </w:rPr>
        <w:t>hidest</w:t>
      </w:r>
      <w:proofErr w:type="spellEnd"/>
      <w:r w:rsidRPr="00024617">
        <w:rPr>
          <w:rFonts w:ascii="Times New Roman" w:hAnsi="Times New Roman"/>
          <w:sz w:val="24"/>
          <w:szCs w:val="24"/>
          <w:lang w:val="en-US"/>
        </w:rPr>
        <w:t xml:space="preserve"> thyself” (Isaiah 45:15). Many Christians believe that, after creating the universe, God has (mostly) retreated from the world. This conception of God, which is known as </w:t>
      </w:r>
      <w:proofErr w:type="spellStart"/>
      <w:r w:rsidRPr="00024617">
        <w:rPr>
          <w:rFonts w:ascii="Times New Roman" w:hAnsi="Times New Roman"/>
          <w:i/>
          <w:iCs/>
          <w:sz w:val="24"/>
          <w:szCs w:val="24"/>
          <w:lang w:val="en-US"/>
        </w:rPr>
        <w:t>deus</w:t>
      </w:r>
      <w:proofErr w:type="spellEnd"/>
      <w:r w:rsidRPr="00024617">
        <w:rPr>
          <w:rFonts w:ascii="Times New Roman" w:hAnsi="Times New Roman"/>
          <w:i/>
          <w:iCs/>
          <w:sz w:val="24"/>
          <w:szCs w:val="24"/>
          <w:lang w:val="en-US"/>
        </w:rPr>
        <w:t xml:space="preserve"> </w:t>
      </w:r>
      <w:proofErr w:type="spellStart"/>
      <w:r w:rsidRPr="00024617">
        <w:rPr>
          <w:rFonts w:ascii="Times New Roman" w:hAnsi="Times New Roman"/>
          <w:i/>
          <w:iCs/>
          <w:sz w:val="24"/>
          <w:szCs w:val="24"/>
          <w:lang w:val="en-US"/>
        </w:rPr>
        <w:t>absconditus</w:t>
      </w:r>
      <w:proofErr w:type="spellEnd"/>
      <w:r w:rsidRPr="00024617">
        <w:rPr>
          <w:rFonts w:ascii="Times New Roman" w:hAnsi="Times New Roman"/>
          <w:sz w:val="24"/>
          <w:szCs w:val="24"/>
          <w:lang w:val="en-US"/>
        </w:rPr>
        <w:t xml:space="preserve"> or the problem of divine hiddenness </w:t>
      </w:r>
      <w:r w:rsidRPr="00024617">
        <w:rPr>
          <w:rFonts w:ascii="Times New Roman" w:hAnsi="Times New Roman"/>
          <w:noProof/>
          <w:sz w:val="24"/>
          <w:szCs w:val="24"/>
          <w:lang w:val="en-US"/>
        </w:rPr>
        <w:t>(Schellenberg, 2006)</w:t>
      </w:r>
      <w:r w:rsidRPr="00024617">
        <w:rPr>
          <w:rFonts w:ascii="Times New Roman" w:hAnsi="Times New Roman"/>
          <w:sz w:val="24"/>
          <w:szCs w:val="24"/>
          <w:lang w:val="en-US"/>
        </w:rPr>
        <w:t xml:space="preserve">, is a recurring theme in the Christian tradition </w:t>
      </w:r>
      <w:r w:rsidRPr="00024617">
        <w:rPr>
          <w:rFonts w:ascii="Times New Roman" w:hAnsi="Times New Roman"/>
          <w:noProof/>
          <w:sz w:val="24"/>
          <w:szCs w:val="24"/>
          <w:lang w:val="en-US"/>
        </w:rPr>
        <w:t>(Philipse, 2012, pp. 302-309)</w:t>
      </w:r>
      <w:r w:rsidRPr="00024617">
        <w:rPr>
          <w:rFonts w:ascii="Times New Roman" w:hAnsi="Times New Roman"/>
          <w:sz w:val="24"/>
          <w:szCs w:val="24"/>
          <w:lang w:val="en-US"/>
        </w:rPr>
        <w:t>. God seems to be not just invisible to the human senses</w:t>
      </w:r>
      <w:r w:rsidRPr="00024617">
        <w:rPr>
          <w:rFonts w:ascii="Times New Roman" w:hAnsi="Times New Roman"/>
          <w:color w:val="191919"/>
          <w:sz w:val="24"/>
          <w:szCs w:val="24"/>
          <w:shd w:val="clear" w:color="auto" w:fill="FFFFFF"/>
          <w:lang w:val="en-US"/>
        </w:rPr>
        <w:t>—</w:t>
      </w:r>
      <w:r w:rsidRPr="00024617">
        <w:rPr>
          <w:rFonts w:ascii="Times New Roman" w:hAnsi="Times New Roman"/>
          <w:sz w:val="24"/>
          <w:szCs w:val="24"/>
          <w:lang w:val="en-US"/>
        </w:rPr>
        <w:t>which is understandable given that he is immaterial and bodiless</w:t>
      </w:r>
      <w:r w:rsidRPr="00024617">
        <w:rPr>
          <w:rFonts w:ascii="Times New Roman" w:hAnsi="Times New Roman"/>
          <w:color w:val="191919"/>
          <w:sz w:val="24"/>
          <w:szCs w:val="24"/>
          <w:shd w:val="clear" w:color="auto" w:fill="FFFFFF"/>
          <w:lang w:val="en-US"/>
        </w:rPr>
        <w:t>—</w:t>
      </w:r>
      <w:r w:rsidRPr="00024617">
        <w:rPr>
          <w:rFonts w:ascii="Times New Roman" w:hAnsi="Times New Roman"/>
          <w:sz w:val="24"/>
          <w:szCs w:val="24"/>
          <w:lang w:val="en-US"/>
        </w:rPr>
        <w:t xml:space="preserve">but remains elusive even to those who actively seek him. Events that are apparently at odds with the notion of a hidden divine plan are often explained away by arguing that “God moves in mysterious ways” </w:t>
      </w:r>
      <w:r w:rsidRPr="00024617">
        <w:rPr>
          <w:rFonts w:ascii="Times New Roman" w:hAnsi="Times New Roman"/>
          <w:noProof/>
          <w:sz w:val="24"/>
          <w:szCs w:val="24"/>
          <w:lang w:val="en-US"/>
        </w:rPr>
        <w:t>(Boudry &amp; De Smedt, 2011)</w:t>
      </w:r>
      <w:r w:rsidRPr="00024617">
        <w:rPr>
          <w:rFonts w:ascii="Times New Roman" w:hAnsi="Times New Roman"/>
          <w:sz w:val="24"/>
          <w:szCs w:val="24"/>
          <w:lang w:val="en-US"/>
        </w:rPr>
        <w: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 xml:space="preserve">Theologians and ordinary believers have developed different justifications for divine hiddenness, the most dominant of which is that it is a test of faith </w:t>
      </w:r>
      <w:r w:rsidRPr="00024617">
        <w:rPr>
          <w:rFonts w:ascii="Times New Roman" w:hAnsi="Times New Roman"/>
          <w:noProof/>
          <w:sz w:val="24"/>
          <w:szCs w:val="24"/>
          <w:lang w:val="en-US"/>
        </w:rPr>
        <w:t>(Murray, 1993; Schellenberg, 2006)</w:t>
      </w:r>
      <w:r w:rsidRPr="00024617">
        <w:rPr>
          <w:rFonts w:ascii="Times New Roman" w:hAnsi="Times New Roman"/>
          <w:sz w:val="24"/>
          <w:szCs w:val="24"/>
          <w:lang w:val="en-US"/>
        </w:rPr>
        <w:t xml:space="preserve">. If God revealed himself for all the world to see, it would be too easy to believe in his existence. By keeping out of sight and leaving the evidence for his existence inconclusive or ambiguous, God can separate the unbelievers and doubters from those with true faith. Similar ideas can be found in the Quran, where God explains at some point that, though he generally supports the community of righteous believers in their fight against the infidels, he will not </w:t>
      </w:r>
      <w:r w:rsidRPr="00024617">
        <w:rPr>
          <w:rFonts w:ascii="Times New Roman" w:hAnsi="Times New Roman"/>
          <w:i/>
          <w:iCs/>
          <w:sz w:val="24"/>
          <w:szCs w:val="24"/>
          <w:lang w:val="en-US"/>
        </w:rPr>
        <w:t>always</w:t>
      </w:r>
      <w:r w:rsidRPr="00024617">
        <w:rPr>
          <w:rFonts w:ascii="Times New Roman" w:hAnsi="Times New Roman"/>
          <w:sz w:val="24"/>
          <w:szCs w:val="24"/>
          <w:lang w:val="en-US"/>
        </w:rPr>
        <w:t xml:space="preserve"> grant them victory on the battlefield. Rather, he will allow for some occasional defeats and setbacks, in order to test the strength of their faith.</w:t>
      </w:r>
      <w:r w:rsidRPr="00024617">
        <w:rPr>
          <w:rStyle w:val="Eindnootmarkering"/>
          <w:rFonts w:ascii="Times New Roman" w:hAnsi="Times New Roman"/>
          <w:sz w:val="24"/>
          <w:szCs w:val="24"/>
          <w:lang w:val="en-US"/>
        </w:rPr>
        <w:endnoteReference w:id="6"/>
      </w:r>
      <w:r w:rsidRPr="00024617">
        <w:rPr>
          <w:rFonts w:ascii="Times New Roman" w:hAnsi="Times New Roman"/>
          <w:sz w:val="24"/>
          <w:szCs w:val="24"/>
          <w:lang w:val="en-US"/>
        </w:rPr>
        <w:t xml:space="preserve"> A related response to the problem of divine hiddenness is that God wants to give us morally significant free will, and that revealing himself in any manifest way would take away that freedom </w:t>
      </w:r>
      <w:r w:rsidRPr="00024617">
        <w:rPr>
          <w:rFonts w:ascii="Times New Roman" w:hAnsi="Times New Roman"/>
          <w:noProof/>
          <w:sz w:val="24"/>
          <w:szCs w:val="24"/>
          <w:lang w:val="en-US"/>
        </w:rPr>
        <w:t>(Swinburne, 2004)</w:t>
      </w:r>
      <w:r w:rsidRPr="00024617">
        <w:rPr>
          <w:rFonts w:ascii="Times New Roman" w:hAnsi="Times New Roman"/>
          <w:sz w:val="24"/>
          <w:szCs w:val="24"/>
          <w:lang w:val="en-US"/>
        </w:rPr>
        <w:t xml:space="preserve">. Whatever the rationale for divine hiddenness, what it comes down to is a form of divine deception </w:t>
      </w:r>
      <w:r w:rsidRPr="00024617">
        <w:rPr>
          <w:rFonts w:ascii="Times New Roman" w:hAnsi="Times New Roman"/>
          <w:noProof/>
          <w:sz w:val="24"/>
          <w:szCs w:val="24"/>
          <w:lang w:val="en-US"/>
        </w:rPr>
        <w:t>(Nieminen, Boudry, Ryökäs, &amp; Mustonen, 2017)</w:t>
      </w:r>
      <w:r w:rsidRPr="00024617">
        <w:rPr>
          <w:rFonts w:ascii="Times New Roman" w:hAnsi="Times New Roman"/>
          <w:sz w:val="24"/>
          <w:szCs w:val="24"/>
          <w:lang w:val="en-US"/>
        </w:rPr>
        <w:t xml:space="preserve">: God could clearly reveal himself to us, or at least leave evidence for his existence, but he decided to stay out of sight and even cover up his tracks.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light of these features, a number of authors have recently pointed out the epistemological similarities between theism and conspiracy theories </w:t>
      </w:r>
      <w:r w:rsidRPr="00024617">
        <w:rPr>
          <w:rFonts w:ascii="Times New Roman" w:hAnsi="Times New Roman"/>
          <w:noProof/>
          <w:sz w:val="24"/>
          <w:szCs w:val="24"/>
          <w:lang w:val="en-US"/>
        </w:rPr>
        <w:t>(Edis, 2019; Keeley, 2007)</w:t>
      </w:r>
      <w:r w:rsidRPr="00024617">
        <w:rPr>
          <w:rFonts w:ascii="Times New Roman" w:hAnsi="Times New Roman"/>
          <w:sz w:val="24"/>
          <w:szCs w:val="24"/>
          <w:lang w:val="en-US"/>
        </w:rPr>
        <w:t>.</w:t>
      </w:r>
      <w:r w:rsidRPr="00024617">
        <w:rPr>
          <w:rStyle w:val="Eindnootmarkering"/>
          <w:rFonts w:ascii="Times New Roman" w:hAnsi="Times New Roman"/>
          <w:sz w:val="24"/>
          <w:szCs w:val="24"/>
          <w:lang w:val="en-US"/>
        </w:rPr>
        <w:endnoteReference w:id="7"/>
      </w:r>
      <w:r w:rsidRPr="00024617">
        <w:rPr>
          <w:rFonts w:ascii="Times New Roman" w:hAnsi="Times New Roman"/>
          <w:sz w:val="24"/>
          <w:szCs w:val="24"/>
          <w:lang w:val="en-US"/>
        </w:rPr>
        <w:t xml:space="preserve"> As these authors admit, however, monotheism cannot strictly speaking be regarded as a conspiracy theory because, by definition, God is a unified and single agent who has no-one to conspire with.</w:t>
      </w:r>
      <w:r w:rsidRPr="00024617">
        <w:rPr>
          <w:rStyle w:val="Eindnootmarkering"/>
          <w:rFonts w:ascii="Times New Roman" w:hAnsi="Times New Roman"/>
          <w:sz w:val="24"/>
          <w:szCs w:val="24"/>
          <w:lang w:val="en-US"/>
        </w:rPr>
        <w:endnoteReference w:id="8"/>
      </w:r>
      <w:r w:rsidRPr="00024617">
        <w:rPr>
          <w:rFonts w:ascii="Times New Roman" w:hAnsi="Times New Roman"/>
          <w:sz w:val="24"/>
          <w:szCs w:val="24"/>
          <w:lang w:val="en-US"/>
        </w:rPr>
        <w:t xml:space="preserve"> Indeed, as Keeley (2007) has argued, God has “no need to conspire with anybody to bring about Providence according to His wishes” </w:t>
      </w:r>
      <w:r w:rsidRPr="00024617">
        <w:rPr>
          <w:rFonts w:ascii="Times New Roman" w:hAnsi="Times New Roman"/>
          <w:noProof/>
          <w:sz w:val="24"/>
          <w:szCs w:val="24"/>
          <w:lang w:val="en-US"/>
        </w:rPr>
        <w:t>(Keeley, 2007, p. 140)</w:t>
      </w:r>
      <w:r w:rsidRPr="00024617">
        <w:rPr>
          <w:rFonts w:ascii="Times New Roman" w:hAnsi="Times New Roman"/>
          <w:sz w:val="24"/>
          <w:szCs w:val="24"/>
          <w:lang w:val="en-US"/>
        </w:rPr>
        <w:t xml:space="preserve">, because he is by definition all-powerful and all-knowing. Only fallible humans need to collaborate with others to carry out elaborate and complex forms of deception.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Still, the notion of a supernatural being deliberately covering up the traces of his own existence does show a kinship with conspiracy theories.</w:t>
      </w:r>
      <w:r w:rsidRPr="00024617">
        <w:rPr>
          <w:rStyle w:val="Eindnootmarkering"/>
          <w:rFonts w:ascii="Times New Roman" w:hAnsi="Times New Roman"/>
          <w:sz w:val="24"/>
          <w:szCs w:val="24"/>
          <w:lang w:val="en-US"/>
        </w:rPr>
        <w:endnoteReference w:id="9"/>
      </w:r>
      <w:r w:rsidRPr="00024617">
        <w:rPr>
          <w:rFonts w:ascii="Times New Roman" w:hAnsi="Times New Roman"/>
          <w:sz w:val="24"/>
          <w:szCs w:val="24"/>
          <w:lang w:val="en-US"/>
        </w:rPr>
        <w:t xml:space="preserve">  Since God is regarded as omnipotent, his veil of secrecy and disguise can be even more fool-proof than those of mortal plotters. </w:t>
      </w:r>
      <w:bookmarkStart w:id="45" w:name="_Hlk104475096"/>
      <w:bookmarkStart w:id="46" w:name="_Hlk104480145"/>
      <w:r w:rsidRPr="00024617">
        <w:rPr>
          <w:rFonts w:ascii="Times New Roman" w:hAnsi="Times New Roman"/>
          <w:sz w:val="24"/>
          <w:szCs w:val="24"/>
          <w:lang w:val="en-US"/>
        </w:rPr>
        <w:t xml:space="preserve">Rather than </w:t>
      </w:r>
      <w:r w:rsidRPr="00024617">
        <w:rPr>
          <w:rFonts w:ascii="Times New Roman" w:hAnsi="Times New Roman"/>
          <w:sz w:val="24"/>
          <w:szCs w:val="24"/>
          <w:lang w:val="en-US"/>
        </w:rPr>
        <w:lastRenderedPageBreak/>
        <w:t xml:space="preserve">calling the theist theory of divine hiddenness a “conspiracy theory”—which would strictly speaking be a </w:t>
      </w:r>
      <w:r w:rsidRPr="00024617">
        <w:rPr>
          <w:rFonts w:ascii="Times New Roman" w:hAnsi="Times New Roman"/>
          <w:i/>
          <w:iCs/>
          <w:sz w:val="24"/>
          <w:szCs w:val="24"/>
          <w:lang w:val="en-US"/>
        </w:rPr>
        <w:t>contradiction in terms</w:t>
      </w:r>
      <w:r w:rsidRPr="00024617">
        <w:rPr>
          <w:rFonts w:ascii="Times New Roman" w:hAnsi="Times New Roman"/>
          <w:sz w:val="24"/>
          <w:szCs w:val="24"/>
          <w:lang w:val="en-US"/>
        </w:rPr>
        <w:t xml:space="preserve">—we suggest that it is more useful to analyze both belief systems as instances of epistemic black holes. Once you adopt the hypothesis that an invisible (omnipotent) supernatural being is covering up the evidence for his own existence, it might become very hard to reason your way out of such a belief system.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any event, it should be noted that the concept of divine deception and its related justifications remains controversial. Even though it is present in some strands of Christianity and Islam, there is also a long tradition of religious arguments to the effect that God has left the evidence for his existence all around us, at least for those who are willing to see </w:t>
      </w:r>
      <w:r w:rsidRPr="00024617">
        <w:rPr>
          <w:rFonts w:ascii="Times New Roman" w:hAnsi="Times New Roman"/>
          <w:noProof/>
          <w:sz w:val="24"/>
          <w:szCs w:val="24"/>
          <w:lang w:val="en-US"/>
        </w:rPr>
        <w:t>(Philipse, 2012)</w:t>
      </w:r>
      <w:r w:rsidRPr="00024617">
        <w:rPr>
          <w:rFonts w:ascii="Times New Roman" w:hAnsi="Times New Roman"/>
          <w:sz w:val="24"/>
          <w:szCs w:val="24"/>
          <w:lang w:val="en-US"/>
        </w:rPr>
        <w:t xml:space="preserve">. In this conception, God </w:t>
      </w:r>
      <w:r w:rsidRPr="00024617">
        <w:rPr>
          <w:rFonts w:ascii="Times New Roman" w:hAnsi="Times New Roman"/>
          <w:i/>
          <w:iCs/>
          <w:sz w:val="24"/>
          <w:szCs w:val="24"/>
          <w:lang w:val="en-US"/>
        </w:rPr>
        <w:t xml:space="preserve">does </w:t>
      </w:r>
      <w:r w:rsidRPr="00024617">
        <w:rPr>
          <w:rFonts w:ascii="Times New Roman" w:hAnsi="Times New Roman"/>
          <w:sz w:val="24"/>
          <w:szCs w:val="24"/>
          <w:lang w:val="en-US"/>
        </w:rPr>
        <w:t xml:space="preserve">want to be known by his creatures and is actually revealing himself to us, although perhaps not in an ambiguous and testable way that could settle all religious disputes for once and for all </w:t>
      </w:r>
      <w:r w:rsidRPr="00024617">
        <w:rPr>
          <w:rFonts w:ascii="Times New Roman" w:hAnsi="Times New Roman"/>
          <w:noProof/>
          <w:sz w:val="24"/>
          <w:szCs w:val="24"/>
          <w:lang w:val="en-US"/>
        </w:rPr>
        <w:t>(Boudry &amp; De Smedt, 2011)</w:t>
      </w:r>
      <w:r w:rsidRPr="00024617">
        <w:rPr>
          <w:rFonts w:ascii="Times New Roman" w:hAnsi="Times New Roman"/>
          <w:sz w:val="24"/>
          <w:szCs w:val="24"/>
          <w:lang w:val="en-US"/>
        </w:rPr>
        <w:t xml:space="preserve">. For the purposes of this paper, we therefore want to turn our attention to a more specific and historical case study of an epistemic black hole centered around different supernatural beings: the early modern European witch hunts. </w:t>
      </w:r>
      <w:bookmarkEnd w:id="45"/>
      <w:bookmarkEnd w:id="46"/>
    </w:p>
    <w:p w:rsidR="00490925" w:rsidRPr="00024617" w:rsidRDefault="00490925" w:rsidP="00024617">
      <w:pPr>
        <w:pStyle w:val="Kop3"/>
        <w:spacing w:line="480" w:lineRule="auto"/>
        <w:rPr>
          <w:rFonts w:ascii="Times New Roman" w:hAnsi="Times New Roman" w:cs="Times New Roman"/>
          <w:color w:val="auto"/>
          <w:lang w:val="en-US"/>
        </w:rPr>
      </w:pPr>
      <w:bookmarkStart w:id="47" w:name="_Ref112340458"/>
      <w:bookmarkStart w:id="48" w:name="_Toc117878438"/>
      <w:r w:rsidRPr="00024617">
        <w:rPr>
          <w:rFonts w:ascii="Times New Roman" w:hAnsi="Times New Roman" w:cs="Times New Roman"/>
          <w:color w:val="auto"/>
          <w:lang w:val="en-US"/>
        </w:rPr>
        <w:t>The cumulative concept of witchcraft</w:t>
      </w:r>
      <w:bookmarkEnd w:id="47"/>
      <w:bookmarkEnd w:id="48"/>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early modern Europe, there was a widespread belief among Christian communities that “witches” were living in their midst, fellow human beings who were in league with the Devil and who used magical powers to destroy harvests, spread illness or cause other mayhem. In many versions of the belief system, there was a literal “conspiracy” in the form of a witches’ sabbath, nightly gatherings in which witches from all across the region consorted with each other and worshipped the Devil, concocting evil plans to wreak havoc in human communities. Satan constantly tried to seduce people into this sinister alliance, especially through sexual intercourse. Estimates vary, but probably up to 50.000 or 60.000 people have been executed in total </w:t>
      </w:r>
      <w:r w:rsidRPr="00024617">
        <w:rPr>
          <w:rFonts w:ascii="Times New Roman" w:hAnsi="Times New Roman"/>
          <w:noProof/>
          <w:sz w:val="24"/>
          <w:szCs w:val="24"/>
          <w:lang w:val="en-US"/>
        </w:rPr>
        <w:t>(Goodare, 2016; Hofhuis, 2022; Levack, 2016)</w:t>
      </w:r>
      <w:r w:rsidRPr="00024617">
        <w:rPr>
          <w:rFonts w:ascii="Times New Roman" w:hAnsi="Times New Roman"/>
          <w:sz w:val="24"/>
          <w:szCs w:val="24"/>
          <w:lang w:val="en-US"/>
        </w:rPr>
        <w: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 xml:space="preserve">Even at the time there was already pervasive skepticism about the guilt of the executed, as well as about the existence of this diabolical sect in the first place. However, the witchcraft doctrine was ingeniously adapted to fend off such criticisms. It was thought to be an essential feature of the witchcraft conspiracy that the Devil, his demons and witches were continually hiding the evidence of their malfeasance. The crucial crimes, such as using harmful magic and sabbath attendance, normally all happened while nobody was watching: “Much is hidden, below the surface, and secret,” one contemporary wrote (XXX).  Demons were fallen angels, so they still possessed many supernatural powers to create illusions for deceiving people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ADDIN ZOTERO_ITEM CSL_CITATION {"citationID":"o1j6ro1k","properties":{"formattedCitation":"(Goodare, 2016; Levack, 2016)","plainCitation":"(Goodare, 2016; Levack, 2016)","noteIndex":0},"citationItems":[{"id":426,"uris":["http://zotero.org/users/3566189/items/V9JG3JQ3"],"uri":["http://zotero.org/users/3566189/items/V9JG3JQ3"],"itemData":{"id":426,"type":"book","abstract":"The European Witch-Hunt seeks to explain why thousands of people, mostly lower-class women, were deliberately tortured and killed in the name of religion and morality during three centuries of intermittent witch-hunting throughout Europe and North America.  Combining perspectives from history, sociology, psychology and other disciplines, this book provides a comprehensive account of witch-hunting in early modern Europe. Julian Goodare sets out an original interpretation of witch-hunting as an episode of ideologically-driven persecution by the ‘godly state’ in the era of the Reformation and Counter-Reformation. Full weight is also given to the context of village social relationships, and there is a detailed analysis of gender issues. Witch-hunting was a legal operation, and the courts’ rationale for interrogation under torture is explained. Panicking local elites, rather than central governments, were at the forefront of witch-hunting. Further chapters explore folk beliefs about legendary witches, and intellectuals’ beliefs about a secret conspiracy of witches in league with the Devil. Witch-hunting eventually declined when the ideological pressure to combat the Devil’s allies slackened. A final chapter sets witch-hunting in the context of other episodes of modern persecution.  This book is the ideal resource for students exploring the history of witch-hunting. Its level of detail and use of social theory also make it important for scholars and researchers.","event-place":"London","ISBN":"978-1-317-19830-7","language":"en","note":"Google-Books-ID: oM8mDAAAQBAJ","number-of-pages":"556","publisher":"Routledge","publisher-place":"London","source":"Google Books","title":"The European Witch-Hunt","author":[{"family":"Goodare","given":"Julian"}],"issued":{"date-parts":[["2016",5,12]]}}},{"id":261,"uris":["http://zotero.org/users/3566189/items/A6B62DEG"],"uri":["http://zotero.org/users/3566189/items/A6B62DEG"],"itemData":{"id":261,"type":"book","abstract":"Between 1450 and 1750 thousands of people – most of them women – were accused, prosecuted and executed for the crime of witchcraft. The witch-hunt was not a single event; it comprised thousands of individual prosecutions, each shaped by the religious and social dimensions of the particular area as well as political and legal factors. Brian Levack sorts through the proliferation of theories to provide a coherent introduction to the subject, as well as contributing to the scholarly debate. The book:  Examines why witchcraft prosecutions took place, how many trials and victims there were, and why witch-hunting eventually came to an end.  Explores the beliefs of both educated and illiterate people regarding witchcraft. Uses regional and local studies to give a more detailed analysis of the chronological and geographical distribution of witch-trials.  Emphasises the legal context of witchcraft prosecutions. Illuminates the social, economic and political history of early modern Europe, and in particular the position of women within it. In this fully updated third edition of his exceptional study, Levack incorporates the vast amount of literature that has emerged since the last edition. He substantially extends his consideration of the decline of the witch-hunt and goes further in his exploration of witch-hunting after the trials, especially in contemporary Africa. New illustrations vividly depict beliefs about witchcraft in early modern Europe.","event-place":"New York","ISBN":"978-1-317-87559-8","language":"en","note":"Google-Books-ID: cFIVAgAAQBAJ","number-of-pages":"490","publisher":"Routledge","publisher-place":"New York","source":"Google Books","title":"The Witch-Hunt in Early Modern Europe","author":[{"family":"Levack","given":"Brian P."}],"issued":{"date-parts":[["2016"]]}}}],"schema":"https://github.com/citation-style-language/schema/raw/master/csl-citation.json"} </w:instrText>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(Goodare, 2016; Levack, 2016)</w:t>
      </w:r>
      <w:r w:rsidRPr="00024617">
        <w:rPr>
          <w:rFonts w:ascii="Times New Roman" w:hAnsi="Times New Roman"/>
          <w:sz w:val="24"/>
          <w:szCs w:val="24"/>
          <w:lang w:val="en-US"/>
        </w:rPr>
        <w:fldChar w:fldCharType="end"/>
      </w:r>
      <w:r w:rsidRPr="00024617">
        <w:rPr>
          <w:rFonts w:ascii="Times New Roman" w:hAnsi="Times New Roman"/>
          <w:sz w:val="24"/>
          <w:szCs w:val="24"/>
          <w:lang w:val="en-US"/>
        </w:rPr>
        <w:t xml:space="preserve">. During witchcraft investigations this implied that any counterevidence could always be interpreted as the trickery of demons, and any conceivable </w:t>
      </w:r>
      <w:r w:rsidRPr="00024617">
        <w:rPr>
          <w:rFonts w:ascii="Times New Roman" w:hAnsi="Times New Roman"/>
          <w:sz w:val="24"/>
          <w:szCs w:val="24"/>
          <w:lang w:val="en-US" w:eastAsia="zh-CN"/>
        </w:rPr>
        <w:t>event could be interpreted as further confirmation  that persecutors were onto the witchcraft network.</w:t>
      </w:r>
    </w:p>
    <w:p w:rsidR="00490925" w:rsidRPr="00024617" w:rsidRDefault="00490925" w:rsidP="00024617">
      <w:pPr>
        <w:spacing w:after="0" w:line="480" w:lineRule="auto"/>
        <w:jc w:val="both"/>
        <w:rPr>
          <w:rFonts w:ascii="Times New Roman" w:hAnsi="Times New Roman"/>
          <w:sz w:val="24"/>
          <w:szCs w:val="24"/>
          <w:lang w:val="en-US" w:eastAsia="zh-CN"/>
        </w:rPr>
      </w:pPr>
      <w:r w:rsidRPr="00024617">
        <w:rPr>
          <w:rFonts w:ascii="Times New Roman" w:hAnsi="Times New Roman"/>
          <w:sz w:val="24"/>
          <w:szCs w:val="24"/>
          <w:lang w:val="en-US"/>
        </w:rPr>
        <w:t xml:space="preserve">For instance, husbands of accused women often protested that their wives could not have attended any sabbaths in the night, because they had seen them sleeping next to them in their beds. But here the witch-hunters retorted that demons must have created an illusion that made it look as if the wives were decently sleeping at home, while their actual bodies were elsewhere </w:t>
      </w:r>
      <w:r w:rsidRPr="00024617">
        <w:rPr>
          <w:rFonts w:ascii="Times New Roman" w:hAnsi="Times New Roman"/>
          <w:noProof/>
          <w:sz w:val="24"/>
          <w:szCs w:val="24"/>
          <w:lang w:val="en-US"/>
        </w:rPr>
        <w:t>(Hofhuis, 2022, p. 157; Remy, 2014, pp. 43-44)</w:t>
      </w:r>
      <w:r w:rsidRPr="00024617">
        <w:rPr>
          <w:rFonts w:ascii="Times New Roman" w:hAnsi="Times New Roman"/>
          <w:sz w:val="24"/>
          <w:szCs w:val="24"/>
          <w:lang w:val="en-US"/>
        </w:rPr>
        <w:t xml:space="preserve">. The interrogation of suspected witnesses also displays the logic of ‘heads I win, tails you lose’. </w:t>
      </w:r>
      <w:r w:rsidRPr="00024617">
        <w:rPr>
          <w:rFonts w:ascii="Times New Roman" w:hAnsi="Times New Roman"/>
          <w:sz w:val="24"/>
          <w:szCs w:val="24"/>
          <w:lang w:val="en-US" w:eastAsia="zh-CN"/>
        </w:rPr>
        <w:t xml:space="preserve">If physical torments—often used in witch trials—made suspects confess quickly, it showed that they were guilty. But if they did not confess right away, this was often explained as the work of demons cleverly assisting the suspects in their ability to withstand torture, thus also indicating guilt </w:t>
      </w:r>
      <w:r w:rsidRPr="00024617">
        <w:rPr>
          <w:rFonts w:ascii="Times New Roman" w:hAnsi="Times New Roman"/>
          <w:noProof/>
          <w:sz w:val="24"/>
          <w:szCs w:val="24"/>
          <w:lang w:val="en-US" w:eastAsia="zh-CN"/>
        </w:rPr>
        <w:t>(Krause, 2015, p. 26; Roper, 2004, p. 47)</w:t>
      </w:r>
      <w:r w:rsidRPr="00024617">
        <w:rPr>
          <w:rFonts w:ascii="Times New Roman" w:hAnsi="Times New Roman"/>
          <w:sz w:val="24"/>
          <w:szCs w:val="24"/>
          <w:lang w:val="en-US" w:eastAsia="zh-CN"/>
        </w:rPr>
        <w:t xml:space="preserve">. If the accused responded emotionally, it was deemed very suspicious. But if they did not respond emotionally </w:t>
      </w:r>
      <w:r w:rsidRPr="00024617">
        <w:rPr>
          <w:rFonts w:ascii="Times New Roman" w:hAnsi="Times New Roman"/>
          <w:i/>
          <w:iCs/>
          <w:sz w:val="24"/>
          <w:szCs w:val="24"/>
          <w:lang w:val="en-US" w:eastAsia="zh-CN"/>
        </w:rPr>
        <w:t>enough</w:t>
      </w:r>
      <w:r w:rsidRPr="00024617">
        <w:rPr>
          <w:rFonts w:ascii="Times New Roman" w:hAnsi="Times New Roman"/>
          <w:sz w:val="24"/>
          <w:szCs w:val="24"/>
          <w:lang w:val="en-US" w:eastAsia="zh-CN"/>
        </w:rPr>
        <w:t>, it was equally suspicious, as it suggested an evil personality or, again, demonic support</w:t>
      </w:r>
      <w:r w:rsidRPr="00024617">
        <w:rPr>
          <w:rFonts w:ascii="Times New Roman" w:hAnsi="Times New Roman"/>
          <w:sz w:val="24"/>
          <w:szCs w:val="24"/>
          <w:lang w:val="en-US"/>
        </w:rPr>
        <w:t xml:space="preserve">. </w:t>
      </w:r>
      <w:r w:rsidRPr="00024617">
        <w:rPr>
          <w:rFonts w:ascii="Times New Roman" w:hAnsi="Times New Roman"/>
          <w:sz w:val="24"/>
          <w:szCs w:val="24"/>
          <w:lang w:val="en-US" w:eastAsia="zh-CN"/>
        </w:rPr>
        <w:t>Probably most dubious of all were the people who disapproved of witch-hunts and were unwilling to cooperate. Were these individuals not witches themselves, or at least the victims of demonic delusion? (XXX).</w:t>
      </w:r>
      <w:r w:rsidRPr="00024617">
        <w:rPr>
          <w:rStyle w:val="Eindnootmarkering"/>
          <w:rFonts w:ascii="Times New Roman" w:hAnsi="Times New Roman"/>
          <w:sz w:val="24"/>
          <w:szCs w:val="24"/>
          <w:lang w:val="en-US" w:eastAsia="zh-CN"/>
        </w:rPr>
        <w:endnoteReference w:id="10"/>
      </w:r>
      <w:r w:rsidRPr="00024617">
        <w:rPr>
          <w:rFonts w:ascii="Times New Roman" w:hAnsi="Times New Roman"/>
          <w:sz w:val="24"/>
          <w:szCs w:val="24"/>
          <w:lang w:val="en-US" w:eastAsia="zh-CN"/>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ab/>
      </w:r>
      <w:r w:rsidRPr="00024617">
        <w:rPr>
          <w:rFonts w:ascii="Times New Roman" w:hAnsi="Times New Roman"/>
          <w:sz w:val="24"/>
          <w:szCs w:val="24"/>
          <w:lang w:val="en-US" w:eastAsia="zh-CN"/>
        </w:rPr>
        <w:t xml:space="preserve">When people had thoroughly absorbed this belief system, it became difficult not to see unusual misfortune in the light of witchcraft and not to interpret further events as additional confirmation. As the sixteenth century physician and Dutch-German witch-hunt skeptic Johan </w:t>
      </w:r>
      <w:proofErr w:type="spellStart"/>
      <w:r w:rsidRPr="00024617">
        <w:rPr>
          <w:rFonts w:ascii="Times New Roman" w:hAnsi="Times New Roman"/>
          <w:sz w:val="24"/>
          <w:szCs w:val="24"/>
          <w:lang w:val="en-US" w:eastAsia="zh-CN"/>
        </w:rPr>
        <w:t>Weyer</w:t>
      </w:r>
      <w:proofErr w:type="spellEnd"/>
      <w:r w:rsidRPr="00024617">
        <w:rPr>
          <w:rFonts w:ascii="Times New Roman" w:hAnsi="Times New Roman"/>
          <w:sz w:val="24"/>
          <w:szCs w:val="24"/>
          <w:lang w:val="en-US" w:eastAsia="zh-CN"/>
        </w:rPr>
        <w:t xml:space="preserve"> put it: </w:t>
      </w:r>
      <w:r w:rsidRPr="00024617">
        <w:rPr>
          <w:rFonts w:ascii="Times New Roman" w:hAnsi="Times New Roman"/>
          <w:sz w:val="24"/>
          <w:szCs w:val="24"/>
          <w:lang w:val="en-US"/>
        </w:rPr>
        <w:t xml:space="preserve"> “Assuredly, in matters admitting of little certitude, the less cautious would not then be slipping from one single error into a thousand ones, as though trapped in an inextricable labyrinth from which no way of escape, no end, can be seen” </w:t>
      </w:r>
      <w:r w:rsidRPr="00024617">
        <w:rPr>
          <w:rFonts w:ascii="Times New Roman" w:hAnsi="Times New Roman"/>
          <w:noProof/>
          <w:sz w:val="24"/>
          <w:szCs w:val="24"/>
          <w:lang w:val="en-US"/>
        </w:rPr>
        <w:t>(Weyer, 1998, p. 522)</w:t>
      </w:r>
      <w:r w:rsidRPr="00024617">
        <w:rPr>
          <w:rFonts w:ascii="Times New Roman" w:hAnsi="Times New Roman"/>
          <w:sz w:val="24"/>
          <w:szCs w:val="24"/>
          <w:lang w:val="en-US"/>
        </w:rPr>
        <w:t>. It is hard to think of a more eloquent description of what an epistemic black hole looks like.</w:t>
      </w:r>
    </w:p>
    <w:p w:rsidR="00490925" w:rsidRPr="00024617" w:rsidRDefault="00490925" w:rsidP="00024617">
      <w:pPr>
        <w:pStyle w:val="Kop2"/>
        <w:spacing w:line="480" w:lineRule="auto"/>
        <w:jc w:val="both"/>
        <w:rPr>
          <w:rFonts w:ascii="Times New Roman" w:hAnsi="Times New Roman" w:cs="Times New Roman"/>
          <w:color w:val="auto"/>
          <w:sz w:val="24"/>
          <w:szCs w:val="24"/>
          <w:lang w:val="en-US"/>
        </w:rPr>
      </w:pPr>
      <w:bookmarkStart w:id="49" w:name="_Toc117878439"/>
      <w:r w:rsidRPr="00024617">
        <w:rPr>
          <w:rFonts w:ascii="Times New Roman" w:hAnsi="Times New Roman" w:cs="Times New Roman"/>
          <w:color w:val="auto"/>
          <w:sz w:val="24"/>
          <w:szCs w:val="24"/>
          <w:lang w:val="en-US"/>
        </w:rPr>
        <w:t>Freudian Psychoanalysis</w:t>
      </w:r>
      <w:bookmarkEnd w:id="49"/>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A final and surprising example of an epistemic black hole can be found in Freudian psychoanalysis </w:t>
      </w:r>
      <w:r w:rsidRPr="00024617">
        <w:rPr>
          <w:rFonts w:ascii="Times New Roman" w:hAnsi="Times New Roman"/>
          <w:noProof/>
          <w:sz w:val="24"/>
          <w:szCs w:val="24"/>
          <w:lang w:val="en-US"/>
        </w:rPr>
        <w:t>(Cioffi, 1998; Farrell, 1996)</w:t>
      </w:r>
      <w:r w:rsidRPr="00024617">
        <w:rPr>
          <w:rFonts w:ascii="Times New Roman" w:hAnsi="Times New Roman"/>
          <w:sz w:val="24"/>
          <w:szCs w:val="24"/>
          <w:lang w:val="en-US"/>
        </w:rPr>
        <w:t xml:space="preserve">.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024617">
        <w:rPr>
          <w:rFonts w:ascii="Times New Roman" w:hAnsi="Times New Roman"/>
          <w:i/>
          <w:iCs/>
          <w:sz w:val="24"/>
          <w:szCs w:val="24"/>
          <w:lang w:val="en-US"/>
        </w:rPr>
        <w:t xml:space="preserve">The Interpretation of Dreams </w:t>
      </w:r>
      <w:r w:rsidRPr="00024617">
        <w:rPr>
          <w:rFonts w:ascii="Times New Roman" w:hAnsi="Times New Roman"/>
          <w:sz w:val="24"/>
          <w:szCs w:val="24"/>
          <w:lang w:val="en-US"/>
        </w:rPr>
        <w:t xml:space="preserve">and </w:t>
      </w:r>
      <w:r w:rsidRPr="00024617">
        <w:rPr>
          <w:rFonts w:ascii="Times New Roman" w:hAnsi="Times New Roman"/>
          <w:i/>
          <w:iCs/>
          <w:sz w:val="24"/>
          <w:szCs w:val="24"/>
          <w:lang w:val="en-US"/>
        </w:rPr>
        <w:t xml:space="preserve">The Psychopathology of Everyday Life </w:t>
      </w:r>
      <w:r w:rsidRPr="00024617">
        <w:rPr>
          <w:rFonts w:ascii="Times New Roman" w:hAnsi="Times New Roman"/>
          <w:noProof/>
          <w:sz w:val="24"/>
          <w:szCs w:val="24"/>
          <w:lang w:val="en-US"/>
        </w:rPr>
        <w:t>(Freud, 1953; Freud, Strachey, Freud, Richards, &amp; Institute of Psycho-analysis., 1960)</w:t>
      </w:r>
      <w:r w:rsidRPr="00024617">
        <w:rPr>
          <w:rFonts w:ascii="Times New Roman" w:hAnsi="Times New Roman"/>
          <w:sz w:val="24"/>
          <w:szCs w:val="24"/>
          <w:lang w:val="en-US"/>
        </w:rPr>
        <w:t xml:space="preserve">, we are presented with reams of examples in which the Unconscious employs clever disguises to escape detection, such as symbolism, denials, inversions, and word plays.  In his perceptive book </w:t>
      </w:r>
      <w:r w:rsidRPr="00024617">
        <w:rPr>
          <w:rFonts w:ascii="Times New Roman" w:hAnsi="Times New Roman"/>
          <w:i/>
          <w:iCs/>
          <w:sz w:val="24"/>
          <w:szCs w:val="24"/>
          <w:lang w:val="en-US"/>
        </w:rPr>
        <w:t xml:space="preserve">The Psychoanalytic Movement, </w:t>
      </w:r>
      <w:r w:rsidRPr="00024617">
        <w:rPr>
          <w:rFonts w:ascii="Times New Roman" w:hAnsi="Times New Roman"/>
          <w:sz w:val="24"/>
          <w:szCs w:val="24"/>
          <w:lang w:val="en-US"/>
        </w:rPr>
        <w:t>Ernest</w:t>
      </w:r>
      <w:r w:rsidRPr="00024617">
        <w:rPr>
          <w:rFonts w:ascii="Times New Roman" w:hAnsi="Times New Roman"/>
          <w:i/>
          <w:iCs/>
          <w:sz w:val="24"/>
          <w:szCs w:val="24"/>
          <w:lang w:val="en-US"/>
        </w:rPr>
        <w:t xml:space="preserve"> </w:t>
      </w:r>
      <w:r w:rsidRPr="00024617">
        <w:rPr>
          <w:rFonts w:ascii="Times New Roman" w:hAnsi="Times New Roman"/>
          <w:sz w:val="24"/>
          <w:szCs w:val="24"/>
          <w:lang w:val="en-US"/>
        </w:rPr>
        <w:t xml:space="preserve">Gellner called Freud’s psychoanalytic unconscious “The Trickster”, an intentional agent which “can and does interfere with the behavioral evidence about its own existence and activities” </w:t>
      </w:r>
      <w:r w:rsidRPr="00024617">
        <w:rPr>
          <w:rFonts w:ascii="Times New Roman" w:hAnsi="Times New Roman"/>
          <w:noProof/>
          <w:sz w:val="24"/>
          <w:szCs w:val="24"/>
          <w:lang w:val="en-US"/>
        </w:rPr>
        <w:t>(Gellner, 1985, p. 142)</w:t>
      </w:r>
      <w:r w:rsidRPr="00024617">
        <w:rPr>
          <w:rFonts w:ascii="Times New Roman" w:hAnsi="Times New Roman"/>
          <w:sz w:val="24"/>
          <w:szCs w:val="24"/>
          <w:lang w:val="en-US"/>
        </w:rPr>
        <w:t xml:space="preserve">. In Freud’s theory, the Trickster is always trying to deceive the conscious subject (and the therapist) in unexpected and cunning ways. And just as with many conspiracy theories about history of fears about witchcraft, the intentions of the conspirator can be seen as sinister and nefarious. In Freud’s view, the unconscious harbors forbidden desires and impulses related to sexual perversion and aggression, which would be shocking to the conscious subject and must therefore be kept secret.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 xml:space="preserve">In some versions of psychoanalysis, there is no longer a single and unified agent but rather a dynamic interaction between multiple mental systems, each of which seems to be capable of intentional agency. In the </w:t>
      </w:r>
      <w:r w:rsidRPr="00024617">
        <w:rPr>
          <w:rFonts w:ascii="Times New Roman" w:hAnsi="Times New Roman"/>
          <w:i/>
          <w:iCs/>
          <w:sz w:val="24"/>
          <w:szCs w:val="24"/>
          <w:lang w:val="en-US"/>
        </w:rPr>
        <w:t>Interpretation of Dreams</w:t>
      </w:r>
      <w:r w:rsidRPr="00024617">
        <w:rPr>
          <w:rFonts w:ascii="Times New Roman" w:hAnsi="Times New Roman"/>
          <w:sz w:val="24"/>
          <w:szCs w:val="24"/>
          <w:lang w:val="en-US"/>
        </w:rPr>
        <w:t xml:space="preserve">, Freud describes the existence of an intentional “censor mechanism,” which has to negotiate between the conscious and unconscious, disguising and encrypting mental contents that are too disturbing for the conscious subject to face. In Freud’s later tripartite model of the mind, there is a constant interplay going on between three mental systems (Ego, Id, Superego), all of whom engage in intentional strategies to achieve their goals, sometimes working at cross-purposes, sometimes collaborating or striking compromises.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In any event, because of its unique epistemology, Freudian psychoanalysis has the same self-sealing quality as popular conspiracy theories about history or the witchcraft belief system in early modern Europe, in which absence of evidence or apparent counterevidence could always be interpreted in the theory’s own terms.</w:t>
      </w:r>
      <w:r w:rsidRPr="00024617">
        <w:rPr>
          <w:rStyle w:val="Eindnootmarkering"/>
          <w:rFonts w:ascii="Times New Roman" w:hAnsi="Times New Roman"/>
          <w:sz w:val="24"/>
          <w:szCs w:val="24"/>
          <w:lang w:val="en-US"/>
        </w:rPr>
        <w:t xml:space="preserve"> </w:t>
      </w:r>
      <w:r w:rsidRPr="00024617">
        <w:rPr>
          <w:rStyle w:val="Eindnootmarkering"/>
          <w:rFonts w:ascii="Times New Roman" w:hAnsi="Times New Roman"/>
          <w:sz w:val="24"/>
          <w:szCs w:val="24"/>
          <w:lang w:val="en-US"/>
        </w:rPr>
        <w:endnoteReference w:id="11"/>
      </w:r>
      <w:r w:rsidRPr="00024617">
        <w:rPr>
          <w:rFonts w:ascii="Times New Roman" w:hAnsi="Times New Roman"/>
          <w:sz w:val="24"/>
          <w:szCs w:val="24"/>
          <w:lang w:val="en-US"/>
        </w:rPr>
        <w:t xml:space="preserve"> When Freud was unable to find traces of a pathological complex or unconscious desire to account for a patient’s behavior,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harbored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w:t>
      </w:r>
      <w:r w:rsidRPr="00024617">
        <w:rPr>
          <w:rFonts w:ascii="Times New Roman" w:hAnsi="Times New Roman"/>
          <w:noProof/>
          <w:sz w:val="24"/>
          <w:szCs w:val="24"/>
          <w:lang w:val="en-US"/>
        </w:rPr>
        <w:t>(Cioffi, 1998)</w:t>
      </w:r>
      <w:r w:rsidRPr="00024617">
        <w:rPr>
          <w:rFonts w:ascii="Times New Roman" w:hAnsi="Times New Roman"/>
          <w:sz w:val="24"/>
          <w:szCs w:val="24"/>
          <w:lang w:val="en-US"/>
        </w:rPr>
        <w:t xml:space="preserve">. If the patient ceded to Freud and accepted his latest explanation, of course this also counted in favor of the theory, namely as an instance of resistance overcome through therapeutic pressure.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According to Freud, unconscious resistance could even disguise itself in the form of manifest symptoms or dreams. For instance, when one of Freud’s patients dreamt about being forced to 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Pr="00024617">
        <w:rPr>
          <w:rFonts w:ascii="Times New Roman" w:hAnsi="Times New Roman"/>
          <w:i/>
          <w:iCs/>
          <w:sz w:val="24"/>
          <w:szCs w:val="24"/>
          <w:lang w:val="en-US"/>
        </w:rPr>
        <w:t xml:space="preserve"> Thus it was her wish that I might be wrong, and her dream showed that wish fulfilled</w:t>
      </w:r>
      <w:r w:rsidRPr="00024617">
        <w:rPr>
          <w:rFonts w:ascii="Times New Roman" w:hAnsi="Times New Roman"/>
          <w:sz w:val="24"/>
          <w:szCs w:val="24"/>
          <w:lang w:val="en-US"/>
        </w:rPr>
        <w:t xml:space="preserve">” </w:t>
      </w:r>
      <w:r w:rsidRPr="00024617">
        <w:rPr>
          <w:rFonts w:ascii="Times New Roman" w:hAnsi="Times New Roman"/>
          <w:noProof/>
          <w:sz w:val="24"/>
          <w:szCs w:val="24"/>
          <w:lang w:val="en-US"/>
        </w:rPr>
        <w:t>(Freud, 1953, p. 151)</w:t>
      </w:r>
      <w:r w:rsidRPr="00024617">
        <w:rPr>
          <w:rFonts w:ascii="Times New Roman" w:hAnsi="Times New Roman"/>
          <w:sz w:val="24"/>
          <w:szCs w:val="24"/>
          <w:lang w:val="en-US"/>
        </w:rPr>
        <w: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Finally, Freud applied the same theoretical apparatus to his critics. Since every one of us is under the spell of the unconscious forces described by psychoanalysis, it was not surprising that critics of psychoanalysis tried to attack his brainchild. As Freud explained: </w:t>
      </w:r>
    </w:p>
    <w:p w:rsidR="00490925" w:rsidRPr="00024617" w:rsidRDefault="00490925" w:rsidP="00024617">
      <w:pPr>
        <w:spacing w:line="480" w:lineRule="auto"/>
        <w:ind w:left="576"/>
        <w:jc w:val="both"/>
        <w:rPr>
          <w:rFonts w:ascii="Times New Roman" w:hAnsi="Times New Roman"/>
          <w:sz w:val="24"/>
          <w:szCs w:val="24"/>
          <w:lang w:val="en-US"/>
        </w:rPr>
      </w:pPr>
      <w:r w:rsidRPr="00024617">
        <w:rPr>
          <w:rFonts w:ascii="Times New Roman" w:hAnsi="Times New Roman"/>
          <w:sz w:val="24"/>
          <w:szCs w:val="24"/>
          <w:lang w:val="en-US"/>
        </w:rPr>
        <w:t>Psycho-analysis is seeking to bring to conscious recognition the things in mental life which are repressed; […]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(Freud 1957, p. 39)</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It is tempting to reject such circular reasoning as a personal quirk on Freud’s part, but this “resistance argument” has been wielded by many later psychoanalysts, against both patients and critics of psychoanalysis </w:t>
      </w:r>
      <w:bookmarkStart w:id="50" w:name="_Hlk132306577"/>
      <w:r w:rsidRPr="00024617">
        <w:rPr>
          <w:rFonts w:ascii="Times New Roman" w:hAnsi="Times New Roman"/>
          <w:noProof/>
          <w:sz w:val="24"/>
          <w:szCs w:val="24"/>
          <w:lang w:val="en-US"/>
        </w:rPr>
        <w:t>(Borch-Jacobsen &amp; Shamdasani, 2011; Crews, 2017)</w:t>
      </w:r>
      <w:r w:rsidRPr="00024617">
        <w:rPr>
          <w:rFonts w:ascii="Times New Roman" w:hAnsi="Times New Roman"/>
          <w:sz w:val="24"/>
          <w:szCs w:val="24"/>
          <w:lang w:val="en-US"/>
        </w:rPr>
        <w:t xml:space="preserve">. </w:t>
      </w:r>
      <w:bookmarkStart w:id="51" w:name="_Toc101201936"/>
      <w:bookmarkStart w:id="52" w:name="_Toc101201937"/>
      <w:bookmarkEnd w:id="51"/>
      <w:bookmarkEnd w:id="52"/>
    </w:p>
    <w:p w:rsidR="00490925" w:rsidRPr="00024617" w:rsidRDefault="00490925" w:rsidP="00024617">
      <w:pPr>
        <w:pStyle w:val="Kop1"/>
        <w:spacing w:line="480" w:lineRule="auto"/>
        <w:rPr>
          <w:rFonts w:ascii="Times New Roman" w:hAnsi="Times New Roman" w:cs="Times New Roman"/>
          <w:color w:val="auto"/>
          <w:sz w:val="24"/>
          <w:szCs w:val="24"/>
          <w:lang w:val="en-US"/>
        </w:rPr>
      </w:pPr>
      <w:bookmarkStart w:id="53" w:name="_Toc112269339"/>
      <w:bookmarkEnd w:id="50"/>
      <w:bookmarkEnd w:id="53"/>
      <w:r w:rsidRPr="00024617">
        <w:rPr>
          <w:rFonts w:ascii="Times New Roman" w:hAnsi="Times New Roman" w:cs="Times New Roman"/>
          <w:color w:val="auto"/>
          <w:sz w:val="24"/>
          <w:szCs w:val="24"/>
          <w:lang w:val="en-US"/>
        </w:rPr>
        <w:t>The Dynamics of Epistemic Black Holes</w:t>
      </w:r>
    </w:p>
    <w:p w:rsidR="00490925" w:rsidRPr="00024617" w:rsidRDefault="00490925" w:rsidP="00024617">
      <w:pPr>
        <w:pStyle w:val="Kop2"/>
        <w:spacing w:line="480" w:lineRule="auto"/>
        <w:rPr>
          <w:rFonts w:ascii="Times New Roman" w:hAnsi="Times New Roman" w:cs="Times New Roman"/>
          <w:color w:val="auto"/>
          <w:sz w:val="24"/>
          <w:szCs w:val="24"/>
          <w:lang w:val="en-US"/>
        </w:rPr>
      </w:pPr>
      <w:r w:rsidRPr="00024617">
        <w:rPr>
          <w:rFonts w:ascii="Times New Roman" w:hAnsi="Times New Roman" w:cs="Times New Roman"/>
          <w:color w:val="auto"/>
          <w:sz w:val="24"/>
          <w:szCs w:val="24"/>
          <w:lang w:val="en-US"/>
        </w:rPr>
        <w:t>Arbitrariness and Proliferating Alternatives</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Because of their self-sealing character, epistemic black holes are extremely resilient against external challenges in the form of counterevidence or skeptical questions. This strong resilience, however, comes at a steep cost: the belief systems suffers from a problem of arbitrariness, in </w:t>
      </w:r>
      <w:r w:rsidRPr="00024617">
        <w:rPr>
          <w:rFonts w:ascii="Times New Roman" w:hAnsi="Times New Roman"/>
          <w:sz w:val="24"/>
          <w:szCs w:val="24"/>
          <w:lang w:val="en-US"/>
        </w:rPr>
        <w:lastRenderedPageBreak/>
        <w:t xml:space="preserve">the sense that the available evidence is always congruent with many different versions, and there is no rational way to adjudicate between them. </w:t>
      </w:r>
      <w:r w:rsidRPr="00024617">
        <w:rPr>
          <w:rStyle w:val="Eindnootmarkering"/>
          <w:rFonts w:ascii="Times New Roman" w:hAnsi="Times New Roman"/>
          <w:sz w:val="24"/>
          <w:szCs w:val="24"/>
          <w:lang w:val="en-US"/>
        </w:rPr>
        <w:endnoteReference w:id="12"/>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For example, for any given historical event, it is always possible to develop multiple (unfounded) conspiracy theories involving different culprits, different objectives and different schemes. An event like the 9/11 attacks could be (and has been) interpreted as an inside job by the Bush administration, or a plot by the Saudi government or the Mossad, or the Jews more generally, or by any group of agents that is sufficiently powerful to cover up its tracks and make it look like Al Qaeda orchestrated the attacks.</w:t>
      </w:r>
      <w:r w:rsidRPr="00024617">
        <w:rPr>
          <w:rStyle w:val="Eindnootmarkering"/>
          <w:rFonts w:ascii="Times New Roman" w:hAnsi="Times New Roman"/>
          <w:sz w:val="24"/>
          <w:szCs w:val="24"/>
          <w:lang w:val="en-US"/>
        </w:rPr>
        <w:endnoteReference w:id="13"/>
      </w:r>
      <w:r w:rsidRPr="00024617">
        <w:rPr>
          <w:rFonts w:ascii="Times New Roman" w:hAnsi="Times New Roman"/>
          <w:sz w:val="24"/>
          <w:szCs w:val="24"/>
          <w:lang w:val="en-US"/>
        </w:rPr>
        <w:t xml:space="preserve"> As for the murder of John F. Kennedy, a 2013 Gallup poll asked respondents if they believed that Lee Harvey Oswald acted alone and, if not, who was really behind the plot </w:t>
      </w:r>
      <w:r w:rsidRPr="00024617">
        <w:rPr>
          <w:rFonts w:ascii="Times New Roman" w:hAnsi="Times New Roman"/>
          <w:noProof/>
          <w:sz w:val="24"/>
          <w:szCs w:val="24"/>
          <w:lang w:val="en-US"/>
        </w:rPr>
        <w:t>(Swift, 2013)</w:t>
      </w:r>
      <w:r w:rsidRPr="00024617">
        <w:rPr>
          <w:rFonts w:ascii="Times New Roman" w:hAnsi="Times New Roman"/>
          <w:sz w:val="24"/>
          <w:szCs w:val="24"/>
          <w:lang w:val="en-US"/>
        </w:rPr>
        <w:t>. After half a century of conspiracy theorizing and hundreds of books and articles disputing the official version of events, the results still proffered a wide array of culprits: the Mafia (13%), the federal government (13%), the CIA (7%), Cuba and Fidel Castro (5%), JFK’s own vice-president Lyndon Johnson (3%), the Soviet Union (3%), the Ku Klux Klan (3%), FBI director J. Edgar Hoover (1%), and various other actors. Following the logic of epistemic black holes, it is impossible to rule out the complicity of any of these potential culprits, provided that they have been careful enough to cover their tracks.</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A similar problem of arbitrariness also affects other parameters of the conspiracy theory, such as the method being used by the conspirators. Most 9/11 conspiracy theorists believe that the Twin Towers were not brought down by the impact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w:t>
      </w:r>
      <w:proofErr w:type="spellStart"/>
      <w:r w:rsidRPr="00024617">
        <w:rPr>
          <w:rFonts w:ascii="Times New Roman" w:hAnsi="Times New Roman"/>
          <w:sz w:val="24"/>
          <w:szCs w:val="24"/>
          <w:lang w:val="en-US"/>
        </w:rPr>
        <w:t>nano</w:t>
      </w:r>
      <w:proofErr w:type="spellEnd"/>
      <w:r w:rsidRPr="00024617">
        <w:rPr>
          <w:rFonts w:ascii="Times New Roman" w:hAnsi="Times New Roman"/>
          <w:sz w:val="24"/>
          <w:szCs w:val="24"/>
          <w:lang w:val="en-US"/>
        </w:rPr>
        <w:t xml:space="preserve">-thermite, while some even deny that the objects hitting the Twin Towers and the Pentagon were commercial planes at all, but could have been missiles, military planes, or digitally created CGI holograms </w:t>
      </w:r>
      <w:r w:rsidRPr="00024617">
        <w:rPr>
          <w:rFonts w:ascii="Times New Roman" w:hAnsi="Times New Roman"/>
          <w:noProof/>
          <w:sz w:val="24"/>
          <w:szCs w:val="24"/>
          <w:lang w:val="en-US"/>
        </w:rPr>
        <w:t>(Aaronovitch, 2010)</w:t>
      </w:r>
      <w:r w:rsidRPr="00024617">
        <w:rPr>
          <w:rFonts w:ascii="Times New Roman" w:hAnsi="Times New Roman"/>
          <w:sz w:val="24"/>
          <w:szCs w:val="24"/>
          <w:lang w:val="en-US"/>
        </w:rPr>
        <w:t>.</w:t>
      </w:r>
      <w:r w:rsidRPr="00024617">
        <w:rPr>
          <w:rStyle w:val="Eindnootmarkering"/>
          <w:rFonts w:ascii="Times New Roman" w:hAnsi="Times New Roman"/>
          <w:sz w:val="24"/>
          <w:szCs w:val="24"/>
          <w:lang w:val="en-US"/>
        </w:rPr>
        <w:endnoteReference w:id="14"/>
      </w:r>
      <w:r w:rsidRPr="00024617">
        <w:rPr>
          <w:rFonts w:ascii="Times New Roman" w:hAnsi="Times New Roman"/>
          <w:sz w:val="24"/>
          <w:szCs w:val="24"/>
          <w:lang w:val="en-US"/>
        </w:rPr>
        <w:t xml:space="preserve"> There is no rational way to discriminate between such competing </w:t>
      </w:r>
      <w:r w:rsidRPr="00024617">
        <w:rPr>
          <w:rFonts w:ascii="Times New Roman" w:hAnsi="Times New Roman"/>
          <w:sz w:val="24"/>
          <w:szCs w:val="24"/>
          <w:lang w:val="en-US"/>
        </w:rPr>
        <w:lastRenderedPageBreak/>
        <w:t xml:space="preserve">conspiracy theories, because all of them are equally capable of accounting for the available evidence. As Harris </w:t>
      </w:r>
      <w:r w:rsidRPr="00024617">
        <w:rPr>
          <w:rFonts w:ascii="Times New Roman" w:hAnsi="Times New Roman"/>
          <w:noProof/>
          <w:sz w:val="24"/>
          <w:szCs w:val="24"/>
          <w:lang w:val="en-US"/>
        </w:rPr>
        <w:t>(2018, p. 256)</w:t>
      </w:r>
      <w:r w:rsidRPr="00024617">
        <w:rPr>
          <w:rFonts w:ascii="Times New Roman" w:hAnsi="Times New Roman"/>
          <w:sz w:val="24"/>
          <w:szCs w:val="24"/>
          <w:lang w:val="en-US"/>
        </w:rPr>
        <w:t xml:space="preserve"> recently put it, “any number of conspiratorial explanations will fit the data, and hence will be equally supported.”</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The problem of arbitrariness can also be observed in the domain of religion and supernatural belief.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w:t>
      </w:r>
      <w:r w:rsidRPr="00024617">
        <w:rPr>
          <w:rFonts w:ascii="Times New Roman" w:hAnsi="Times New Roman"/>
          <w:noProof/>
          <w:sz w:val="24"/>
          <w:szCs w:val="24"/>
          <w:lang w:val="en-US"/>
        </w:rPr>
        <w:t>(Basinger, 2011)</w:t>
      </w:r>
      <w:r w:rsidRPr="00024617">
        <w:rPr>
          <w:rFonts w:ascii="Times New Roman" w:hAnsi="Times New Roman"/>
          <w:sz w:val="24"/>
          <w:szCs w:val="24"/>
          <w:lang w:val="en-US"/>
        </w:rPr>
        <w:t xml:space="preserve">. Many cultures have devised different belief systems about deities and other supernatural creatures, but these belief systems are often mutually contradictory and there is no rational way to adjudicate between them </w:t>
      </w:r>
      <w:r w:rsidRPr="00024617">
        <w:rPr>
          <w:rFonts w:ascii="Times New Roman" w:hAnsi="Times New Roman"/>
          <w:noProof/>
          <w:sz w:val="24"/>
          <w:szCs w:val="24"/>
          <w:lang w:val="en-US"/>
        </w:rPr>
        <w:t>(Philipse, 2012)</w:t>
      </w:r>
      <w:r w:rsidRPr="00024617">
        <w:rPr>
          <w:rFonts w:ascii="Times New Roman" w:hAnsi="Times New Roman"/>
          <w:sz w:val="24"/>
          <w:szCs w:val="24"/>
          <w:lang w:val="en-US"/>
        </w:rPr>
        <w:t xml:space="preserve">. Even the choice between monotheism and polytheism remains essentially arbitrary. Is there a single supernatural creature pulling the strings behind the world’s curtain, or are we dealing with a genuine ‘conspiracy’ of different deities plotting together? In making his case for religious skepticism, Philo exposed this problem in David Hume’s </w:t>
      </w:r>
      <w:r w:rsidRPr="00024617">
        <w:rPr>
          <w:rFonts w:ascii="Times New Roman" w:hAnsi="Times New Roman"/>
          <w:i/>
          <w:iCs/>
          <w:sz w:val="24"/>
          <w:szCs w:val="24"/>
          <w:lang w:val="en-US"/>
        </w:rPr>
        <w:t>Dialogues</w:t>
      </w:r>
      <w:r w:rsidRPr="00024617">
        <w:rPr>
          <w:rFonts w:ascii="Times New Roman" w:hAnsi="Times New Roman"/>
          <w:sz w:val="24"/>
          <w:szCs w:val="24"/>
          <w:lang w:val="en-US"/>
        </w:rPr>
        <w:t xml:space="preserve">: </w:t>
      </w:r>
    </w:p>
    <w:p w:rsidR="00490925" w:rsidRPr="00024617" w:rsidRDefault="00490925" w:rsidP="00024617">
      <w:pPr>
        <w:spacing w:line="480" w:lineRule="auto"/>
        <w:ind w:left="708"/>
        <w:jc w:val="both"/>
        <w:rPr>
          <w:rFonts w:ascii="Times New Roman" w:hAnsi="Times New Roman"/>
          <w:sz w:val="24"/>
          <w:szCs w:val="24"/>
          <w:lang w:val="en-US"/>
        </w:rPr>
      </w:pPr>
      <w:r w:rsidRPr="00024617">
        <w:rPr>
          <w:rFonts w:ascii="Times New Roman" w:hAnsi="Times New Roman"/>
          <w:sz w:val="24"/>
          <w:szCs w:val="24"/>
          <w:lang w:val="en-US"/>
        </w:rPr>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from your hypothesis, to prove the unity of the Deity? […] why may not several deities combine in contriving and framing a world?  </w:t>
      </w:r>
      <w:r w:rsidRPr="00024617">
        <w:rPr>
          <w:rFonts w:ascii="Times New Roman" w:hAnsi="Times New Roman"/>
          <w:noProof/>
          <w:sz w:val="24"/>
          <w:szCs w:val="24"/>
          <w:lang w:val="en-US"/>
        </w:rPr>
        <w:t>(Hume, 1998 [1779], p. 36)</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Given that supernatural creatures are alleged to have powers that transcend those of human beings, or may even be omnipotent, it is impossible for mere mortals to find out.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an analogous way, the history of psychoanalysis also illustrates the problem of theoretical arbitrariness. As Boudry and </w:t>
      </w:r>
      <w:proofErr w:type="spellStart"/>
      <w:r w:rsidRPr="00024617">
        <w:rPr>
          <w:rFonts w:ascii="Times New Roman" w:hAnsi="Times New Roman"/>
          <w:sz w:val="24"/>
          <w:szCs w:val="24"/>
          <w:lang w:val="en-US"/>
        </w:rPr>
        <w:t>Buekens</w:t>
      </w:r>
      <w:proofErr w:type="spellEnd"/>
      <w:r w:rsidRPr="00024617">
        <w:rPr>
          <w:rFonts w:ascii="Times New Roman" w:hAnsi="Times New Roman"/>
          <w:sz w:val="24"/>
          <w:szCs w:val="24"/>
          <w:lang w:val="en-US"/>
        </w:rPr>
        <w:t xml:space="preserve"> </w:t>
      </w:r>
      <w:r w:rsidRPr="00024617">
        <w:rPr>
          <w:rFonts w:ascii="Times New Roman" w:hAnsi="Times New Roman"/>
          <w:noProof/>
          <w:sz w:val="24"/>
          <w:szCs w:val="24"/>
          <w:lang w:val="en-US"/>
        </w:rPr>
        <w:t>(2011)</w:t>
      </w:r>
      <w:r w:rsidRPr="00024617">
        <w:rPr>
          <w:rFonts w:ascii="Times New Roman" w:hAnsi="Times New Roman"/>
          <w:sz w:val="24"/>
          <w:szCs w:val="24"/>
          <w:lang w:val="en-US"/>
        </w:rPr>
        <w:t xml:space="preserve"> have shown, the conceptual core structure of </w:t>
      </w:r>
      <w:r w:rsidRPr="00024617">
        <w:rPr>
          <w:rFonts w:ascii="Times New Roman" w:hAnsi="Times New Roman"/>
          <w:sz w:val="24"/>
          <w:szCs w:val="24"/>
          <w:lang w:val="en-US"/>
        </w:rPr>
        <w:lastRenderedPageBreak/>
        <w:t xml:space="preserve">psychoanalysis provides a sort of empty shell into which any number of rival theoretical notions can be inserted. In particular, while Freud’s original theory centered around the Oedipus complex and the notion of infantile sexual desires, later theorists have developed the theory in widely divergent (and often incompatible) directions. Otto Rank’s version of psychoanalysis reduces virtually every psychological complex to the repressed birth trauma, Alfred Adler unearthed inferiority complexes everywhere, Melanie Klein introduced the notion of unconscious breast envy as a counterweight to penis envy, Carl Jung developed the theory of unconscious archetypes (anima, persona, shadow), and so forth </w:t>
      </w:r>
      <w:r w:rsidRPr="00024617">
        <w:rPr>
          <w:rFonts w:ascii="Times New Roman" w:hAnsi="Times New Roman"/>
          <w:noProof/>
          <w:sz w:val="24"/>
          <w:szCs w:val="24"/>
          <w:lang w:val="en-US"/>
        </w:rPr>
        <w:t>(Macmillan, 1997)</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the absence of any evidential constraints for fixing the parameters of conspiracy explanations, the psychoanalytic movement has often been beset by irresolvable theoretical disputes and schisms. In the words of Frederick Crews </w:t>
      </w:r>
      <w:r w:rsidRPr="00024617">
        <w:rPr>
          <w:rFonts w:ascii="Times New Roman" w:hAnsi="Times New Roman"/>
          <w:noProof/>
          <w:sz w:val="24"/>
          <w:szCs w:val="24"/>
          <w:lang w:val="en-US"/>
        </w:rPr>
        <w:t>(1998, p. xxx)</w:t>
      </w:r>
      <w:r w:rsidRPr="00024617">
        <w:rPr>
          <w:rFonts w:ascii="Times New Roman" w:hAnsi="Times New Roman"/>
          <w:sz w:val="24"/>
          <w:szCs w:val="24"/>
          <w:lang w:val="en-US"/>
        </w:rPr>
        <w:t xml:space="preserve">, the epistemological structure of psychoanalysis renders the development of the psychoanalytic movement “drastically centrifugal, spinning off ever more numerous, mutually excommunicating schools and cliques” </w:t>
      </w:r>
      <w:r w:rsidRPr="00024617">
        <w:rPr>
          <w:rFonts w:ascii="Times New Roman" w:hAnsi="Times New Roman"/>
          <w:noProof/>
          <w:sz w:val="24"/>
          <w:szCs w:val="24"/>
          <w:lang w:val="en-US"/>
        </w:rPr>
        <w:t>(see also Gordin, 2012, p. 202)</w:t>
      </w:r>
      <w:r w:rsidRPr="00024617">
        <w:rPr>
          <w:rFonts w:ascii="Times New Roman" w:hAnsi="Times New Roman"/>
          <w:sz w:val="24"/>
          <w:szCs w:val="24"/>
          <w:lang w:val="en-US"/>
        </w:rPr>
        <w: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the early modern witch hunts, the various misfortunes and disasters that occasioned witch hunts could also be “explained” in a variety of different ways, with different culprits and different mechanisms. In most cases such explanations did not need to be mutually exclusive, as different witches and different magic spells could be perceived as contributing to the same result (such as an illness or natural disaster). However, the most vivid demonstration of the arbitrary nature of witchcraft beliefs is that sometimes those who had initiated or commanded over the witch trials ended up on the stake themselves. The fact that skeptical arguments could always be disarmed was an attractive feature for witch hunters as long as witchcraft accusations were targeting </w:t>
      </w:r>
      <w:r w:rsidRPr="00024617">
        <w:rPr>
          <w:rFonts w:ascii="Times New Roman" w:hAnsi="Times New Roman"/>
          <w:i/>
          <w:iCs/>
          <w:sz w:val="24"/>
          <w:szCs w:val="24"/>
          <w:lang w:val="en-US"/>
        </w:rPr>
        <w:t>others</w:t>
      </w:r>
      <w:r w:rsidRPr="00024617">
        <w:rPr>
          <w:rFonts w:ascii="Times New Roman" w:hAnsi="Times New Roman"/>
          <w:sz w:val="24"/>
          <w:szCs w:val="24"/>
          <w:lang w:val="en-US"/>
        </w:rPr>
        <w:t xml:space="preserve">. But due to the arbitrariness of witchcraft explanations, the accusatory dynamics could easily spiral out of control, also targeting people who initially contributed to the trials.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lastRenderedPageBreak/>
        <w:t xml:space="preserve">Consider the fate of the richest man of the German city of Trier and president of its university, Dietrich </w:t>
      </w:r>
      <w:proofErr w:type="spellStart"/>
      <w:r w:rsidRPr="00024617">
        <w:rPr>
          <w:rFonts w:ascii="Times New Roman" w:hAnsi="Times New Roman"/>
          <w:sz w:val="24"/>
          <w:szCs w:val="24"/>
          <w:lang w:val="en-US"/>
        </w:rPr>
        <w:t>Flade</w:t>
      </w:r>
      <w:proofErr w:type="spellEnd"/>
      <w:r w:rsidRPr="00024617">
        <w:rPr>
          <w:rFonts w:ascii="Times New Roman" w:hAnsi="Times New Roman"/>
          <w:sz w:val="24"/>
          <w:szCs w:val="24"/>
          <w:lang w:val="en-US"/>
        </w:rPr>
        <w:t xml:space="preserve">. Initially, </w:t>
      </w:r>
      <w:proofErr w:type="spellStart"/>
      <w:r w:rsidRPr="00024617">
        <w:rPr>
          <w:rFonts w:ascii="Times New Roman" w:hAnsi="Times New Roman"/>
          <w:sz w:val="24"/>
          <w:szCs w:val="24"/>
          <w:lang w:val="en-US"/>
        </w:rPr>
        <w:t>Flade</w:t>
      </w:r>
      <w:proofErr w:type="spellEnd"/>
      <w:r w:rsidRPr="00024617">
        <w:rPr>
          <w:rFonts w:ascii="Times New Roman" w:hAnsi="Times New Roman"/>
          <w:sz w:val="24"/>
          <w:szCs w:val="24"/>
          <w:lang w:val="en-US"/>
        </w:rPr>
        <w:t xml:space="preserve"> had supported witch trials, and in his role as town bailiff he even operated as a notably harsh witch-hunter himself. But at some point the alleged witches began to name </w:t>
      </w:r>
      <w:proofErr w:type="spellStart"/>
      <w:r w:rsidRPr="00024617">
        <w:rPr>
          <w:rFonts w:ascii="Times New Roman" w:hAnsi="Times New Roman"/>
          <w:sz w:val="24"/>
          <w:szCs w:val="24"/>
          <w:lang w:val="en-US"/>
        </w:rPr>
        <w:t>Flade</w:t>
      </w:r>
      <w:proofErr w:type="spellEnd"/>
      <w:r w:rsidRPr="00024617">
        <w:rPr>
          <w:rFonts w:ascii="Times New Roman" w:hAnsi="Times New Roman"/>
          <w:sz w:val="24"/>
          <w:szCs w:val="24"/>
          <w:lang w:val="en-US"/>
        </w:rPr>
        <w:t xml:space="preserve"> as one of their accomplices, and within the witchcraft doctrine it was difficult to counter that. </w:t>
      </w:r>
      <w:proofErr w:type="spellStart"/>
      <w:r w:rsidRPr="00024617">
        <w:rPr>
          <w:rFonts w:ascii="Times New Roman" w:hAnsi="Times New Roman"/>
          <w:sz w:val="24"/>
          <w:szCs w:val="24"/>
          <w:lang w:val="en-US"/>
        </w:rPr>
        <w:t>Flade’s</w:t>
      </w:r>
      <w:proofErr w:type="spellEnd"/>
      <w:r w:rsidRPr="00024617">
        <w:rPr>
          <w:rFonts w:ascii="Times New Roman" w:hAnsi="Times New Roman"/>
          <w:sz w:val="24"/>
          <w:szCs w:val="24"/>
          <w:lang w:val="en-US"/>
        </w:rPr>
        <w:t xml:space="preserve"> friends brought forward that he could not possibly be a witch, since he had persecuted witches himself. But this defense failed to have much of an impact. After all, were witches not always ingeniously trying to pull the wool over people’s eyes, for instance by presenting themselves as witch-hunters? On 18 September 1589 </w:t>
      </w:r>
      <w:proofErr w:type="spellStart"/>
      <w:r w:rsidRPr="00024617">
        <w:rPr>
          <w:rFonts w:ascii="Times New Roman" w:hAnsi="Times New Roman"/>
          <w:sz w:val="24"/>
          <w:szCs w:val="24"/>
          <w:lang w:val="en-US"/>
        </w:rPr>
        <w:t>Flade</w:t>
      </w:r>
      <w:proofErr w:type="spellEnd"/>
      <w:r w:rsidRPr="00024617">
        <w:rPr>
          <w:rFonts w:ascii="Times New Roman" w:hAnsi="Times New Roman"/>
          <w:sz w:val="24"/>
          <w:szCs w:val="24"/>
          <w:lang w:val="en-US"/>
        </w:rPr>
        <w:t xml:space="preserve"> was first strangled, and then burned in public in full view of almost the entire city population </w:t>
      </w:r>
      <w:r w:rsidRPr="00024617">
        <w:rPr>
          <w:rFonts w:ascii="Times New Roman" w:hAnsi="Times New Roman"/>
          <w:noProof/>
          <w:sz w:val="24"/>
          <w:szCs w:val="24"/>
          <w:lang w:val="en-US"/>
        </w:rPr>
        <w:t>(Dillinger, 1999; Hofhuis, 2022)</w:t>
      </w:r>
      <w:r w:rsidRPr="00024617">
        <w:rPr>
          <w:rFonts w:ascii="Times New Roman" w:hAnsi="Times New Roman"/>
          <w:sz w:val="24"/>
          <w:szCs w:val="24"/>
          <w:lang w:val="en-US"/>
        </w:rPr>
        <w: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a similar vein—but in a less literal sense—believers in conspiracy theories and psychoanalysts also sometimes become “victims” of the very same conspiratorial logic that they directed towards others. For instance, when the influential French conspiracy theorist Thierry </w:t>
      </w:r>
      <w:proofErr w:type="spellStart"/>
      <w:r w:rsidRPr="00024617">
        <w:rPr>
          <w:rFonts w:ascii="Times New Roman" w:hAnsi="Times New Roman"/>
          <w:sz w:val="24"/>
          <w:szCs w:val="24"/>
          <w:lang w:val="en-US"/>
        </w:rPr>
        <w:t>Meyssan</w:t>
      </w:r>
      <w:proofErr w:type="spellEnd"/>
      <w:r w:rsidRPr="00024617">
        <w:rPr>
          <w:rFonts w:ascii="Times New Roman" w:hAnsi="Times New Roman"/>
          <w:sz w:val="24"/>
          <w:szCs w:val="24"/>
          <w:lang w:val="en-US"/>
        </w:rPr>
        <w:t xml:space="preserve"> suggested that on 9/11 the Pentagon was hit by some sort of missile instead of a passenger plane, other 9/11 conspiracy theorists went on to argue that </w:t>
      </w:r>
      <w:proofErr w:type="spellStart"/>
      <w:r w:rsidRPr="00024617">
        <w:rPr>
          <w:rFonts w:ascii="Times New Roman" w:hAnsi="Times New Roman"/>
          <w:sz w:val="24"/>
          <w:szCs w:val="24"/>
          <w:lang w:val="en-US"/>
        </w:rPr>
        <w:t>Meyssan</w:t>
      </w:r>
      <w:proofErr w:type="spellEnd"/>
      <w:r w:rsidRPr="00024617">
        <w:rPr>
          <w:rFonts w:ascii="Times New Roman" w:hAnsi="Times New Roman"/>
          <w:sz w:val="24"/>
          <w:szCs w:val="24"/>
          <w:lang w:val="en-US"/>
        </w:rPr>
        <w:t xml:space="preserve"> himself was a Deep State agent who had infiltrated into conspiracist communities to sow doubt and discredit the conspiracy theory</w:t>
      </w:r>
      <w:r w:rsidRPr="00024617" w:rsidDel="003F4E33">
        <w:rPr>
          <w:rFonts w:ascii="Times New Roman" w:hAnsi="Times New Roman"/>
          <w:sz w:val="24"/>
          <w:szCs w:val="24"/>
          <w:lang w:val="en-US"/>
        </w:rPr>
        <w:t xml:space="preserve"> </w:t>
      </w:r>
      <w:r w:rsidRPr="00024617">
        <w:rPr>
          <w:rFonts w:ascii="Times New Roman" w:hAnsi="Times New Roman"/>
          <w:sz w:val="24"/>
          <w:szCs w:val="24"/>
          <w:lang w:val="en-US"/>
        </w:rPr>
        <w:t xml:space="preserve">community </w:t>
      </w:r>
      <w:r w:rsidRPr="00024617">
        <w:rPr>
          <w:rFonts w:ascii="Times New Roman" w:hAnsi="Times New Roman"/>
          <w:noProof/>
          <w:sz w:val="24"/>
          <w:szCs w:val="24"/>
          <w:lang w:val="en-US"/>
        </w:rPr>
        <w:t>(Sunstein &amp; Vermeule, 2009, p. 223)</w:t>
      </w:r>
      <w:r w:rsidRPr="00024617">
        <w:rPr>
          <w:rFonts w:ascii="Times New Roman" w:hAnsi="Times New Roman"/>
          <w:sz w:val="24"/>
          <w:szCs w:val="24"/>
          <w:lang w:val="en-US"/>
        </w:rPr>
        <w:t>. Analogously, the different schools of psychoanalysis after Freud have often turned on one another, explaining dissent in theory-internal terms. As historians of the psychoanalytic movement have observed, Freud made a habit of accusing renegade disciples of harboring some repressed desire or unresolved complex that warranted further psychoanalytic treatment. This recurrent “</w:t>
      </w:r>
      <w:proofErr w:type="spellStart"/>
      <w:r w:rsidRPr="00024617">
        <w:rPr>
          <w:rFonts w:ascii="Times New Roman" w:hAnsi="Times New Roman"/>
          <w:sz w:val="24"/>
          <w:szCs w:val="24"/>
          <w:lang w:val="en-US"/>
        </w:rPr>
        <w:t>pathologisation</w:t>
      </w:r>
      <w:proofErr w:type="spellEnd"/>
      <w:r w:rsidRPr="00024617">
        <w:rPr>
          <w:rFonts w:ascii="Times New Roman" w:hAnsi="Times New Roman"/>
          <w:sz w:val="24"/>
          <w:szCs w:val="24"/>
          <w:lang w:val="en-US"/>
        </w:rPr>
        <w:t xml:space="preserve"> of dissent” </w:t>
      </w:r>
      <w:r w:rsidRPr="00024617">
        <w:rPr>
          <w:rFonts w:ascii="Times New Roman" w:hAnsi="Times New Roman"/>
          <w:noProof/>
          <w:sz w:val="24"/>
          <w:szCs w:val="24"/>
          <w:lang w:val="en-US"/>
        </w:rPr>
        <w:t>(Borch-Jacobsen &amp; Shamdasani, 2011, p. 85)</w:t>
      </w:r>
      <w:r w:rsidRPr="00024617">
        <w:rPr>
          <w:rFonts w:ascii="Times New Roman" w:hAnsi="Times New Roman"/>
          <w:sz w:val="24"/>
          <w:szCs w:val="24"/>
          <w:lang w:val="en-US"/>
        </w:rPr>
        <w:t xml:space="preserve"> in the history of the psychoanalytic movement was the only way to delegitimize alternative conceptions of psychoanalysis, and thus to cover up the essential arbitrariness of the theory. Unsurprisingly, </w:t>
      </w:r>
      <w:r w:rsidRPr="00024617">
        <w:rPr>
          <w:rFonts w:ascii="Times New Roman" w:hAnsi="Times New Roman"/>
          <w:sz w:val="24"/>
          <w:szCs w:val="24"/>
          <w:lang w:val="en-US"/>
        </w:rPr>
        <w:lastRenderedPageBreak/>
        <w:t xml:space="preserve">those renegade disciples returned the favor by directing this pathologizing logic at their former master </w:t>
      </w:r>
      <w:r w:rsidRPr="00024617">
        <w:rPr>
          <w:rFonts w:ascii="Times New Roman" w:hAnsi="Times New Roman"/>
          <w:noProof/>
          <w:sz w:val="24"/>
          <w:szCs w:val="24"/>
          <w:lang w:val="en-US"/>
        </w:rPr>
        <w:t>(Borch-Jacobsen &amp; Shamdasani, 2011; Sulloway, 1992)</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the case of the early modern witch persecutions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ADDIN ZOTERO_ITEM CSL_CITATION {"citationID":"lUgy1hnN","properties":{"formattedCitation":"(Hofhuis, 2022, pp. 310\\uc0\\u8211{}329)","plainCitation":"(Hofhuis, 2022, pp. 310–329)","noteIndex":0},"citationItems":[{"id":1531,"uris":["http://zotero.org/users/3566189/items/8679CABZ"],"uri":["http://zotero.org/users/3566189/items/8679CABZ"],"itemData":{"id":1531,"type":"webpage","abstract":"Why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310-29"}],"schema":"https://github.com/citation-style-language/schema/raw/master/csl-citation.json"} </w:instrText>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(Hofhuis, 2022, pp. 310–329)</w:t>
      </w:r>
      <w:r w:rsidRPr="00024617">
        <w:rPr>
          <w:rFonts w:ascii="Times New Roman" w:hAnsi="Times New Roman"/>
          <w:sz w:val="24"/>
          <w:szCs w:val="24"/>
          <w:lang w:val="en-US"/>
        </w:rPr>
        <w:fldChar w:fldCharType="end"/>
      </w:r>
      <w:r w:rsidRPr="00024617">
        <w:rPr>
          <w:rFonts w:ascii="Times New Roman" w:hAnsi="Times New Roman"/>
          <w:sz w:val="24"/>
          <w:szCs w:val="24"/>
          <w:lang w:val="en-US"/>
        </w:rPr>
        <w:t xml:space="preserve">. In their view, the Devil was the evil designer behind the whole witch-hunt system, as he was eager to bring about the human suffering of the witch trials, as well as make people ruin their souls by killing the innocent. This is also how we should read Johann </w:t>
      </w:r>
      <w:proofErr w:type="spellStart"/>
      <w:r w:rsidRPr="00024617">
        <w:rPr>
          <w:rFonts w:ascii="Times New Roman" w:hAnsi="Times New Roman"/>
          <w:sz w:val="24"/>
          <w:szCs w:val="24"/>
          <w:lang w:val="en-US"/>
        </w:rPr>
        <w:t>Weyer’s</w:t>
      </w:r>
      <w:proofErr w:type="spellEnd"/>
      <w:r w:rsidRPr="00024617">
        <w:rPr>
          <w:rFonts w:ascii="Times New Roman" w:hAnsi="Times New Roman"/>
          <w:sz w:val="24"/>
          <w:szCs w:val="24"/>
          <w:lang w:val="en-US"/>
        </w:rPr>
        <w:t xml:space="preserve"> quote mentioned above about the “inextricable labyrinth.” In his view it was Satan who had created the illusory belief system from which no escape was possible: “From long experience, that crafty old weaver knows how to weave such webs skillfully.” </w:t>
      </w:r>
      <w:r w:rsidRPr="00024617">
        <w:rPr>
          <w:rFonts w:ascii="Times New Roman" w:hAnsi="Times New Roman"/>
          <w:sz w:val="24"/>
          <w:szCs w:val="24"/>
          <w:lang w:val="en-US"/>
        </w:rPr>
        <w:fldChar w:fldCharType="begin"/>
      </w:r>
      <w:r w:rsidRPr="00024617">
        <w:rPr>
          <w:rFonts w:ascii="Times New Roman" w:hAnsi="Times New Roman"/>
          <w:sz w:val="24"/>
          <w:szCs w:val="24"/>
          <w:lang w:val="en-US"/>
        </w:rPr>
        <w:instrText xml:space="preserve"> ADDIN ZOTERO_ITEM CSL_CITATION {"citationID":"Wp6FyIrX","properties":{"formattedCitation":"(Weyer, 1998, p. 522)","plainCitation":"(Weyer, 1998, p. 522)","noteIndex":0},"citationItems":[{"id":341,"uris":["http://zotero.org/users/3566189/items/Q425B2XN"],"uri":["http://zotero.org/users/3566189/items/Q425B2XN"],"itemData":{"id":341,"type":"book","event-place":"Tempe, Arizona","language":"English","note":"OCLC: 45161246","publisher":"Medieval &amp; Renaissance Texts &amp; Studies","publisher-place":"Tempe, Arizona","title":"Witches, devils, and doctors in the Renaissance","author":[{"family":"Weyer","given":"Johann"}],"translator":[{"family":"Mora","given":"George"},{"family":"Kohl","given":"Benjamin G"}],"issued":{"date-parts":[["1998"]]}},"locator":"522"}],"schema":"https://github.com/citation-style-language/schema/raw/master/csl-citation.json"} </w:instrText>
      </w:r>
      <w:r w:rsidRPr="00024617">
        <w:rPr>
          <w:rFonts w:ascii="Times New Roman" w:hAnsi="Times New Roman"/>
          <w:sz w:val="24"/>
          <w:szCs w:val="24"/>
          <w:lang w:val="en-US"/>
        </w:rPr>
        <w:fldChar w:fldCharType="separate"/>
      </w:r>
      <w:r w:rsidRPr="00024617">
        <w:rPr>
          <w:rFonts w:ascii="Times New Roman" w:hAnsi="Times New Roman"/>
          <w:sz w:val="24"/>
          <w:szCs w:val="24"/>
          <w:lang w:val="en-US"/>
        </w:rPr>
        <w:t>(Weyer, 1998, p. 522)</w:t>
      </w:r>
      <w:r w:rsidRPr="00024617">
        <w:rPr>
          <w:rFonts w:ascii="Times New Roman" w:hAnsi="Times New Roman"/>
          <w:sz w:val="24"/>
          <w:szCs w:val="24"/>
          <w:lang w:val="en-US"/>
        </w:rPr>
        <w:fldChar w:fldCharType="end"/>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The humanitarian goals of the witchcraft skeptics were laudable, but some of their arguments were as arbitrary as those of the witch-hunters. </w:t>
      </w:r>
      <w:r w:rsidRPr="00024617">
        <w:rPr>
          <w:rFonts w:ascii="Times New Roman" w:hAnsi="Times New Roman"/>
          <w:sz w:val="24"/>
          <w:szCs w:val="24"/>
          <w:lang w:val="en-US" w:eastAsia="zh-CN"/>
        </w:rPr>
        <w:t xml:space="preserve">Whether people considered something real or illusory could eventually just depend on what seemed most convenient or plausible. The “trump card of demonology” is what Dillinger calls the idea of diabolical deception: it could be invoked to neutralize any ostensible phenomenon that appeared unfitting </w:t>
      </w:r>
      <w:r w:rsidRPr="00024617">
        <w:rPr>
          <w:rFonts w:ascii="Times New Roman" w:hAnsi="Times New Roman"/>
          <w:noProof/>
          <w:sz w:val="24"/>
          <w:szCs w:val="24"/>
          <w:lang w:val="en-US" w:eastAsia="zh-CN"/>
        </w:rPr>
        <w:t>(Dillinger, 2018, p. 45)</w:t>
      </w:r>
      <w:r w:rsidRPr="00024617">
        <w:rPr>
          <w:rFonts w:ascii="Times New Roman" w:hAnsi="Times New Roman"/>
          <w:sz w:val="24"/>
          <w:szCs w:val="24"/>
          <w:lang w:val="en-US" w:eastAsia="zh-CN"/>
        </w:rPr>
        <w:t>.</w:t>
      </w:r>
      <w:r w:rsidRPr="00024617">
        <w:rPr>
          <w:rStyle w:val="Eindnootmarkering"/>
          <w:rFonts w:ascii="Times New Roman" w:hAnsi="Times New Roman"/>
          <w:sz w:val="24"/>
          <w:szCs w:val="24"/>
          <w:lang w:val="en-US" w:eastAsia="zh-CN"/>
        </w:rPr>
        <w:endnoteReference w:id="15"/>
      </w:r>
    </w:p>
    <w:p w:rsidR="00490925" w:rsidRPr="00024617" w:rsidRDefault="00490925" w:rsidP="00024617">
      <w:pPr>
        <w:pStyle w:val="Kop2"/>
        <w:spacing w:line="480" w:lineRule="auto"/>
        <w:rPr>
          <w:rFonts w:ascii="Times New Roman" w:hAnsi="Times New Roman" w:cs="Times New Roman"/>
          <w:color w:val="auto"/>
          <w:sz w:val="24"/>
          <w:szCs w:val="24"/>
          <w:lang w:val="en-US"/>
        </w:rPr>
      </w:pPr>
      <w:bookmarkStart w:id="54" w:name="_Toc112269342"/>
      <w:bookmarkStart w:id="55" w:name="_Toc117878442"/>
      <w:bookmarkEnd w:id="54"/>
      <w:r w:rsidRPr="00024617">
        <w:rPr>
          <w:rFonts w:ascii="Times New Roman" w:hAnsi="Times New Roman" w:cs="Times New Roman"/>
          <w:color w:val="auto"/>
          <w:sz w:val="24"/>
          <w:szCs w:val="24"/>
          <w:lang w:val="en-US"/>
        </w:rPr>
        <w:t xml:space="preserve">Cultural and Ideological Determinants </w:t>
      </w:r>
      <w:bookmarkEnd w:id="55"/>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Because the empirical evidence alone can never fix the parameters of an epistemic black hole, this gives free rein to other and non-evidential factors. Typically, what we see is that the belief system will adapt to the local cultural environment, reflecting changing cultural sentiments and preoccupations. A striking instance is provided by the fate of antisemitic conspiracy theories about the dangers of ‘World Jewry’ during the past century. Prejudice and hostility against </w:t>
      </w:r>
      <w:r w:rsidRPr="00024617">
        <w:rPr>
          <w:rFonts w:ascii="Times New Roman" w:hAnsi="Times New Roman"/>
          <w:sz w:val="24"/>
          <w:szCs w:val="24"/>
          <w:lang w:val="en-US"/>
        </w:rPr>
        <w:lastRenderedPageBreak/>
        <w:t>Jewish minorities has a long and sordid history in Christendom (and to a lesser extent in the Islamic world), dating back for many centuries. Nonetheless, contemporary forms of conspiratorial antisemitism, which obsesses over a world-spanning conspiracy of international Jewry, only emerged in the late 19</w:t>
      </w:r>
      <w:r w:rsidRPr="00024617">
        <w:rPr>
          <w:rFonts w:ascii="Times New Roman" w:hAnsi="Times New Roman"/>
          <w:sz w:val="24"/>
          <w:szCs w:val="24"/>
          <w:vertAlign w:val="superscript"/>
          <w:lang w:val="en-US"/>
        </w:rPr>
        <w:t>th</w:t>
      </w:r>
      <w:r w:rsidRPr="00024617">
        <w:rPr>
          <w:rFonts w:ascii="Times New Roman" w:hAnsi="Times New Roman"/>
          <w:sz w:val="24"/>
          <w:szCs w:val="24"/>
          <w:lang w:val="en-US"/>
        </w:rPr>
        <w:t xml:space="preserve"> century </w:t>
      </w:r>
      <w:r w:rsidRPr="00024617">
        <w:rPr>
          <w:rFonts w:ascii="Times New Roman" w:hAnsi="Times New Roman"/>
          <w:noProof/>
          <w:sz w:val="24"/>
          <w:szCs w:val="24"/>
          <w:lang w:val="en-US"/>
        </w:rPr>
        <w:t>(Arendt, 1951/2017; Pipes, 1999)</w:t>
      </w:r>
      <w:r w:rsidRPr="00024617">
        <w:rPr>
          <w:rFonts w:ascii="Times New Roman" w:hAnsi="Times New Roman"/>
          <w:sz w:val="24"/>
          <w:szCs w:val="24"/>
          <w:lang w:val="en-US"/>
        </w:rPr>
        <w:t>. In the wake of the emancipation and integration of Jewish people in public life in many European nations, and especially their prominent role in the world of finance and commerce, conspiracy theories emerged about Jewish organizations pulling the strings of the world economy. By the early 20</w:t>
      </w:r>
      <w:r w:rsidRPr="00024617">
        <w:rPr>
          <w:rFonts w:ascii="Times New Roman" w:hAnsi="Times New Roman"/>
          <w:sz w:val="24"/>
          <w:szCs w:val="24"/>
          <w:vertAlign w:val="superscript"/>
          <w:lang w:val="en-US"/>
        </w:rPr>
        <w:t>th</w:t>
      </w:r>
      <w:r w:rsidRPr="00024617">
        <w:rPr>
          <w:rFonts w:ascii="Times New Roman" w:hAnsi="Times New Roman"/>
          <w:sz w:val="24"/>
          <w:szCs w:val="24"/>
          <w:lang w:val="en-US"/>
        </w:rPr>
        <w:t xml:space="preserve"> century, antisemitic </w:t>
      </w:r>
      <w:proofErr w:type="spellStart"/>
      <w:r w:rsidRPr="00024617">
        <w:rPr>
          <w:rFonts w:ascii="Times New Roman" w:hAnsi="Times New Roman"/>
          <w:sz w:val="24"/>
          <w:szCs w:val="24"/>
          <w:lang w:val="en-US"/>
        </w:rPr>
        <w:t>conspiracism</w:t>
      </w:r>
      <w:proofErr w:type="spellEnd"/>
      <w:r w:rsidRPr="00024617">
        <w:rPr>
          <w:rFonts w:ascii="Times New Roman" w:hAnsi="Times New Roman"/>
          <w:sz w:val="24"/>
          <w:szCs w:val="24"/>
          <w:lang w:val="en-US"/>
        </w:rPr>
        <w:t xml:space="preserve"> gained ascendancy throughout the Western world, appearing in both leftist and right-wing versions, and documents like the </w:t>
      </w:r>
      <w:r w:rsidRPr="00024617">
        <w:rPr>
          <w:rFonts w:ascii="Times New Roman" w:hAnsi="Times New Roman"/>
          <w:i/>
          <w:iCs/>
          <w:sz w:val="24"/>
          <w:szCs w:val="24"/>
          <w:lang w:val="en-US"/>
        </w:rPr>
        <w:t xml:space="preserve">Protocols of the Elders of Zion </w:t>
      </w:r>
      <w:r w:rsidRPr="00024617">
        <w:rPr>
          <w:rFonts w:ascii="Times New Roman" w:hAnsi="Times New Roman"/>
          <w:sz w:val="24"/>
          <w:szCs w:val="24"/>
          <w:lang w:val="en-US"/>
        </w:rPr>
        <w:t xml:space="preserve">were widely read, discussed and taken seriously. In the 1940s, the right-wing version of antisemitic </w:t>
      </w:r>
      <w:proofErr w:type="spellStart"/>
      <w:r w:rsidRPr="00024617">
        <w:rPr>
          <w:rFonts w:ascii="Times New Roman" w:hAnsi="Times New Roman"/>
          <w:sz w:val="24"/>
          <w:szCs w:val="24"/>
          <w:lang w:val="en-US"/>
        </w:rPr>
        <w:t>conspiracism</w:t>
      </w:r>
      <w:proofErr w:type="spellEnd"/>
      <w:r w:rsidRPr="00024617">
        <w:rPr>
          <w:rFonts w:ascii="Times New Roman" w:hAnsi="Times New Roman"/>
          <w:sz w:val="24"/>
          <w:szCs w:val="24"/>
          <w:lang w:val="en-US"/>
        </w:rPr>
        <w:t xml:space="preserve"> culminated in the genocidal fanaticism of Nazi Germany.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the aftermath of the Second World War, however, Jews abruptly disappear from conspiracist literature (with the notable exception of Soviet Russia under Stalin). This had nothing to do with novel evidence, but with the almost universal abhorrence of Nazism. Most conspiracy theorists, even the ones who had promoted antisemitic conspiracies before the war, started to abandon or downplay the Jewish element and settled for other suitable culprits such as the CIA or FBI, a choice that reflected the ascent of the United States as the new global superpower. Other favorite targets became the United Nations and the Bilderberg group, a transnational organization of political leaders and other elites which holds annual conferences since 1954 and which, owing to its notorious privacy and secrecy, was an ideal target for conspiracy theorists. In short, this shift from Jews to other perpetrators did not reflect any novel evidence, but was driven by “changing social and political circumstances” </w:t>
      </w:r>
      <w:r w:rsidRPr="00024617">
        <w:rPr>
          <w:rFonts w:ascii="Times New Roman" w:hAnsi="Times New Roman"/>
          <w:noProof/>
          <w:sz w:val="24"/>
          <w:szCs w:val="24"/>
          <w:lang w:val="en-US"/>
        </w:rPr>
        <w:t>(Byford, 2011, p. 97)</w:t>
      </w:r>
      <w:r w:rsidRPr="00024617">
        <w:rPr>
          <w:rFonts w:ascii="Times New Roman" w:hAnsi="Times New Roman"/>
          <w:sz w:val="24"/>
          <w:szCs w:val="24"/>
          <w:lang w:val="en-US"/>
        </w:rPr>
        <w:t xml:space="preserve">.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Shifting beliefs about the perpetrators and crimes of diabolical witchcraft also reflect cultural and ideological determinants. When the age of European witch-hunting began in the Western Alps around the year 1430, the purported crime was not yet specifically associated with women. </w:t>
      </w:r>
      <w:r w:rsidRPr="00024617">
        <w:rPr>
          <w:rFonts w:ascii="Times New Roman" w:hAnsi="Times New Roman"/>
          <w:sz w:val="24"/>
          <w:szCs w:val="24"/>
          <w:lang w:val="en-US"/>
        </w:rPr>
        <w:lastRenderedPageBreak/>
        <w:t xml:space="preserve">Yet, within a context of widespread misogyny and unequal power balances between the sexes, it is hardly surprising that women were soon disproportionally targeted (around 75 to 80 percent of the victims were female). Women were widely viewed as more lustful, superstitious and irrational than men. So it made sense to think that it was relatively easier for the Devil to lure them into witchcraft through sexual intercourse and to make them abjure God </w:t>
      </w:r>
      <w:r w:rsidRPr="00024617">
        <w:rPr>
          <w:rFonts w:ascii="Times New Roman" w:hAnsi="Times New Roman"/>
          <w:noProof/>
          <w:sz w:val="24"/>
          <w:szCs w:val="24"/>
          <w:lang w:val="en-US"/>
        </w:rPr>
        <w:t>(Rowlands, 2013)</w:t>
      </w:r>
      <w:r w:rsidRPr="00024617">
        <w:rPr>
          <w:rFonts w:ascii="Times New Roman" w:hAnsi="Times New Roman"/>
          <w:sz w:val="24"/>
          <w:szCs w:val="24"/>
          <w:lang w:val="en-US"/>
        </w:rPr>
        <w:t xml:space="preserve">. But the concept of witchcraft remained malleable enough to integrate other cultural and ideological trends. In the late sixteenth century, parts of Europe suffered from enormous economic distress, stimulating heightened aggression against allegedly corrupted elites who enriched themselves at the expense of others. Reflecting this trend, the witchcraft beliefs and subsequent trials increasingly began to focus on witches that were rich, male and powerful—the aforementioned Dietrich </w:t>
      </w:r>
      <w:proofErr w:type="spellStart"/>
      <w:r w:rsidRPr="00024617">
        <w:rPr>
          <w:rFonts w:ascii="Times New Roman" w:hAnsi="Times New Roman"/>
          <w:sz w:val="24"/>
          <w:szCs w:val="24"/>
          <w:lang w:val="en-US"/>
        </w:rPr>
        <w:t>Flade</w:t>
      </w:r>
      <w:proofErr w:type="spellEnd"/>
      <w:r w:rsidRPr="00024617">
        <w:rPr>
          <w:rFonts w:ascii="Times New Roman" w:hAnsi="Times New Roman"/>
          <w:sz w:val="24"/>
          <w:szCs w:val="24"/>
          <w:lang w:val="en-US"/>
        </w:rPr>
        <w:t xml:space="preserve"> is a case in point </w:t>
      </w:r>
      <w:r w:rsidRPr="00024617">
        <w:rPr>
          <w:rFonts w:ascii="Times New Roman" w:hAnsi="Times New Roman"/>
          <w:noProof/>
          <w:sz w:val="24"/>
          <w:szCs w:val="24"/>
          <w:lang w:val="en-US"/>
        </w:rPr>
        <w:t>(Behringer, 2008, pp. 230–245; Dillinger, 1999; Hofhuis, 2022)</w:t>
      </w:r>
      <w:r w:rsidRPr="00024617">
        <w:rPr>
          <w:rFonts w:ascii="Times New Roman" w:hAnsi="Times New Roman"/>
          <w:sz w:val="24"/>
          <w:szCs w:val="24"/>
          <w:lang w:val="en-US"/>
        </w:rPr>
        <w:t>.</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The history of psychoanalysis offers a similar example of how theoretical developments can reflect changing cultural environments rather than a changing evidence base. In the early days of psychoanalysis, Freud touted the concept of </w:t>
      </w:r>
      <w:r w:rsidRPr="00024617">
        <w:rPr>
          <w:rFonts w:ascii="Times New Roman" w:hAnsi="Times New Roman"/>
          <w:i/>
          <w:iCs/>
          <w:sz w:val="24"/>
          <w:szCs w:val="24"/>
          <w:lang w:val="en-US"/>
        </w:rPr>
        <w:t>penis envy</w:t>
      </w:r>
      <w:r w:rsidRPr="00024617">
        <w:rPr>
          <w:rFonts w:ascii="Times New Roman" w:hAnsi="Times New Roman"/>
          <w:sz w:val="24"/>
          <w:szCs w:val="24"/>
          <w:lang w:val="en-US"/>
        </w:rPr>
        <w:t xml:space="preserve"> as one of the most important discoveries of psychoanalysis. In Freud’s account, the development of the female psyche revolves around the unconscious desire to possess a penis. As the little girl discovers that her body lacks the prized appendage, she develops an unconscious desire to possess a penis and accuses others of thwarting that wish or having castrated her. In the most favorable cases, the desire for a penis is later substituted for a desire to have a baby. Penis envy, according to Freud, was not a peculiar desire occurring in some women, but an unbending and universal law of female psychology.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In the second half of the 20th century, however, the doctrine of universal penis envy in women started to disappear from the psychoanalytic literature. It is unlikely that this theoretical change was driven by a changing evidence base, for Freud and his followers had confirmed the </w:t>
      </w:r>
      <w:r w:rsidRPr="00024617">
        <w:rPr>
          <w:rFonts w:ascii="Times New Roman" w:hAnsi="Times New Roman"/>
          <w:sz w:val="24"/>
          <w:szCs w:val="24"/>
          <w:lang w:val="en-US"/>
        </w:rPr>
        <w:lastRenderedPageBreak/>
        <w:t xml:space="preserve">existence of penis envy in numerous cases, and the method of investigation itself remained unaltered. “When,” as the philosopher Frank Cioffi rhetorically asked, “did women stop wanting penises?” </w:t>
      </w:r>
      <w:r w:rsidRPr="00024617">
        <w:rPr>
          <w:rFonts w:ascii="Times New Roman" w:hAnsi="Times New Roman"/>
          <w:noProof/>
          <w:sz w:val="24"/>
          <w:szCs w:val="24"/>
          <w:lang w:val="en-US"/>
        </w:rPr>
        <w:t>(Cioffi, 1998, p. 27 )</w:t>
      </w:r>
      <w:r w:rsidRPr="00024617">
        <w:rPr>
          <w:rFonts w:ascii="Times New Roman" w:hAnsi="Times New Roman"/>
          <w:sz w:val="24"/>
          <w:szCs w:val="24"/>
          <w:lang w:val="en-US"/>
        </w:rPr>
        <w:t xml:space="preserve">. As in the case of the Jews disappearing from conspiracist literature, the notion of universal penis envy had just become ideologically unpalatable. Feminist critiques exposed the sexist and misogynist prejudices of Freud’s “phallocentric” theory of the female psyche, and some feminist psychoanalysts like Melanie Klein and Karen Horney proposed alternative concepts like </w:t>
      </w:r>
      <w:r w:rsidRPr="00024617">
        <w:rPr>
          <w:rFonts w:ascii="Times New Roman" w:hAnsi="Times New Roman"/>
          <w:i/>
          <w:iCs/>
          <w:sz w:val="24"/>
          <w:szCs w:val="24"/>
          <w:lang w:val="en-US"/>
        </w:rPr>
        <w:t>breast envy</w:t>
      </w:r>
      <w:r w:rsidRPr="00024617">
        <w:rPr>
          <w:rFonts w:ascii="Times New Roman" w:hAnsi="Times New Roman"/>
          <w:sz w:val="24"/>
          <w:szCs w:val="24"/>
          <w:lang w:val="en-US"/>
        </w:rPr>
        <w:t xml:space="preserve"> and </w:t>
      </w:r>
      <w:r w:rsidRPr="00024617">
        <w:rPr>
          <w:rFonts w:ascii="Times New Roman" w:hAnsi="Times New Roman"/>
          <w:i/>
          <w:iCs/>
          <w:sz w:val="24"/>
          <w:szCs w:val="24"/>
          <w:lang w:val="en-US"/>
        </w:rPr>
        <w:t>womb and vagina envy</w:t>
      </w:r>
      <w:r w:rsidRPr="00024617">
        <w:rPr>
          <w:rFonts w:ascii="Times New Roman" w:hAnsi="Times New Roman"/>
          <w:sz w:val="24"/>
          <w:szCs w:val="24"/>
          <w:lang w:val="en-US"/>
        </w:rPr>
        <w:t xml:space="preserve"> </w:t>
      </w:r>
      <w:r w:rsidRPr="00024617">
        <w:rPr>
          <w:rFonts w:ascii="Times New Roman" w:hAnsi="Times New Roman"/>
          <w:noProof/>
          <w:sz w:val="24"/>
          <w:szCs w:val="24"/>
          <w:lang w:val="en-US"/>
        </w:rPr>
        <w:t>(Sayers, 1987)</w:t>
      </w:r>
      <w:r w:rsidRPr="00024617">
        <w:rPr>
          <w:rFonts w:ascii="Times New Roman" w:hAnsi="Times New Roman"/>
          <w:sz w:val="24"/>
          <w:szCs w:val="24"/>
          <w:lang w:val="en-US"/>
        </w:rPr>
        <w:t xml:space="preserve">. But these were equally arbitrary concepts, epistemically on a par with the original Oedipus complex. Just as the prominence or absence of “the Jews” in conspiracy theories reflected the changing cultural fate of antisemitism, the specific content of psychoanalytic theory tended to reflect changing cultural sensibilities rather than changing evidence </w:t>
      </w:r>
      <w:r w:rsidRPr="00024617">
        <w:rPr>
          <w:rFonts w:ascii="Times New Roman" w:hAnsi="Times New Roman"/>
          <w:noProof/>
          <w:sz w:val="24"/>
          <w:szCs w:val="24"/>
          <w:lang w:val="en-US"/>
        </w:rPr>
        <w:t>(Cioffi, 1998)</w:t>
      </w:r>
      <w:r w:rsidRPr="00024617">
        <w:rPr>
          <w:rFonts w:ascii="Times New Roman" w:hAnsi="Times New Roman"/>
          <w:sz w:val="24"/>
          <w:szCs w:val="24"/>
          <w:lang w:val="en-US"/>
        </w:rPr>
        <w:t xml:space="preserve">. </w:t>
      </w:r>
    </w:p>
    <w:p w:rsidR="00490925" w:rsidRPr="00024617" w:rsidRDefault="00490925" w:rsidP="00024617">
      <w:pPr>
        <w:pStyle w:val="Kop1"/>
        <w:spacing w:line="480" w:lineRule="auto"/>
        <w:jc w:val="both"/>
        <w:rPr>
          <w:rFonts w:ascii="Times New Roman" w:hAnsi="Times New Roman" w:cs="Times New Roman"/>
          <w:color w:val="auto"/>
          <w:sz w:val="24"/>
          <w:szCs w:val="24"/>
          <w:lang w:val="en-US"/>
        </w:rPr>
      </w:pPr>
      <w:bookmarkStart w:id="56" w:name="_Toc45717989"/>
      <w:bookmarkStart w:id="57" w:name="_Toc117878443"/>
      <w:r w:rsidRPr="00024617">
        <w:rPr>
          <w:rFonts w:ascii="Times New Roman" w:hAnsi="Times New Roman" w:cs="Times New Roman"/>
          <w:color w:val="auto"/>
          <w:sz w:val="24"/>
          <w:szCs w:val="24"/>
          <w:lang w:val="en-US"/>
        </w:rPr>
        <w:t>Conclusion</w:t>
      </w:r>
      <w:bookmarkEnd w:id="56"/>
      <w:bookmarkEnd w:id="57"/>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This paper has analyzed the warped epistemology and cultural dynamics of epistemic black holes, belief systems about invisible agents that are self-sealing and extremely resistant to external challenges. This epistemological analysis is intended to complement psychological explanations of the universal appeal of such belief systems, as well as more contingent historical and sociological accounts of their success in certain cultural environments. For instance, though it is plausible that the human mind has evolved tendencies to </w:t>
      </w:r>
      <w:proofErr w:type="spellStart"/>
      <w:r w:rsidRPr="00024617">
        <w:rPr>
          <w:rFonts w:ascii="Times New Roman" w:hAnsi="Times New Roman"/>
          <w:sz w:val="24"/>
          <w:szCs w:val="24"/>
          <w:lang w:val="en-US"/>
        </w:rPr>
        <w:t>overdetect</w:t>
      </w:r>
      <w:proofErr w:type="spellEnd"/>
      <w:r w:rsidRPr="00024617">
        <w:rPr>
          <w:rFonts w:ascii="Times New Roman" w:hAnsi="Times New Roman"/>
          <w:sz w:val="24"/>
          <w:szCs w:val="24"/>
          <w:lang w:val="en-US"/>
        </w:rPr>
        <w:t xml:space="preserve"> conspiracies </w:t>
      </w:r>
      <w:r w:rsidRPr="00024617">
        <w:rPr>
          <w:rFonts w:ascii="Times New Roman" w:hAnsi="Times New Roman"/>
          <w:noProof/>
          <w:sz w:val="24"/>
          <w:szCs w:val="24"/>
          <w:lang w:val="en-US"/>
        </w:rPr>
        <w:t>(van Prooijen &amp; Van Vugt, 2018)</w:t>
      </w:r>
      <w:r w:rsidRPr="00024617">
        <w:rPr>
          <w:rFonts w:ascii="Times New Roman" w:hAnsi="Times New Roman"/>
          <w:sz w:val="24"/>
          <w:szCs w:val="24"/>
          <w:lang w:val="en-US"/>
        </w:rPr>
        <w:t xml:space="preserve">, the extreme resilience of conspiracy theories to counterevidence and criticism also helps to explain their perennial appeal and cross-cultural persistence. The most notable examples of such epistemic black holes are unfounded conspiracy theories about historical events, but less obvious examples include Freudian psychoanalysis, as well as certain religious and supernatural belief systems, notably the cumulative concept of witchcraft in early </w:t>
      </w:r>
      <w:r w:rsidRPr="00024617">
        <w:rPr>
          <w:rFonts w:ascii="Times New Roman" w:hAnsi="Times New Roman"/>
          <w:sz w:val="24"/>
          <w:szCs w:val="24"/>
          <w:lang w:val="en-US"/>
        </w:rPr>
        <w:lastRenderedPageBreak/>
        <w:t xml:space="preserve">modern Europe. By postulating clever invisible agencies that purposefully evade detection, these belief systems are by their very nature resilient against external challenges.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Based on this epistemological analysis, we have also tried to draw some parallels about the cultural development and dynamics of the respective belief systems. Most importantly, because of their extreme resilience to counterevidence, epistemic black holes suffer from a problem of arbitrariness and proliferating alternatives. As a result of this, such belief systems tend to be unstable and vulnerable to internal disarray, since believers can always come up with a rival version that accommodates the evidence equally well. In other cases, we see that the evolution of such belief system flexibly accommodates to changing cultural circumstances and sensibilities. </w:t>
      </w:r>
    </w:p>
    <w:p w:rsidR="00490925" w:rsidRPr="00024617" w:rsidRDefault="00490925" w:rsidP="00024617">
      <w:pPr>
        <w:spacing w:line="480" w:lineRule="auto"/>
        <w:jc w:val="both"/>
        <w:rPr>
          <w:rFonts w:ascii="Times New Roman" w:hAnsi="Times New Roman"/>
          <w:sz w:val="24"/>
          <w:szCs w:val="24"/>
          <w:lang w:val="en-US"/>
        </w:rPr>
      </w:pPr>
      <w:r w:rsidRPr="00024617">
        <w:rPr>
          <w:rFonts w:ascii="Times New Roman" w:hAnsi="Times New Roman"/>
          <w:sz w:val="24"/>
          <w:szCs w:val="24"/>
          <w:lang w:val="en-US"/>
        </w:rPr>
        <w:t xml:space="preserve">Finally, we believe that this epistemological analysis may be useful for pedagogical purposes. By understanding the self-sealing logic of conspiracy theories and other epistemic black holes, people may better appreciate the arbitrary and gratuitous nature of such beliefs. By appreciating how, using the same types of inferences and evidence, entirely different theories can be concocted that are equally plausible and equally compatible with the evidence, people might be better “inoculated” against the attraction of such unfounded belief systems </w:t>
      </w:r>
      <w:r w:rsidRPr="00024617">
        <w:rPr>
          <w:rFonts w:ascii="Times New Roman" w:hAnsi="Times New Roman"/>
          <w:noProof/>
          <w:sz w:val="24"/>
          <w:szCs w:val="24"/>
          <w:lang w:val="en-US"/>
        </w:rPr>
        <w:t>(Norman, 2021, XXX)</w:t>
      </w:r>
      <w:r w:rsidRPr="00024617">
        <w:rPr>
          <w:rFonts w:ascii="Times New Roman" w:hAnsi="Times New Roman"/>
          <w:sz w:val="24"/>
          <w:szCs w:val="24"/>
          <w:lang w:val="en-US"/>
        </w:rPr>
        <w:t xml:space="preserve">.  </w:t>
      </w:r>
    </w:p>
    <w:p w:rsidR="006C4335" w:rsidRDefault="00490925" w:rsidP="00024617">
      <w:pPr>
        <w:spacing w:line="480" w:lineRule="auto"/>
        <w:jc w:val="both"/>
        <w:rPr>
          <w:rFonts w:ascii="Times New Roman" w:hAnsi="Times New Roman"/>
          <w:b/>
          <w:bCs/>
          <w:sz w:val="24"/>
          <w:szCs w:val="24"/>
          <w:lang w:val="en-US"/>
        </w:rPr>
      </w:pPr>
      <w:r w:rsidRPr="00024617">
        <w:rPr>
          <w:rFonts w:ascii="Times New Roman" w:hAnsi="Times New Roman"/>
          <w:b/>
          <w:bCs/>
          <w:sz w:val="24"/>
          <w:szCs w:val="24"/>
          <w:lang w:val="en-US"/>
        </w:rPr>
        <w:t>Acknowledgements.</w:t>
      </w:r>
    </w:p>
    <w:p w:rsidR="006C4335" w:rsidRDefault="006C4335">
      <w:pPr>
        <w:spacing w:after="160" w:line="259" w:lineRule="auto"/>
        <w:rPr>
          <w:rFonts w:ascii="Times New Roman" w:hAnsi="Times New Roman"/>
          <w:b/>
          <w:bCs/>
          <w:sz w:val="24"/>
          <w:szCs w:val="24"/>
          <w:lang w:val="en-US"/>
        </w:rPr>
      </w:pPr>
      <w:r>
        <w:rPr>
          <w:rFonts w:ascii="Times New Roman" w:hAnsi="Times New Roman"/>
          <w:b/>
          <w:bCs/>
          <w:sz w:val="24"/>
          <w:szCs w:val="24"/>
          <w:lang w:val="en-US"/>
        </w:rPr>
        <w:br w:type="page"/>
      </w:r>
    </w:p>
    <w:p w:rsidR="00490925" w:rsidRPr="00024617" w:rsidRDefault="006C4335" w:rsidP="00024617">
      <w:pPr>
        <w:spacing w:line="48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References</w:t>
      </w:r>
      <w:bookmarkStart w:id="58" w:name="_GoBack"/>
      <w:bookmarkEnd w:id="58"/>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Aaronovitch, D. (2010). </w:t>
      </w:r>
      <w:r w:rsidRPr="00024617">
        <w:rPr>
          <w:rFonts w:ascii="Times New Roman" w:hAnsi="Times New Roman" w:cs="Times New Roman"/>
          <w:i/>
          <w:sz w:val="24"/>
          <w:szCs w:val="24"/>
        </w:rPr>
        <w:t>Voodoo histories : the role of the conspiracy theory in shaping modern history</w:t>
      </w:r>
      <w:r w:rsidRPr="00024617">
        <w:rPr>
          <w:rFonts w:ascii="Times New Roman" w:hAnsi="Times New Roman" w:cs="Times New Roman"/>
          <w:sz w:val="24"/>
          <w:szCs w:val="24"/>
        </w:rPr>
        <w:t>. New York: Riverhead Books.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Arendt, H. (1951/2017). </w:t>
      </w:r>
      <w:r w:rsidRPr="00024617">
        <w:rPr>
          <w:rFonts w:ascii="Times New Roman" w:hAnsi="Times New Roman" w:cs="Times New Roman"/>
          <w:i/>
          <w:sz w:val="24"/>
          <w:szCs w:val="24"/>
        </w:rPr>
        <w:t>The origins of totalitarianism</w:t>
      </w:r>
      <w:r w:rsidRPr="00024617">
        <w:rPr>
          <w:rFonts w:ascii="Times New Roman" w:hAnsi="Times New Roman" w:cs="Times New Roman"/>
          <w:sz w:val="24"/>
          <w:szCs w:val="24"/>
        </w:rPr>
        <w:t>: Penguin Classics.</w:t>
      </w:r>
    </w:p>
    <w:p w:rsidR="00490925" w:rsidRPr="00024617" w:rsidRDefault="00490925" w:rsidP="00024617">
      <w:pPr>
        <w:pStyle w:val="EndNoteBibliography"/>
        <w:spacing w:after="0" w:line="480" w:lineRule="auto"/>
        <w:ind w:left="720" w:hanging="720"/>
        <w:rPr>
          <w:rFonts w:ascii="Times New Roman" w:hAnsi="Times New Roman" w:cs="Times New Roman"/>
          <w:i/>
          <w:sz w:val="24"/>
          <w:szCs w:val="24"/>
        </w:rPr>
      </w:pPr>
      <w:r w:rsidRPr="00024617">
        <w:rPr>
          <w:rFonts w:ascii="Times New Roman" w:hAnsi="Times New Roman" w:cs="Times New Roman"/>
          <w:sz w:val="24"/>
          <w:szCs w:val="24"/>
        </w:rPr>
        <w:t xml:space="preserve">Basinger, D. (2011). Religious diversity (pluralism). </w:t>
      </w:r>
      <w:r w:rsidRPr="00024617">
        <w:rPr>
          <w:rFonts w:ascii="Times New Roman" w:hAnsi="Times New Roman" w:cs="Times New Roman"/>
          <w:i/>
          <w:sz w:val="24"/>
          <w:szCs w:val="24"/>
        </w:rPr>
        <w:t>Stanford Encyclopedia of Philosophy</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Behringer, W. (2008). </w:t>
      </w:r>
      <w:r w:rsidRPr="00024617">
        <w:rPr>
          <w:rFonts w:ascii="Times New Roman" w:hAnsi="Times New Roman" w:cs="Times New Roman"/>
          <w:i/>
          <w:sz w:val="24"/>
          <w:szCs w:val="24"/>
        </w:rPr>
        <w:t>Witches and witch-hunts: a global history</w:t>
      </w:r>
      <w:r w:rsidRPr="00024617">
        <w:rPr>
          <w:rFonts w:ascii="Times New Roman" w:hAnsi="Times New Roman" w:cs="Times New Roman"/>
          <w:sz w:val="24"/>
          <w:szCs w:val="24"/>
        </w:rPr>
        <w:t>. Cambridge: Polity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Borch-Jacobsen, M., &amp; Shamdasani, S. (2011). </w:t>
      </w:r>
      <w:r w:rsidRPr="00024617">
        <w:rPr>
          <w:rFonts w:ascii="Times New Roman" w:hAnsi="Times New Roman" w:cs="Times New Roman"/>
          <w:i/>
          <w:sz w:val="24"/>
          <w:szCs w:val="24"/>
        </w:rPr>
        <w:t>The Freud files: An inquiry into the history of psychoanalysis</w:t>
      </w:r>
      <w:r w:rsidRPr="00024617">
        <w:rPr>
          <w:rFonts w:ascii="Times New Roman" w:hAnsi="Times New Roman" w:cs="Times New Roman"/>
          <w:sz w:val="24"/>
          <w:szCs w:val="24"/>
        </w:rPr>
        <w:t>: Cambridge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Boudry, M. (2022). Why We Should Be Suspicious of Conspiracy Theories: A Novel Demarcation Problem. </w:t>
      </w:r>
      <w:r w:rsidRPr="00024617">
        <w:rPr>
          <w:rFonts w:ascii="Times New Roman" w:hAnsi="Times New Roman" w:cs="Times New Roman"/>
          <w:i/>
          <w:sz w:val="24"/>
          <w:szCs w:val="24"/>
        </w:rPr>
        <w:t>Episteme</w:t>
      </w:r>
      <w:r w:rsidRPr="00024617">
        <w:rPr>
          <w:rFonts w:ascii="Times New Roman" w:hAnsi="Times New Roman" w:cs="Times New Roman"/>
          <w:sz w:val="24"/>
          <w:szCs w:val="24"/>
        </w:rPr>
        <w:t>, 1-21. doi: 10.1017/epi.2022.34</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Boudry, M., &amp; Buekens, F. (2011). The Epistemic Predicament of a Pseudoscience: Social Constructivism Confronts Freudian Psychoanalysis. </w:t>
      </w:r>
      <w:r w:rsidRPr="00024617">
        <w:rPr>
          <w:rFonts w:ascii="Times New Roman" w:hAnsi="Times New Roman" w:cs="Times New Roman"/>
          <w:i/>
          <w:sz w:val="24"/>
          <w:szCs w:val="24"/>
        </w:rPr>
        <w:t>Theoria, 77</w:t>
      </w:r>
      <w:r w:rsidRPr="00024617">
        <w:rPr>
          <w:rFonts w:ascii="Times New Roman" w:hAnsi="Times New Roman" w:cs="Times New Roman"/>
          <w:sz w:val="24"/>
          <w:szCs w:val="24"/>
        </w:rPr>
        <w:t>(2), 159–179. doi: 10.1111/j.1755-2567.2011.01098.x</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Boudry, M., &amp; De Smedt, J. (2011). In Mysterious Ways: On petitionary prayer and subtle forms of supernatural causation. </w:t>
      </w:r>
      <w:r w:rsidRPr="00024617">
        <w:rPr>
          <w:rFonts w:ascii="Times New Roman" w:hAnsi="Times New Roman" w:cs="Times New Roman"/>
          <w:i/>
          <w:sz w:val="24"/>
          <w:szCs w:val="24"/>
        </w:rPr>
        <w:t>Religion, 41</w:t>
      </w:r>
      <w:r w:rsidRPr="00024617">
        <w:rPr>
          <w:rFonts w:ascii="Times New Roman" w:hAnsi="Times New Roman" w:cs="Times New Roman"/>
          <w:sz w:val="24"/>
          <w:szCs w:val="24"/>
        </w:rPr>
        <w:t>(3), 449-469. doi: 10.1080/0048721x.2011.600464</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Boyer, P. (2001). </w:t>
      </w:r>
      <w:r w:rsidRPr="00024617">
        <w:rPr>
          <w:rFonts w:ascii="Times New Roman" w:hAnsi="Times New Roman" w:cs="Times New Roman"/>
          <w:i/>
          <w:sz w:val="24"/>
          <w:szCs w:val="24"/>
        </w:rPr>
        <w:t>Religion explained: The evolutionary origins of religious thought</w:t>
      </w:r>
      <w:r w:rsidRPr="00024617">
        <w:rPr>
          <w:rFonts w:ascii="Times New Roman" w:hAnsi="Times New Roman" w:cs="Times New Roman"/>
          <w:sz w:val="24"/>
          <w:szCs w:val="24"/>
        </w:rPr>
        <w:t>. New York (N.Y.): Basic Books.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Buenting, J., &amp; Taylor, J. (2010). Conspiracy theories and fortuitous data. </w:t>
      </w:r>
      <w:r w:rsidRPr="00024617">
        <w:rPr>
          <w:rFonts w:ascii="Times New Roman" w:hAnsi="Times New Roman" w:cs="Times New Roman"/>
          <w:i/>
          <w:sz w:val="24"/>
          <w:szCs w:val="24"/>
        </w:rPr>
        <w:t>Philosophy of the Social Sciences, 40</w:t>
      </w:r>
      <w:r w:rsidRPr="00024617">
        <w:rPr>
          <w:rFonts w:ascii="Times New Roman" w:hAnsi="Times New Roman" w:cs="Times New Roman"/>
          <w:sz w:val="24"/>
          <w:szCs w:val="24"/>
        </w:rPr>
        <w:t>(4), 567-578</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Byford, J. (2011). </w:t>
      </w:r>
      <w:r w:rsidRPr="00024617">
        <w:rPr>
          <w:rFonts w:ascii="Times New Roman" w:hAnsi="Times New Roman" w:cs="Times New Roman"/>
          <w:i/>
          <w:sz w:val="24"/>
          <w:szCs w:val="24"/>
        </w:rPr>
        <w:t>Conspiracy Theories: A Critical Introduction</w:t>
      </w:r>
      <w:r w:rsidRPr="00024617">
        <w:rPr>
          <w:rFonts w:ascii="Times New Roman" w:hAnsi="Times New Roman" w:cs="Times New Roman"/>
          <w:sz w:val="24"/>
          <w:szCs w:val="24"/>
        </w:rPr>
        <w:t>: Palgrave Macmillan.</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Cioffi, F. (1998). </w:t>
      </w:r>
      <w:r w:rsidRPr="00024617">
        <w:rPr>
          <w:rFonts w:ascii="Times New Roman" w:hAnsi="Times New Roman" w:cs="Times New Roman"/>
          <w:i/>
          <w:sz w:val="24"/>
          <w:szCs w:val="24"/>
        </w:rPr>
        <w:t>Freud and the question of pseudoscience</w:t>
      </w:r>
      <w:r w:rsidRPr="00024617">
        <w:rPr>
          <w:rFonts w:ascii="Times New Roman" w:hAnsi="Times New Roman" w:cs="Times New Roman"/>
          <w:sz w:val="24"/>
          <w:szCs w:val="24"/>
        </w:rPr>
        <w:t>. Chicago: Open Court.</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Clarke, S. (2002). Conspiracy theories and conspiracy theorizing. </w:t>
      </w:r>
      <w:r w:rsidRPr="00024617">
        <w:rPr>
          <w:rFonts w:ascii="Times New Roman" w:hAnsi="Times New Roman" w:cs="Times New Roman"/>
          <w:i/>
          <w:sz w:val="24"/>
          <w:szCs w:val="24"/>
        </w:rPr>
        <w:t>Philosophy of the Social Sciences, 32</w:t>
      </w:r>
      <w:r w:rsidRPr="00024617">
        <w:rPr>
          <w:rFonts w:ascii="Times New Roman" w:hAnsi="Times New Roman" w:cs="Times New Roman"/>
          <w:sz w:val="24"/>
          <w:szCs w:val="24"/>
        </w:rPr>
        <w:t>(2), 131-150</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lastRenderedPageBreak/>
        <w:t xml:space="preserve">Cohn, N. (1967). </w:t>
      </w:r>
      <w:r w:rsidRPr="00024617">
        <w:rPr>
          <w:rFonts w:ascii="Times New Roman" w:hAnsi="Times New Roman" w:cs="Times New Roman"/>
          <w:i/>
          <w:sz w:val="24"/>
          <w:szCs w:val="24"/>
        </w:rPr>
        <w:t>Warrant for Genocide: The Myth of the Jewish World-conspiracy and the Protocols of the Elders of Zion</w:t>
      </w:r>
      <w:r w:rsidRPr="00024617">
        <w:rPr>
          <w:rFonts w:ascii="Times New Roman" w:hAnsi="Times New Roman" w:cs="Times New Roman"/>
          <w:sz w:val="24"/>
          <w:szCs w:val="24"/>
        </w:rPr>
        <w:t>: Eyre &amp; Spottiswoode.</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Crews, F. C. (1998). </w:t>
      </w:r>
      <w:r w:rsidRPr="00024617">
        <w:rPr>
          <w:rFonts w:ascii="Times New Roman" w:hAnsi="Times New Roman" w:cs="Times New Roman"/>
          <w:i/>
          <w:sz w:val="24"/>
          <w:szCs w:val="24"/>
        </w:rPr>
        <w:t>Unauthorized Freud: doubters confront a legend</w:t>
      </w:r>
      <w:r w:rsidRPr="00024617">
        <w:rPr>
          <w:rFonts w:ascii="Times New Roman" w:hAnsi="Times New Roman" w:cs="Times New Roman"/>
          <w:sz w:val="24"/>
          <w:szCs w:val="24"/>
        </w:rPr>
        <w:t>: Viking.</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Crews, F. C. (2017). </w:t>
      </w:r>
      <w:r w:rsidRPr="00024617">
        <w:rPr>
          <w:rFonts w:ascii="Times New Roman" w:hAnsi="Times New Roman" w:cs="Times New Roman"/>
          <w:i/>
          <w:sz w:val="24"/>
          <w:szCs w:val="24"/>
        </w:rPr>
        <w:t>Freud: The making of an illusion</w:t>
      </w:r>
      <w:r w:rsidRPr="00024617">
        <w:rPr>
          <w:rFonts w:ascii="Times New Roman" w:hAnsi="Times New Roman" w:cs="Times New Roman"/>
          <w:sz w:val="24"/>
          <w:szCs w:val="24"/>
        </w:rPr>
        <w:t>: Profile Books.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Dennett, D. C. (1987). </w:t>
      </w:r>
      <w:r w:rsidRPr="00024617">
        <w:rPr>
          <w:rFonts w:ascii="Times New Roman" w:hAnsi="Times New Roman" w:cs="Times New Roman"/>
          <w:i/>
          <w:sz w:val="24"/>
          <w:szCs w:val="24"/>
        </w:rPr>
        <w:t>The intentional stance</w:t>
      </w:r>
      <w:r w:rsidRPr="00024617">
        <w:rPr>
          <w:rFonts w:ascii="Times New Roman" w:hAnsi="Times New Roman" w:cs="Times New Roman"/>
          <w:sz w:val="24"/>
          <w:szCs w:val="24"/>
        </w:rPr>
        <w:t>. Cambridge: MIT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Dentith, M. R. X. (2018). </w:t>
      </w:r>
      <w:r w:rsidRPr="00024617">
        <w:rPr>
          <w:rFonts w:ascii="Times New Roman" w:hAnsi="Times New Roman" w:cs="Times New Roman"/>
          <w:i/>
          <w:sz w:val="24"/>
          <w:szCs w:val="24"/>
        </w:rPr>
        <w:t>Taking conspiracy theories seriously</w:t>
      </w:r>
      <w:r w:rsidRPr="00024617">
        <w:rPr>
          <w:rFonts w:ascii="Times New Roman" w:hAnsi="Times New Roman" w:cs="Times New Roman"/>
          <w:sz w:val="24"/>
          <w:szCs w:val="24"/>
        </w:rPr>
        <w:t>: Rowman &amp; Littlefield.</w:t>
      </w:r>
    </w:p>
    <w:p w:rsidR="00490925" w:rsidRPr="007A014A" w:rsidRDefault="00490925" w:rsidP="00024617">
      <w:pPr>
        <w:pStyle w:val="EndNoteBibliography"/>
        <w:spacing w:after="0" w:line="480" w:lineRule="auto"/>
        <w:ind w:left="720" w:hanging="720"/>
        <w:rPr>
          <w:rFonts w:ascii="Times New Roman" w:hAnsi="Times New Roman" w:cs="Times New Roman"/>
          <w:sz w:val="24"/>
          <w:szCs w:val="24"/>
          <w:lang w:val="nl-BE"/>
        </w:rPr>
      </w:pPr>
      <w:r w:rsidRPr="00024617">
        <w:rPr>
          <w:rFonts w:ascii="Times New Roman" w:hAnsi="Times New Roman" w:cs="Times New Roman"/>
          <w:sz w:val="24"/>
          <w:szCs w:val="24"/>
        </w:rPr>
        <w:t xml:space="preserve">Dentith, M. R. X. (2019). Conspiracy theories on the basis of the evidence. </w:t>
      </w:r>
      <w:r w:rsidRPr="007A014A">
        <w:rPr>
          <w:rFonts w:ascii="Times New Roman" w:hAnsi="Times New Roman" w:cs="Times New Roman"/>
          <w:i/>
          <w:sz w:val="24"/>
          <w:szCs w:val="24"/>
          <w:lang w:val="nl-BE"/>
        </w:rPr>
        <w:t>Synthese, 196</w:t>
      </w:r>
      <w:r w:rsidRPr="007A014A">
        <w:rPr>
          <w:rFonts w:ascii="Times New Roman" w:hAnsi="Times New Roman" w:cs="Times New Roman"/>
          <w:sz w:val="24"/>
          <w:szCs w:val="24"/>
          <w:lang w:val="nl-BE"/>
        </w:rPr>
        <w:t>(6), 2243-2261</w:t>
      </w:r>
    </w:p>
    <w:p w:rsidR="00490925" w:rsidRPr="007A014A" w:rsidRDefault="00490925" w:rsidP="00024617">
      <w:pPr>
        <w:pStyle w:val="EndNoteBibliography"/>
        <w:spacing w:after="0" w:line="480" w:lineRule="auto"/>
        <w:ind w:left="720" w:hanging="720"/>
        <w:rPr>
          <w:rFonts w:ascii="Times New Roman" w:hAnsi="Times New Roman" w:cs="Times New Roman"/>
          <w:sz w:val="24"/>
          <w:szCs w:val="24"/>
          <w:lang w:val="nl-BE"/>
        </w:rPr>
      </w:pPr>
      <w:r w:rsidRPr="007A014A">
        <w:rPr>
          <w:rFonts w:ascii="Times New Roman" w:hAnsi="Times New Roman" w:cs="Times New Roman"/>
          <w:sz w:val="24"/>
          <w:szCs w:val="24"/>
          <w:lang w:val="nl-BE"/>
        </w:rPr>
        <w:t xml:space="preserve">Dillinger, J. (1999). </w:t>
      </w:r>
      <w:r w:rsidRPr="007A014A">
        <w:rPr>
          <w:rFonts w:ascii="Times New Roman" w:hAnsi="Times New Roman" w:cs="Times New Roman"/>
          <w:i/>
          <w:sz w:val="24"/>
          <w:szCs w:val="24"/>
          <w:lang w:val="nl-BE"/>
        </w:rPr>
        <w:t>"Böse Leute": Hexenverfolgungen in Schwäbisch-Österreich und Kurtrier im Vergleich</w:t>
      </w:r>
      <w:r w:rsidRPr="007A014A">
        <w:rPr>
          <w:rFonts w:ascii="Times New Roman" w:hAnsi="Times New Roman" w:cs="Times New Roman"/>
          <w:sz w:val="24"/>
          <w:szCs w:val="24"/>
          <w:lang w:val="nl-BE"/>
        </w:rPr>
        <w:t>. Trier: Spee.</w:t>
      </w:r>
    </w:p>
    <w:p w:rsidR="00490925" w:rsidRPr="007A014A" w:rsidRDefault="00490925" w:rsidP="00024617">
      <w:pPr>
        <w:pStyle w:val="EndNoteBibliography"/>
        <w:spacing w:after="0" w:line="480" w:lineRule="auto"/>
        <w:ind w:left="720" w:hanging="720"/>
        <w:rPr>
          <w:rFonts w:ascii="Times New Roman" w:hAnsi="Times New Roman" w:cs="Times New Roman"/>
          <w:sz w:val="24"/>
          <w:szCs w:val="24"/>
          <w:lang w:val="nl-BE"/>
        </w:rPr>
      </w:pPr>
      <w:r w:rsidRPr="007A014A">
        <w:rPr>
          <w:rFonts w:ascii="Times New Roman" w:hAnsi="Times New Roman" w:cs="Times New Roman"/>
          <w:sz w:val="24"/>
          <w:szCs w:val="24"/>
          <w:lang w:val="nl-BE"/>
        </w:rPr>
        <w:t xml:space="preserve">Dillinger, J. (2018). </w:t>
      </w:r>
      <w:r w:rsidRPr="007A014A">
        <w:rPr>
          <w:rFonts w:ascii="Times New Roman" w:hAnsi="Times New Roman" w:cs="Times New Roman"/>
          <w:i/>
          <w:sz w:val="24"/>
          <w:szCs w:val="24"/>
          <w:lang w:val="nl-BE"/>
        </w:rPr>
        <w:t>Hexen und Magie: 2., aktualisierte Auflage</w:t>
      </w:r>
      <w:r w:rsidRPr="007A014A">
        <w:rPr>
          <w:rFonts w:ascii="Times New Roman" w:hAnsi="Times New Roman" w:cs="Times New Roman"/>
          <w:sz w:val="24"/>
          <w:szCs w:val="24"/>
          <w:lang w:val="nl-BE"/>
        </w:rPr>
        <w:t>. Frankfurt am Main: Campus Verlag.</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7A014A">
        <w:rPr>
          <w:rFonts w:ascii="Times New Roman" w:hAnsi="Times New Roman" w:cs="Times New Roman"/>
          <w:sz w:val="24"/>
          <w:szCs w:val="24"/>
          <w:lang w:val="nl-BE"/>
        </w:rPr>
        <w:t xml:space="preserve">Douglas, K. M., van Prooijen, J. W., &amp; Sutton, R. M. (2022). </w:t>
      </w:r>
      <w:r w:rsidRPr="00024617">
        <w:rPr>
          <w:rFonts w:ascii="Times New Roman" w:hAnsi="Times New Roman" w:cs="Times New Roman"/>
          <w:sz w:val="24"/>
          <w:szCs w:val="24"/>
        </w:rPr>
        <w:t xml:space="preserve">Is the label ‘conspiracy theory’a cause or a consequence of disbelief in alternative narratives? </w:t>
      </w:r>
      <w:r w:rsidRPr="00024617">
        <w:rPr>
          <w:rFonts w:ascii="Times New Roman" w:hAnsi="Times New Roman" w:cs="Times New Roman"/>
          <w:i/>
          <w:sz w:val="24"/>
          <w:szCs w:val="24"/>
        </w:rPr>
        <w:t>British Journal of Psychology, 113</w:t>
      </w:r>
      <w:r w:rsidRPr="00024617">
        <w:rPr>
          <w:rFonts w:ascii="Times New Roman" w:hAnsi="Times New Roman" w:cs="Times New Roman"/>
          <w:sz w:val="24"/>
          <w:szCs w:val="24"/>
        </w:rPr>
        <w:t>(3), 575-590</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Edis, T. (2019). Cosmic Conspiracy Theories: How Theologies Evade Science </w:t>
      </w:r>
      <w:r w:rsidRPr="00024617">
        <w:rPr>
          <w:rFonts w:ascii="Times New Roman" w:hAnsi="Times New Roman" w:cs="Times New Roman"/>
          <w:i/>
          <w:sz w:val="24"/>
          <w:szCs w:val="24"/>
        </w:rPr>
        <w:t>Theology and Science: From Genesis to Astrobiology</w:t>
      </w:r>
      <w:r w:rsidRPr="00024617">
        <w:rPr>
          <w:rFonts w:ascii="Times New Roman" w:hAnsi="Times New Roman" w:cs="Times New Roman"/>
          <w:sz w:val="24"/>
          <w:szCs w:val="24"/>
        </w:rPr>
        <w:t xml:space="preserve"> (pp. 143-165). New Jersey: World Scientific.</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Enders, A. M., Uscinski, J. E., Klofstad, C. A., Seelig, M. I., Wuchty, S., Murthi, M. N., . . . Funchion, J. R. (2021). Do conspiracy beliefs form a belief system? Examining the structure and organization of conspiracy beliefs. </w:t>
      </w:r>
      <w:r w:rsidRPr="00024617">
        <w:rPr>
          <w:rFonts w:ascii="Times New Roman" w:hAnsi="Times New Roman" w:cs="Times New Roman"/>
          <w:i/>
          <w:sz w:val="24"/>
          <w:szCs w:val="24"/>
        </w:rPr>
        <w:t>Journal of Social and Political Psychology, 9</w:t>
      </w:r>
      <w:r w:rsidRPr="00024617">
        <w:rPr>
          <w:rFonts w:ascii="Times New Roman" w:hAnsi="Times New Roman" w:cs="Times New Roman"/>
          <w:sz w:val="24"/>
          <w:szCs w:val="24"/>
        </w:rPr>
        <w:t>(1), 255-271</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Farrell, J. (1996). </w:t>
      </w:r>
      <w:r w:rsidRPr="00024617">
        <w:rPr>
          <w:rFonts w:ascii="Times New Roman" w:hAnsi="Times New Roman" w:cs="Times New Roman"/>
          <w:i/>
          <w:sz w:val="24"/>
          <w:szCs w:val="24"/>
        </w:rPr>
        <w:t>Freud's paranoid quest: Psychoanalysis and modern suspicion</w:t>
      </w:r>
      <w:r w:rsidRPr="00024617">
        <w:rPr>
          <w:rFonts w:ascii="Times New Roman" w:hAnsi="Times New Roman" w:cs="Times New Roman"/>
          <w:sz w:val="24"/>
          <w:szCs w:val="24"/>
        </w:rPr>
        <w:t>. London: New York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Freud, S. (1953). </w:t>
      </w:r>
      <w:r w:rsidRPr="00024617">
        <w:rPr>
          <w:rFonts w:ascii="Times New Roman" w:hAnsi="Times New Roman" w:cs="Times New Roman"/>
          <w:i/>
          <w:sz w:val="24"/>
          <w:szCs w:val="24"/>
        </w:rPr>
        <w:t>Standard edition. Vol. 4, (1900) The interpretation of dreams (first part)</w:t>
      </w:r>
      <w:r w:rsidRPr="00024617">
        <w:rPr>
          <w:rFonts w:ascii="Times New Roman" w:hAnsi="Times New Roman" w:cs="Times New Roman"/>
          <w:sz w:val="24"/>
          <w:szCs w:val="24"/>
        </w:rPr>
        <w:t>. London: Hogarth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lastRenderedPageBreak/>
        <w:t xml:space="preserve">Freud, S., Strachey, J., Freud, A., Richards, A., &amp; Institute of Psycho-analysis. (1960). </w:t>
      </w:r>
      <w:r w:rsidRPr="00024617">
        <w:rPr>
          <w:rFonts w:ascii="Times New Roman" w:hAnsi="Times New Roman" w:cs="Times New Roman"/>
          <w:i/>
          <w:sz w:val="24"/>
          <w:szCs w:val="24"/>
        </w:rPr>
        <w:t>The standard edition of the complete psychological works of Sigmund Freud. Vol. 6, The psychopathology of everyday life</w:t>
      </w:r>
      <w:r w:rsidRPr="00024617">
        <w:rPr>
          <w:rFonts w:ascii="Times New Roman" w:hAnsi="Times New Roman" w:cs="Times New Roman"/>
          <w:sz w:val="24"/>
          <w:szCs w:val="24"/>
        </w:rPr>
        <w:t>.</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Gellner, E. (1985). </w:t>
      </w:r>
      <w:r w:rsidRPr="00024617">
        <w:rPr>
          <w:rFonts w:ascii="Times New Roman" w:hAnsi="Times New Roman" w:cs="Times New Roman"/>
          <w:i/>
          <w:sz w:val="24"/>
          <w:szCs w:val="24"/>
        </w:rPr>
        <w:t>The Psychoanalytic Movement: The Cunning of Unreason</w:t>
      </w:r>
      <w:r w:rsidRPr="00024617">
        <w:rPr>
          <w:rFonts w:ascii="Times New Roman" w:hAnsi="Times New Roman" w:cs="Times New Roman"/>
          <w:sz w:val="24"/>
          <w:szCs w:val="24"/>
        </w:rPr>
        <w:t>. London: Paladin.</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Gershman, S. J. (2019). How to never be wrong. </w:t>
      </w:r>
      <w:r w:rsidRPr="00024617">
        <w:rPr>
          <w:rFonts w:ascii="Times New Roman" w:hAnsi="Times New Roman" w:cs="Times New Roman"/>
          <w:i/>
          <w:sz w:val="24"/>
          <w:szCs w:val="24"/>
        </w:rPr>
        <w:t>Psychonomic Bulletin &amp; Review, 26</w:t>
      </w:r>
      <w:r w:rsidRPr="00024617">
        <w:rPr>
          <w:rFonts w:ascii="Times New Roman" w:hAnsi="Times New Roman" w:cs="Times New Roman"/>
          <w:sz w:val="24"/>
          <w:szCs w:val="24"/>
        </w:rPr>
        <w:t>(1), 13-28</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Goertzel, T. (1994). Belief in conspiracy theories. </w:t>
      </w:r>
      <w:r w:rsidRPr="00024617">
        <w:rPr>
          <w:rFonts w:ascii="Times New Roman" w:hAnsi="Times New Roman" w:cs="Times New Roman"/>
          <w:i/>
          <w:sz w:val="24"/>
          <w:szCs w:val="24"/>
        </w:rPr>
        <w:t>Political psychology, 15</w:t>
      </w:r>
      <w:r w:rsidRPr="00024617">
        <w:rPr>
          <w:rFonts w:ascii="Times New Roman" w:hAnsi="Times New Roman" w:cs="Times New Roman"/>
          <w:sz w:val="24"/>
          <w:szCs w:val="24"/>
        </w:rPr>
        <w:t>, 733-744</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Goodare, J. (2016). </w:t>
      </w:r>
      <w:r w:rsidRPr="00024617">
        <w:rPr>
          <w:rFonts w:ascii="Times New Roman" w:hAnsi="Times New Roman" w:cs="Times New Roman"/>
          <w:i/>
          <w:sz w:val="24"/>
          <w:szCs w:val="24"/>
        </w:rPr>
        <w:t>The European witch-hunt</w:t>
      </w:r>
      <w:r w:rsidRPr="00024617">
        <w:rPr>
          <w:rFonts w:ascii="Times New Roman" w:hAnsi="Times New Roman" w:cs="Times New Roman"/>
          <w:sz w:val="24"/>
          <w:szCs w:val="24"/>
        </w:rPr>
        <w:t>: Routledge.</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Gordin, M. D. (2012). </w:t>
      </w:r>
      <w:r w:rsidRPr="00024617">
        <w:rPr>
          <w:rFonts w:ascii="Times New Roman" w:hAnsi="Times New Roman" w:cs="Times New Roman"/>
          <w:i/>
          <w:sz w:val="24"/>
          <w:szCs w:val="24"/>
        </w:rPr>
        <w:t>The Pseudoscience Wars: Immanuel Velikovsky and the Birth of the Modern Fringe</w:t>
      </w:r>
      <w:r w:rsidRPr="00024617">
        <w:rPr>
          <w:rFonts w:ascii="Times New Roman" w:hAnsi="Times New Roman" w:cs="Times New Roman"/>
          <w:sz w:val="24"/>
          <w:szCs w:val="24"/>
        </w:rPr>
        <w:t>: University of Chicago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Harris, K. (2018). What's epistemically wrong with conspiracy theorising? </w:t>
      </w:r>
      <w:r w:rsidRPr="00024617">
        <w:rPr>
          <w:rFonts w:ascii="Times New Roman" w:hAnsi="Times New Roman" w:cs="Times New Roman"/>
          <w:i/>
          <w:sz w:val="24"/>
          <w:szCs w:val="24"/>
        </w:rPr>
        <w:t>Royal Institute of Philosophy Supplement, 84</w:t>
      </w:r>
      <w:r w:rsidRPr="00024617">
        <w:rPr>
          <w:rFonts w:ascii="Times New Roman" w:hAnsi="Times New Roman" w:cs="Times New Roman"/>
          <w:sz w:val="24"/>
          <w:szCs w:val="24"/>
        </w:rPr>
        <w:t>, 235-257</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Hofhuis, S. T. (2022). </w:t>
      </w:r>
      <w:r w:rsidRPr="00024617">
        <w:rPr>
          <w:rFonts w:ascii="Times New Roman" w:hAnsi="Times New Roman" w:cs="Times New Roman"/>
          <w:i/>
          <w:sz w:val="24"/>
          <w:szCs w:val="24"/>
        </w:rPr>
        <w:t>Qualitative Darwinism: An evolutionary history of witch-hunting</w:t>
      </w:r>
      <w:r w:rsidRPr="00024617">
        <w:rPr>
          <w:rFonts w:ascii="Times New Roman" w:hAnsi="Times New Roman" w:cs="Times New Roman"/>
          <w:sz w:val="24"/>
          <w:szCs w:val="24"/>
        </w:rPr>
        <w:t>: Utrecht University.</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Hume, D. (1998 [1779]). </w:t>
      </w:r>
      <w:r w:rsidRPr="00024617">
        <w:rPr>
          <w:rFonts w:ascii="Times New Roman" w:hAnsi="Times New Roman" w:cs="Times New Roman"/>
          <w:i/>
          <w:sz w:val="24"/>
          <w:szCs w:val="24"/>
        </w:rPr>
        <w:t>Dialogues Concerning Natural Religion (2nd ed)</w:t>
      </w:r>
      <w:r w:rsidRPr="00024617">
        <w:rPr>
          <w:rFonts w:ascii="Times New Roman" w:hAnsi="Times New Roman" w:cs="Times New Roman"/>
          <w:sz w:val="24"/>
          <w:szCs w:val="24"/>
        </w:rPr>
        <w:t>. Indianapolis: Hackett.</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Keeley, B. L. (1999). Of conspiracy theories. </w:t>
      </w:r>
      <w:r w:rsidRPr="00024617">
        <w:rPr>
          <w:rFonts w:ascii="Times New Roman" w:hAnsi="Times New Roman" w:cs="Times New Roman"/>
          <w:i/>
          <w:sz w:val="24"/>
          <w:szCs w:val="24"/>
        </w:rPr>
        <w:t>Journal of Philosophy, 96</w:t>
      </w:r>
      <w:r w:rsidRPr="00024617">
        <w:rPr>
          <w:rFonts w:ascii="Times New Roman" w:hAnsi="Times New Roman" w:cs="Times New Roman"/>
          <w:sz w:val="24"/>
          <w:szCs w:val="24"/>
        </w:rPr>
        <w:t>(3), 109-126</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Keeley, B. L. (2007). God as the ultimate conspiracy theory. </w:t>
      </w:r>
      <w:r w:rsidRPr="00024617">
        <w:rPr>
          <w:rFonts w:ascii="Times New Roman" w:hAnsi="Times New Roman" w:cs="Times New Roman"/>
          <w:i/>
          <w:sz w:val="24"/>
          <w:szCs w:val="24"/>
        </w:rPr>
        <w:t>Episteme: A journal of social epistemology, 4</w:t>
      </w:r>
      <w:r w:rsidRPr="00024617">
        <w:rPr>
          <w:rFonts w:ascii="Times New Roman" w:hAnsi="Times New Roman" w:cs="Times New Roman"/>
          <w:sz w:val="24"/>
          <w:szCs w:val="24"/>
        </w:rPr>
        <w:t>(2), 135-149</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Keeley, B. L. (2018). The Credulity of Conspiracy Theorists:  Conspiratorial, Scientific, and Religious Explanation. In J. E. Uscinski (Ed.), </w:t>
      </w:r>
      <w:r w:rsidRPr="00024617">
        <w:rPr>
          <w:rFonts w:ascii="Times New Roman" w:hAnsi="Times New Roman" w:cs="Times New Roman"/>
          <w:i/>
          <w:sz w:val="24"/>
          <w:szCs w:val="24"/>
        </w:rPr>
        <w:t>Conspiracy Theories and the People Who Believe Them</w:t>
      </w:r>
      <w:r w:rsidRPr="00024617">
        <w:rPr>
          <w:rFonts w:ascii="Times New Roman" w:hAnsi="Times New Roman" w:cs="Times New Roman"/>
          <w:sz w:val="24"/>
          <w:szCs w:val="24"/>
        </w:rPr>
        <w:t xml:space="preserve"> (pp. 422-431): Oxford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Krause, V. (2015). </w:t>
      </w:r>
      <w:r w:rsidRPr="00024617">
        <w:rPr>
          <w:rFonts w:ascii="Times New Roman" w:hAnsi="Times New Roman" w:cs="Times New Roman"/>
          <w:i/>
          <w:sz w:val="24"/>
          <w:szCs w:val="24"/>
        </w:rPr>
        <w:t>Witchcraft, demonology, and confession in early modern France</w:t>
      </w:r>
      <w:r w:rsidRPr="00024617">
        <w:rPr>
          <w:rFonts w:ascii="Times New Roman" w:hAnsi="Times New Roman" w:cs="Times New Roman"/>
          <w:sz w:val="24"/>
          <w:szCs w:val="24"/>
        </w:rPr>
        <w:t>: Cambridge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lastRenderedPageBreak/>
        <w:t xml:space="preserve">Lakatos, I. (1970). Falsification and the methodology of scientific research programmes. In I. Lakatos &amp; A. Musgrave (Eds.), </w:t>
      </w:r>
      <w:r w:rsidRPr="00024617">
        <w:rPr>
          <w:rFonts w:ascii="Times New Roman" w:hAnsi="Times New Roman" w:cs="Times New Roman"/>
          <w:i/>
          <w:sz w:val="24"/>
          <w:szCs w:val="24"/>
        </w:rPr>
        <w:t>Criticism and the Growth of Knowledge</w:t>
      </w:r>
      <w:r w:rsidRPr="00024617">
        <w:rPr>
          <w:rFonts w:ascii="Times New Roman" w:hAnsi="Times New Roman" w:cs="Times New Roman"/>
          <w:sz w:val="24"/>
          <w:szCs w:val="24"/>
        </w:rPr>
        <w:t xml:space="preserve"> (pp. 91-196). Cambridge: Cambridge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Law, S. (2011). </w:t>
      </w:r>
      <w:r w:rsidRPr="00024617">
        <w:rPr>
          <w:rFonts w:ascii="Times New Roman" w:hAnsi="Times New Roman" w:cs="Times New Roman"/>
          <w:i/>
          <w:sz w:val="24"/>
          <w:szCs w:val="24"/>
        </w:rPr>
        <w:t>Believing bullshit: How not to get sucked into an intellectual black hole</w:t>
      </w:r>
      <w:r w:rsidRPr="00024617">
        <w:rPr>
          <w:rFonts w:ascii="Times New Roman" w:hAnsi="Times New Roman" w:cs="Times New Roman"/>
          <w:sz w:val="24"/>
          <w:szCs w:val="24"/>
        </w:rPr>
        <w:t>. New York: Prometheus.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Levack, B. P. (2016). </w:t>
      </w:r>
      <w:r w:rsidRPr="00024617">
        <w:rPr>
          <w:rFonts w:ascii="Times New Roman" w:hAnsi="Times New Roman" w:cs="Times New Roman"/>
          <w:i/>
          <w:sz w:val="24"/>
          <w:szCs w:val="24"/>
        </w:rPr>
        <w:t>The Witch-Hunt in Early Modern Europe</w:t>
      </w:r>
      <w:r w:rsidRPr="00024617">
        <w:rPr>
          <w:rFonts w:ascii="Times New Roman" w:hAnsi="Times New Roman" w:cs="Times New Roman"/>
          <w:sz w:val="24"/>
          <w:szCs w:val="24"/>
        </w:rPr>
        <w:t>. New York: Routledge.</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Macmillan, M. (1997). </w:t>
      </w:r>
      <w:r w:rsidRPr="00024617">
        <w:rPr>
          <w:rFonts w:ascii="Times New Roman" w:hAnsi="Times New Roman" w:cs="Times New Roman"/>
          <w:i/>
          <w:sz w:val="24"/>
          <w:szCs w:val="24"/>
        </w:rPr>
        <w:t>Freud Evaluated: The Completed Arc</w:t>
      </w:r>
      <w:r w:rsidRPr="00024617">
        <w:rPr>
          <w:rFonts w:ascii="Times New Roman" w:hAnsi="Times New Roman" w:cs="Times New Roman"/>
          <w:sz w:val="24"/>
          <w:szCs w:val="24"/>
        </w:rPr>
        <w:t>. Cambridge, MA: MIT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Mercier, H. (2020). </w:t>
      </w:r>
      <w:r w:rsidRPr="00024617">
        <w:rPr>
          <w:rFonts w:ascii="Times New Roman" w:hAnsi="Times New Roman" w:cs="Times New Roman"/>
          <w:i/>
          <w:sz w:val="24"/>
          <w:szCs w:val="24"/>
        </w:rPr>
        <w:t>Not born yesterday: The science of who we trust and what we believe</w:t>
      </w:r>
      <w:r w:rsidRPr="00024617">
        <w:rPr>
          <w:rFonts w:ascii="Times New Roman" w:hAnsi="Times New Roman" w:cs="Times New Roman"/>
          <w:sz w:val="24"/>
          <w:szCs w:val="24"/>
        </w:rPr>
        <w:t>: Princeton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Murray, M. J. (1993). Coercion and the Hiddenness of God. </w:t>
      </w:r>
      <w:r w:rsidRPr="00024617">
        <w:rPr>
          <w:rFonts w:ascii="Times New Roman" w:hAnsi="Times New Roman" w:cs="Times New Roman"/>
          <w:i/>
          <w:sz w:val="24"/>
          <w:szCs w:val="24"/>
        </w:rPr>
        <w:t>American Philosophical Quarterly, 30</w:t>
      </w:r>
      <w:r w:rsidRPr="00024617">
        <w:rPr>
          <w:rFonts w:ascii="Times New Roman" w:hAnsi="Times New Roman" w:cs="Times New Roman"/>
          <w:sz w:val="24"/>
          <w:szCs w:val="24"/>
        </w:rPr>
        <w:t>(1), 27-38</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Napolitano, M. G. (2021). Conspiracy theories and evidential self-insulation </w:t>
      </w:r>
      <w:r w:rsidRPr="00024617">
        <w:rPr>
          <w:rFonts w:ascii="Times New Roman" w:hAnsi="Times New Roman" w:cs="Times New Roman"/>
          <w:i/>
          <w:sz w:val="24"/>
          <w:szCs w:val="24"/>
        </w:rPr>
        <w:t>The epistemology of fake news</w:t>
      </w:r>
      <w:r w:rsidRPr="00024617">
        <w:rPr>
          <w:rFonts w:ascii="Times New Roman" w:hAnsi="Times New Roman" w:cs="Times New Roman"/>
          <w:sz w:val="24"/>
          <w:szCs w:val="24"/>
        </w:rPr>
        <w:t xml:space="preserve"> (pp. 82-106): OUP Oxford.</w:t>
      </w:r>
    </w:p>
    <w:p w:rsidR="00490925" w:rsidRPr="007A014A" w:rsidRDefault="00490925" w:rsidP="00024617">
      <w:pPr>
        <w:pStyle w:val="EndNoteBibliography"/>
        <w:spacing w:after="0" w:line="480" w:lineRule="auto"/>
        <w:ind w:left="720" w:hanging="720"/>
        <w:rPr>
          <w:rFonts w:ascii="Times New Roman" w:hAnsi="Times New Roman" w:cs="Times New Roman"/>
          <w:sz w:val="24"/>
          <w:szCs w:val="24"/>
          <w:lang w:val="nl-BE"/>
        </w:rPr>
      </w:pPr>
      <w:r w:rsidRPr="00024617">
        <w:rPr>
          <w:rFonts w:ascii="Times New Roman" w:hAnsi="Times New Roman" w:cs="Times New Roman"/>
          <w:sz w:val="24"/>
          <w:szCs w:val="24"/>
        </w:rPr>
        <w:t xml:space="preserve">Napolitano, M. G., &amp; Reuter, K. (2021). What is a conspiracy theory? </w:t>
      </w:r>
      <w:r w:rsidRPr="007A014A">
        <w:rPr>
          <w:rFonts w:ascii="Times New Roman" w:hAnsi="Times New Roman" w:cs="Times New Roman"/>
          <w:i/>
          <w:sz w:val="24"/>
          <w:szCs w:val="24"/>
          <w:lang w:val="nl-BE"/>
        </w:rPr>
        <w:t>Erkenntnis</w:t>
      </w:r>
      <w:r w:rsidRPr="007A014A">
        <w:rPr>
          <w:rFonts w:ascii="Times New Roman" w:hAnsi="Times New Roman" w:cs="Times New Roman"/>
          <w:sz w:val="24"/>
          <w:szCs w:val="24"/>
          <w:lang w:val="nl-BE"/>
        </w:rPr>
        <w:t>, 1-28</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7A014A">
        <w:rPr>
          <w:rFonts w:ascii="Times New Roman" w:hAnsi="Times New Roman" w:cs="Times New Roman"/>
          <w:sz w:val="24"/>
          <w:szCs w:val="24"/>
          <w:lang w:val="nl-BE"/>
        </w:rPr>
        <w:t xml:space="preserve">Nieminen, P., Boudry, M., Ryökäs, E., &amp; Mustonen, A.-M. (2017). </w:t>
      </w:r>
      <w:r w:rsidRPr="00024617">
        <w:rPr>
          <w:rFonts w:ascii="Times New Roman" w:hAnsi="Times New Roman" w:cs="Times New Roman"/>
          <w:sz w:val="24"/>
          <w:szCs w:val="24"/>
        </w:rPr>
        <w:t xml:space="preserve">Biblical and Theistic Arguments Against The Evolutionary Argument Against Naturalism. </w:t>
      </w:r>
      <w:r w:rsidRPr="00024617">
        <w:rPr>
          <w:rFonts w:ascii="Times New Roman" w:hAnsi="Times New Roman" w:cs="Times New Roman"/>
          <w:i/>
          <w:sz w:val="24"/>
          <w:szCs w:val="24"/>
        </w:rPr>
        <w:t>Zygon, 52</w:t>
      </w:r>
      <w:r w:rsidRPr="00024617">
        <w:rPr>
          <w:rFonts w:ascii="Times New Roman" w:hAnsi="Times New Roman" w:cs="Times New Roman"/>
          <w:sz w:val="24"/>
          <w:szCs w:val="24"/>
        </w:rPr>
        <w:t>(1), 9-23. doi: 10.1111/zygo.12327</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Nilus, S. (2009). </w:t>
      </w:r>
      <w:r w:rsidRPr="00024617">
        <w:rPr>
          <w:rFonts w:ascii="Times New Roman" w:hAnsi="Times New Roman" w:cs="Times New Roman"/>
          <w:i/>
          <w:sz w:val="24"/>
          <w:szCs w:val="24"/>
        </w:rPr>
        <w:t>The Jewish Peril: Protocols of the Learned Elders of Zion</w:t>
      </w:r>
      <w:r w:rsidRPr="00024617">
        <w:rPr>
          <w:rFonts w:ascii="Times New Roman" w:hAnsi="Times New Roman" w:cs="Times New Roman"/>
          <w:sz w:val="24"/>
          <w:szCs w:val="24"/>
        </w:rPr>
        <w:t>: Martino Pub.</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Norman, A. (2021). </w:t>
      </w:r>
      <w:r w:rsidRPr="00024617">
        <w:rPr>
          <w:rFonts w:ascii="Times New Roman" w:hAnsi="Times New Roman" w:cs="Times New Roman"/>
          <w:i/>
          <w:sz w:val="24"/>
          <w:szCs w:val="24"/>
        </w:rPr>
        <w:t>Mental Immunity: Infectious Ideas, Mind-Parasites, and the Search for a Better Way to Think</w:t>
      </w:r>
      <w:r w:rsidRPr="00024617">
        <w:rPr>
          <w:rFonts w:ascii="Times New Roman" w:hAnsi="Times New Roman" w:cs="Times New Roman"/>
          <w:sz w:val="24"/>
          <w:szCs w:val="24"/>
        </w:rPr>
        <w:t>: HarperCollins.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Philipse, H. (2012). </w:t>
      </w:r>
      <w:r w:rsidRPr="00024617">
        <w:rPr>
          <w:rFonts w:ascii="Times New Roman" w:hAnsi="Times New Roman" w:cs="Times New Roman"/>
          <w:i/>
          <w:sz w:val="24"/>
          <w:szCs w:val="24"/>
        </w:rPr>
        <w:t>God in the age of science?: a critique of religious reason</w:t>
      </w:r>
      <w:r w:rsidRPr="00024617">
        <w:rPr>
          <w:rFonts w:ascii="Times New Roman" w:hAnsi="Times New Roman" w:cs="Times New Roman"/>
          <w:sz w:val="24"/>
          <w:szCs w:val="24"/>
        </w:rPr>
        <w:t>. Oxford: Oxford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Pigden, C. R. (1995). Popper revisited, or what is wrong with conspiracy theories? </w:t>
      </w:r>
      <w:r w:rsidRPr="00024617">
        <w:rPr>
          <w:rFonts w:ascii="Times New Roman" w:hAnsi="Times New Roman" w:cs="Times New Roman"/>
          <w:i/>
          <w:sz w:val="24"/>
          <w:szCs w:val="24"/>
        </w:rPr>
        <w:t>Philosophy of the Social Sciences, 25</w:t>
      </w:r>
      <w:r w:rsidRPr="00024617">
        <w:rPr>
          <w:rFonts w:ascii="Times New Roman" w:hAnsi="Times New Roman" w:cs="Times New Roman"/>
          <w:sz w:val="24"/>
          <w:szCs w:val="24"/>
        </w:rPr>
        <w:t>(1), 3</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Pinker, S. (2021). </w:t>
      </w:r>
      <w:r w:rsidRPr="00024617">
        <w:rPr>
          <w:rFonts w:ascii="Times New Roman" w:hAnsi="Times New Roman" w:cs="Times New Roman"/>
          <w:i/>
          <w:sz w:val="24"/>
          <w:szCs w:val="24"/>
        </w:rPr>
        <w:t>Rationality: What it is, why it seems scarce, why it matters</w:t>
      </w:r>
      <w:r w:rsidRPr="00024617">
        <w:rPr>
          <w:rFonts w:ascii="Times New Roman" w:hAnsi="Times New Roman" w:cs="Times New Roman"/>
          <w:sz w:val="24"/>
          <w:szCs w:val="24"/>
        </w:rPr>
        <w:t>: Penguin.</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lastRenderedPageBreak/>
        <w:t xml:space="preserve">Pipes, D. (1999). </w:t>
      </w:r>
      <w:r w:rsidRPr="00024617">
        <w:rPr>
          <w:rFonts w:ascii="Times New Roman" w:hAnsi="Times New Roman" w:cs="Times New Roman"/>
          <w:i/>
          <w:sz w:val="24"/>
          <w:szCs w:val="24"/>
        </w:rPr>
        <w:t>Conspiracy: How the paranoid style flourishes and where it comes from</w:t>
      </w:r>
      <w:r w:rsidRPr="00024617">
        <w:rPr>
          <w:rFonts w:ascii="Times New Roman" w:hAnsi="Times New Roman" w:cs="Times New Roman"/>
          <w:sz w:val="24"/>
          <w:szCs w:val="24"/>
        </w:rPr>
        <w:t>: Simon and Schuster.</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Popper, K. R. (1959). </w:t>
      </w:r>
      <w:r w:rsidRPr="00024617">
        <w:rPr>
          <w:rFonts w:ascii="Times New Roman" w:hAnsi="Times New Roman" w:cs="Times New Roman"/>
          <w:i/>
          <w:sz w:val="24"/>
          <w:szCs w:val="24"/>
        </w:rPr>
        <w:t>The logic of scientific discovery</w:t>
      </w:r>
      <w:r w:rsidRPr="00024617">
        <w:rPr>
          <w:rFonts w:ascii="Times New Roman" w:hAnsi="Times New Roman" w:cs="Times New Roman"/>
          <w:sz w:val="24"/>
          <w:szCs w:val="24"/>
        </w:rPr>
        <w:t>. London &amp; New York: Routledge.</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Popper, K. R. (1963/2002). </w:t>
      </w:r>
      <w:r w:rsidRPr="00024617">
        <w:rPr>
          <w:rFonts w:ascii="Times New Roman" w:hAnsi="Times New Roman" w:cs="Times New Roman"/>
          <w:i/>
          <w:sz w:val="24"/>
          <w:szCs w:val="24"/>
        </w:rPr>
        <w:t>Conjectures and refutations: The growth of scientific knowledge</w:t>
      </w:r>
      <w:r w:rsidRPr="00024617">
        <w:rPr>
          <w:rFonts w:ascii="Times New Roman" w:hAnsi="Times New Roman" w:cs="Times New Roman"/>
          <w:sz w:val="24"/>
          <w:szCs w:val="24"/>
        </w:rPr>
        <w:t>. London: Routledge.</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Remy, N. (2014). </w:t>
      </w:r>
      <w:r w:rsidRPr="00024617">
        <w:rPr>
          <w:rFonts w:ascii="Times New Roman" w:hAnsi="Times New Roman" w:cs="Times New Roman"/>
          <w:i/>
          <w:sz w:val="24"/>
          <w:szCs w:val="24"/>
        </w:rPr>
        <w:t>Demonolatry: an account of the historical practice of witchcraft</w:t>
      </w:r>
      <w:r w:rsidRPr="00024617">
        <w:rPr>
          <w:rFonts w:ascii="Times New Roman" w:hAnsi="Times New Roman" w:cs="Times New Roman"/>
          <w:sz w:val="24"/>
          <w:szCs w:val="24"/>
        </w:rPr>
        <w:t>: Courier Corporation.</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Robertson, D. G. (2016). </w:t>
      </w:r>
      <w:r w:rsidRPr="00024617">
        <w:rPr>
          <w:rFonts w:ascii="Times New Roman" w:hAnsi="Times New Roman" w:cs="Times New Roman"/>
          <w:i/>
          <w:sz w:val="24"/>
          <w:szCs w:val="24"/>
        </w:rPr>
        <w:t>UFOs, Conspiracy Theories and the New Age: Millennial Conspiracism</w:t>
      </w:r>
      <w:r w:rsidRPr="00024617">
        <w:rPr>
          <w:rFonts w:ascii="Times New Roman" w:hAnsi="Times New Roman" w:cs="Times New Roman"/>
          <w:sz w:val="24"/>
          <w:szCs w:val="24"/>
        </w:rPr>
        <w:t>: Bloomsbury Publishing.</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Roper, L. (2004). </w:t>
      </w:r>
      <w:r w:rsidRPr="00024617">
        <w:rPr>
          <w:rFonts w:ascii="Times New Roman" w:hAnsi="Times New Roman" w:cs="Times New Roman"/>
          <w:i/>
          <w:sz w:val="24"/>
          <w:szCs w:val="24"/>
        </w:rPr>
        <w:t>Witch Craze: terror and fantasy in Baroque Germany</w:t>
      </w:r>
      <w:r w:rsidRPr="00024617">
        <w:rPr>
          <w:rFonts w:ascii="Times New Roman" w:hAnsi="Times New Roman" w:cs="Times New Roman"/>
          <w:sz w:val="24"/>
          <w:szCs w:val="24"/>
        </w:rPr>
        <w:t>: Yale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Rowlands, A. (2013). Witchcraft and Gender in Early Modern Europe </w:t>
      </w:r>
      <w:r w:rsidRPr="00024617">
        <w:rPr>
          <w:rFonts w:ascii="Times New Roman" w:hAnsi="Times New Roman" w:cs="Times New Roman"/>
          <w:i/>
          <w:sz w:val="24"/>
          <w:szCs w:val="24"/>
        </w:rPr>
        <w:t>The Oxford Handbook of Witchcraft in Early Modern Europe and Colonial America</w:t>
      </w:r>
      <w:r w:rsidRPr="00024617">
        <w:rPr>
          <w:rFonts w:ascii="Times New Roman" w:hAnsi="Times New Roman" w:cs="Times New Roman"/>
          <w:sz w:val="24"/>
          <w:szCs w:val="24"/>
        </w:rPr>
        <w:t xml:space="preserve"> (pp. 449-467). Oxford: Oxford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Sayers, J. (1987). Melanie Klein, psychoanalysis, and feminism. </w:t>
      </w:r>
      <w:r w:rsidRPr="00024617">
        <w:rPr>
          <w:rFonts w:ascii="Times New Roman" w:hAnsi="Times New Roman" w:cs="Times New Roman"/>
          <w:i/>
          <w:sz w:val="24"/>
          <w:szCs w:val="24"/>
        </w:rPr>
        <w:t>Feminist Review, 25</w:t>
      </w:r>
      <w:r w:rsidRPr="00024617">
        <w:rPr>
          <w:rFonts w:ascii="Times New Roman" w:hAnsi="Times New Roman" w:cs="Times New Roman"/>
          <w:sz w:val="24"/>
          <w:szCs w:val="24"/>
        </w:rPr>
        <w:t>, 23-37</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Schellenberg, J. L. (2006). </w:t>
      </w:r>
      <w:r w:rsidRPr="00024617">
        <w:rPr>
          <w:rFonts w:ascii="Times New Roman" w:hAnsi="Times New Roman" w:cs="Times New Roman"/>
          <w:i/>
          <w:sz w:val="24"/>
          <w:szCs w:val="24"/>
        </w:rPr>
        <w:t>Divine hiddenness and human reason</w:t>
      </w:r>
      <w:r w:rsidRPr="00024617">
        <w:rPr>
          <w:rFonts w:ascii="Times New Roman" w:hAnsi="Times New Roman" w:cs="Times New Roman"/>
          <w:sz w:val="24"/>
          <w:szCs w:val="24"/>
        </w:rPr>
        <w:t>: Cornell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Shermer, M. (2022). </w:t>
      </w:r>
      <w:r w:rsidRPr="00024617">
        <w:rPr>
          <w:rFonts w:ascii="Times New Roman" w:hAnsi="Times New Roman" w:cs="Times New Roman"/>
          <w:i/>
          <w:sz w:val="24"/>
          <w:szCs w:val="24"/>
        </w:rPr>
        <w:t>Conspiracy: Why the Rational Believe the Irrational</w:t>
      </w:r>
      <w:r w:rsidRPr="00024617">
        <w:rPr>
          <w:rFonts w:ascii="Times New Roman" w:hAnsi="Times New Roman" w:cs="Times New Roman"/>
          <w:sz w:val="24"/>
          <w:szCs w:val="24"/>
        </w:rPr>
        <w:t>: Johns Hopkins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Sperber, D. (1996). </w:t>
      </w:r>
      <w:r w:rsidRPr="00024617">
        <w:rPr>
          <w:rFonts w:ascii="Times New Roman" w:hAnsi="Times New Roman" w:cs="Times New Roman"/>
          <w:i/>
          <w:sz w:val="24"/>
          <w:szCs w:val="24"/>
        </w:rPr>
        <w:t>Explaining culture: A naturalistic approach</w:t>
      </w:r>
      <w:r w:rsidRPr="00024617">
        <w:rPr>
          <w:rFonts w:ascii="Times New Roman" w:hAnsi="Times New Roman" w:cs="Times New Roman"/>
          <w:sz w:val="24"/>
          <w:szCs w:val="24"/>
        </w:rPr>
        <w:t>. Cambridge, Mass.: Blackwell.</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Stanford, K. (2017). Underdetermination of scientific theory. </w:t>
      </w:r>
      <w:r w:rsidRPr="00024617">
        <w:rPr>
          <w:rFonts w:ascii="Times New Roman" w:hAnsi="Times New Roman" w:cs="Times New Roman"/>
          <w:i/>
          <w:sz w:val="24"/>
          <w:szCs w:val="24"/>
        </w:rPr>
        <w:t>Stanford Encyclopedia of Philosophy</w:t>
      </w:r>
      <w:r w:rsidRPr="00024617">
        <w:rPr>
          <w:rFonts w:ascii="Times New Roman" w:hAnsi="Times New Roman" w:cs="Times New Roman"/>
          <w:sz w:val="24"/>
          <w:szCs w:val="24"/>
        </w:rPr>
        <w:t xml:space="preserve">, </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Stokes, P. (2018). Conspiracy Theory and the Perils of Pure Particularism. In M. R. X. Dentith (Ed.), </w:t>
      </w:r>
      <w:r w:rsidRPr="00024617">
        <w:rPr>
          <w:rFonts w:ascii="Times New Roman" w:hAnsi="Times New Roman" w:cs="Times New Roman"/>
          <w:i/>
          <w:sz w:val="24"/>
          <w:szCs w:val="24"/>
        </w:rPr>
        <w:t>Taking Conspiracy Theories Seriously</w:t>
      </w:r>
      <w:r w:rsidRPr="00024617">
        <w:rPr>
          <w:rFonts w:ascii="Times New Roman" w:hAnsi="Times New Roman" w:cs="Times New Roman"/>
          <w:sz w:val="24"/>
          <w:szCs w:val="24"/>
        </w:rPr>
        <w:t xml:space="preserve"> (pp. 25-38): Rowman and Littlefield.</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lastRenderedPageBreak/>
        <w:t xml:space="preserve">Sulloway, F. J. (1992). </w:t>
      </w:r>
      <w:r w:rsidRPr="00024617">
        <w:rPr>
          <w:rFonts w:ascii="Times New Roman" w:hAnsi="Times New Roman" w:cs="Times New Roman"/>
          <w:i/>
          <w:sz w:val="24"/>
          <w:szCs w:val="24"/>
        </w:rPr>
        <w:t>Freud, biologist of the mind: Beyond the psychoanalytic legend</w:t>
      </w:r>
      <w:r w:rsidRPr="00024617">
        <w:rPr>
          <w:rFonts w:ascii="Times New Roman" w:hAnsi="Times New Roman" w:cs="Times New Roman"/>
          <w:sz w:val="24"/>
          <w:szCs w:val="24"/>
        </w:rPr>
        <w:t>: Harvard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7A014A">
        <w:rPr>
          <w:rFonts w:ascii="Times New Roman" w:hAnsi="Times New Roman" w:cs="Times New Roman"/>
          <w:sz w:val="24"/>
          <w:szCs w:val="24"/>
          <w:lang w:val="nl-BE"/>
        </w:rPr>
        <w:t xml:space="preserve">Sunstein, C. R., &amp; Vermeule, A. (2009). </w:t>
      </w:r>
      <w:r w:rsidRPr="00024617">
        <w:rPr>
          <w:rFonts w:ascii="Times New Roman" w:hAnsi="Times New Roman" w:cs="Times New Roman"/>
          <w:sz w:val="24"/>
          <w:szCs w:val="24"/>
        </w:rPr>
        <w:t xml:space="preserve">Conspiracy theories: Causes and cures. </w:t>
      </w:r>
      <w:r w:rsidRPr="00024617">
        <w:rPr>
          <w:rFonts w:ascii="Times New Roman" w:hAnsi="Times New Roman" w:cs="Times New Roman"/>
          <w:i/>
          <w:sz w:val="24"/>
          <w:szCs w:val="24"/>
        </w:rPr>
        <w:t>Journal of Political Philosophy, 17</w:t>
      </w:r>
      <w:r w:rsidRPr="00024617">
        <w:rPr>
          <w:rFonts w:ascii="Times New Roman" w:hAnsi="Times New Roman" w:cs="Times New Roman"/>
          <w:sz w:val="24"/>
          <w:szCs w:val="24"/>
        </w:rPr>
        <w:t>(2), 202-227</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Swami, V., Coles, R., Stieger, S., Pietschnig, J., Furnham, A., Rehim, S., &amp; Voracek, M. (2011). Conspiracist ideation in Britain and Austria: Evidence of a monological belief system and associations between individual psychological differences and real‐world and fictitious conspiracy theories. </w:t>
      </w:r>
      <w:r w:rsidRPr="00024617">
        <w:rPr>
          <w:rFonts w:ascii="Times New Roman" w:hAnsi="Times New Roman" w:cs="Times New Roman"/>
          <w:i/>
          <w:sz w:val="24"/>
          <w:szCs w:val="24"/>
        </w:rPr>
        <w:t>British Journal of Psychology, 102</w:t>
      </w:r>
      <w:r w:rsidRPr="00024617">
        <w:rPr>
          <w:rFonts w:ascii="Times New Roman" w:hAnsi="Times New Roman" w:cs="Times New Roman"/>
          <w:sz w:val="24"/>
          <w:szCs w:val="24"/>
        </w:rPr>
        <w:t>(3), 443-463</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Swift, A. (2013). Majority in US still believe JFK killed in a conspiracy. </w:t>
      </w:r>
      <w:r w:rsidRPr="00024617">
        <w:rPr>
          <w:rFonts w:ascii="Times New Roman" w:hAnsi="Times New Roman" w:cs="Times New Roman"/>
          <w:i/>
          <w:sz w:val="24"/>
          <w:szCs w:val="24"/>
        </w:rPr>
        <w:t>Gallup</w:t>
      </w:r>
      <w:r w:rsidRPr="00024617">
        <w:rPr>
          <w:rFonts w:ascii="Times New Roman" w:hAnsi="Times New Roman" w:cs="Times New Roman"/>
          <w:sz w:val="24"/>
          <w:szCs w:val="24"/>
        </w:rPr>
        <w:t xml:space="preserve">, </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Swinburne, R. (2004). </w:t>
      </w:r>
      <w:r w:rsidRPr="00024617">
        <w:rPr>
          <w:rFonts w:ascii="Times New Roman" w:hAnsi="Times New Roman" w:cs="Times New Roman"/>
          <w:i/>
          <w:sz w:val="24"/>
          <w:szCs w:val="24"/>
        </w:rPr>
        <w:t>The existence of God</w:t>
      </w:r>
      <w:r w:rsidRPr="00024617">
        <w:rPr>
          <w:rFonts w:ascii="Times New Roman" w:hAnsi="Times New Roman" w:cs="Times New Roman"/>
          <w:sz w:val="24"/>
          <w:szCs w:val="24"/>
        </w:rPr>
        <w:t>. Oxford: Clarendon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Urban, H. B., &amp; Johnson, P. C. (2022). </w:t>
      </w:r>
      <w:r w:rsidRPr="00024617">
        <w:rPr>
          <w:rFonts w:ascii="Times New Roman" w:hAnsi="Times New Roman" w:cs="Times New Roman"/>
          <w:i/>
          <w:sz w:val="24"/>
          <w:szCs w:val="24"/>
        </w:rPr>
        <w:t>The Routledge Handbook of Religion and Secrecy</w:t>
      </w:r>
      <w:r w:rsidRPr="00024617">
        <w:rPr>
          <w:rFonts w:ascii="Times New Roman" w:hAnsi="Times New Roman" w:cs="Times New Roman"/>
          <w:sz w:val="24"/>
          <w:szCs w:val="24"/>
        </w:rPr>
        <w:t>: Taylor &amp; Francis.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Uscinski, J. E. (Ed.). (2018). </w:t>
      </w:r>
      <w:r w:rsidRPr="00024617">
        <w:rPr>
          <w:rFonts w:ascii="Times New Roman" w:hAnsi="Times New Roman" w:cs="Times New Roman"/>
          <w:i/>
          <w:sz w:val="24"/>
          <w:szCs w:val="24"/>
        </w:rPr>
        <w:t>Conspiracy theories and the people who believe them</w:t>
      </w:r>
      <w:r w:rsidRPr="00024617">
        <w:rPr>
          <w:rFonts w:ascii="Times New Roman" w:hAnsi="Times New Roman" w:cs="Times New Roman"/>
          <w:sz w:val="24"/>
          <w:szCs w:val="24"/>
        </w:rPr>
        <w:t>: Oxford University Press.</w:t>
      </w:r>
    </w:p>
    <w:p w:rsidR="00490925" w:rsidRPr="00024617" w:rsidRDefault="00490925" w:rsidP="00024617">
      <w:pPr>
        <w:pStyle w:val="EndNoteBibliography"/>
        <w:spacing w:after="0" w:line="480" w:lineRule="auto"/>
        <w:ind w:left="720" w:hanging="720"/>
        <w:rPr>
          <w:rFonts w:ascii="Times New Roman" w:hAnsi="Times New Roman" w:cs="Times New Roman"/>
          <w:sz w:val="24"/>
          <w:szCs w:val="24"/>
        </w:rPr>
      </w:pPr>
      <w:r w:rsidRPr="007A014A">
        <w:rPr>
          <w:rFonts w:ascii="Times New Roman" w:hAnsi="Times New Roman" w:cs="Times New Roman"/>
          <w:sz w:val="24"/>
          <w:szCs w:val="24"/>
          <w:lang w:val="nl-BE"/>
        </w:rPr>
        <w:t xml:space="preserve">van Prooijen, J.-W., &amp; Van Vugt, M. (2018). </w:t>
      </w:r>
      <w:r w:rsidRPr="00024617">
        <w:rPr>
          <w:rFonts w:ascii="Times New Roman" w:hAnsi="Times New Roman" w:cs="Times New Roman"/>
          <w:sz w:val="24"/>
          <w:szCs w:val="24"/>
        </w:rPr>
        <w:t xml:space="preserve">Conspiracy theories: Evolved functions and psychological mechanisms. </w:t>
      </w:r>
      <w:r w:rsidRPr="00024617">
        <w:rPr>
          <w:rFonts w:ascii="Times New Roman" w:hAnsi="Times New Roman" w:cs="Times New Roman"/>
          <w:i/>
          <w:sz w:val="24"/>
          <w:szCs w:val="24"/>
        </w:rPr>
        <w:t>Perspectives on psychological science, 13</w:t>
      </w:r>
      <w:r w:rsidRPr="00024617">
        <w:rPr>
          <w:rFonts w:ascii="Times New Roman" w:hAnsi="Times New Roman" w:cs="Times New Roman"/>
          <w:sz w:val="24"/>
          <w:szCs w:val="24"/>
        </w:rPr>
        <w:t>(6), 770-788</w:t>
      </w:r>
    </w:p>
    <w:p w:rsidR="00490925" w:rsidRPr="00024617" w:rsidRDefault="00490925" w:rsidP="00024617">
      <w:pPr>
        <w:pStyle w:val="EndNoteBibliography"/>
        <w:spacing w:line="480" w:lineRule="auto"/>
        <w:ind w:left="720" w:hanging="720"/>
        <w:rPr>
          <w:rFonts w:ascii="Times New Roman" w:hAnsi="Times New Roman" w:cs="Times New Roman"/>
          <w:sz w:val="24"/>
          <w:szCs w:val="24"/>
        </w:rPr>
      </w:pPr>
      <w:r w:rsidRPr="00024617">
        <w:rPr>
          <w:rFonts w:ascii="Times New Roman" w:hAnsi="Times New Roman" w:cs="Times New Roman"/>
          <w:sz w:val="24"/>
          <w:szCs w:val="24"/>
        </w:rPr>
        <w:t xml:space="preserve">Weyer, J. (1998). </w:t>
      </w:r>
      <w:r w:rsidRPr="00024617">
        <w:rPr>
          <w:rFonts w:ascii="Times New Roman" w:hAnsi="Times New Roman" w:cs="Times New Roman"/>
          <w:i/>
          <w:sz w:val="24"/>
          <w:szCs w:val="24"/>
        </w:rPr>
        <w:t>Witches, devils, and doctors in the Renaissance</w:t>
      </w:r>
      <w:r w:rsidRPr="00024617">
        <w:rPr>
          <w:rFonts w:ascii="Times New Roman" w:hAnsi="Times New Roman" w:cs="Times New Roman"/>
          <w:sz w:val="24"/>
          <w:szCs w:val="24"/>
        </w:rPr>
        <w:t xml:space="preserve">  (G. Mora &amp; B. G. Kohl, Trans.). Tempe, Arizona: Medieval &amp; Renaissance Texts &amp; Studies.</w:t>
      </w:r>
    </w:p>
    <w:bookmarkEnd w:id="0"/>
    <w:p w:rsidR="00490925" w:rsidRPr="00024617" w:rsidRDefault="00490925" w:rsidP="00024617">
      <w:pPr>
        <w:spacing w:line="480" w:lineRule="auto"/>
        <w:rPr>
          <w:rFonts w:ascii="Times New Roman" w:hAnsi="Times New Roman"/>
          <w:sz w:val="24"/>
          <w:szCs w:val="24"/>
          <w:lang w:val="de-DE"/>
        </w:rPr>
      </w:pPr>
    </w:p>
    <w:p w:rsidR="009144B2" w:rsidRDefault="00E84148"/>
    <w:sectPr w:rsidR="009144B2" w:rsidSect="007A014A">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148" w:rsidRDefault="00E84148" w:rsidP="00490925">
      <w:pPr>
        <w:spacing w:after="0" w:line="240" w:lineRule="auto"/>
      </w:pPr>
      <w:r>
        <w:separator/>
      </w:r>
    </w:p>
  </w:endnote>
  <w:endnote w:type="continuationSeparator" w:id="0">
    <w:p w:rsidR="00E84148" w:rsidRDefault="00E84148" w:rsidP="00490925">
      <w:pPr>
        <w:spacing w:after="0" w:line="240" w:lineRule="auto"/>
      </w:pPr>
      <w:r>
        <w:continuationSeparator/>
      </w:r>
    </w:p>
  </w:endnote>
  <w:endnote w:id="1">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Philosophers now acknowledge that the notion of simple and straightforward ‘falsification’ is an unrealistic ideal in science. Theories rarely encounter definitive refutations, because they are always tested in bundles together with auxiliary hypotheses (XXX).</w:t>
      </w:r>
    </w:p>
  </w:endnote>
  <w:endnote w:id="2">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In recent years, a number of philosophers have challenged the notion that “conspiracy theories” suffer from some sort of general deficiency, arguing that every conspiracy theory should be evaluated on its own merits. For a defense of this “particularism”, see </w:t>
      </w:r>
      <w:r>
        <w:rPr>
          <w:rFonts w:ascii="Times New Roman" w:hAnsi="Times New Roman" w:cs="Times New Roman"/>
          <w:noProof/>
          <w:lang w:val="en-US"/>
        </w:rPr>
        <w:t>(Buenting &amp; Taylor, 2010; Dentith, 2018, 2019; Pigden, 1995)</w:t>
      </w:r>
      <w:r w:rsidRPr="00D75FB2">
        <w:rPr>
          <w:rFonts w:ascii="Times New Roman" w:hAnsi="Times New Roman" w:cs="Times New Roman"/>
          <w:lang w:val="en-US"/>
        </w:rPr>
        <w:t>. For a defense of “</w:t>
      </w:r>
      <w:r w:rsidRPr="00D75FB2">
        <w:rPr>
          <w:rFonts w:ascii="Times New Roman" w:hAnsi="Times New Roman" w:cs="Times New Roman"/>
          <w:lang w:val="en-US"/>
        </w:rPr>
        <w:t>generalis</w:t>
      </w:r>
      <w:r w:rsidR="001D1826">
        <w:rPr>
          <w:rFonts w:ascii="Times New Roman" w:hAnsi="Times New Roman" w:cs="Times New Roman"/>
          <w:lang w:val="en-US"/>
        </w:rPr>
        <w:t>m</w:t>
      </w:r>
      <w:r w:rsidRPr="00D75FB2">
        <w:rPr>
          <w:rFonts w:ascii="Times New Roman" w:hAnsi="Times New Roman" w:cs="Times New Roman"/>
          <w:lang w:val="en-US"/>
        </w:rPr>
        <w:t xml:space="preserve">”, see </w:t>
      </w:r>
      <w:r>
        <w:rPr>
          <w:rFonts w:ascii="Times New Roman" w:hAnsi="Times New Roman" w:cs="Times New Roman"/>
          <w:noProof/>
          <w:lang w:val="en-US"/>
        </w:rPr>
        <w:t>(Harris, 2018; Napolitano &amp; Reuter, 2021; Stokes, 2018)</w:t>
      </w:r>
      <w:r w:rsidRPr="00D75FB2">
        <w:rPr>
          <w:rFonts w:ascii="Times New Roman" w:hAnsi="Times New Roman" w:cs="Times New Roman"/>
          <w:lang w:val="en-US"/>
        </w:rPr>
        <w:t xml:space="preserve">. </w:t>
      </w:r>
    </w:p>
  </w:endnote>
  <w:endnote w:id="3">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In comparison with our approach, Napolitano’s account of “evidential insulation” </w:t>
      </w:r>
      <w:r w:rsidRPr="00D75FB2">
        <w:rPr>
          <w:rFonts w:ascii="Times New Roman" w:hAnsi="Times New Roman" w:cs="Times New Roman"/>
          <w:noProof/>
          <w:lang w:val="en-US"/>
        </w:rPr>
        <w:t>(2021)</w:t>
      </w:r>
      <w:r w:rsidRPr="00D75FB2">
        <w:rPr>
          <w:rFonts w:ascii="Times New Roman" w:hAnsi="Times New Roman" w:cs="Times New Roman"/>
          <w:lang w:val="en-US"/>
        </w:rPr>
        <w:t xml:space="preserve"> places more emphasis on the psychological attitudes of believers.</w:t>
      </w:r>
    </w:p>
  </w:endnote>
  <w:endnote w:id="4">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A list of contemporary imprints of the </w:t>
      </w:r>
      <w:r w:rsidRPr="00D75FB2">
        <w:rPr>
          <w:rFonts w:ascii="Times New Roman" w:hAnsi="Times New Roman" w:cs="Times New Roman"/>
          <w:i/>
          <w:iCs/>
          <w:lang w:val="en-US"/>
        </w:rPr>
        <w:t xml:space="preserve">Protocols </w:t>
      </w:r>
      <w:r w:rsidRPr="00D75FB2">
        <w:rPr>
          <w:rFonts w:ascii="Times New Roman" w:hAnsi="Times New Roman" w:cs="Times New Roman"/>
          <w:lang w:val="en-US"/>
        </w:rPr>
        <w:t>can be found on Wikipedia: bit.ly/3qU7W7a</w:t>
      </w:r>
    </w:p>
  </w:endnote>
  <w:endnote w:id="5">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It should be noted that the U.S. government itself had also provided grist to the conspiracist mill by publishing an earlier report on 9/11 in 2002 (</w:t>
      </w:r>
      <w:r w:rsidRPr="00D75FB2">
        <w:rPr>
          <w:rFonts w:ascii="Times New Roman" w:hAnsi="Times New Roman" w:cs="Times New Roman"/>
          <w:i/>
          <w:lang w:val="en-US"/>
        </w:rPr>
        <w:t>Joint Inquiry into Intelligence Community Activities before and after the Terrorist Attacks of September 11, 2001</w:t>
      </w:r>
      <w:r w:rsidRPr="00D75FB2">
        <w:rPr>
          <w:rFonts w:ascii="Times New Roman" w:hAnsi="Times New Roman" w:cs="Times New Roman"/>
          <w:lang w:val="en-US"/>
        </w:rPr>
        <w:t xml:space="preserve">), in which 28 pages relating to links with Saudi Arabia were redacted, fueling suspicions of a cover-up. Even when these pages were declassified and released in 2016, however, this hardly put to rest the 9/11 Truth movement. Because surely we would not expect the U.S. government to admit to its own complicity? </w:t>
      </w:r>
    </w:p>
  </w:endnote>
  <w:endnote w:id="6">
    <w:p w:rsidR="00490925" w:rsidRPr="00D75FB2" w:rsidRDefault="00490925" w:rsidP="00D75FB2">
      <w:pPr>
        <w:pStyle w:val="Eindnoottekst"/>
        <w:spacing w:line="480" w:lineRule="auto"/>
        <w:rPr>
          <w:rFonts w:ascii="Times New Roman" w:hAnsi="Times New Roman" w:cs="Times New Roman"/>
          <w:lang w:val="de-DE"/>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“We alternate these days of victory and defeat among people so that Allah may reveal the true believers, choose martyrs from among you […] Do you think you will enter Paradise without Allah proving which of you truly struggled for His cause and patiently endured?” </w:t>
      </w:r>
      <w:r w:rsidRPr="00D75FB2">
        <w:rPr>
          <w:rFonts w:ascii="Times New Roman" w:hAnsi="Times New Roman" w:cs="Times New Roman"/>
          <w:lang w:val="de-DE"/>
        </w:rPr>
        <w:t>(Quran 3:137-140).</w:t>
      </w:r>
    </w:p>
  </w:endnote>
  <w:endnote w:id="7">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Earlier, Karl Popper </w:t>
      </w:r>
      <w:r>
        <w:rPr>
          <w:rFonts w:ascii="Times New Roman" w:hAnsi="Times New Roman" w:cs="Times New Roman"/>
          <w:noProof/>
          <w:lang w:val="en-US"/>
        </w:rPr>
        <w:t>(1963/2002, pp. 165-166)</w:t>
      </w:r>
      <w:r w:rsidRPr="00D75FB2">
        <w:rPr>
          <w:rFonts w:ascii="Times New Roman" w:hAnsi="Times New Roman" w:cs="Times New Roman"/>
          <w:lang w:val="en-US"/>
        </w:rPr>
        <w:t xml:space="preserve"> speculated that modern conspiracy theories are secularized versions of religion. Just as Homer explained everything that happened on the battlefield of Troy in terms of the various alliances and antagonisms of the gods, so modern conspiracy theorists explain world events as resulting from the actions of a small group of powerful beings plotting behind the scenes.</w:t>
      </w:r>
    </w:p>
  </w:endnote>
  <w:endnote w:id="8">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Even nominally monotheist religions are often not strictly monotheist in practice, since they include a range of lesser supernatural creatures such as angels, demons, saints, or ghosts </w:t>
      </w:r>
      <w:r>
        <w:rPr>
          <w:rFonts w:ascii="Times New Roman" w:hAnsi="Times New Roman" w:cs="Times New Roman"/>
          <w:noProof/>
          <w:lang w:val="en-US"/>
        </w:rPr>
        <w:t>(Boyer, 2001)</w:t>
      </w:r>
      <w:r w:rsidRPr="00D75FB2">
        <w:rPr>
          <w:rFonts w:ascii="Times New Roman" w:hAnsi="Times New Roman" w:cs="Times New Roman"/>
          <w:lang w:val="en-US"/>
        </w:rPr>
        <w:t>.</w:t>
      </w:r>
    </w:p>
  </w:endnote>
  <w:endnote w:id="9">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For a recent exploration of the complex relationship between religion and secrecy, see </w:t>
      </w:r>
      <w:r>
        <w:rPr>
          <w:rFonts w:ascii="Times New Roman" w:hAnsi="Times New Roman" w:cs="Times New Roman"/>
          <w:noProof/>
          <w:lang w:val="en-US"/>
        </w:rPr>
        <w:t xml:space="preserve">Urban &amp; Johnson </w:t>
      </w:r>
      <w:r w:rsidR="00F955A0">
        <w:rPr>
          <w:rFonts w:ascii="Times New Roman" w:hAnsi="Times New Roman" w:cs="Times New Roman"/>
          <w:noProof/>
          <w:lang w:val="en-US"/>
        </w:rPr>
        <w:t>(</w:t>
      </w:r>
      <w:r>
        <w:rPr>
          <w:rFonts w:ascii="Times New Roman" w:hAnsi="Times New Roman" w:cs="Times New Roman"/>
          <w:noProof/>
          <w:lang w:val="en-US"/>
        </w:rPr>
        <w:t>2022)</w:t>
      </w:r>
      <w:r w:rsidRPr="00D75FB2">
        <w:rPr>
          <w:rFonts w:ascii="Times New Roman" w:hAnsi="Times New Roman" w:cs="Times New Roman"/>
          <w:lang w:val="en-US"/>
        </w:rPr>
        <w:t>.</w:t>
      </w:r>
    </w:p>
  </w:endnote>
  <w:endnote w:id="10">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Past historians have often argued that witch persecutions were a shrewd tool, used to achieve some hidden end, like oppressing women, destroying traditional peasant culture, making money, or subjugating the poor. However, experts have </w:t>
      </w:r>
      <w:r w:rsidR="00653BF9">
        <w:rPr>
          <w:rFonts w:ascii="Times New Roman" w:hAnsi="Times New Roman" w:cs="Times New Roman"/>
          <w:lang w:val="en-US"/>
        </w:rPr>
        <w:t xml:space="preserve">now </w:t>
      </w:r>
      <w:r w:rsidRPr="00D75FB2">
        <w:rPr>
          <w:rFonts w:ascii="Times New Roman" w:hAnsi="Times New Roman" w:cs="Times New Roman"/>
          <w:lang w:val="en-US"/>
        </w:rPr>
        <w:t xml:space="preserve">come to the conclusion that many witch persecutions were more likely driven forward by genuine panics about the alleged dangers of witchcraft. </w:t>
      </w:r>
      <w:r w:rsidRPr="00D75FB2">
        <w:rPr>
          <w:rFonts w:ascii="Times New Roman" w:hAnsi="Times New Roman" w:cs="Times New Roman"/>
          <w:lang w:val="en-US" w:eastAsia="zh-CN"/>
        </w:rPr>
        <w:t xml:space="preserve">As Julian </w:t>
      </w:r>
      <w:r w:rsidRPr="00D75FB2">
        <w:rPr>
          <w:rFonts w:ascii="Times New Roman" w:hAnsi="Times New Roman" w:cs="Times New Roman"/>
          <w:lang w:val="en-US" w:eastAsia="zh-CN"/>
        </w:rPr>
        <w:t xml:space="preserve">Goodare says it: “a witchcraft accusation was not ‘really’ about something else; it was really about witchcraft.”  </w:t>
      </w:r>
      <w:r>
        <w:rPr>
          <w:rFonts w:ascii="Times New Roman" w:hAnsi="Times New Roman" w:cs="Times New Roman"/>
          <w:noProof/>
          <w:lang w:val="en-US" w:eastAsia="zh-CN"/>
        </w:rPr>
        <w:t>(2016, p. 385)</w:t>
      </w:r>
      <w:r w:rsidRPr="00D75FB2">
        <w:rPr>
          <w:rFonts w:ascii="Times New Roman" w:hAnsi="Times New Roman" w:cs="Times New Roman"/>
          <w:lang w:val="en-US" w:eastAsia="zh-CN"/>
        </w:rPr>
        <w:t>.</w:t>
      </w:r>
    </w:p>
  </w:endnote>
  <w:endnote w:id="11">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w:t>
      </w:r>
      <w:r w:rsidR="00EF7F40">
        <w:rPr>
          <w:rFonts w:ascii="Times New Roman" w:hAnsi="Times New Roman" w:cs="Times New Roman"/>
          <w:lang w:val="en-US"/>
        </w:rPr>
        <w:t>T</w:t>
      </w:r>
      <w:r w:rsidRPr="00D75FB2">
        <w:rPr>
          <w:rFonts w:ascii="Times New Roman" w:hAnsi="Times New Roman" w:cs="Times New Roman"/>
          <w:lang w:val="en-US"/>
        </w:rPr>
        <w:t xml:space="preserve">he analogy between Freudian psychoanalysis and medieval demonology may even extend </w:t>
      </w:r>
      <w:r w:rsidR="00121367">
        <w:rPr>
          <w:rFonts w:ascii="Times New Roman" w:hAnsi="Times New Roman" w:cs="Times New Roman"/>
          <w:lang w:val="en-US"/>
        </w:rPr>
        <w:t>further</w:t>
      </w:r>
      <w:r w:rsidRPr="00D75FB2">
        <w:rPr>
          <w:rFonts w:ascii="Times New Roman" w:hAnsi="Times New Roman" w:cs="Times New Roman"/>
          <w:lang w:val="en-US"/>
        </w:rPr>
        <w:t xml:space="preserve">. In the early days of his psychoanalytic career (around the 1890s), Freud took the extracted childhood “memories” of his patients about grisly sexual and sadistic abuse (which were in reality confabulated under intense pressure by the therapist) as phylogenetic memory traces of a “primeval devil religion” which practiced ritual sexual abuse. Furthermore, Freud speculated that the confessions extracted under torture during the European witch trials derived from </w:t>
      </w:r>
      <w:r w:rsidRPr="00D75FB2">
        <w:rPr>
          <w:rFonts w:ascii="Times New Roman" w:hAnsi="Times New Roman" w:cs="Times New Roman"/>
          <w:i/>
          <w:iCs/>
          <w:lang w:val="en-US"/>
        </w:rPr>
        <w:t>actual</w:t>
      </w:r>
      <w:r w:rsidRPr="00D75FB2">
        <w:rPr>
          <w:rFonts w:ascii="Times New Roman" w:hAnsi="Times New Roman" w:cs="Times New Roman"/>
          <w:lang w:val="en-US"/>
        </w:rPr>
        <w:t xml:space="preserve"> memories of infantile sexual abuse, teased out by “the harsh therapy of the witches’ judges” </w:t>
      </w:r>
      <w:r>
        <w:rPr>
          <w:rFonts w:ascii="Times New Roman" w:hAnsi="Times New Roman" w:cs="Times New Roman"/>
          <w:noProof/>
          <w:lang w:val="en-US"/>
        </w:rPr>
        <w:t>(Crews, 2017, pp. 498-505)</w:t>
      </w:r>
    </w:p>
  </w:endnote>
  <w:endnote w:id="12">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Logically speaking, a theory is always ‘underdetermined’ by evidence, in the sense that one can always come up with alternatives that are logically compatible with the available evidence, no matter how much evidence is being gathered. But though this logical problem of ‘underdetermination by evidence’ is widely accepted in philosophy of science </w:t>
      </w:r>
      <w:r>
        <w:rPr>
          <w:rFonts w:ascii="Times New Roman" w:hAnsi="Times New Roman" w:cs="Times New Roman"/>
          <w:noProof/>
          <w:lang w:val="en-US"/>
        </w:rPr>
        <w:t>(Stanford, 2017)</w:t>
      </w:r>
      <w:r w:rsidRPr="00D75FB2">
        <w:rPr>
          <w:rFonts w:ascii="Times New Roman" w:hAnsi="Times New Roman" w:cs="Times New Roman"/>
          <w:lang w:val="en-US"/>
        </w:rPr>
        <w:t xml:space="preserve">, in scientific practice there are multiple ways of rationally discriminating between rival theories (e.g. simplicity, fecundity, coherence). The arbitrariness characteristic of epistemic black holes runs deeper: for any amount of evidence, one can always come up with multiple rival theories whose explanatory virtues are </w:t>
      </w:r>
      <w:r w:rsidRPr="00D75FB2">
        <w:rPr>
          <w:rFonts w:ascii="Times New Roman" w:hAnsi="Times New Roman" w:cs="Times New Roman"/>
          <w:i/>
          <w:lang w:val="en-US"/>
        </w:rPr>
        <w:t xml:space="preserve">equally good </w:t>
      </w:r>
      <w:r w:rsidRPr="00D75FB2">
        <w:rPr>
          <w:rFonts w:ascii="Times New Roman" w:hAnsi="Times New Roman" w:cs="Times New Roman"/>
          <w:lang w:val="en-US"/>
        </w:rPr>
        <w:t xml:space="preserve">(or bad). </w:t>
      </w:r>
    </w:p>
  </w:endnote>
  <w:endnote w:id="13">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In practice, of course, there may be </w:t>
      </w:r>
      <w:r w:rsidRPr="00D75FB2">
        <w:rPr>
          <w:rFonts w:ascii="Times New Roman" w:hAnsi="Times New Roman" w:cs="Times New Roman"/>
          <w:i/>
          <w:lang w:val="en-US"/>
        </w:rPr>
        <w:t>some</w:t>
      </w:r>
      <w:r w:rsidRPr="00D75FB2">
        <w:rPr>
          <w:rFonts w:ascii="Times New Roman" w:hAnsi="Times New Roman" w:cs="Times New Roman"/>
          <w:lang w:val="en-US"/>
        </w:rPr>
        <w:t xml:space="preserve"> constraints on the answers to the </w:t>
      </w:r>
      <w:r w:rsidRPr="00D75FB2">
        <w:rPr>
          <w:rFonts w:ascii="Times New Roman" w:hAnsi="Times New Roman" w:cs="Times New Roman"/>
          <w:i/>
          <w:iCs/>
          <w:lang w:val="en-US"/>
        </w:rPr>
        <w:t>cui bono</w:t>
      </w:r>
      <w:r w:rsidRPr="00D75FB2">
        <w:rPr>
          <w:rFonts w:ascii="Times New Roman" w:hAnsi="Times New Roman" w:cs="Times New Roman"/>
          <w:lang w:val="en-US"/>
        </w:rPr>
        <w:t xml:space="preserve"> question, since not anyone will have a plausible motive (XXX).</w:t>
      </w:r>
    </w:p>
  </w:endnote>
  <w:endnote w:id="14">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‘Debunking the 9/11 Myths: The Airplanes’, </w:t>
      </w:r>
      <w:r w:rsidRPr="00D75FB2">
        <w:rPr>
          <w:rFonts w:ascii="Times New Roman" w:hAnsi="Times New Roman" w:cs="Times New Roman"/>
          <w:i/>
          <w:iCs/>
          <w:lang w:val="en-US"/>
        </w:rPr>
        <w:t>Popular Mechanics</w:t>
      </w:r>
      <w:r w:rsidRPr="00D75FB2">
        <w:rPr>
          <w:rFonts w:ascii="Times New Roman" w:hAnsi="Times New Roman" w:cs="Times New Roman"/>
          <w:lang w:val="en-US"/>
        </w:rPr>
        <w:t>, Sep. 10, 2021. https://www.popularmechanics.com/military/a5654/debunking-911-myths-planes/</w:t>
      </w:r>
    </w:p>
  </w:endnote>
  <w:endnote w:id="15">
    <w:p w:rsidR="00490925" w:rsidRPr="00D75FB2" w:rsidRDefault="00490925" w:rsidP="00D75FB2">
      <w:pPr>
        <w:pStyle w:val="Eindnoottekst"/>
        <w:spacing w:line="480" w:lineRule="auto"/>
        <w:rPr>
          <w:rFonts w:ascii="Times New Roman" w:hAnsi="Times New Roman" w:cs="Times New Roman"/>
          <w:lang w:val="en-US"/>
        </w:rPr>
      </w:pPr>
      <w:r w:rsidRPr="00D75FB2">
        <w:rPr>
          <w:rStyle w:val="Eindnootmarkering"/>
          <w:rFonts w:ascii="Times New Roman" w:hAnsi="Times New Roman" w:cs="Times New Roman"/>
        </w:rPr>
        <w:endnoteRef/>
      </w:r>
      <w:r w:rsidRPr="00D75FB2">
        <w:rPr>
          <w:rFonts w:ascii="Times New Roman" w:hAnsi="Times New Roman" w:cs="Times New Roman"/>
          <w:lang w:val="en-US"/>
        </w:rPr>
        <w:t xml:space="preserve"> Translated from the German original: “Joker der </w:t>
      </w:r>
      <w:r w:rsidRPr="00D75FB2">
        <w:rPr>
          <w:rFonts w:ascii="Times New Roman" w:hAnsi="Times New Roman" w:cs="Times New Roman"/>
          <w:lang w:val="en-US"/>
        </w:rPr>
        <w:t>Dämonologie</w:t>
      </w:r>
      <w:r>
        <w:rPr>
          <w:rFonts w:ascii="Times New Roman" w:hAnsi="Times New Roman" w:cs="Times New Roman"/>
          <w:lang w:val="en-US"/>
        </w:rPr>
        <w:t>.</w:t>
      </w:r>
      <w:r w:rsidRPr="00D75FB2">
        <w:rPr>
          <w:rFonts w:ascii="Times New Roman" w:hAnsi="Times New Roman" w:cs="Times New Roman"/>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DBA" w:rsidRDefault="00E84148">
    <w:pPr>
      <w:pStyle w:val="Voettekst"/>
      <w:jc w:val="center"/>
    </w:pPr>
  </w:p>
  <w:p w:rsidR="00217DBA" w:rsidRDefault="00E841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148" w:rsidRDefault="00E84148" w:rsidP="00490925">
      <w:pPr>
        <w:spacing w:after="0" w:line="240" w:lineRule="auto"/>
      </w:pPr>
      <w:r>
        <w:separator/>
      </w:r>
    </w:p>
  </w:footnote>
  <w:footnote w:type="continuationSeparator" w:id="0">
    <w:p w:rsidR="00E84148" w:rsidRDefault="00E84148" w:rsidP="00490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6"/>
  </w:num>
  <w:num w:numId="3">
    <w:abstractNumId w:val="2"/>
  </w:num>
  <w:num w:numId="4">
    <w:abstractNumId w:val="0"/>
  </w:num>
  <w:num w:numId="5">
    <w:abstractNumId w:val="7"/>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90925"/>
    <w:rsid w:val="000735B0"/>
    <w:rsid w:val="00121367"/>
    <w:rsid w:val="001D1826"/>
    <w:rsid w:val="00326268"/>
    <w:rsid w:val="003F6539"/>
    <w:rsid w:val="00421F72"/>
    <w:rsid w:val="0044588E"/>
    <w:rsid w:val="00484388"/>
    <w:rsid w:val="00490925"/>
    <w:rsid w:val="004E281A"/>
    <w:rsid w:val="004E3613"/>
    <w:rsid w:val="00653BF9"/>
    <w:rsid w:val="00657F86"/>
    <w:rsid w:val="006B243F"/>
    <w:rsid w:val="006C4335"/>
    <w:rsid w:val="006E3A95"/>
    <w:rsid w:val="007B62A9"/>
    <w:rsid w:val="00841C94"/>
    <w:rsid w:val="009F094B"/>
    <w:rsid w:val="009F43AC"/>
    <w:rsid w:val="00A17D83"/>
    <w:rsid w:val="00A63DE9"/>
    <w:rsid w:val="00BA6B93"/>
    <w:rsid w:val="00D4407F"/>
    <w:rsid w:val="00E12C3A"/>
    <w:rsid w:val="00E84148"/>
    <w:rsid w:val="00EF7F40"/>
    <w:rsid w:val="00F4513F"/>
    <w:rsid w:val="00F65A79"/>
    <w:rsid w:val="00F955A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946C"/>
  <w15:chartTrackingRefBased/>
  <w15:docId w15:val="{C64F23C2-EFFC-4B03-8ABD-894D6D4F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90925"/>
    <w:pPr>
      <w:spacing w:after="200" w:line="276" w:lineRule="auto"/>
    </w:pPr>
    <w:rPr>
      <w:rFonts w:ascii="Calibri" w:eastAsia="Times New Roman" w:hAnsi="Calibri" w:cs="Times New Roman"/>
      <w:lang w:val="nl-NL" w:eastAsia="en-US"/>
    </w:rPr>
  </w:style>
  <w:style w:type="paragraph" w:styleId="Kop1">
    <w:name w:val="heading 1"/>
    <w:basedOn w:val="Standaard"/>
    <w:next w:val="Standaard"/>
    <w:link w:val="Kop1Char"/>
    <w:uiPriority w:val="9"/>
    <w:qFormat/>
    <w:rsid w:val="00490925"/>
    <w:pPr>
      <w:keepNext/>
      <w:keepLines/>
      <w:numPr>
        <w:numId w:val="9"/>
      </w:numPr>
      <w:spacing w:before="240" w:after="0" w:line="259" w:lineRule="auto"/>
      <w:outlineLvl w:val="0"/>
    </w:pPr>
    <w:rPr>
      <w:rFonts w:asciiTheme="majorHAnsi" w:eastAsiaTheme="majorEastAsia" w:hAnsiTheme="majorHAnsi" w:cstheme="majorBidi"/>
      <w:b/>
      <w:color w:val="2F5496" w:themeColor="accent1" w:themeShade="BF"/>
      <w:sz w:val="32"/>
      <w:szCs w:val="32"/>
      <w:lang w:val="nl-BE"/>
    </w:rPr>
  </w:style>
  <w:style w:type="paragraph" w:styleId="Kop2">
    <w:name w:val="heading 2"/>
    <w:basedOn w:val="Standaard"/>
    <w:next w:val="Standaard"/>
    <w:link w:val="Kop2Char"/>
    <w:uiPriority w:val="9"/>
    <w:unhideWhenUsed/>
    <w:qFormat/>
    <w:rsid w:val="00490925"/>
    <w:pPr>
      <w:keepNext/>
      <w:keepLines/>
      <w:numPr>
        <w:ilvl w:val="1"/>
        <w:numId w:val="9"/>
      </w:numPr>
      <w:spacing w:before="40" w:after="0" w:line="259" w:lineRule="auto"/>
      <w:outlineLvl w:val="1"/>
    </w:pPr>
    <w:rPr>
      <w:rFonts w:asciiTheme="majorHAnsi" w:eastAsiaTheme="majorEastAsia" w:hAnsiTheme="majorHAnsi" w:cstheme="majorBidi"/>
      <w:b/>
      <w:i/>
      <w:color w:val="2F5496" w:themeColor="accent1" w:themeShade="BF"/>
      <w:sz w:val="26"/>
      <w:szCs w:val="26"/>
      <w:lang w:val="nl-BE"/>
    </w:rPr>
  </w:style>
  <w:style w:type="paragraph" w:styleId="Kop3">
    <w:name w:val="heading 3"/>
    <w:basedOn w:val="Standaard"/>
    <w:next w:val="Standaard"/>
    <w:link w:val="Kop3Char"/>
    <w:uiPriority w:val="9"/>
    <w:unhideWhenUsed/>
    <w:qFormat/>
    <w:rsid w:val="00490925"/>
    <w:pPr>
      <w:keepNext/>
      <w:keepLines/>
      <w:numPr>
        <w:ilvl w:val="2"/>
        <w:numId w:val="9"/>
      </w:numPr>
      <w:spacing w:before="40" w:after="0" w:line="259" w:lineRule="auto"/>
      <w:outlineLvl w:val="2"/>
    </w:pPr>
    <w:rPr>
      <w:rFonts w:asciiTheme="majorHAnsi" w:eastAsiaTheme="majorEastAsia" w:hAnsiTheme="majorHAnsi" w:cstheme="majorBidi"/>
      <w:i/>
      <w:color w:val="1F3763" w:themeColor="accent1" w:themeShade="7F"/>
      <w:sz w:val="24"/>
      <w:szCs w:val="24"/>
      <w:lang w:val="nl-BE"/>
    </w:rPr>
  </w:style>
  <w:style w:type="paragraph" w:styleId="Kop4">
    <w:name w:val="heading 4"/>
    <w:basedOn w:val="Standaard"/>
    <w:next w:val="Standaard"/>
    <w:link w:val="Kop4Char"/>
    <w:uiPriority w:val="9"/>
    <w:semiHidden/>
    <w:unhideWhenUsed/>
    <w:qFormat/>
    <w:rsid w:val="00490925"/>
    <w:pPr>
      <w:keepNext/>
      <w:keepLines/>
      <w:numPr>
        <w:ilvl w:val="3"/>
        <w:numId w:val="9"/>
      </w:numPr>
      <w:spacing w:before="40" w:after="0" w:line="259" w:lineRule="auto"/>
      <w:outlineLvl w:val="3"/>
    </w:pPr>
    <w:rPr>
      <w:rFonts w:asciiTheme="majorHAnsi" w:eastAsiaTheme="majorEastAsia" w:hAnsiTheme="majorHAnsi" w:cstheme="majorBidi"/>
      <w:i/>
      <w:iCs/>
      <w:color w:val="2F5496" w:themeColor="accent1" w:themeShade="BF"/>
      <w:lang w:val="nl-BE"/>
    </w:rPr>
  </w:style>
  <w:style w:type="paragraph" w:styleId="Kop5">
    <w:name w:val="heading 5"/>
    <w:basedOn w:val="Standaard"/>
    <w:next w:val="Standaard"/>
    <w:link w:val="Kop5Char"/>
    <w:uiPriority w:val="9"/>
    <w:semiHidden/>
    <w:unhideWhenUsed/>
    <w:qFormat/>
    <w:rsid w:val="00490925"/>
    <w:pPr>
      <w:keepNext/>
      <w:keepLines/>
      <w:numPr>
        <w:ilvl w:val="4"/>
        <w:numId w:val="9"/>
      </w:numPr>
      <w:spacing w:before="40" w:after="0" w:line="259" w:lineRule="auto"/>
      <w:outlineLvl w:val="4"/>
    </w:pPr>
    <w:rPr>
      <w:rFonts w:asciiTheme="majorHAnsi" w:eastAsiaTheme="majorEastAsia" w:hAnsiTheme="majorHAnsi" w:cstheme="majorBidi"/>
      <w:color w:val="2F5496" w:themeColor="accent1" w:themeShade="BF"/>
      <w:lang w:val="nl-BE"/>
    </w:rPr>
  </w:style>
  <w:style w:type="paragraph" w:styleId="Kop6">
    <w:name w:val="heading 6"/>
    <w:basedOn w:val="Standaard"/>
    <w:next w:val="Standaard"/>
    <w:link w:val="Kop6Char"/>
    <w:uiPriority w:val="9"/>
    <w:semiHidden/>
    <w:unhideWhenUsed/>
    <w:qFormat/>
    <w:rsid w:val="00490925"/>
    <w:pPr>
      <w:keepNext/>
      <w:keepLines/>
      <w:numPr>
        <w:ilvl w:val="5"/>
        <w:numId w:val="9"/>
      </w:numPr>
      <w:spacing w:before="40" w:after="0" w:line="259" w:lineRule="auto"/>
      <w:outlineLvl w:val="5"/>
    </w:pPr>
    <w:rPr>
      <w:rFonts w:asciiTheme="majorHAnsi" w:eastAsiaTheme="majorEastAsia" w:hAnsiTheme="majorHAnsi" w:cstheme="majorBidi"/>
      <w:color w:val="1F3763" w:themeColor="accent1" w:themeShade="7F"/>
      <w:lang w:val="nl-BE"/>
    </w:rPr>
  </w:style>
  <w:style w:type="paragraph" w:styleId="Kop7">
    <w:name w:val="heading 7"/>
    <w:basedOn w:val="Standaard"/>
    <w:next w:val="Standaard"/>
    <w:link w:val="Kop7Char"/>
    <w:uiPriority w:val="9"/>
    <w:semiHidden/>
    <w:unhideWhenUsed/>
    <w:qFormat/>
    <w:rsid w:val="00490925"/>
    <w:pPr>
      <w:keepNext/>
      <w:keepLines/>
      <w:numPr>
        <w:ilvl w:val="6"/>
        <w:numId w:val="9"/>
      </w:numPr>
      <w:spacing w:before="40" w:after="0" w:line="259" w:lineRule="auto"/>
      <w:outlineLvl w:val="6"/>
    </w:pPr>
    <w:rPr>
      <w:rFonts w:asciiTheme="majorHAnsi" w:eastAsiaTheme="majorEastAsia" w:hAnsiTheme="majorHAnsi" w:cstheme="majorBidi"/>
      <w:i/>
      <w:iCs/>
      <w:color w:val="1F3763" w:themeColor="accent1" w:themeShade="7F"/>
      <w:lang w:val="nl-BE"/>
    </w:rPr>
  </w:style>
  <w:style w:type="paragraph" w:styleId="Kop8">
    <w:name w:val="heading 8"/>
    <w:basedOn w:val="Standaard"/>
    <w:next w:val="Standaard"/>
    <w:link w:val="Kop8Char"/>
    <w:uiPriority w:val="9"/>
    <w:semiHidden/>
    <w:unhideWhenUsed/>
    <w:qFormat/>
    <w:rsid w:val="00490925"/>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lang w:val="nl-BE"/>
    </w:rPr>
  </w:style>
  <w:style w:type="paragraph" w:styleId="Kop9">
    <w:name w:val="heading 9"/>
    <w:basedOn w:val="Standaard"/>
    <w:next w:val="Standaard"/>
    <w:link w:val="Kop9Char"/>
    <w:uiPriority w:val="9"/>
    <w:semiHidden/>
    <w:unhideWhenUsed/>
    <w:qFormat/>
    <w:rsid w:val="00490925"/>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925"/>
    <w:rPr>
      <w:rFonts w:asciiTheme="majorHAnsi" w:eastAsiaTheme="majorEastAsia" w:hAnsiTheme="majorHAnsi" w:cstheme="majorBidi"/>
      <w:b/>
      <w:color w:val="2F5496" w:themeColor="accent1" w:themeShade="BF"/>
      <w:sz w:val="32"/>
      <w:szCs w:val="32"/>
      <w:lang w:eastAsia="en-US"/>
    </w:rPr>
  </w:style>
  <w:style w:type="character" w:customStyle="1" w:styleId="Kop2Char">
    <w:name w:val="Kop 2 Char"/>
    <w:basedOn w:val="Standaardalinea-lettertype"/>
    <w:link w:val="Kop2"/>
    <w:uiPriority w:val="9"/>
    <w:rsid w:val="00490925"/>
    <w:rPr>
      <w:rFonts w:asciiTheme="majorHAnsi" w:eastAsiaTheme="majorEastAsia" w:hAnsiTheme="majorHAnsi" w:cstheme="majorBidi"/>
      <w:b/>
      <w:i/>
      <w:color w:val="2F5496" w:themeColor="accent1" w:themeShade="BF"/>
      <w:sz w:val="26"/>
      <w:szCs w:val="26"/>
      <w:lang w:eastAsia="en-US"/>
    </w:rPr>
  </w:style>
  <w:style w:type="character" w:customStyle="1" w:styleId="Kop3Char">
    <w:name w:val="Kop 3 Char"/>
    <w:basedOn w:val="Standaardalinea-lettertype"/>
    <w:link w:val="Kop3"/>
    <w:uiPriority w:val="9"/>
    <w:rsid w:val="00490925"/>
    <w:rPr>
      <w:rFonts w:asciiTheme="majorHAnsi" w:eastAsiaTheme="majorEastAsia" w:hAnsiTheme="majorHAnsi" w:cstheme="majorBidi"/>
      <w:i/>
      <w:color w:val="1F3763" w:themeColor="accent1" w:themeShade="7F"/>
      <w:sz w:val="24"/>
      <w:szCs w:val="24"/>
      <w:lang w:eastAsia="en-US"/>
    </w:rPr>
  </w:style>
  <w:style w:type="character" w:customStyle="1" w:styleId="Kop4Char">
    <w:name w:val="Kop 4 Char"/>
    <w:basedOn w:val="Standaardalinea-lettertype"/>
    <w:link w:val="Kop4"/>
    <w:uiPriority w:val="9"/>
    <w:semiHidden/>
    <w:rsid w:val="00490925"/>
    <w:rPr>
      <w:rFonts w:asciiTheme="majorHAnsi" w:eastAsiaTheme="majorEastAsia" w:hAnsiTheme="majorHAnsi" w:cstheme="majorBidi"/>
      <w:i/>
      <w:iCs/>
      <w:color w:val="2F5496" w:themeColor="accent1" w:themeShade="BF"/>
      <w:lang w:eastAsia="en-US"/>
    </w:rPr>
  </w:style>
  <w:style w:type="character" w:customStyle="1" w:styleId="Kop5Char">
    <w:name w:val="Kop 5 Char"/>
    <w:basedOn w:val="Standaardalinea-lettertype"/>
    <w:link w:val="Kop5"/>
    <w:uiPriority w:val="9"/>
    <w:semiHidden/>
    <w:rsid w:val="00490925"/>
    <w:rPr>
      <w:rFonts w:asciiTheme="majorHAnsi" w:eastAsiaTheme="majorEastAsia" w:hAnsiTheme="majorHAnsi" w:cstheme="majorBidi"/>
      <w:color w:val="2F5496" w:themeColor="accent1" w:themeShade="BF"/>
      <w:lang w:eastAsia="en-US"/>
    </w:rPr>
  </w:style>
  <w:style w:type="character" w:customStyle="1" w:styleId="Kop6Char">
    <w:name w:val="Kop 6 Char"/>
    <w:basedOn w:val="Standaardalinea-lettertype"/>
    <w:link w:val="Kop6"/>
    <w:uiPriority w:val="9"/>
    <w:semiHidden/>
    <w:rsid w:val="00490925"/>
    <w:rPr>
      <w:rFonts w:asciiTheme="majorHAnsi" w:eastAsiaTheme="majorEastAsia" w:hAnsiTheme="majorHAnsi" w:cstheme="majorBidi"/>
      <w:color w:val="1F3763" w:themeColor="accent1" w:themeShade="7F"/>
      <w:lang w:eastAsia="en-US"/>
    </w:rPr>
  </w:style>
  <w:style w:type="character" w:customStyle="1" w:styleId="Kop7Char">
    <w:name w:val="Kop 7 Char"/>
    <w:basedOn w:val="Standaardalinea-lettertype"/>
    <w:link w:val="Kop7"/>
    <w:uiPriority w:val="9"/>
    <w:semiHidden/>
    <w:rsid w:val="00490925"/>
    <w:rPr>
      <w:rFonts w:asciiTheme="majorHAnsi" w:eastAsiaTheme="majorEastAsia" w:hAnsiTheme="majorHAnsi" w:cstheme="majorBidi"/>
      <w:i/>
      <w:iCs/>
      <w:color w:val="1F3763" w:themeColor="accent1" w:themeShade="7F"/>
      <w:lang w:eastAsia="en-US"/>
    </w:rPr>
  </w:style>
  <w:style w:type="character" w:customStyle="1" w:styleId="Kop8Char">
    <w:name w:val="Kop 8 Char"/>
    <w:basedOn w:val="Standaardalinea-lettertype"/>
    <w:link w:val="Kop8"/>
    <w:uiPriority w:val="9"/>
    <w:semiHidden/>
    <w:rsid w:val="00490925"/>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490925"/>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Standaardalinea-lettertype"/>
    <w:uiPriority w:val="99"/>
    <w:unhideWhenUsed/>
    <w:rsid w:val="00490925"/>
    <w:rPr>
      <w:color w:val="0563C1" w:themeColor="hyperlink"/>
      <w:u w:val="single"/>
    </w:rPr>
  </w:style>
  <w:style w:type="character" w:styleId="Onopgelostemelding">
    <w:name w:val="Unresolved Mention"/>
    <w:basedOn w:val="Standaardalinea-lettertype"/>
    <w:uiPriority w:val="99"/>
    <w:semiHidden/>
    <w:unhideWhenUsed/>
    <w:rsid w:val="00490925"/>
    <w:rPr>
      <w:color w:val="605E5C"/>
      <w:shd w:val="clear" w:color="auto" w:fill="E1DFDD"/>
    </w:rPr>
  </w:style>
  <w:style w:type="paragraph" w:styleId="Voetnoottekst">
    <w:name w:val="footnote text"/>
    <w:basedOn w:val="Standaard"/>
    <w:link w:val="VoetnoottekstChar"/>
    <w:uiPriority w:val="99"/>
    <w:unhideWhenUsed/>
    <w:rsid w:val="00490925"/>
    <w:pPr>
      <w:spacing w:after="0" w:line="240" w:lineRule="auto"/>
    </w:pPr>
    <w:rPr>
      <w:sz w:val="20"/>
      <w:szCs w:val="20"/>
    </w:rPr>
  </w:style>
  <w:style w:type="character" w:customStyle="1" w:styleId="VoetnoottekstChar">
    <w:name w:val="Voetnoottekst Char"/>
    <w:basedOn w:val="Standaardalinea-lettertype"/>
    <w:link w:val="Voetnoottekst"/>
    <w:uiPriority w:val="99"/>
    <w:rsid w:val="00490925"/>
    <w:rPr>
      <w:rFonts w:ascii="Calibri" w:eastAsia="Times New Roman" w:hAnsi="Calibri" w:cs="Times New Roman"/>
      <w:sz w:val="20"/>
      <w:szCs w:val="20"/>
      <w:lang w:val="nl-NL" w:eastAsia="en-US"/>
    </w:rPr>
  </w:style>
  <w:style w:type="character" w:styleId="Voetnootmarkering">
    <w:name w:val="footnote reference"/>
    <w:basedOn w:val="Standaardalinea-lettertype"/>
    <w:uiPriority w:val="99"/>
    <w:semiHidden/>
    <w:unhideWhenUsed/>
    <w:rsid w:val="00490925"/>
    <w:rPr>
      <w:vertAlign w:val="superscript"/>
    </w:rPr>
  </w:style>
  <w:style w:type="paragraph" w:styleId="Bibliografie">
    <w:name w:val="Bibliography"/>
    <w:basedOn w:val="Standaard"/>
    <w:next w:val="Standaard"/>
    <w:uiPriority w:val="37"/>
    <w:unhideWhenUsed/>
    <w:rsid w:val="00490925"/>
    <w:pPr>
      <w:spacing w:after="0" w:line="240" w:lineRule="auto"/>
      <w:ind w:left="720" w:hanging="720"/>
    </w:pPr>
  </w:style>
  <w:style w:type="paragraph" w:styleId="Koptekst">
    <w:name w:val="header"/>
    <w:basedOn w:val="Standaard"/>
    <w:link w:val="KoptekstChar"/>
    <w:uiPriority w:val="99"/>
    <w:unhideWhenUsed/>
    <w:rsid w:val="004909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0925"/>
    <w:rPr>
      <w:rFonts w:ascii="Calibri" w:eastAsia="Times New Roman" w:hAnsi="Calibri" w:cs="Times New Roman"/>
      <w:lang w:val="nl-NL" w:eastAsia="en-US"/>
    </w:rPr>
  </w:style>
  <w:style w:type="paragraph" w:styleId="Voettekst">
    <w:name w:val="footer"/>
    <w:basedOn w:val="Standaard"/>
    <w:link w:val="VoettekstChar"/>
    <w:uiPriority w:val="99"/>
    <w:unhideWhenUsed/>
    <w:rsid w:val="004909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0925"/>
    <w:rPr>
      <w:rFonts w:ascii="Calibri" w:eastAsia="Times New Roman" w:hAnsi="Calibri" w:cs="Times New Roman"/>
      <w:lang w:val="nl-NL" w:eastAsia="en-US"/>
    </w:rPr>
  </w:style>
  <w:style w:type="character" w:styleId="Verwijzingopmerking">
    <w:name w:val="annotation reference"/>
    <w:basedOn w:val="Standaardalinea-lettertype"/>
    <w:uiPriority w:val="99"/>
    <w:semiHidden/>
    <w:unhideWhenUsed/>
    <w:rsid w:val="00490925"/>
    <w:rPr>
      <w:sz w:val="16"/>
      <w:szCs w:val="16"/>
    </w:rPr>
  </w:style>
  <w:style w:type="paragraph" w:styleId="Tekstopmerking">
    <w:name w:val="annotation text"/>
    <w:basedOn w:val="Standaard"/>
    <w:link w:val="TekstopmerkingChar"/>
    <w:uiPriority w:val="99"/>
    <w:unhideWhenUsed/>
    <w:rsid w:val="00490925"/>
    <w:pPr>
      <w:spacing w:line="240" w:lineRule="auto"/>
    </w:pPr>
    <w:rPr>
      <w:sz w:val="20"/>
      <w:szCs w:val="20"/>
    </w:rPr>
  </w:style>
  <w:style w:type="character" w:customStyle="1" w:styleId="TekstopmerkingChar">
    <w:name w:val="Tekst opmerking Char"/>
    <w:basedOn w:val="Standaardalinea-lettertype"/>
    <w:link w:val="Tekstopmerking"/>
    <w:uiPriority w:val="99"/>
    <w:rsid w:val="00490925"/>
    <w:rPr>
      <w:rFonts w:ascii="Calibri" w:eastAsia="Times New Roman"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490925"/>
    <w:rPr>
      <w:b/>
      <w:bCs/>
    </w:rPr>
  </w:style>
  <w:style w:type="character" w:customStyle="1" w:styleId="OnderwerpvanopmerkingChar">
    <w:name w:val="Onderwerp van opmerking Char"/>
    <w:basedOn w:val="TekstopmerkingChar"/>
    <w:link w:val="Onderwerpvanopmerking"/>
    <w:uiPriority w:val="99"/>
    <w:semiHidden/>
    <w:rsid w:val="00490925"/>
    <w:rPr>
      <w:rFonts w:ascii="Calibri" w:eastAsia="Times New Roman" w:hAnsi="Calibri" w:cs="Times New Roman"/>
      <w:b/>
      <w:bCs/>
      <w:sz w:val="20"/>
      <w:szCs w:val="20"/>
      <w:lang w:val="nl-NL" w:eastAsia="en-US"/>
    </w:rPr>
  </w:style>
  <w:style w:type="paragraph" w:styleId="Ballontekst">
    <w:name w:val="Balloon Text"/>
    <w:basedOn w:val="Standaard"/>
    <w:link w:val="BallontekstChar"/>
    <w:uiPriority w:val="99"/>
    <w:semiHidden/>
    <w:unhideWhenUsed/>
    <w:rsid w:val="004909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925"/>
    <w:rPr>
      <w:rFonts w:ascii="Segoe UI" w:eastAsia="Times New Roman" w:hAnsi="Segoe UI" w:cs="Segoe UI"/>
      <w:sz w:val="18"/>
      <w:szCs w:val="18"/>
      <w:lang w:val="nl-NL" w:eastAsia="en-US"/>
    </w:rPr>
  </w:style>
  <w:style w:type="paragraph" w:customStyle="1" w:styleId="EndNoteBibliographyTitle">
    <w:name w:val="EndNote Bibliography Title"/>
    <w:basedOn w:val="Standaard"/>
    <w:link w:val="EndNoteBibliographyTitleChar"/>
    <w:rsid w:val="00490925"/>
    <w:pPr>
      <w:spacing w:after="0" w:line="259" w:lineRule="auto"/>
      <w:jc w:val="center"/>
    </w:pPr>
    <w:rPr>
      <w:rFonts w:eastAsiaTheme="minorHAnsi" w:cs="Calibri"/>
      <w:noProof/>
      <w:lang w:val="en-US"/>
    </w:rPr>
  </w:style>
  <w:style w:type="character" w:customStyle="1" w:styleId="EndNoteBibliographyTitleChar">
    <w:name w:val="EndNote Bibliography Title Char"/>
    <w:basedOn w:val="Standaardalinea-lettertype"/>
    <w:link w:val="EndNoteBibliographyTitle"/>
    <w:rsid w:val="00490925"/>
    <w:rPr>
      <w:rFonts w:ascii="Calibri" w:eastAsiaTheme="minorHAnsi" w:hAnsi="Calibri" w:cs="Calibri"/>
      <w:noProof/>
      <w:lang w:val="en-US" w:eastAsia="en-US"/>
    </w:rPr>
  </w:style>
  <w:style w:type="paragraph" w:customStyle="1" w:styleId="EndNoteBibliography">
    <w:name w:val="EndNote Bibliography"/>
    <w:basedOn w:val="Standaard"/>
    <w:link w:val="EndNoteBibliographyChar"/>
    <w:rsid w:val="00490925"/>
    <w:pPr>
      <w:spacing w:after="160" w:line="240" w:lineRule="auto"/>
    </w:pPr>
    <w:rPr>
      <w:rFonts w:eastAsiaTheme="minorHAnsi" w:cs="Calibri"/>
      <w:noProof/>
      <w:lang w:val="en-US"/>
    </w:rPr>
  </w:style>
  <w:style w:type="character" w:customStyle="1" w:styleId="EndNoteBibliographyChar">
    <w:name w:val="EndNote Bibliography Char"/>
    <w:basedOn w:val="Standaardalinea-lettertype"/>
    <w:link w:val="EndNoteBibliography"/>
    <w:rsid w:val="00490925"/>
    <w:rPr>
      <w:rFonts w:ascii="Calibri" w:eastAsiaTheme="minorHAnsi" w:hAnsi="Calibri" w:cs="Calibri"/>
      <w:noProof/>
      <w:lang w:val="en-US" w:eastAsia="en-US"/>
    </w:rPr>
  </w:style>
  <w:style w:type="paragraph" w:styleId="Kopvaninhoudsopgave">
    <w:name w:val="TOC Heading"/>
    <w:basedOn w:val="Kop1"/>
    <w:next w:val="Standaard"/>
    <w:uiPriority w:val="39"/>
    <w:unhideWhenUsed/>
    <w:qFormat/>
    <w:rsid w:val="00490925"/>
    <w:pPr>
      <w:numPr>
        <w:numId w:val="0"/>
      </w:numPr>
      <w:outlineLvl w:val="9"/>
    </w:pPr>
    <w:rPr>
      <w:lang w:eastAsia="nl-BE"/>
    </w:rPr>
  </w:style>
  <w:style w:type="paragraph" w:styleId="Inhopg1">
    <w:name w:val="toc 1"/>
    <w:basedOn w:val="Standaard"/>
    <w:next w:val="Standaard"/>
    <w:autoRedefine/>
    <w:uiPriority w:val="39"/>
    <w:unhideWhenUsed/>
    <w:rsid w:val="00490925"/>
    <w:pPr>
      <w:tabs>
        <w:tab w:val="left" w:pos="440"/>
        <w:tab w:val="right" w:leader="dot" w:pos="9062"/>
      </w:tabs>
      <w:spacing w:after="100" w:line="259" w:lineRule="auto"/>
    </w:pPr>
    <w:rPr>
      <w:rFonts w:asciiTheme="minorHAnsi" w:eastAsiaTheme="minorHAnsi" w:hAnsiTheme="minorHAnsi" w:cstheme="minorBidi"/>
      <w:lang w:val="nl-BE"/>
    </w:rPr>
  </w:style>
  <w:style w:type="paragraph" w:styleId="Inhopg2">
    <w:name w:val="toc 2"/>
    <w:basedOn w:val="Standaard"/>
    <w:next w:val="Standaard"/>
    <w:autoRedefine/>
    <w:uiPriority w:val="39"/>
    <w:unhideWhenUsed/>
    <w:rsid w:val="00490925"/>
    <w:pPr>
      <w:tabs>
        <w:tab w:val="left" w:pos="880"/>
        <w:tab w:val="right" w:leader="dot" w:pos="9062"/>
      </w:tabs>
      <w:spacing w:after="100" w:line="259" w:lineRule="auto"/>
      <w:ind w:left="220"/>
    </w:pPr>
    <w:rPr>
      <w:rFonts w:asciiTheme="minorHAnsi" w:eastAsiaTheme="minorHAnsi" w:hAnsiTheme="minorHAnsi" w:cstheme="minorBidi"/>
      <w:lang w:val="nl-BE"/>
    </w:rPr>
  </w:style>
  <w:style w:type="paragraph" w:styleId="Revisie">
    <w:name w:val="Revision"/>
    <w:hidden/>
    <w:uiPriority w:val="99"/>
    <w:semiHidden/>
    <w:rsid w:val="00490925"/>
    <w:pPr>
      <w:spacing w:after="0" w:line="240" w:lineRule="auto"/>
    </w:pPr>
    <w:rPr>
      <w:rFonts w:eastAsiaTheme="minorHAnsi"/>
      <w:lang w:eastAsia="en-US"/>
    </w:rPr>
  </w:style>
  <w:style w:type="character" w:styleId="GevolgdeHyperlink">
    <w:name w:val="FollowedHyperlink"/>
    <w:basedOn w:val="Standaardalinea-lettertype"/>
    <w:uiPriority w:val="99"/>
    <w:semiHidden/>
    <w:unhideWhenUsed/>
    <w:rsid w:val="00490925"/>
    <w:rPr>
      <w:color w:val="954F72" w:themeColor="followedHyperlink"/>
      <w:u w:val="single"/>
    </w:rPr>
  </w:style>
  <w:style w:type="paragraph" w:styleId="Eindnoottekst">
    <w:name w:val="endnote text"/>
    <w:basedOn w:val="Standaard"/>
    <w:link w:val="EindnoottekstChar"/>
    <w:uiPriority w:val="99"/>
    <w:semiHidden/>
    <w:unhideWhenUsed/>
    <w:rsid w:val="00490925"/>
    <w:pPr>
      <w:spacing w:after="0" w:line="240" w:lineRule="auto"/>
    </w:pPr>
    <w:rPr>
      <w:rFonts w:asciiTheme="minorHAnsi" w:eastAsiaTheme="minorHAnsi" w:hAnsiTheme="minorHAnsi" w:cstheme="minorBidi"/>
      <w:sz w:val="20"/>
      <w:szCs w:val="20"/>
      <w:lang w:val="nl-BE"/>
    </w:rPr>
  </w:style>
  <w:style w:type="character" w:customStyle="1" w:styleId="EindnoottekstChar">
    <w:name w:val="Eindnoottekst Char"/>
    <w:basedOn w:val="Standaardalinea-lettertype"/>
    <w:link w:val="Eindnoottekst"/>
    <w:uiPriority w:val="99"/>
    <w:semiHidden/>
    <w:rsid w:val="00490925"/>
    <w:rPr>
      <w:rFonts w:eastAsiaTheme="minorHAnsi"/>
      <w:sz w:val="20"/>
      <w:szCs w:val="20"/>
      <w:lang w:eastAsia="en-US"/>
    </w:rPr>
  </w:style>
  <w:style w:type="paragraph" w:styleId="Normaalweb">
    <w:name w:val="Normal (Web)"/>
    <w:basedOn w:val="Standaard"/>
    <w:uiPriority w:val="99"/>
    <w:semiHidden/>
    <w:unhideWhenUsed/>
    <w:rsid w:val="00490925"/>
    <w:pPr>
      <w:spacing w:after="160" w:line="259" w:lineRule="auto"/>
    </w:pPr>
    <w:rPr>
      <w:rFonts w:ascii="Times New Roman" w:eastAsiaTheme="minorHAnsi" w:hAnsi="Times New Roman"/>
      <w:sz w:val="24"/>
      <w:szCs w:val="24"/>
      <w:lang w:val="nl-BE"/>
    </w:rPr>
  </w:style>
  <w:style w:type="character" w:styleId="Eindnootmarkering">
    <w:name w:val="endnote reference"/>
    <w:basedOn w:val="Standaardalinea-lettertype"/>
    <w:uiPriority w:val="99"/>
    <w:semiHidden/>
    <w:unhideWhenUsed/>
    <w:rsid w:val="00490925"/>
    <w:rPr>
      <w:vertAlign w:val="superscript"/>
    </w:rPr>
  </w:style>
  <w:style w:type="paragraph" w:styleId="Inhopg3">
    <w:name w:val="toc 3"/>
    <w:basedOn w:val="Standaard"/>
    <w:next w:val="Standaard"/>
    <w:autoRedefine/>
    <w:uiPriority w:val="39"/>
    <w:unhideWhenUsed/>
    <w:rsid w:val="00490925"/>
    <w:pPr>
      <w:tabs>
        <w:tab w:val="left" w:pos="1320"/>
        <w:tab w:val="right" w:leader="dot" w:pos="9062"/>
      </w:tabs>
      <w:spacing w:after="100" w:line="259" w:lineRule="auto"/>
      <w:ind w:left="440"/>
    </w:pPr>
    <w:rPr>
      <w:rFonts w:asciiTheme="minorHAnsi" w:eastAsiaTheme="minorHAnsi" w:hAnsiTheme="minorHAnsi" w:cstheme="minorBidi"/>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6290-96A9-456C-A51F-3B5969C5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10594</Words>
  <Characters>58273</Characters>
  <Application>Microsoft Office Word</Application>
  <DocSecurity>0</DocSecurity>
  <Lines>485</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25</cp:revision>
  <dcterms:created xsi:type="dcterms:W3CDTF">2023-04-28T13:16:00Z</dcterms:created>
  <dcterms:modified xsi:type="dcterms:W3CDTF">2023-04-28T13:41:00Z</dcterms:modified>
</cp:coreProperties>
</file>