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D71" w:rsidRPr="00686E34" w:rsidRDefault="00CF3D71" w:rsidP="00053B63">
      <w:pPr>
        <w:spacing w:line="480" w:lineRule="auto"/>
        <w:jc w:val="both"/>
        <w:rPr>
          <w:rFonts w:ascii="Times New Roman" w:hAnsi="Times New Roman"/>
          <w:b/>
          <w:bCs/>
          <w:sz w:val="28"/>
          <w:szCs w:val="28"/>
          <w:lang w:val="en-US"/>
        </w:rPr>
      </w:pPr>
      <w:bookmarkStart w:id="0" w:name="_Hlk124518898"/>
      <w:r w:rsidRPr="00686E34">
        <w:rPr>
          <w:rFonts w:ascii="Times New Roman" w:hAnsi="Times New Roman"/>
          <w:b/>
          <w:bCs/>
          <w:sz w:val="28"/>
          <w:szCs w:val="28"/>
          <w:lang w:val="en-US"/>
        </w:rPr>
        <w:t>On Epistemic Black Holes. How Self-Sealing Belief Systems Develop and Evolve</w:t>
      </w:r>
    </w:p>
    <w:p w:rsidR="00CF3D71" w:rsidRPr="00686E34" w:rsidRDefault="00CF3D71" w:rsidP="00053B63">
      <w:pPr>
        <w:spacing w:line="480" w:lineRule="auto"/>
        <w:jc w:val="both"/>
        <w:rPr>
          <w:rFonts w:ascii="Times New Roman" w:hAnsi="Times New Roman"/>
          <w:i/>
          <w:iCs/>
          <w:sz w:val="24"/>
          <w:szCs w:val="24"/>
          <w:lang w:val="en-GB"/>
        </w:rPr>
      </w:pPr>
    </w:p>
    <w:p w:rsidR="00CF3D71" w:rsidRPr="00686E34" w:rsidRDefault="00CF3D71" w:rsidP="00053B63">
      <w:pPr>
        <w:spacing w:line="480" w:lineRule="auto"/>
        <w:jc w:val="both"/>
        <w:rPr>
          <w:rFonts w:ascii="Times New Roman" w:hAnsi="Times New Roman"/>
          <w:b/>
          <w:bCs/>
          <w:i/>
          <w:iCs/>
          <w:sz w:val="24"/>
          <w:szCs w:val="24"/>
          <w:lang w:val="en-US"/>
        </w:rPr>
      </w:pPr>
      <w:r w:rsidRPr="00686E34">
        <w:rPr>
          <w:rFonts w:ascii="Times New Roman" w:hAnsi="Times New Roman"/>
          <w:b/>
          <w:bCs/>
          <w:i/>
          <w:iCs/>
          <w:sz w:val="24"/>
          <w:szCs w:val="24"/>
          <w:lang w:val="en-US"/>
        </w:rPr>
        <w:t xml:space="preserve">Abstract </w:t>
      </w:r>
    </w:p>
    <w:p w:rsidR="00CF3D71" w:rsidRPr="00686E34" w:rsidRDefault="00CF3D71" w:rsidP="00053B63">
      <w:pPr>
        <w:spacing w:line="480" w:lineRule="auto"/>
        <w:jc w:val="both"/>
        <w:rPr>
          <w:rFonts w:ascii="Times New Roman" w:hAnsi="Times New Roman"/>
          <w:lang w:val="en-US"/>
        </w:rPr>
      </w:pPr>
      <w:r w:rsidRPr="00686E34">
        <w:rPr>
          <w:rFonts w:ascii="Times New Roman" w:hAnsi="Times New Roman"/>
          <w:lang w:val="en-US"/>
        </w:rPr>
        <w:t>Are some belief systems so attractive and resilient that even a rational person may fall into their orbit, despite the absence of any evidence in their favor? In this paper we describe the existence of ‘epistemic black holes’, belief systems about intelligent agents that are deliberately evading detection and thus sabotaging any possible investigation into their existence. Such epistemic black holes can exert an exceptionally strong attraction on unwitting believers, even on rational people. We describe the outlines of epistemic black holes in a range of different domains: politics, history, psychology, and religion. Because of their self-</w:t>
      </w:r>
      <w:r>
        <w:rPr>
          <w:rFonts w:ascii="Times New Roman" w:hAnsi="Times New Roman"/>
          <w:lang w:val="en-US"/>
        </w:rPr>
        <w:t xml:space="preserve">sealing </w:t>
      </w:r>
      <w:r w:rsidRPr="00686E34">
        <w:rPr>
          <w:rFonts w:ascii="Times New Roman" w:hAnsi="Times New Roman"/>
          <w:lang w:val="en-US"/>
        </w:rPr>
        <w:t xml:space="preserve">character, however, epistemic black holes suffer from a recurring problem of arbitrariness and proliferating alternatives, and they tend to develop and evolve in analogous ways. Shedding light on how epistemic black holes function can protect us against their allure.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Keywords: belief systems; irrationality; conspiracy theories; epistemology; cultural evolution; divine hiddenness; Freudian psychoanalysis; witchcraft beliefs </w:t>
      </w:r>
    </w:p>
    <w:p w:rsidR="00CF3D71" w:rsidRPr="00686E34" w:rsidRDefault="00CF3D71" w:rsidP="00053B63">
      <w:pPr>
        <w:spacing w:line="480" w:lineRule="auto"/>
        <w:rPr>
          <w:rFonts w:ascii="Times New Roman" w:hAnsi="Times New Roman"/>
          <w:sz w:val="24"/>
          <w:szCs w:val="24"/>
          <w:lang w:val="en-US"/>
        </w:rPr>
      </w:pPr>
    </w:p>
    <w:p w:rsidR="00CF3D71" w:rsidRPr="00686E34" w:rsidRDefault="00CF3D71" w:rsidP="00053B63">
      <w:pPr>
        <w:spacing w:line="480" w:lineRule="auto"/>
        <w:jc w:val="both"/>
        <w:rPr>
          <w:rFonts w:ascii="Times New Roman" w:eastAsiaTheme="majorEastAsia" w:hAnsi="Times New Roman"/>
          <w:sz w:val="24"/>
          <w:szCs w:val="24"/>
          <w:lang w:val="en-US"/>
        </w:rPr>
      </w:pPr>
      <w:r w:rsidRPr="00686E34">
        <w:rPr>
          <w:rFonts w:ascii="Times New Roman" w:hAnsi="Times New Roman"/>
          <w:sz w:val="24"/>
          <w:szCs w:val="24"/>
          <w:lang w:val="en-US"/>
        </w:rPr>
        <w:br w:type="page"/>
      </w:r>
    </w:p>
    <w:p w:rsidR="00CF3D71" w:rsidRPr="00686E34" w:rsidRDefault="00CF3D71" w:rsidP="00053B63">
      <w:pPr>
        <w:spacing w:line="480" w:lineRule="auto"/>
        <w:jc w:val="both"/>
        <w:rPr>
          <w:rFonts w:ascii="Times New Roman" w:hAnsi="Times New Roman"/>
          <w:b/>
          <w:bCs/>
          <w:sz w:val="28"/>
          <w:szCs w:val="28"/>
          <w:lang w:val="en-US"/>
        </w:rPr>
      </w:pPr>
      <w:bookmarkStart w:id="1" w:name="_Toc45717978"/>
      <w:bookmarkStart w:id="2" w:name="_Toc117878432"/>
      <w:r w:rsidRPr="00686E34">
        <w:rPr>
          <w:rFonts w:ascii="Times New Roman" w:hAnsi="Times New Roman"/>
          <w:b/>
          <w:bCs/>
          <w:sz w:val="28"/>
          <w:szCs w:val="28"/>
          <w:lang w:val="en-US"/>
        </w:rPr>
        <w:lastRenderedPageBreak/>
        <w:t>On Epistemic Black Holes. How Self-Sealing Belief Systems Develop and Evolve</w:t>
      </w:r>
    </w:p>
    <w:p w:rsidR="00CF3D71" w:rsidRPr="00686E34" w:rsidRDefault="00CF3D71" w:rsidP="00053B63">
      <w:pPr>
        <w:pStyle w:val="Kop1"/>
        <w:spacing w:line="480" w:lineRule="auto"/>
        <w:jc w:val="both"/>
        <w:rPr>
          <w:rFonts w:ascii="Times New Roman" w:hAnsi="Times New Roman" w:cs="Times New Roman"/>
          <w:color w:val="auto"/>
          <w:sz w:val="24"/>
          <w:szCs w:val="24"/>
          <w:lang w:val="en-US"/>
        </w:rPr>
      </w:pPr>
      <w:r w:rsidRPr="00686E34">
        <w:rPr>
          <w:rFonts w:ascii="Times New Roman" w:hAnsi="Times New Roman" w:cs="Times New Roman"/>
          <w:color w:val="auto"/>
          <w:sz w:val="24"/>
          <w:szCs w:val="24"/>
          <w:lang w:val="en-US"/>
        </w:rPr>
        <w:t>Introduction</w:t>
      </w:r>
      <w:bookmarkEnd w:id="1"/>
      <w:bookmarkEnd w:id="2"/>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Are some belief systems so attractive and resilient that even a rational person may fall into their orbit, despite the absence of any evidence in their favor? In this paper, we outline the existence of ‘epistemic black holes’, belief systems that are structured in such a way that they exert an exceptionally strong attraction on unwitting believers. Even a rational person may gradually fall into such a black hole, and find it very difficult to escape again. What these epistemic black holes have in common, we shall argue, is that they involve some sort of intentional agency (either a single agent or a consortium of different agents working together) that deliberately attempts to evade detection and sabotage our investigation into its/their existence. By drawing parallels between such epistemic black holes in a range of different domains, we gain more insight into their enduring appeal and their cultural development. </w:t>
      </w:r>
    </w:p>
    <w:p w:rsidR="00CF3D71" w:rsidRPr="00D62A77" w:rsidRDefault="00CF3D71" w:rsidP="00053B63">
      <w:pPr>
        <w:spacing w:line="480" w:lineRule="auto"/>
        <w:jc w:val="both"/>
        <w:rPr>
          <w:rFonts w:ascii="Times New Roman" w:hAnsi="Times New Roman"/>
          <w:sz w:val="24"/>
          <w:szCs w:val="24"/>
          <w:lang w:val="nl-BE"/>
        </w:rPr>
      </w:pPr>
      <w:r w:rsidRPr="00686E34">
        <w:rPr>
          <w:rFonts w:ascii="Times New Roman" w:hAnsi="Times New Roman"/>
          <w:sz w:val="24"/>
          <w:szCs w:val="24"/>
          <w:lang w:val="en-US"/>
        </w:rPr>
        <w:t xml:space="preserve">Here’s an outline of the paper. First, we present the conceptual outline of epistemic black holes and compare our framework to existing approaches (section </w:t>
      </w:r>
      <w:r w:rsidR="00D62A77">
        <w:rPr>
          <w:rFonts w:ascii="Times New Roman" w:hAnsi="Times New Roman"/>
          <w:sz w:val="24"/>
          <w:szCs w:val="24"/>
          <w:lang w:val="en-US"/>
        </w:rPr>
        <w:fldChar w:fldCharType="begin"/>
      </w:r>
      <w:r w:rsidR="00D62A77">
        <w:rPr>
          <w:rFonts w:ascii="Times New Roman" w:hAnsi="Times New Roman"/>
          <w:sz w:val="24"/>
          <w:szCs w:val="24"/>
          <w:lang w:val="en-US"/>
        </w:rPr>
        <w:instrText xml:space="preserve"> REF _Ref135927647 \r \h </w:instrText>
      </w:r>
      <w:r w:rsidR="00D62A77">
        <w:rPr>
          <w:rFonts w:ascii="Times New Roman" w:hAnsi="Times New Roman"/>
          <w:sz w:val="24"/>
          <w:szCs w:val="24"/>
          <w:lang w:val="en-US"/>
        </w:rPr>
      </w:r>
      <w:r w:rsidR="00D62A77">
        <w:rPr>
          <w:rFonts w:ascii="Times New Roman" w:hAnsi="Times New Roman"/>
          <w:sz w:val="24"/>
          <w:szCs w:val="24"/>
          <w:lang w:val="en-US"/>
        </w:rPr>
        <w:fldChar w:fldCharType="separate"/>
      </w:r>
      <w:r w:rsidR="00D62A77">
        <w:rPr>
          <w:rFonts w:ascii="Times New Roman" w:hAnsi="Times New Roman"/>
          <w:sz w:val="24"/>
          <w:szCs w:val="24"/>
          <w:lang w:val="en-US"/>
        </w:rPr>
        <w:t>2</w:t>
      </w:r>
      <w:r w:rsidR="00D62A77">
        <w:rPr>
          <w:rFonts w:ascii="Times New Roman" w:hAnsi="Times New Roman"/>
          <w:sz w:val="24"/>
          <w:szCs w:val="24"/>
          <w:lang w:val="en-US"/>
        </w:rPr>
        <w:fldChar w:fldCharType="end"/>
      </w:r>
      <w:r w:rsidRPr="00686E34">
        <w:rPr>
          <w:rFonts w:ascii="Times New Roman" w:hAnsi="Times New Roman"/>
          <w:sz w:val="24"/>
          <w:szCs w:val="24"/>
          <w:lang w:val="en-US"/>
        </w:rPr>
        <w:t>). Next, we show that epistemic black holes can be found in a range of different domain, starting with the most straightforward application: conspiracy theories about historical events, which deal with ordinary human agents working behind the scenes (</w:t>
      </w:r>
      <w:r w:rsidR="00D62A77">
        <w:rPr>
          <w:rFonts w:ascii="Times New Roman" w:hAnsi="Times New Roman"/>
          <w:sz w:val="24"/>
          <w:szCs w:val="24"/>
          <w:lang w:val="en-US"/>
        </w:rPr>
        <w:fldChar w:fldCharType="begin"/>
      </w:r>
      <w:r w:rsidR="00D62A77">
        <w:rPr>
          <w:rFonts w:ascii="Times New Roman" w:hAnsi="Times New Roman"/>
          <w:sz w:val="24"/>
          <w:szCs w:val="24"/>
          <w:lang w:val="en-US"/>
        </w:rPr>
        <w:instrText xml:space="preserve"> REF _Ref135927671 \r \h </w:instrText>
      </w:r>
      <w:r w:rsidR="00D62A77">
        <w:rPr>
          <w:rFonts w:ascii="Times New Roman" w:hAnsi="Times New Roman"/>
          <w:sz w:val="24"/>
          <w:szCs w:val="24"/>
          <w:lang w:val="en-US"/>
        </w:rPr>
      </w:r>
      <w:r w:rsidR="00D62A77">
        <w:rPr>
          <w:rFonts w:ascii="Times New Roman" w:hAnsi="Times New Roman"/>
          <w:sz w:val="24"/>
          <w:szCs w:val="24"/>
          <w:lang w:val="en-US"/>
        </w:rPr>
        <w:fldChar w:fldCharType="separate"/>
      </w:r>
      <w:r w:rsidR="00D62A77">
        <w:rPr>
          <w:rFonts w:ascii="Times New Roman" w:hAnsi="Times New Roman"/>
          <w:sz w:val="24"/>
          <w:szCs w:val="24"/>
          <w:lang w:val="en-US"/>
        </w:rPr>
        <w:t>3.1</w:t>
      </w:r>
      <w:r w:rsidR="00D62A77">
        <w:rPr>
          <w:rFonts w:ascii="Times New Roman" w:hAnsi="Times New Roman"/>
          <w:sz w:val="24"/>
          <w:szCs w:val="24"/>
          <w:lang w:val="en-US"/>
        </w:rPr>
        <w:fldChar w:fldCharType="end"/>
      </w:r>
      <w:r w:rsidRPr="00686E34">
        <w:rPr>
          <w:rFonts w:ascii="Times New Roman" w:hAnsi="Times New Roman"/>
          <w:sz w:val="24"/>
          <w:szCs w:val="24"/>
          <w:lang w:val="en-US"/>
        </w:rPr>
        <w:t>). We then outline epistemic black holes in the domain of supernatural belief: after briefly discussing the tradition of ‘divine hiddenness’ in theism (</w:t>
      </w:r>
      <w:r w:rsidRPr="00686E34">
        <w:rPr>
          <w:rFonts w:ascii="Times New Roman" w:hAnsi="Times New Roman"/>
          <w:sz w:val="24"/>
          <w:szCs w:val="24"/>
          <w:lang w:val="en-US"/>
        </w:rPr>
        <w:fldChar w:fldCharType="begin"/>
      </w:r>
      <w:r w:rsidRPr="00686E34">
        <w:rPr>
          <w:rFonts w:ascii="Times New Roman" w:hAnsi="Times New Roman"/>
          <w:sz w:val="24"/>
          <w:szCs w:val="24"/>
          <w:lang w:val="en-US"/>
        </w:rPr>
        <w:instrText xml:space="preserve"> REF _Ref112340474 \r \h  \* MERGEFORMAT </w:instrText>
      </w:r>
      <w:r w:rsidRPr="00686E34">
        <w:rPr>
          <w:rFonts w:ascii="Times New Roman" w:hAnsi="Times New Roman"/>
          <w:sz w:val="24"/>
          <w:szCs w:val="24"/>
          <w:lang w:val="en-US"/>
        </w:rPr>
      </w:r>
      <w:r w:rsidRPr="00686E34">
        <w:rPr>
          <w:rFonts w:ascii="Times New Roman" w:hAnsi="Times New Roman"/>
          <w:sz w:val="24"/>
          <w:szCs w:val="24"/>
          <w:lang w:val="en-US"/>
        </w:rPr>
        <w:fldChar w:fldCharType="separate"/>
      </w:r>
      <w:r w:rsidR="00D62A77">
        <w:rPr>
          <w:rFonts w:ascii="Times New Roman" w:hAnsi="Times New Roman"/>
          <w:sz w:val="24"/>
          <w:szCs w:val="24"/>
          <w:lang w:val="en-US"/>
        </w:rPr>
        <w:t>3.2.1</w:t>
      </w:r>
      <w:r w:rsidRPr="00686E34">
        <w:rPr>
          <w:rFonts w:ascii="Times New Roman" w:hAnsi="Times New Roman"/>
          <w:sz w:val="24"/>
          <w:szCs w:val="24"/>
          <w:lang w:val="en-US"/>
        </w:rPr>
        <w:fldChar w:fldCharType="end"/>
      </w:r>
      <w:r w:rsidRPr="00686E34">
        <w:rPr>
          <w:rFonts w:ascii="Times New Roman" w:hAnsi="Times New Roman"/>
          <w:sz w:val="24"/>
          <w:szCs w:val="24"/>
          <w:lang w:val="en-US"/>
        </w:rPr>
        <w:t>), we develop the case study of witchcraft beliefs in early modern Europe (</w:t>
      </w:r>
      <w:r w:rsidRPr="00686E34">
        <w:rPr>
          <w:rFonts w:ascii="Times New Roman" w:hAnsi="Times New Roman"/>
          <w:sz w:val="24"/>
          <w:szCs w:val="24"/>
          <w:lang w:val="en-US"/>
        </w:rPr>
        <w:fldChar w:fldCharType="begin"/>
      </w:r>
      <w:r w:rsidRPr="00686E34">
        <w:rPr>
          <w:rFonts w:ascii="Times New Roman" w:hAnsi="Times New Roman"/>
          <w:sz w:val="24"/>
          <w:szCs w:val="24"/>
          <w:lang w:val="en-US"/>
        </w:rPr>
        <w:instrText xml:space="preserve"> REF _Ref112340458 \r \h  \* MERGEFORMAT </w:instrText>
      </w:r>
      <w:r w:rsidRPr="00686E34">
        <w:rPr>
          <w:rFonts w:ascii="Times New Roman" w:hAnsi="Times New Roman"/>
          <w:sz w:val="24"/>
          <w:szCs w:val="24"/>
          <w:lang w:val="en-US"/>
        </w:rPr>
      </w:r>
      <w:r w:rsidRPr="00686E34">
        <w:rPr>
          <w:rFonts w:ascii="Times New Roman" w:hAnsi="Times New Roman"/>
          <w:sz w:val="24"/>
          <w:szCs w:val="24"/>
          <w:lang w:val="en-US"/>
        </w:rPr>
        <w:fldChar w:fldCharType="separate"/>
      </w:r>
      <w:r w:rsidR="00D62A77">
        <w:rPr>
          <w:rFonts w:ascii="Times New Roman" w:hAnsi="Times New Roman"/>
          <w:sz w:val="24"/>
          <w:szCs w:val="24"/>
          <w:lang w:val="en-US"/>
        </w:rPr>
        <w:t>3.2.2</w:t>
      </w:r>
      <w:r w:rsidRPr="00686E34">
        <w:rPr>
          <w:rFonts w:ascii="Times New Roman" w:hAnsi="Times New Roman"/>
          <w:sz w:val="24"/>
          <w:szCs w:val="24"/>
          <w:lang w:val="en-US"/>
        </w:rPr>
        <w:fldChar w:fldCharType="end"/>
      </w:r>
      <w:r w:rsidRPr="00686E34">
        <w:rPr>
          <w:rFonts w:ascii="Times New Roman" w:hAnsi="Times New Roman"/>
          <w:sz w:val="24"/>
          <w:szCs w:val="24"/>
          <w:lang w:val="en-US"/>
        </w:rPr>
        <w:t xml:space="preserve">). Finally we look at a surprising example of an epistemic black hole in the history of psychology: Freudian psychoanalysis and its notion of the ‘unconscious’. In section </w:t>
      </w:r>
      <w:r w:rsidRPr="00686E34">
        <w:rPr>
          <w:rFonts w:ascii="Times New Roman" w:hAnsi="Times New Roman"/>
          <w:sz w:val="24"/>
          <w:szCs w:val="24"/>
          <w:lang w:val="en-US"/>
        </w:rPr>
        <w:fldChar w:fldCharType="begin"/>
      </w:r>
      <w:r w:rsidRPr="00686E34">
        <w:rPr>
          <w:rFonts w:ascii="Times New Roman" w:hAnsi="Times New Roman"/>
          <w:sz w:val="24"/>
          <w:szCs w:val="24"/>
          <w:lang w:val="en-US"/>
        </w:rPr>
        <w:instrText xml:space="preserve"> REF _Ref102412022 \r \h  \* MERGEFORMAT </w:instrText>
      </w:r>
      <w:r w:rsidRPr="00686E34">
        <w:rPr>
          <w:rFonts w:ascii="Times New Roman" w:hAnsi="Times New Roman"/>
          <w:sz w:val="24"/>
          <w:szCs w:val="24"/>
          <w:lang w:val="en-US"/>
        </w:rPr>
      </w:r>
      <w:r w:rsidRPr="00686E34">
        <w:rPr>
          <w:rFonts w:ascii="Times New Roman" w:hAnsi="Times New Roman"/>
          <w:sz w:val="24"/>
          <w:szCs w:val="24"/>
          <w:lang w:val="en-US"/>
        </w:rPr>
        <w:fldChar w:fldCharType="separate"/>
      </w:r>
      <w:r w:rsidR="00D62A77">
        <w:rPr>
          <w:rFonts w:ascii="Times New Roman" w:hAnsi="Times New Roman"/>
          <w:sz w:val="24"/>
          <w:szCs w:val="24"/>
          <w:lang w:val="en-US"/>
        </w:rPr>
        <w:t>4</w:t>
      </w:r>
      <w:r w:rsidRPr="00686E34">
        <w:rPr>
          <w:rFonts w:ascii="Times New Roman" w:hAnsi="Times New Roman"/>
          <w:sz w:val="24"/>
          <w:szCs w:val="24"/>
          <w:lang w:val="en-US"/>
        </w:rPr>
        <w:fldChar w:fldCharType="end"/>
      </w:r>
      <w:r w:rsidRPr="00686E34">
        <w:rPr>
          <w:rFonts w:ascii="Times New Roman" w:hAnsi="Times New Roman"/>
          <w:sz w:val="24"/>
          <w:szCs w:val="24"/>
          <w:lang w:val="en-US"/>
        </w:rPr>
        <w:t xml:space="preserve">, we make some observations about the cultural dynamics and development of ‘black hole’ belief systems. In particular, owing to their self-insulating nature, they suffer from arbitrariness and a proliferation </w:t>
      </w:r>
      <w:r w:rsidRPr="00686E34">
        <w:rPr>
          <w:rFonts w:ascii="Times New Roman" w:hAnsi="Times New Roman"/>
          <w:sz w:val="24"/>
          <w:szCs w:val="24"/>
          <w:lang w:val="en-US"/>
        </w:rPr>
        <w:lastRenderedPageBreak/>
        <w:t>of alternatives. As a result, they are liable to schisms and internal disarray (</w:t>
      </w:r>
      <w:r w:rsidR="00D62A77">
        <w:rPr>
          <w:rFonts w:ascii="Times New Roman" w:hAnsi="Times New Roman"/>
          <w:sz w:val="24"/>
          <w:szCs w:val="24"/>
          <w:lang w:val="en-US"/>
        </w:rPr>
        <w:fldChar w:fldCharType="begin"/>
      </w:r>
      <w:r w:rsidR="00D62A77">
        <w:rPr>
          <w:rFonts w:ascii="Times New Roman" w:hAnsi="Times New Roman"/>
          <w:sz w:val="24"/>
          <w:szCs w:val="24"/>
          <w:lang w:val="en-US"/>
        </w:rPr>
        <w:instrText xml:space="preserve"> REF _Ref135746112 \r \h </w:instrText>
      </w:r>
      <w:r w:rsidR="00D62A77">
        <w:rPr>
          <w:rFonts w:ascii="Times New Roman" w:hAnsi="Times New Roman"/>
          <w:sz w:val="24"/>
          <w:szCs w:val="24"/>
          <w:lang w:val="en-US"/>
        </w:rPr>
      </w:r>
      <w:r w:rsidR="00D62A77">
        <w:rPr>
          <w:rFonts w:ascii="Times New Roman" w:hAnsi="Times New Roman"/>
          <w:sz w:val="24"/>
          <w:szCs w:val="24"/>
          <w:lang w:val="en-US"/>
        </w:rPr>
        <w:fldChar w:fldCharType="separate"/>
      </w:r>
      <w:r w:rsidR="00D62A77">
        <w:rPr>
          <w:rFonts w:ascii="Times New Roman" w:hAnsi="Times New Roman"/>
          <w:sz w:val="24"/>
          <w:szCs w:val="24"/>
          <w:lang w:val="en-US"/>
        </w:rPr>
        <w:t>4.1</w:t>
      </w:r>
      <w:r w:rsidR="00D62A77">
        <w:rPr>
          <w:rFonts w:ascii="Times New Roman" w:hAnsi="Times New Roman"/>
          <w:sz w:val="24"/>
          <w:szCs w:val="24"/>
          <w:lang w:val="en-US"/>
        </w:rPr>
        <w:fldChar w:fldCharType="end"/>
      </w:r>
      <w:bookmarkStart w:id="3" w:name="_GoBack"/>
      <w:bookmarkEnd w:id="3"/>
      <w:r w:rsidRPr="00D62A77">
        <w:rPr>
          <w:rFonts w:ascii="Times New Roman" w:hAnsi="Times New Roman"/>
          <w:sz w:val="24"/>
          <w:szCs w:val="24"/>
          <w:lang w:val="nl-BE"/>
        </w:rPr>
        <w:t xml:space="preserve">), </w:t>
      </w:r>
      <w:proofErr w:type="spellStart"/>
      <w:r w:rsidRPr="00D62A77">
        <w:rPr>
          <w:rFonts w:ascii="Times New Roman" w:hAnsi="Times New Roman"/>
          <w:sz w:val="24"/>
          <w:szCs w:val="24"/>
          <w:lang w:val="nl-BE"/>
        </w:rPr>
        <w:t>and</w:t>
      </w:r>
      <w:proofErr w:type="spellEnd"/>
      <w:r w:rsidRPr="00D62A77">
        <w:rPr>
          <w:rFonts w:ascii="Times New Roman" w:hAnsi="Times New Roman"/>
          <w:sz w:val="24"/>
          <w:szCs w:val="24"/>
          <w:lang w:val="nl-BE"/>
        </w:rPr>
        <w:t xml:space="preserve"> </w:t>
      </w:r>
      <w:proofErr w:type="spellStart"/>
      <w:r w:rsidRPr="00D62A77">
        <w:rPr>
          <w:rFonts w:ascii="Times New Roman" w:hAnsi="Times New Roman"/>
          <w:sz w:val="24"/>
          <w:szCs w:val="24"/>
          <w:lang w:val="nl-BE"/>
        </w:rPr>
        <w:t>often</w:t>
      </w:r>
      <w:proofErr w:type="spellEnd"/>
      <w:r w:rsidRPr="00D62A77">
        <w:rPr>
          <w:rFonts w:ascii="Times New Roman" w:hAnsi="Times New Roman"/>
          <w:sz w:val="24"/>
          <w:szCs w:val="24"/>
          <w:lang w:val="nl-BE"/>
        </w:rPr>
        <w:t xml:space="preserve"> </w:t>
      </w:r>
      <w:proofErr w:type="spellStart"/>
      <w:r w:rsidRPr="00D62A77">
        <w:rPr>
          <w:rFonts w:ascii="Times New Roman" w:hAnsi="Times New Roman"/>
          <w:sz w:val="24"/>
          <w:szCs w:val="24"/>
          <w:lang w:val="nl-BE"/>
        </w:rPr>
        <w:t>evolve</w:t>
      </w:r>
      <w:proofErr w:type="spellEnd"/>
      <w:r w:rsidRPr="00D62A77">
        <w:rPr>
          <w:rFonts w:ascii="Times New Roman" w:hAnsi="Times New Roman"/>
          <w:sz w:val="24"/>
          <w:szCs w:val="24"/>
          <w:lang w:val="nl-BE"/>
        </w:rPr>
        <w:t xml:space="preserve"> </w:t>
      </w:r>
      <w:proofErr w:type="spellStart"/>
      <w:r w:rsidRPr="00D62A77">
        <w:rPr>
          <w:rFonts w:ascii="Times New Roman" w:hAnsi="Times New Roman"/>
          <w:sz w:val="24"/>
          <w:szCs w:val="24"/>
          <w:lang w:val="nl-BE"/>
        </w:rPr>
        <w:t>to</w:t>
      </w:r>
      <w:proofErr w:type="spellEnd"/>
      <w:r w:rsidRPr="00D62A77">
        <w:rPr>
          <w:rFonts w:ascii="Times New Roman" w:hAnsi="Times New Roman"/>
          <w:sz w:val="24"/>
          <w:szCs w:val="24"/>
          <w:lang w:val="nl-BE"/>
        </w:rPr>
        <w:t xml:space="preserve"> </w:t>
      </w:r>
      <w:proofErr w:type="spellStart"/>
      <w:r w:rsidRPr="00D62A77">
        <w:rPr>
          <w:rFonts w:ascii="Times New Roman" w:hAnsi="Times New Roman"/>
          <w:sz w:val="24"/>
          <w:szCs w:val="24"/>
          <w:lang w:val="nl-BE"/>
        </w:rPr>
        <w:t>reflect</w:t>
      </w:r>
      <w:proofErr w:type="spellEnd"/>
      <w:r w:rsidRPr="00D62A77">
        <w:rPr>
          <w:rFonts w:ascii="Times New Roman" w:hAnsi="Times New Roman"/>
          <w:sz w:val="24"/>
          <w:szCs w:val="24"/>
          <w:lang w:val="nl-BE"/>
        </w:rPr>
        <w:t xml:space="preserve"> </w:t>
      </w:r>
      <w:proofErr w:type="spellStart"/>
      <w:r w:rsidRPr="00D62A77">
        <w:rPr>
          <w:rFonts w:ascii="Times New Roman" w:hAnsi="Times New Roman"/>
          <w:sz w:val="24"/>
          <w:szCs w:val="24"/>
          <w:lang w:val="nl-BE"/>
        </w:rPr>
        <w:t>changing</w:t>
      </w:r>
      <w:proofErr w:type="spellEnd"/>
      <w:r w:rsidRPr="00D62A77">
        <w:rPr>
          <w:rFonts w:ascii="Times New Roman" w:hAnsi="Times New Roman"/>
          <w:sz w:val="24"/>
          <w:szCs w:val="24"/>
          <w:lang w:val="nl-BE"/>
        </w:rPr>
        <w:t xml:space="preserve"> </w:t>
      </w:r>
      <w:proofErr w:type="spellStart"/>
      <w:r w:rsidRPr="00D62A77">
        <w:rPr>
          <w:rFonts w:ascii="Times New Roman" w:hAnsi="Times New Roman"/>
          <w:sz w:val="24"/>
          <w:szCs w:val="24"/>
          <w:lang w:val="nl-BE"/>
        </w:rPr>
        <w:t>cultural</w:t>
      </w:r>
      <w:proofErr w:type="spellEnd"/>
      <w:r w:rsidRPr="00D62A77">
        <w:rPr>
          <w:rFonts w:ascii="Times New Roman" w:hAnsi="Times New Roman"/>
          <w:sz w:val="24"/>
          <w:szCs w:val="24"/>
          <w:lang w:val="nl-BE"/>
        </w:rPr>
        <w:t xml:space="preserve"> environments (</w:t>
      </w:r>
      <w:r w:rsidR="00D62A77">
        <w:rPr>
          <w:rFonts w:ascii="Times New Roman" w:hAnsi="Times New Roman"/>
          <w:sz w:val="24"/>
          <w:szCs w:val="24"/>
          <w:lang w:val="en-US"/>
        </w:rPr>
        <w:fldChar w:fldCharType="begin"/>
      </w:r>
      <w:r w:rsidR="00D62A77" w:rsidRPr="00D62A77">
        <w:rPr>
          <w:rFonts w:ascii="Times New Roman" w:hAnsi="Times New Roman"/>
          <w:sz w:val="24"/>
          <w:szCs w:val="24"/>
          <w:lang w:val="nl-BE"/>
        </w:rPr>
        <w:instrText xml:space="preserve"> REF _Ref135927690 \r \h </w:instrText>
      </w:r>
      <w:r w:rsidR="00D62A77">
        <w:rPr>
          <w:rFonts w:ascii="Times New Roman" w:hAnsi="Times New Roman"/>
          <w:sz w:val="24"/>
          <w:szCs w:val="24"/>
          <w:lang w:val="en-US"/>
        </w:rPr>
      </w:r>
      <w:r w:rsidR="00D62A77">
        <w:rPr>
          <w:rFonts w:ascii="Times New Roman" w:hAnsi="Times New Roman"/>
          <w:sz w:val="24"/>
          <w:szCs w:val="24"/>
          <w:lang w:val="en-US"/>
        </w:rPr>
        <w:fldChar w:fldCharType="separate"/>
      </w:r>
      <w:r w:rsidR="00D62A77" w:rsidRPr="00D62A77">
        <w:rPr>
          <w:rFonts w:ascii="Times New Roman" w:hAnsi="Times New Roman"/>
          <w:sz w:val="24"/>
          <w:szCs w:val="24"/>
          <w:lang w:val="nl-BE"/>
        </w:rPr>
        <w:t>4.2</w:t>
      </w:r>
      <w:r w:rsidR="00D62A77">
        <w:rPr>
          <w:rFonts w:ascii="Times New Roman" w:hAnsi="Times New Roman"/>
          <w:sz w:val="24"/>
          <w:szCs w:val="24"/>
          <w:lang w:val="en-US"/>
        </w:rPr>
        <w:fldChar w:fldCharType="end"/>
      </w:r>
      <w:r w:rsidRPr="00D62A77">
        <w:rPr>
          <w:rFonts w:ascii="Times New Roman" w:hAnsi="Times New Roman"/>
          <w:sz w:val="24"/>
          <w:szCs w:val="24"/>
          <w:lang w:val="nl-BE"/>
        </w:rPr>
        <w:t xml:space="preserve">). </w:t>
      </w:r>
    </w:p>
    <w:p w:rsidR="00CF3D71" w:rsidRPr="00686E34" w:rsidRDefault="00CF3D71" w:rsidP="00053B63">
      <w:pPr>
        <w:pStyle w:val="Kop1"/>
        <w:spacing w:line="480" w:lineRule="auto"/>
        <w:rPr>
          <w:rFonts w:ascii="Times New Roman" w:hAnsi="Times New Roman" w:cs="Times New Roman"/>
          <w:color w:val="auto"/>
          <w:sz w:val="24"/>
          <w:szCs w:val="24"/>
          <w:lang w:val="en-US"/>
        </w:rPr>
      </w:pPr>
      <w:bookmarkStart w:id="4" w:name="_Toc101201902"/>
      <w:bookmarkStart w:id="5" w:name="_Toc101201903"/>
      <w:bookmarkStart w:id="6" w:name="_Toc101201904"/>
      <w:bookmarkStart w:id="7" w:name="_Toc101201905"/>
      <w:bookmarkStart w:id="8" w:name="_Toc101201906"/>
      <w:bookmarkStart w:id="9" w:name="_Toc101201907"/>
      <w:bookmarkStart w:id="10" w:name="_Toc101201908"/>
      <w:bookmarkStart w:id="11" w:name="_Toc101201909"/>
      <w:bookmarkStart w:id="12" w:name="_Toc101201910"/>
      <w:bookmarkStart w:id="13" w:name="_Toc101201911"/>
      <w:bookmarkStart w:id="14" w:name="_Toc101201912"/>
      <w:bookmarkStart w:id="15" w:name="_Toc101201913"/>
      <w:bookmarkStart w:id="16" w:name="_Toc101201914"/>
      <w:bookmarkStart w:id="17" w:name="_Toc101201915"/>
      <w:bookmarkStart w:id="18" w:name="_Toc101201916"/>
      <w:bookmarkStart w:id="19" w:name="_Toc67075386"/>
      <w:bookmarkStart w:id="20" w:name="_Toc45717982"/>
      <w:bookmarkStart w:id="21" w:name="_Ref72864558"/>
      <w:bookmarkStart w:id="22" w:name="_Toc117878433"/>
      <w:bookmarkStart w:id="23" w:name="_Ref13592764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686E34">
        <w:rPr>
          <w:rFonts w:ascii="Times New Roman" w:hAnsi="Times New Roman" w:cs="Times New Roman"/>
          <w:color w:val="auto"/>
          <w:sz w:val="24"/>
          <w:szCs w:val="24"/>
          <w:lang w:val="en-US"/>
        </w:rPr>
        <w:t xml:space="preserve">Epistemic </w:t>
      </w:r>
      <w:bookmarkEnd w:id="20"/>
      <w:bookmarkEnd w:id="21"/>
      <w:r w:rsidRPr="00686E34">
        <w:rPr>
          <w:rFonts w:ascii="Times New Roman" w:hAnsi="Times New Roman" w:cs="Times New Roman"/>
          <w:color w:val="auto"/>
          <w:sz w:val="24"/>
          <w:szCs w:val="24"/>
          <w:lang w:val="en-US"/>
        </w:rPr>
        <w:t>black holes</w:t>
      </w:r>
      <w:bookmarkEnd w:id="22"/>
      <w:bookmarkEnd w:id="23"/>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If we want to explain the visible world, we sometimes have to invoke the existence of invisible entities. Many of our best scientific theories involve such “unobservables”, entities and processes that are not (directly) observable by human senses. In some of our theoretical explanations of the world, we also have to invoke the actions of </w:t>
      </w:r>
      <w:r w:rsidRPr="00686E34">
        <w:rPr>
          <w:rFonts w:ascii="Times New Roman" w:hAnsi="Times New Roman"/>
          <w:i/>
          <w:iCs/>
          <w:sz w:val="24"/>
          <w:szCs w:val="24"/>
          <w:lang w:val="en-US"/>
        </w:rPr>
        <w:t>agents</w:t>
      </w:r>
      <w:r w:rsidRPr="00686E34">
        <w:rPr>
          <w:rFonts w:ascii="Times New Roman" w:hAnsi="Times New Roman"/>
          <w:sz w:val="24"/>
          <w:szCs w:val="24"/>
          <w:lang w:val="en-US"/>
        </w:rPr>
        <w:t xml:space="preserve">: intelligent entities capable of harboring intentions, developing plans, or forming desires </w:t>
      </w:r>
      <w:r>
        <w:rPr>
          <w:rFonts w:ascii="Times New Roman" w:hAnsi="Times New Roman"/>
          <w:noProof/>
          <w:sz w:val="24"/>
          <w:szCs w:val="24"/>
          <w:lang w:val="en-US"/>
        </w:rPr>
        <w:t>(Dennett 1987)</w:t>
      </w:r>
      <w:r w:rsidRPr="00686E34">
        <w:rPr>
          <w:rFonts w:ascii="Times New Roman" w:hAnsi="Times New Roman"/>
          <w:sz w:val="24"/>
          <w:szCs w:val="24"/>
          <w:lang w:val="en-US"/>
        </w:rPr>
        <w:t>. In some belief systems, both of these elements are conjoined in a way that gives rise to a special epistemological situation: the belief system postulates some form of hidden intelligent agency that is deliberately trying to evade detection, and thus to thwart our investigation into its existence or its actions. As we will see, some such beliefs involve different agents working in consort, while others postulate just one unified agent scheming behind the scenes.</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Even though invisible agents with deceptive intentions definitely exist, and sometimes need to be invoked to make sense of the world, belief systems involving such agents threaten to create what can be termed an </w:t>
      </w:r>
      <w:r w:rsidRPr="00686E34">
        <w:rPr>
          <w:rFonts w:ascii="Times New Roman" w:hAnsi="Times New Roman"/>
          <w:i/>
          <w:iCs/>
          <w:sz w:val="24"/>
          <w:szCs w:val="24"/>
          <w:lang w:val="en-US"/>
        </w:rPr>
        <w:t>epistemic black hole</w:t>
      </w:r>
      <w:r w:rsidRPr="00686E34">
        <w:rPr>
          <w:rFonts w:ascii="Times New Roman" w:hAnsi="Times New Roman"/>
          <w:sz w:val="24"/>
          <w:szCs w:val="24"/>
          <w:lang w:val="en-US"/>
        </w:rPr>
        <w:t xml:space="preserve">, into which unwary truth-seekers may be drawn, and from which it is very difficult to escape again (XXX). The analogy between belief systems and black holes was originally introduced by Stephen Law, who talked about “a bubble of belief that, while seductively easy to enter, can then be almost impossible to think your way out of again.” </w:t>
      </w:r>
      <w:r>
        <w:rPr>
          <w:rFonts w:ascii="Times New Roman" w:hAnsi="Times New Roman"/>
          <w:noProof/>
          <w:sz w:val="24"/>
          <w:szCs w:val="24"/>
          <w:lang w:val="en-US"/>
        </w:rPr>
        <w:t>(Law 2011: 9)</w:t>
      </w:r>
      <w:r w:rsidRPr="00686E34">
        <w:rPr>
          <w:rFonts w:ascii="Times New Roman" w:hAnsi="Times New Roman"/>
          <w:sz w:val="24"/>
          <w:szCs w:val="24"/>
          <w:lang w:val="en-US"/>
        </w:rPr>
        <w:t xml:space="preserve">. The metaphor can be applied to range of different self-sealing belief systems (XXX), but in this paper we focus on those involving invisible agents </w:t>
      </w:r>
      <w:r>
        <w:rPr>
          <w:rFonts w:ascii="Times New Roman" w:hAnsi="Times New Roman"/>
          <w:sz w:val="24"/>
          <w:szCs w:val="24"/>
          <w:lang w:val="en-US"/>
        </w:rPr>
        <w:t>evading</w:t>
      </w:r>
      <w:r w:rsidRPr="00686E34">
        <w:rPr>
          <w:rFonts w:ascii="Times New Roman" w:hAnsi="Times New Roman"/>
          <w:sz w:val="24"/>
          <w:szCs w:val="24"/>
          <w:lang w:val="en-US"/>
        </w:rPr>
        <w:t xml:space="preserve"> detection. In our proposal, the metaphor is meant to express two observations: </w:t>
      </w:r>
    </w:p>
    <w:p w:rsidR="00CF3D71" w:rsidRPr="00686E34" w:rsidRDefault="00CF3D71" w:rsidP="00053B63">
      <w:pPr>
        <w:spacing w:line="480" w:lineRule="auto"/>
        <w:ind w:left="720"/>
        <w:jc w:val="both"/>
        <w:rPr>
          <w:rFonts w:ascii="Times New Roman" w:hAnsi="Times New Roman"/>
          <w:sz w:val="24"/>
          <w:szCs w:val="24"/>
          <w:lang w:val="en-US"/>
        </w:rPr>
      </w:pPr>
      <w:r w:rsidRPr="00686E34">
        <w:rPr>
          <w:rFonts w:ascii="Times New Roman" w:hAnsi="Times New Roman"/>
          <w:sz w:val="24"/>
          <w:szCs w:val="24"/>
          <w:lang w:val="en-US"/>
        </w:rPr>
        <w:t xml:space="preserve">(1) People may gradually ‘fall into’ such a belief system by means of arguments and inferences that are apparently rational, and there is no clearly defined point beyond </w:t>
      </w:r>
      <w:r w:rsidRPr="00686E34">
        <w:rPr>
          <w:rFonts w:ascii="Times New Roman" w:hAnsi="Times New Roman"/>
          <w:sz w:val="24"/>
          <w:szCs w:val="24"/>
          <w:lang w:val="en-US"/>
        </w:rPr>
        <w:lastRenderedPageBreak/>
        <w:t xml:space="preserve">which the refusal to give up the belief system becomes irrational. Rescuing a hypothesis with auxiliary assumptions is often perfectly rational </w:t>
      </w:r>
      <w:r>
        <w:rPr>
          <w:rFonts w:ascii="Times New Roman" w:hAnsi="Times New Roman"/>
          <w:noProof/>
          <w:sz w:val="24"/>
          <w:szCs w:val="24"/>
          <w:lang w:val="en-US"/>
        </w:rPr>
        <w:t>(Poth and Dolega 2023)</w:t>
      </w:r>
      <w:r w:rsidRPr="00686E34">
        <w:rPr>
          <w:rFonts w:ascii="Times New Roman" w:hAnsi="Times New Roman"/>
          <w:sz w:val="24"/>
          <w:szCs w:val="24"/>
          <w:lang w:val="en-US"/>
        </w:rPr>
        <w:t>, and epistemic black holes engender the generation of such rescuing auxiliaries with remarkable facility.</w:t>
      </w:r>
    </w:p>
    <w:p w:rsidR="00CF3D71" w:rsidRPr="00686E34" w:rsidRDefault="00CF3D71" w:rsidP="00053B63">
      <w:pPr>
        <w:spacing w:line="480" w:lineRule="auto"/>
        <w:ind w:left="720"/>
        <w:jc w:val="both"/>
        <w:rPr>
          <w:rFonts w:ascii="Times New Roman" w:hAnsi="Times New Roman"/>
          <w:sz w:val="24"/>
          <w:szCs w:val="24"/>
          <w:lang w:val="en-US"/>
        </w:rPr>
      </w:pPr>
      <w:r w:rsidRPr="00686E34">
        <w:rPr>
          <w:rFonts w:ascii="Times New Roman" w:hAnsi="Times New Roman"/>
          <w:sz w:val="24"/>
          <w:szCs w:val="24"/>
          <w:lang w:val="en-US"/>
        </w:rPr>
        <w:t>(2) Once people have endorsed such a belief system, for whatever reason, it may be very hard to shake them out of their conviction. Belief perseverance is a well-stablished phenomenon</w:t>
      </w:r>
      <w:r>
        <w:rPr>
          <w:rFonts w:ascii="Times New Roman" w:hAnsi="Times New Roman"/>
          <w:sz w:val="24"/>
          <w:szCs w:val="24"/>
          <w:lang w:val="en-US"/>
        </w:rPr>
        <w:t xml:space="preserve"> in psychology</w:t>
      </w:r>
      <w:r w:rsidRPr="00686E34">
        <w:rPr>
          <w:rFonts w:ascii="Times New Roman" w:hAnsi="Times New Roman"/>
          <w:sz w:val="24"/>
          <w:szCs w:val="24"/>
          <w:lang w:val="en-US"/>
        </w:rPr>
        <w:t>, but epistemic black holes are unique in facilitating such perseverance. By using apparently rational inferences, believers can explain away any absent evidence, counterevidence or intellectual challenge they are confronted with.</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Before we discuss some case studies, we should </w:t>
      </w:r>
      <w:r>
        <w:rPr>
          <w:rFonts w:ascii="Times New Roman" w:hAnsi="Times New Roman"/>
          <w:sz w:val="24"/>
          <w:szCs w:val="24"/>
          <w:lang w:val="en-US"/>
        </w:rPr>
        <w:t>discuss</w:t>
      </w:r>
      <w:r w:rsidRPr="00686E34">
        <w:rPr>
          <w:rFonts w:ascii="Times New Roman" w:hAnsi="Times New Roman"/>
          <w:sz w:val="24"/>
          <w:szCs w:val="24"/>
          <w:lang w:val="en-US"/>
        </w:rPr>
        <w:t xml:space="preserve"> some similarities and differences with existing approaches to belief systems.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Our account of epistemic black holes should be situated within cultural-evolutionary approaches to beliefs and belief systems </w:t>
      </w:r>
      <w:r>
        <w:rPr>
          <w:rFonts w:ascii="Times New Roman" w:hAnsi="Times New Roman"/>
          <w:noProof/>
          <w:sz w:val="24"/>
          <w:szCs w:val="24"/>
          <w:lang w:val="en-US"/>
        </w:rPr>
        <w:t xml:space="preserve">(Henrich 2015; Lewens 2015; </w:t>
      </w:r>
      <w:r w:rsidR="006511E1">
        <w:rPr>
          <w:rFonts w:ascii="Times New Roman" w:hAnsi="Times New Roman"/>
          <w:noProof/>
          <w:sz w:val="24"/>
          <w:szCs w:val="24"/>
          <w:lang w:val="en-US"/>
        </w:rPr>
        <w:t>XXX</w:t>
      </w:r>
      <w:r>
        <w:rPr>
          <w:rFonts w:ascii="Times New Roman" w:hAnsi="Times New Roman"/>
          <w:noProof/>
          <w:sz w:val="24"/>
          <w:szCs w:val="24"/>
          <w:lang w:val="en-US"/>
        </w:rPr>
        <w:t>; Dennett 2006)</w:t>
      </w:r>
      <w:r w:rsidRPr="00686E34">
        <w:rPr>
          <w:rFonts w:ascii="Times New Roman" w:hAnsi="Times New Roman"/>
          <w:sz w:val="24"/>
          <w:szCs w:val="24"/>
          <w:lang w:val="en-US"/>
        </w:rPr>
        <w:t xml:space="preserve">. In particular, our metaphor of gravitational attraction is reminiscent of Dan Sperber’s model of </w:t>
      </w:r>
      <w:r w:rsidRPr="00B23854">
        <w:rPr>
          <w:rFonts w:ascii="Times New Roman" w:hAnsi="Times New Roman"/>
          <w:i/>
          <w:sz w:val="24"/>
          <w:szCs w:val="24"/>
          <w:lang w:val="en-US"/>
        </w:rPr>
        <w:t>cultural attractors</w:t>
      </w:r>
      <w:r w:rsidRPr="00686E34">
        <w:rPr>
          <w:rFonts w:ascii="Times New Roman" w:hAnsi="Times New Roman"/>
          <w:sz w:val="24"/>
          <w:szCs w:val="24"/>
          <w:lang w:val="en-US"/>
        </w:rPr>
        <w:t xml:space="preserve"> </w:t>
      </w:r>
      <w:r>
        <w:rPr>
          <w:rFonts w:ascii="Times New Roman" w:hAnsi="Times New Roman"/>
          <w:noProof/>
          <w:sz w:val="24"/>
          <w:szCs w:val="24"/>
          <w:lang w:val="en-US"/>
        </w:rPr>
        <w:t>(Sperber 1996)</w:t>
      </w:r>
      <w:r w:rsidRPr="00686E34">
        <w:rPr>
          <w:rFonts w:ascii="Times New Roman" w:hAnsi="Times New Roman"/>
          <w:sz w:val="24"/>
          <w:szCs w:val="24"/>
          <w:lang w:val="en-US"/>
        </w:rPr>
        <w:t xml:space="preserve">. According to Sperber, beliefs and other cultural representations tend to converge around certain identifiable ‘attractors’ in the space of all possible representations. In Sperber’s epidemiology of representations, the location of these cultural attractors is mostly (though not exclusively) determined by universal and innate features of the human mind. Certain types of representations recur across cultural environments because they resonate with human intuitions, cognitive biases and psychological tendencies, and hence are more readily distributed and disseminated. Epistemic black holes can be regarded as exceptionally strong cases of such cultural attractors: they are beliefs systems equipped with a self-sealing logic that render them extremely alluring and hard to resist.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lastRenderedPageBreak/>
        <w:t xml:space="preserve">Epistemic black holes can also be regarded as special cases of </w:t>
      </w:r>
      <w:r w:rsidRPr="00B23854">
        <w:rPr>
          <w:rFonts w:ascii="Times New Roman" w:hAnsi="Times New Roman"/>
          <w:i/>
          <w:sz w:val="24"/>
          <w:szCs w:val="24"/>
          <w:lang w:val="en-US"/>
        </w:rPr>
        <w:t>unfalsifiable</w:t>
      </w:r>
      <w:r w:rsidRPr="00686E34">
        <w:rPr>
          <w:rFonts w:ascii="Times New Roman" w:hAnsi="Times New Roman"/>
          <w:sz w:val="24"/>
          <w:szCs w:val="24"/>
          <w:lang w:val="en-US"/>
        </w:rPr>
        <w:t xml:space="preserve"> theories </w:t>
      </w:r>
      <w:r>
        <w:rPr>
          <w:rFonts w:ascii="Times New Roman" w:hAnsi="Times New Roman"/>
          <w:noProof/>
          <w:sz w:val="24"/>
          <w:szCs w:val="24"/>
          <w:lang w:val="en-US"/>
        </w:rPr>
        <w:t>(Popper 1959, 1963/2002)</w:t>
      </w:r>
      <w:r w:rsidRPr="00686E34">
        <w:rPr>
          <w:rFonts w:ascii="Times New Roman" w:hAnsi="Times New Roman"/>
          <w:sz w:val="24"/>
          <w:szCs w:val="24"/>
          <w:lang w:val="en-US"/>
        </w:rPr>
        <w:t>, namely cases in which the unfalsifiable character derives from intentional agency. ‘Falsifiability’ as defined by Popper, however, is a purely logical property of a theory, whereas the current approach focuses on the dynamic development of belief systems, and how one my gradually ‘fall into’ them.</w:t>
      </w:r>
      <w:r w:rsidRPr="00686E34">
        <w:rPr>
          <w:rStyle w:val="Voetnootmarkering"/>
          <w:rFonts w:ascii="Times New Roman" w:eastAsiaTheme="majorEastAsia" w:hAnsi="Times New Roman"/>
          <w:sz w:val="24"/>
          <w:szCs w:val="24"/>
          <w:lang w:val="en-US"/>
        </w:rPr>
        <w:footnoteReference w:id="1"/>
      </w:r>
      <w:r w:rsidRPr="00686E34">
        <w:rPr>
          <w:rFonts w:ascii="Times New Roman" w:hAnsi="Times New Roman"/>
          <w:sz w:val="24"/>
          <w:szCs w:val="24"/>
          <w:lang w:val="en-US"/>
        </w:rPr>
        <w:t xml:space="preserve"> It is also questionable whether the criterion of falsifiability is an appropriate one when dealing with purposeful agents working behind the scenes. Brian Keeley </w:t>
      </w:r>
      <w:r>
        <w:rPr>
          <w:rFonts w:ascii="Times New Roman" w:hAnsi="Times New Roman"/>
          <w:noProof/>
          <w:sz w:val="24"/>
          <w:szCs w:val="24"/>
          <w:lang w:val="en-US"/>
        </w:rPr>
        <w:t>(1999)</w:t>
      </w:r>
      <w:r w:rsidRPr="00686E34">
        <w:rPr>
          <w:rFonts w:ascii="Times New Roman" w:hAnsi="Times New Roman"/>
          <w:sz w:val="24"/>
          <w:szCs w:val="24"/>
          <w:lang w:val="en-US"/>
        </w:rPr>
        <w:t xml:space="preserve"> has pointed out that, whereas the natural sciences deal with inanimate objects that are not modifying their behavior when they are being studied, social scientists are dealing with intentional agents who could interfere with the research </w:t>
      </w:r>
      <w:r>
        <w:rPr>
          <w:rFonts w:ascii="Times New Roman" w:hAnsi="Times New Roman"/>
          <w:noProof/>
          <w:sz w:val="24"/>
          <w:szCs w:val="24"/>
          <w:lang w:val="en-US"/>
        </w:rPr>
        <w:t>(see also Keeley 2018; Harris 2018)</w:t>
      </w:r>
      <w:r w:rsidRPr="00686E34">
        <w:rPr>
          <w:rFonts w:ascii="Times New Roman" w:hAnsi="Times New Roman"/>
          <w:sz w:val="24"/>
          <w:szCs w:val="24"/>
          <w:lang w:val="en-US"/>
        </w:rPr>
        <w:t xml:space="preserve">. For instance, they could try sabotage our investigation by trying to erase or manipulate the evidence for their own existence. Resorting to falsification-evading auxiliary hypotheses is much more </w:t>
      </w:r>
      <w:r w:rsidRPr="00686E34">
        <w:rPr>
          <w:rFonts w:ascii="Times New Roman" w:hAnsi="Times New Roman"/>
          <w:i/>
          <w:sz w:val="24"/>
          <w:szCs w:val="24"/>
          <w:lang w:val="en-US"/>
        </w:rPr>
        <w:t>reasonable</w:t>
      </w:r>
      <w:r w:rsidRPr="00686E34">
        <w:rPr>
          <w:rFonts w:ascii="Times New Roman" w:hAnsi="Times New Roman"/>
          <w:sz w:val="24"/>
          <w:szCs w:val="24"/>
          <w:lang w:val="en-US"/>
        </w:rPr>
        <w:t xml:space="preserve"> when you suspect that you are dealing with intelligent agents working behind the scenes. But that is exactly the problem: exempting agential theories from the criterion of falsifiability, while eminently reasonable, is exactly what threatens to open up an epistemic black hole </w:t>
      </w:r>
      <w:r>
        <w:rPr>
          <w:rFonts w:ascii="Times New Roman" w:hAnsi="Times New Roman"/>
          <w:noProof/>
          <w:sz w:val="24"/>
          <w:szCs w:val="24"/>
          <w:lang w:val="en-US"/>
        </w:rPr>
        <w:t>(for a fuller discusion, see Napolitano 2021section 5.2)</w:t>
      </w:r>
      <w:r w:rsidRPr="00686E34">
        <w:rPr>
          <w:rFonts w:ascii="Times New Roman" w:hAnsi="Times New Roman"/>
          <w:sz w:val="24"/>
          <w:szCs w:val="24"/>
          <w:lang w:val="en-US"/>
        </w:rPr>
        <w:t xml:space="preserve">. As we will see (section </w:t>
      </w:r>
      <w:r w:rsidRPr="00686E34">
        <w:rPr>
          <w:rFonts w:ascii="Times New Roman" w:hAnsi="Times New Roman"/>
          <w:sz w:val="24"/>
          <w:szCs w:val="24"/>
          <w:lang w:val="en-US"/>
        </w:rPr>
        <w:fldChar w:fldCharType="begin"/>
      </w:r>
      <w:r w:rsidRPr="00686E34">
        <w:rPr>
          <w:rFonts w:ascii="Times New Roman" w:hAnsi="Times New Roman"/>
          <w:sz w:val="24"/>
          <w:szCs w:val="24"/>
          <w:lang w:val="en-US"/>
        </w:rPr>
        <w:instrText xml:space="preserve"> REF _Ref135746112 \r \h </w:instrText>
      </w:r>
      <w:r>
        <w:rPr>
          <w:rFonts w:ascii="Times New Roman" w:hAnsi="Times New Roman"/>
          <w:sz w:val="24"/>
          <w:szCs w:val="24"/>
          <w:lang w:val="en-US"/>
        </w:rPr>
        <w:instrText xml:space="preserve"> \* MERGEFORMAT </w:instrText>
      </w:r>
      <w:r w:rsidRPr="00686E34">
        <w:rPr>
          <w:rFonts w:ascii="Times New Roman" w:hAnsi="Times New Roman"/>
          <w:sz w:val="24"/>
          <w:szCs w:val="24"/>
          <w:lang w:val="en-US"/>
        </w:rPr>
      </w:r>
      <w:r w:rsidRPr="00686E34">
        <w:rPr>
          <w:rFonts w:ascii="Times New Roman" w:hAnsi="Times New Roman"/>
          <w:sz w:val="24"/>
          <w:szCs w:val="24"/>
          <w:lang w:val="en-US"/>
        </w:rPr>
        <w:fldChar w:fldCharType="separate"/>
      </w:r>
      <w:r w:rsidR="00D62A77">
        <w:rPr>
          <w:rFonts w:ascii="Times New Roman" w:hAnsi="Times New Roman"/>
          <w:sz w:val="24"/>
          <w:szCs w:val="24"/>
          <w:lang w:val="en-US"/>
        </w:rPr>
        <w:t>4.1</w:t>
      </w:r>
      <w:r w:rsidRPr="00686E34">
        <w:rPr>
          <w:rFonts w:ascii="Times New Roman" w:hAnsi="Times New Roman"/>
          <w:sz w:val="24"/>
          <w:szCs w:val="24"/>
          <w:lang w:val="en-US"/>
        </w:rPr>
        <w:fldChar w:fldCharType="end"/>
      </w:r>
      <w:r w:rsidRPr="00686E34">
        <w:rPr>
          <w:rFonts w:ascii="Times New Roman" w:hAnsi="Times New Roman"/>
          <w:sz w:val="24"/>
          <w:szCs w:val="24"/>
          <w:lang w:val="en-US"/>
        </w:rPr>
        <w:t xml:space="preserve">), this gives rise to a problem of explanatory arbitrariness and proliferating alternatives.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Finally, our notion of epistemic black holes also shares some similarities to C. </w:t>
      </w:r>
      <w:proofErr w:type="spellStart"/>
      <w:r w:rsidRPr="00686E34">
        <w:rPr>
          <w:rFonts w:ascii="Times New Roman" w:hAnsi="Times New Roman"/>
          <w:sz w:val="24"/>
          <w:szCs w:val="24"/>
          <w:lang w:val="en-US"/>
        </w:rPr>
        <w:t>Thi</w:t>
      </w:r>
      <w:proofErr w:type="spellEnd"/>
      <w:r w:rsidRPr="00686E34">
        <w:rPr>
          <w:rFonts w:ascii="Times New Roman" w:hAnsi="Times New Roman"/>
          <w:sz w:val="24"/>
          <w:szCs w:val="24"/>
          <w:lang w:val="en-US"/>
        </w:rPr>
        <w:t xml:space="preserve"> Nguyen’s </w:t>
      </w:r>
      <w:r>
        <w:rPr>
          <w:rFonts w:ascii="Times New Roman" w:hAnsi="Times New Roman"/>
          <w:noProof/>
          <w:sz w:val="24"/>
          <w:szCs w:val="24"/>
          <w:lang w:val="en-US"/>
        </w:rPr>
        <w:t>(2020)</w:t>
      </w:r>
      <w:r w:rsidRPr="00686E34">
        <w:rPr>
          <w:rFonts w:ascii="Times New Roman" w:hAnsi="Times New Roman"/>
          <w:sz w:val="24"/>
          <w:szCs w:val="24"/>
          <w:lang w:val="en-US"/>
        </w:rPr>
        <w:t xml:space="preserve"> seminal paper on </w:t>
      </w:r>
      <w:r w:rsidRPr="00B23854">
        <w:rPr>
          <w:rFonts w:ascii="Times New Roman" w:hAnsi="Times New Roman"/>
          <w:i/>
          <w:sz w:val="24"/>
          <w:szCs w:val="24"/>
          <w:lang w:val="en-US"/>
        </w:rPr>
        <w:t>echo chambers</w:t>
      </w:r>
      <w:r w:rsidRPr="00686E34">
        <w:rPr>
          <w:rFonts w:ascii="Times New Roman" w:hAnsi="Times New Roman"/>
          <w:sz w:val="24"/>
          <w:szCs w:val="24"/>
          <w:lang w:val="en-US"/>
        </w:rPr>
        <w:t xml:space="preserve">. While Nguyen’s account is focused on epistemic communities (rather than belief systems) and how they insulate believers from external challenges </w:t>
      </w:r>
      <w:r>
        <w:rPr>
          <w:rFonts w:ascii="Times New Roman" w:hAnsi="Times New Roman"/>
          <w:noProof/>
          <w:sz w:val="24"/>
          <w:szCs w:val="24"/>
          <w:lang w:val="en-US"/>
        </w:rPr>
        <w:t>(see also Begby 2021)</w:t>
      </w:r>
      <w:r w:rsidRPr="00686E34">
        <w:rPr>
          <w:rFonts w:ascii="Times New Roman" w:hAnsi="Times New Roman"/>
          <w:sz w:val="24"/>
          <w:szCs w:val="24"/>
          <w:lang w:val="en-US"/>
        </w:rPr>
        <w:t xml:space="preserve">, his account of “disagreement-reinforcement mechanisms” follows a similar logic to our epistemic black holes. In an echo chamber, believers are led to </w:t>
      </w:r>
      <w:r w:rsidRPr="00686E34">
        <w:rPr>
          <w:rFonts w:ascii="Times New Roman" w:hAnsi="Times New Roman"/>
          <w:sz w:val="24"/>
          <w:szCs w:val="24"/>
          <w:lang w:val="en-US"/>
        </w:rPr>
        <w:lastRenderedPageBreak/>
        <w:t xml:space="preserve">expect the expression of external challenges and contrary beliefs, which thereby reinforce the original belief. Nguyen also describes how believers become “gradually embedded” in echo chambers, and presents his account as an alternative to “attributions of brute irrationality” </w:t>
      </w:r>
      <w:r>
        <w:rPr>
          <w:rFonts w:ascii="Times New Roman" w:hAnsi="Times New Roman"/>
          <w:noProof/>
          <w:sz w:val="24"/>
          <w:szCs w:val="24"/>
          <w:lang w:val="en-US"/>
        </w:rPr>
        <w:t>(2020: 10)</w:t>
      </w:r>
      <w:r w:rsidRPr="00686E34">
        <w:rPr>
          <w:rFonts w:ascii="Times New Roman" w:hAnsi="Times New Roman"/>
          <w:sz w:val="24"/>
          <w:szCs w:val="24"/>
          <w:lang w:val="en-US"/>
        </w:rPr>
        <w:t xml:space="preserve">. In a similar vein, our account rationalizes belief in epistemic black holes, by showing how even a rational person may gradually fall into their orbit, and find it very difficult to escape. </w:t>
      </w:r>
    </w:p>
    <w:p w:rsidR="00CF3D71" w:rsidRPr="00686E34" w:rsidRDefault="00CF3D71" w:rsidP="00053B63">
      <w:pPr>
        <w:pStyle w:val="Kop1"/>
        <w:spacing w:line="480" w:lineRule="auto"/>
        <w:rPr>
          <w:rFonts w:ascii="Times New Roman" w:hAnsi="Times New Roman" w:cs="Times New Roman"/>
          <w:color w:val="auto"/>
          <w:sz w:val="24"/>
          <w:szCs w:val="24"/>
          <w:lang w:val="en-US"/>
        </w:rPr>
      </w:pPr>
      <w:bookmarkStart w:id="24" w:name="_Toc117878434"/>
      <w:r w:rsidRPr="00686E34">
        <w:rPr>
          <w:rFonts w:ascii="Times New Roman" w:hAnsi="Times New Roman" w:cs="Times New Roman"/>
          <w:color w:val="auto"/>
          <w:sz w:val="24"/>
          <w:szCs w:val="24"/>
          <w:lang w:val="en-US"/>
        </w:rPr>
        <w:t>Case studies</w:t>
      </w:r>
      <w:bookmarkEnd w:id="24"/>
    </w:p>
    <w:p w:rsidR="00CF3D71" w:rsidRPr="00686E34" w:rsidRDefault="00CF3D71" w:rsidP="00053B63">
      <w:pPr>
        <w:pStyle w:val="Kop2"/>
        <w:spacing w:line="480" w:lineRule="auto"/>
        <w:jc w:val="both"/>
        <w:rPr>
          <w:rFonts w:ascii="Times New Roman" w:hAnsi="Times New Roman" w:cs="Times New Roman"/>
          <w:color w:val="auto"/>
          <w:sz w:val="24"/>
          <w:szCs w:val="24"/>
          <w:lang w:val="en-US"/>
        </w:rPr>
      </w:pPr>
      <w:bookmarkStart w:id="25" w:name="_Toc117878435"/>
      <w:bookmarkStart w:id="26" w:name="_Ref135927671"/>
      <w:r w:rsidRPr="00686E34">
        <w:rPr>
          <w:rFonts w:ascii="Times New Roman" w:hAnsi="Times New Roman" w:cs="Times New Roman"/>
          <w:color w:val="auto"/>
          <w:sz w:val="24"/>
          <w:szCs w:val="24"/>
          <w:lang w:val="en-US"/>
        </w:rPr>
        <w:t>Unfounded conspiracy theories</w:t>
      </w:r>
      <w:bookmarkEnd w:id="25"/>
      <w:bookmarkEnd w:id="26"/>
    </w:p>
    <w:p w:rsidR="00CF3D71" w:rsidRPr="00686E34" w:rsidRDefault="00CF3D71" w:rsidP="00053B63">
      <w:pPr>
        <w:spacing w:line="480" w:lineRule="auto"/>
        <w:jc w:val="both"/>
        <w:rPr>
          <w:rFonts w:ascii="Times New Roman" w:hAnsi="Times New Roman"/>
          <w:sz w:val="24"/>
          <w:szCs w:val="24"/>
          <w:lang w:val="en-US"/>
        </w:rPr>
      </w:pPr>
      <w:bookmarkStart w:id="27" w:name="_Hlk104476603"/>
      <w:r w:rsidRPr="00686E34">
        <w:rPr>
          <w:rFonts w:ascii="Times New Roman" w:hAnsi="Times New Roman"/>
          <w:sz w:val="24"/>
          <w:szCs w:val="24"/>
          <w:lang w:val="en-US"/>
        </w:rPr>
        <w:t>If one defines a “conspiracy theory” simply as an explanation of history (or recent events) that centers around a secret plot, usually with nefarious intentions, then it should be clear that not all conspiracy theories are unfounded or false.</w:t>
      </w:r>
      <w:r w:rsidRPr="00686E34">
        <w:rPr>
          <w:rStyle w:val="Voetnootmarkering"/>
          <w:rFonts w:ascii="Times New Roman" w:eastAsiaTheme="majorEastAsia" w:hAnsi="Times New Roman"/>
          <w:sz w:val="24"/>
          <w:szCs w:val="24"/>
          <w:lang w:val="en-US"/>
        </w:rPr>
        <w:footnoteReference w:id="2"/>
      </w:r>
      <w:r w:rsidRPr="00686E34">
        <w:rPr>
          <w:rFonts w:ascii="Times New Roman" w:hAnsi="Times New Roman"/>
          <w:sz w:val="24"/>
          <w:szCs w:val="24"/>
          <w:lang w:val="en-US"/>
        </w:rPr>
        <w:t xml:space="preserve"> Indeed, the pages of history are replete with well-documented conspiracies (e.g. the Watergate scandal, the murder of Julius Caesar, the October Revolution, the Moscow show trials), and there may be others that we have yet to unveil. But this is not how the term “conspiracy theory” is ordinarily used </w:t>
      </w:r>
      <w:r>
        <w:rPr>
          <w:rFonts w:ascii="Times New Roman" w:hAnsi="Times New Roman"/>
          <w:noProof/>
          <w:sz w:val="24"/>
          <w:szCs w:val="24"/>
          <w:lang w:val="en-US"/>
        </w:rPr>
        <w:t>(Napolitano and Reuter 2021; Douglas, van Prooijen, and Sutton 2022)</w:t>
      </w:r>
      <w:r w:rsidRPr="00686E34">
        <w:rPr>
          <w:rFonts w:ascii="Times New Roman" w:hAnsi="Times New Roman"/>
          <w:sz w:val="24"/>
          <w:szCs w:val="24"/>
          <w:lang w:val="en-US"/>
        </w:rPr>
        <w:t xml:space="preserve">. Instead, “conspiracy theories” refer to a class of unfounded and unofficial theories that are held in the absence of good evidence. Examples include the belief that the moon landing was staged in a Hollywood studio, that 9/11 was an inside job perpetrated by the Bush administration, that Lee Harvey Oswald was a patsy for a larger plot against JFK, or that the Sandy Hook school shooting was staged with paid actors as part of a gun control campaign. It also includes broader conspiratorial worldviews that </w:t>
      </w:r>
      <w:r w:rsidRPr="00686E34">
        <w:rPr>
          <w:rFonts w:ascii="Times New Roman" w:hAnsi="Times New Roman"/>
          <w:sz w:val="24"/>
          <w:szCs w:val="24"/>
          <w:lang w:val="en-US"/>
        </w:rPr>
        <w:lastRenderedPageBreak/>
        <w:t xml:space="preserve">explain all or most historical events as resulting from the intentions of a small cadre of invisible actors, such as the Elders of Zion, the Rothschilds, or the Illuminati </w:t>
      </w:r>
      <w:r>
        <w:rPr>
          <w:rFonts w:ascii="Times New Roman" w:hAnsi="Times New Roman"/>
          <w:noProof/>
          <w:sz w:val="24"/>
          <w:szCs w:val="24"/>
          <w:lang w:val="en-US"/>
        </w:rPr>
        <w:t>(Byford 2011; Pipes 1999; Uscinski 2018)</w:t>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In our understanding, all of these theories can be characterized as “epistemic black holes”. Even though some conspiracy theories have some plausibility when initially proposed (such as the theory that Lee Harvey Oswald was just a patsy in a larger plot against JFK), proponents of this theory have gradually fallen into an epistemic black hole from which it is very difficult to escape.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The attraction of such an epistemic black holes is easy to understand. If you postulate the existence of intelligent agents working behind the scenes to cover up the evidence for his existence, then you have some reason to expect an absence of evidence for your theory, and even the discovery of (false) counterevidence. If the conspiracy is real, after all, the conspirators will try their best to throw you off the scent and sabotage your investigation </w:t>
      </w:r>
      <w:r>
        <w:rPr>
          <w:rFonts w:ascii="Times New Roman" w:hAnsi="Times New Roman"/>
          <w:noProof/>
          <w:sz w:val="24"/>
          <w:szCs w:val="24"/>
          <w:lang w:val="en-US"/>
        </w:rPr>
        <w:t>(Clarke 2002; Keeley 1999)</w:t>
      </w:r>
      <w:r w:rsidRPr="00686E34">
        <w:rPr>
          <w:rFonts w:ascii="Times New Roman" w:hAnsi="Times New Roman"/>
          <w:sz w:val="24"/>
          <w:szCs w:val="24"/>
          <w:lang w:val="en-US"/>
        </w:rPr>
        <w:t xml:space="preserve">. </w:t>
      </w:r>
      <w:bookmarkEnd w:id="27"/>
      <w:r w:rsidRPr="00686E34">
        <w:rPr>
          <w:rFonts w:ascii="Times New Roman" w:hAnsi="Times New Roman"/>
          <w:sz w:val="24"/>
          <w:szCs w:val="24"/>
          <w:lang w:val="en-US"/>
        </w:rPr>
        <w:t xml:space="preserve">Depending on how powerful and smart the culprits are, it can therefore become very hard to definitively refute a conspiracy theory or to convince yourself that the conspiracy is a figment of your imagination. From a Bayesian point of view, it is often </w:t>
      </w:r>
      <w:r w:rsidRPr="00686E34">
        <w:rPr>
          <w:rFonts w:ascii="Times New Roman" w:hAnsi="Times New Roman"/>
          <w:i/>
          <w:sz w:val="24"/>
          <w:szCs w:val="24"/>
          <w:lang w:val="en-US"/>
        </w:rPr>
        <w:t xml:space="preserve">rational </w:t>
      </w:r>
      <w:r w:rsidRPr="00686E34">
        <w:rPr>
          <w:rFonts w:ascii="Times New Roman" w:hAnsi="Times New Roman"/>
          <w:sz w:val="24"/>
          <w:szCs w:val="24"/>
          <w:lang w:val="en-US"/>
        </w:rPr>
        <w:t xml:space="preserve">to protect your central hypothesis from disconfirmation by resorting to novel auxiliaries </w:t>
      </w:r>
      <w:r>
        <w:rPr>
          <w:rFonts w:ascii="Times New Roman" w:hAnsi="Times New Roman"/>
          <w:noProof/>
          <w:sz w:val="24"/>
          <w:szCs w:val="24"/>
          <w:lang w:val="en-US"/>
        </w:rPr>
        <w:t>(Poth and Dolega 2023)</w:t>
      </w:r>
      <w:r w:rsidRPr="00686E34">
        <w:rPr>
          <w:rFonts w:ascii="Times New Roman" w:hAnsi="Times New Roman"/>
          <w:sz w:val="24"/>
          <w:szCs w:val="24"/>
          <w:lang w:val="en-US"/>
        </w:rPr>
        <w:t xml:space="preserve">. By their very nature, conspiracy theories have an “elaborate support structure of auxiliary hypotheses” </w:t>
      </w:r>
      <w:r>
        <w:rPr>
          <w:rFonts w:ascii="Times New Roman" w:hAnsi="Times New Roman"/>
          <w:noProof/>
          <w:sz w:val="24"/>
          <w:szCs w:val="24"/>
          <w:lang w:val="en-US"/>
        </w:rPr>
        <w:t>(Gershman 2019: 22)</w:t>
      </w:r>
      <w:r w:rsidRPr="00686E34">
        <w:rPr>
          <w:rFonts w:ascii="Times New Roman" w:hAnsi="Times New Roman"/>
          <w:sz w:val="24"/>
          <w:szCs w:val="24"/>
          <w:lang w:val="en-US"/>
        </w:rPr>
        <w:t xml:space="preserve"> that afford protection against virtually any conflicting evidence. Or as Napolitano calls it, unfounded conspiracy theories exhibit “evidential self-insulation” </w:t>
      </w:r>
      <w:r>
        <w:rPr>
          <w:rFonts w:ascii="Times New Roman" w:hAnsi="Times New Roman"/>
          <w:noProof/>
          <w:sz w:val="24"/>
          <w:szCs w:val="24"/>
          <w:lang w:val="en-US"/>
        </w:rPr>
        <w:t>(Napolitano 2021)</w:t>
      </w:r>
      <w:r w:rsidRPr="00686E34">
        <w:rPr>
          <w:rFonts w:ascii="Times New Roman" w:hAnsi="Times New Roman"/>
          <w:sz w:val="24"/>
          <w:szCs w:val="24"/>
          <w:lang w:val="en-US"/>
        </w:rPr>
        <w:t>.</w:t>
      </w:r>
      <w:r w:rsidRPr="00686E34">
        <w:rPr>
          <w:rStyle w:val="Voetnootmarkering"/>
          <w:rFonts w:ascii="Times New Roman" w:eastAsiaTheme="majorEastAsia" w:hAnsi="Times New Roman"/>
          <w:sz w:val="24"/>
          <w:szCs w:val="24"/>
          <w:lang w:val="en-US"/>
        </w:rPr>
        <w:footnoteReference w:id="3"/>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lastRenderedPageBreak/>
        <w:t xml:space="preserve">Indeed, from the perspective of the conspiracy theory, believers are led to expect attempts by outsiders to refute the conspiracy, because the conspirator and their accomplices want to cover up their tracks. When believers do inevitably encounter such challenges, this will often serve to reinforce the original belief system </w:t>
      </w:r>
      <w:r>
        <w:rPr>
          <w:rFonts w:ascii="Times New Roman" w:hAnsi="Times New Roman"/>
          <w:noProof/>
          <w:sz w:val="24"/>
          <w:szCs w:val="24"/>
          <w:lang w:val="en-US"/>
        </w:rPr>
        <w:t>(Nguyen 2020)</w:t>
      </w:r>
      <w:r w:rsidRPr="00686E34">
        <w:rPr>
          <w:rFonts w:ascii="Times New Roman" w:hAnsi="Times New Roman"/>
          <w:sz w:val="24"/>
          <w:szCs w:val="24"/>
          <w:lang w:val="en-US"/>
        </w:rPr>
        <w:t>. By reasoning in such ways, it becomes possible to maintain conspiracy beliefs in the complete absence of any positive evidence, and even in the face of strong counterevidence and dissent. This is not just because of some psychological defect on the part of conspiracy theorists (although these surely also play some role), but because of the very structure of the belief system within which they reason.</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How do we tell apart legitimate hypotheses about conspiracies from epistemic black holes? In physics, the </w:t>
      </w:r>
      <w:r w:rsidRPr="00686E34">
        <w:rPr>
          <w:rFonts w:ascii="Times New Roman" w:hAnsi="Times New Roman"/>
          <w:i/>
          <w:sz w:val="24"/>
          <w:szCs w:val="24"/>
          <w:lang w:val="en-US"/>
        </w:rPr>
        <w:t>event horizon</w:t>
      </w:r>
      <w:r w:rsidRPr="00686E34">
        <w:rPr>
          <w:rFonts w:ascii="Times New Roman" w:hAnsi="Times New Roman"/>
          <w:sz w:val="24"/>
          <w:szCs w:val="24"/>
          <w:lang w:val="en-US"/>
        </w:rPr>
        <w:t xml:space="preserve"> is defined as the boundary around a black hole beyond which not even light can escape. Although there is no equivalently clear-cut “horizon” in the domain of conspiracy theorizing, a tell-tale sign of epistemic black holes is that they have a tendency to grow larger and more elaborate over time. To explain away missing evidence or apparent counterevidence, conspiracy theorists are forced to either enlarge the circle of conspirators, or attribute ever more power and cunning to them </w:t>
      </w:r>
      <w:r>
        <w:rPr>
          <w:rFonts w:ascii="Times New Roman" w:hAnsi="Times New Roman"/>
          <w:noProof/>
          <w:sz w:val="24"/>
          <w:szCs w:val="24"/>
          <w:lang w:val="en-US"/>
        </w:rPr>
        <w:t>(Keeley 1999; Clarke 2002; Boudry 2022; Shermer 2022)</w:t>
      </w:r>
      <w:r w:rsidRPr="00686E34">
        <w:rPr>
          <w:rFonts w:ascii="Times New Roman" w:hAnsi="Times New Roman"/>
          <w:sz w:val="24"/>
          <w:szCs w:val="24"/>
          <w:lang w:val="en-US"/>
        </w:rPr>
        <w:t xml:space="preserve">. In this way, an initially credible conspiracy hypothesis about a specific historical event (such as the murder of John F. Kennedy) may degenerate into an epistemic black hole when it ends up attributing superhuman powers and intelligence to some unseen conspirators working behind the scenes.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Perhaps the most infamous document in the history of conspiracy theories, which was used by the Nazis as a “warrant for genocide” </w:t>
      </w:r>
      <w:r>
        <w:rPr>
          <w:rFonts w:ascii="Times New Roman" w:hAnsi="Times New Roman"/>
          <w:noProof/>
          <w:sz w:val="24"/>
          <w:szCs w:val="24"/>
          <w:lang w:val="en-US"/>
        </w:rPr>
        <w:t>(Cohn 1967)</w:t>
      </w:r>
      <w:r w:rsidRPr="00686E34">
        <w:rPr>
          <w:rFonts w:ascii="Times New Roman" w:hAnsi="Times New Roman"/>
          <w:sz w:val="24"/>
          <w:szCs w:val="24"/>
          <w:lang w:val="en-US"/>
        </w:rPr>
        <w:t xml:space="preserve">, is the </w:t>
      </w:r>
      <w:r w:rsidRPr="00686E34">
        <w:rPr>
          <w:rFonts w:ascii="Times New Roman" w:hAnsi="Times New Roman"/>
          <w:i/>
          <w:iCs/>
          <w:sz w:val="24"/>
          <w:szCs w:val="24"/>
          <w:lang w:val="en-US"/>
        </w:rPr>
        <w:t>Protocols of the Elders of Zion</w:t>
      </w:r>
      <w:r w:rsidRPr="00686E34">
        <w:rPr>
          <w:rFonts w:ascii="Times New Roman" w:hAnsi="Times New Roman"/>
          <w:sz w:val="24"/>
          <w:szCs w:val="24"/>
          <w:lang w:val="en-US"/>
        </w:rPr>
        <w:t>. In actual fact, the document is a forgery originating in 19</w:t>
      </w:r>
      <w:r w:rsidRPr="00686E34">
        <w:rPr>
          <w:rFonts w:ascii="Times New Roman" w:hAnsi="Times New Roman"/>
          <w:sz w:val="24"/>
          <w:szCs w:val="24"/>
          <w:vertAlign w:val="superscript"/>
          <w:lang w:val="en-US"/>
        </w:rPr>
        <w:t>th</w:t>
      </w:r>
      <w:r w:rsidRPr="00686E34">
        <w:rPr>
          <w:rFonts w:ascii="Times New Roman" w:hAnsi="Times New Roman"/>
          <w:sz w:val="24"/>
          <w:szCs w:val="24"/>
          <w:lang w:val="en-US"/>
        </w:rPr>
        <w:t xml:space="preserve"> century Czarist Russia, and had been exposed as such long before the Nazi party and assorted antisemitic movements throughout Europe started touting the document as evidence of a global conspiracy of international Jewry. Interestingly, when strong evidence of the forgery was unearthed, according to the historian </w:t>
      </w:r>
      <w:r w:rsidRPr="00686E34">
        <w:rPr>
          <w:rFonts w:ascii="Times New Roman" w:hAnsi="Times New Roman"/>
          <w:sz w:val="24"/>
          <w:szCs w:val="24"/>
          <w:lang w:val="en-US"/>
        </w:rPr>
        <w:lastRenderedPageBreak/>
        <w:t xml:space="preserve">Jovan Byford, “many of the book's admirers simply dismissed [it] as a campaign by Jews to undermine the 'leaked' document which exposes so clearly their sinister secret” </w:t>
      </w:r>
      <w:r>
        <w:rPr>
          <w:rFonts w:ascii="Times New Roman" w:hAnsi="Times New Roman"/>
          <w:noProof/>
          <w:sz w:val="24"/>
          <w:szCs w:val="24"/>
          <w:lang w:val="en-US"/>
        </w:rPr>
        <w:t>(2011: 55)</w:t>
      </w:r>
      <w:r w:rsidRPr="00686E34">
        <w:rPr>
          <w:rFonts w:ascii="Times New Roman" w:hAnsi="Times New Roman"/>
          <w:sz w:val="24"/>
          <w:szCs w:val="24"/>
          <w:lang w:val="en-US"/>
        </w:rPr>
        <w:t xml:space="preserve">. In a similar vein, according to Hannah Arendt, the story of a global Jewish conspiracy benefited from the built-in and self-sealing notion that, the “more consistently a discussion of the Jewish question was avoided by all parties and organs of public opinion”, the more believers became convinced that “Jews were the true representatives of the powers that be” </w:t>
      </w:r>
      <w:r>
        <w:rPr>
          <w:rFonts w:ascii="Times New Roman" w:hAnsi="Times New Roman"/>
          <w:noProof/>
          <w:sz w:val="24"/>
          <w:szCs w:val="24"/>
          <w:lang w:val="en-US"/>
        </w:rPr>
        <w:t>(Arendt 1951/2017: 462-63)</w:t>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Although such arguments appear blatantly question-begging, they make good sense from the perspective of the conspiracy theory. If the Protocols had been an authentic document and if the Elders of Zion as portrayed there really existed, we would </w:t>
      </w:r>
      <w:r w:rsidRPr="00686E34">
        <w:rPr>
          <w:rFonts w:ascii="Times New Roman" w:hAnsi="Times New Roman"/>
          <w:i/>
          <w:iCs/>
          <w:sz w:val="24"/>
          <w:szCs w:val="24"/>
          <w:lang w:val="en-US"/>
        </w:rPr>
        <w:t xml:space="preserve">expect </w:t>
      </w:r>
      <w:r w:rsidRPr="00686E34">
        <w:rPr>
          <w:rFonts w:ascii="Times New Roman" w:hAnsi="Times New Roman"/>
          <w:sz w:val="24"/>
          <w:szCs w:val="24"/>
          <w:lang w:val="en-US"/>
        </w:rPr>
        <w:t xml:space="preserve">them to dissimulate the evidence for their secret plans. And if the Jews really controlled all the other parties behind the scenes, we would expect those parties to remain suspiciously silent on (or dismissive of) the “Jewish question”. In the 1905 introduction to the </w:t>
      </w:r>
      <w:r w:rsidRPr="00686E34">
        <w:rPr>
          <w:rFonts w:ascii="Times New Roman" w:hAnsi="Times New Roman"/>
          <w:i/>
          <w:iCs/>
          <w:sz w:val="24"/>
          <w:szCs w:val="24"/>
          <w:lang w:val="en-US"/>
        </w:rPr>
        <w:t>Protocols</w:t>
      </w:r>
      <w:r w:rsidRPr="00686E34">
        <w:rPr>
          <w:rFonts w:ascii="Times New Roman" w:hAnsi="Times New Roman"/>
          <w:sz w:val="24"/>
          <w:szCs w:val="24"/>
          <w:lang w:val="en-US"/>
        </w:rPr>
        <w:t xml:space="preserve">, the reader is warned not to be fooled by the absence of witnesses to corroborate the reality of the organization and their evil plans. In fact, such an absence of evidence is exactly what we should expect: </w:t>
      </w:r>
    </w:p>
    <w:p w:rsidR="00CF3D71" w:rsidRPr="00686E34" w:rsidRDefault="00CF3D71" w:rsidP="00053B63">
      <w:pPr>
        <w:spacing w:line="480" w:lineRule="auto"/>
        <w:ind w:left="708"/>
        <w:jc w:val="both"/>
        <w:rPr>
          <w:rFonts w:ascii="Times New Roman" w:hAnsi="Times New Roman"/>
          <w:sz w:val="24"/>
          <w:szCs w:val="24"/>
          <w:lang w:val="en-US"/>
        </w:rPr>
      </w:pPr>
      <w:r w:rsidRPr="00686E34">
        <w:rPr>
          <w:rFonts w:ascii="Times New Roman" w:hAnsi="Times New Roman"/>
          <w:sz w:val="24"/>
          <w:szCs w:val="24"/>
          <w:lang w:val="en-US"/>
        </w:rPr>
        <w:t xml:space="preserve">were it possible to  prove this world-wide conspiracy by means of letters or by declarations of witnesses, […] the “mysteries of iniquity,” would by this very fact, be violated. To prove itself, it has to remain unmolested till the day of its incarnation in the “son of perdition” […]. </w:t>
      </w:r>
      <w:r w:rsidRPr="00686E34">
        <w:rPr>
          <w:rFonts w:ascii="Times New Roman" w:hAnsi="Times New Roman"/>
          <w:i/>
          <w:iCs/>
          <w:sz w:val="24"/>
          <w:szCs w:val="24"/>
          <w:lang w:val="en-US"/>
        </w:rPr>
        <w:t xml:space="preserve"> </w:t>
      </w:r>
      <w:r>
        <w:rPr>
          <w:rFonts w:ascii="Times New Roman" w:hAnsi="Times New Roman"/>
          <w:noProof/>
          <w:sz w:val="24"/>
          <w:szCs w:val="24"/>
          <w:lang w:val="en-US"/>
        </w:rPr>
        <w:t>(Nilus 2009: iv)</w:t>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Even today, a full century after having been debunked, the Protocols are still being regularly reprinted, disseminated and discussed as an authentic document, now predominantly in the Islamic world, but also elsewhere.</w:t>
      </w:r>
      <w:r w:rsidRPr="00686E34">
        <w:rPr>
          <w:rFonts w:ascii="Times New Roman" w:hAnsi="Times New Roman"/>
          <w:sz w:val="24"/>
          <w:szCs w:val="24"/>
          <w:vertAlign w:val="superscript"/>
          <w:lang w:val="en-US"/>
        </w:rPr>
        <w:footnoteReference w:id="4"/>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lastRenderedPageBreak/>
        <w:t xml:space="preserve">A similar self-sealing logic can be observed with many other popular conspiracy theories. When the 9/11 Commission, set up by the U.S. Congress, published its final 585-page report in 2004, reviewing half a million documents and detailing the responsibility of Al Qaeda and the failures of U.S. intelligence agencies in excruciating detail, conspiracy theorists were hardly impressed. After all, if the U.S. government had itself staged the attack as a false flag operation, in order to create a pretext for invading Iraq and Afghanistan, we would </w:t>
      </w:r>
      <w:r w:rsidRPr="00686E34">
        <w:rPr>
          <w:rFonts w:ascii="Times New Roman" w:hAnsi="Times New Roman"/>
          <w:i/>
          <w:iCs/>
          <w:sz w:val="24"/>
          <w:szCs w:val="24"/>
          <w:lang w:val="en-US"/>
        </w:rPr>
        <w:t>expect</w:t>
      </w:r>
      <w:r w:rsidRPr="00686E34">
        <w:rPr>
          <w:rFonts w:ascii="Times New Roman" w:hAnsi="Times New Roman"/>
          <w:sz w:val="24"/>
          <w:szCs w:val="24"/>
          <w:lang w:val="en-US"/>
        </w:rPr>
        <w:t xml:space="preserve"> them to fabricate a sham report full of false evidence and distortions.</w:t>
      </w:r>
      <w:r w:rsidRPr="00686E34">
        <w:rPr>
          <w:rStyle w:val="Voetnootmarkering"/>
          <w:rFonts w:ascii="Times New Roman" w:eastAsiaTheme="majorEastAsia" w:hAnsi="Times New Roman"/>
          <w:sz w:val="24"/>
          <w:szCs w:val="24"/>
          <w:lang w:val="en-US"/>
        </w:rPr>
        <w:footnoteReference w:id="5"/>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A more recent example shows that, even when direct and first-hand contrary evidence manages to shake one believer out of his conviction, this will hardly persuade others. In the conspiracy world of </w:t>
      </w:r>
      <w:proofErr w:type="spellStart"/>
      <w:r w:rsidRPr="00686E34">
        <w:rPr>
          <w:rFonts w:ascii="Times New Roman" w:hAnsi="Times New Roman"/>
          <w:sz w:val="24"/>
          <w:szCs w:val="24"/>
          <w:lang w:val="en-US"/>
        </w:rPr>
        <w:t>QAnon</w:t>
      </w:r>
      <w:proofErr w:type="spellEnd"/>
      <w:r w:rsidRPr="00686E34">
        <w:rPr>
          <w:rFonts w:ascii="Times New Roman" w:hAnsi="Times New Roman"/>
          <w:sz w:val="24"/>
          <w:szCs w:val="24"/>
          <w:lang w:val="en-US"/>
        </w:rPr>
        <w:t xml:space="preserve">, there is a widespread belief that a cabal of Democrats including Hillary Clinton and Barack Obama are sexually molesting and trafficking children, and that this sex-trafficking ring is run from the basement of the Pizzeria Comet Ping Pong in Washington DC. In December 2016 one member of a popular </w:t>
      </w:r>
      <w:proofErr w:type="spellStart"/>
      <w:r w:rsidRPr="00686E34">
        <w:rPr>
          <w:rFonts w:ascii="Times New Roman" w:hAnsi="Times New Roman"/>
          <w:sz w:val="24"/>
          <w:szCs w:val="24"/>
          <w:lang w:val="en-US"/>
        </w:rPr>
        <w:t>QAnon</w:t>
      </w:r>
      <w:proofErr w:type="spellEnd"/>
      <w:r w:rsidRPr="00686E34">
        <w:rPr>
          <w:rFonts w:ascii="Times New Roman" w:hAnsi="Times New Roman"/>
          <w:sz w:val="24"/>
          <w:szCs w:val="24"/>
          <w:lang w:val="en-US"/>
        </w:rPr>
        <w:t xml:space="preserve"> forum, 28-year old Edgar Welch, raided the pizzeria with an assault rifle to investigate the scene. When he failed to discover any abducted children, Welch surrendered to the police and apparently admitted that the sex-trafficking ring didn’t exist after all. But other </w:t>
      </w:r>
      <w:proofErr w:type="spellStart"/>
      <w:r w:rsidRPr="00686E34">
        <w:rPr>
          <w:rFonts w:ascii="Times New Roman" w:hAnsi="Times New Roman"/>
          <w:sz w:val="24"/>
          <w:szCs w:val="24"/>
          <w:lang w:val="en-US"/>
        </w:rPr>
        <w:t>QAnon</w:t>
      </w:r>
      <w:proofErr w:type="spellEnd"/>
      <w:r w:rsidRPr="00686E34">
        <w:rPr>
          <w:rFonts w:ascii="Times New Roman" w:hAnsi="Times New Roman"/>
          <w:sz w:val="24"/>
          <w:szCs w:val="24"/>
          <w:lang w:val="en-US"/>
        </w:rPr>
        <w:t xml:space="preserve"> believers on the same forum were not as easily persuaded, and interpreted Welch’s change of mind as evidence that he was an actor paid by the Deep State to discredit </w:t>
      </w:r>
      <w:proofErr w:type="spellStart"/>
      <w:r w:rsidRPr="00686E34">
        <w:rPr>
          <w:rFonts w:ascii="Times New Roman" w:hAnsi="Times New Roman"/>
          <w:sz w:val="24"/>
          <w:szCs w:val="24"/>
          <w:lang w:val="en-US"/>
        </w:rPr>
        <w:t>QAnon</w:t>
      </w:r>
      <w:proofErr w:type="spellEnd"/>
      <w:r w:rsidRPr="00686E34">
        <w:rPr>
          <w:rFonts w:ascii="Times New Roman" w:hAnsi="Times New Roman"/>
          <w:sz w:val="24"/>
          <w:szCs w:val="24"/>
          <w:lang w:val="en-US"/>
        </w:rPr>
        <w:t xml:space="preserve">, thus providing further evidence of the conspiracy </w:t>
      </w:r>
      <w:r>
        <w:rPr>
          <w:rFonts w:ascii="Times New Roman" w:hAnsi="Times New Roman"/>
          <w:noProof/>
          <w:sz w:val="24"/>
          <w:szCs w:val="24"/>
          <w:lang w:val="en-US"/>
        </w:rPr>
        <w:t>(Nguyen 2020)</w:t>
      </w:r>
      <w:r w:rsidRPr="00686E34">
        <w:rPr>
          <w:rFonts w:ascii="Times New Roman" w:hAnsi="Times New Roman"/>
          <w:sz w:val="24"/>
          <w:szCs w:val="24"/>
          <w:lang w:val="en-US"/>
        </w:rPr>
        <w:t xml:space="preserve">. And indeed, if you already believe that the government is willing and capable </w:t>
      </w:r>
      <w:r w:rsidRPr="00686E34">
        <w:rPr>
          <w:rFonts w:ascii="Times New Roman" w:hAnsi="Times New Roman"/>
          <w:sz w:val="24"/>
          <w:szCs w:val="24"/>
          <w:lang w:val="en-US"/>
        </w:rPr>
        <w:lastRenderedPageBreak/>
        <w:t xml:space="preserve">of staging elaborate false flag operations to discredit its enemies, this does not seem like an unreasonable leap of reasoning.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Psychologists have found that one of the best predictors for belief in one given conspiracy theory is belief in different conspiracy theories. To explain this phenomenon, </w:t>
      </w:r>
      <w:proofErr w:type="spellStart"/>
      <w:r w:rsidRPr="00686E34">
        <w:rPr>
          <w:rFonts w:ascii="Times New Roman" w:hAnsi="Times New Roman"/>
          <w:sz w:val="24"/>
          <w:szCs w:val="24"/>
          <w:lang w:val="en-US"/>
        </w:rPr>
        <w:t>Goertzel</w:t>
      </w:r>
      <w:proofErr w:type="spellEnd"/>
      <w:r w:rsidRPr="00686E34">
        <w:rPr>
          <w:rFonts w:ascii="Times New Roman" w:hAnsi="Times New Roman"/>
          <w:sz w:val="24"/>
          <w:szCs w:val="24"/>
          <w:lang w:val="en-US"/>
        </w:rPr>
        <w:t xml:space="preserve"> </w:t>
      </w:r>
      <w:r w:rsidRPr="003674B7">
        <w:rPr>
          <w:rFonts w:ascii="Times New Roman" w:hAnsi="Times New Roman"/>
          <w:noProof/>
          <w:sz w:val="24"/>
          <w:szCs w:val="24"/>
          <w:lang w:val="en-US"/>
        </w:rPr>
        <w:t>(1994)</w:t>
      </w:r>
      <w:r w:rsidRPr="00686E34">
        <w:rPr>
          <w:rFonts w:ascii="Times New Roman" w:hAnsi="Times New Roman"/>
          <w:sz w:val="24"/>
          <w:szCs w:val="24"/>
          <w:lang w:val="en-US"/>
        </w:rPr>
        <w:t xml:space="preserve"> has proposed that conspiracy thinking forms a “</w:t>
      </w:r>
      <w:proofErr w:type="spellStart"/>
      <w:r w:rsidRPr="00686E34">
        <w:rPr>
          <w:rFonts w:ascii="Times New Roman" w:hAnsi="Times New Roman"/>
          <w:sz w:val="24"/>
          <w:szCs w:val="24"/>
          <w:lang w:val="en-US"/>
        </w:rPr>
        <w:t>monological</w:t>
      </w:r>
      <w:proofErr w:type="spellEnd"/>
      <w:r w:rsidRPr="00686E34">
        <w:rPr>
          <w:rFonts w:ascii="Times New Roman" w:hAnsi="Times New Roman"/>
          <w:sz w:val="24"/>
          <w:szCs w:val="24"/>
          <w:lang w:val="en-US"/>
        </w:rPr>
        <w:t xml:space="preserve"> belief system”, in which all conspiracy theories reinforce each other, sometimes even mutually contradictory beliefs. But this approach underestimates the internal logic of conspiracy belief, and it also fails to explain why different conspiracy theories cluster along partisan lines </w:t>
      </w:r>
      <w:r>
        <w:rPr>
          <w:rFonts w:ascii="Times New Roman" w:hAnsi="Times New Roman"/>
          <w:noProof/>
          <w:sz w:val="24"/>
          <w:szCs w:val="24"/>
          <w:lang w:val="en-US"/>
        </w:rPr>
        <w:t>(Enders et al. 2021)</w:t>
      </w:r>
      <w:r w:rsidRPr="00686E34">
        <w:rPr>
          <w:rFonts w:ascii="Times New Roman" w:hAnsi="Times New Roman"/>
          <w:sz w:val="24"/>
          <w:szCs w:val="24"/>
          <w:lang w:val="en-US"/>
        </w:rPr>
        <w:t xml:space="preserve">. If you already believe that some agent or organization has massively deceived us about one historical event, it becomes more </w:t>
      </w:r>
      <w:r>
        <w:rPr>
          <w:rFonts w:ascii="Times New Roman" w:hAnsi="Times New Roman"/>
          <w:sz w:val="24"/>
          <w:szCs w:val="24"/>
          <w:lang w:val="en-US"/>
        </w:rPr>
        <w:t>reasonable</w:t>
      </w:r>
      <w:r w:rsidRPr="00686E34">
        <w:rPr>
          <w:rFonts w:ascii="Times New Roman" w:hAnsi="Times New Roman"/>
          <w:sz w:val="24"/>
          <w:szCs w:val="24"/>
          <w:lang w:val="en-US"/>
        </w:rPr>
        <w:t xml:space="preserve"> to accuse that agent (but not necessarily others) of similar deception. </w:t>
      </w:r>
      <w:r>
        <w:rPr>
          <w:rFonts w:ascii="Times New Roman" w:hAnsi="Times New Roman"/>
          <w:sz w:val="24"/>
          <w:szCs w:val="24"/>
          <w:lang w:val="en-US"/>
        </w:rPr>
        <w:t xml:space="preserve">For instance, if </w:t>
      </w:r>
      <w:r w:rsidRPr="00686E34">
        <w:rPr>
          <w:rFonts w:ascii="Times New Roman" w:hAnsi="Times New Roman"/>
          <w:sz w:val="24"/>
          <w:szCs w:val="24"/>
          <w:lang w:val="en-US"/>
        </w:rPr>
        <w:t xml:space="preserve">you already believe that </w:t>
      </w:r>
      <w:r>
        <w:rPr>
          <w:rFonts w:ascii="Times New Roman" w:hAnsi="Times New Roman"/>
          <w:sz w:val="24"/>
          <w:szCs w:val="24"/>
          <w:lang w:val="en-US"/>
        </w:rPr>
        <w:t xml:space="preserve">the U.S. government has pulled </w:t>
      </w:r>
      <w:r w:rsidRPr="00686E34">
        <w:rPr>
          <w:rFonts w:ascii="Times New Roman" w:hAnsi="Times New Roman"/>
          <w:sz w:val="24"/>
          <w:szCs w:val="24"/>
          <w:lang w:val="en-US"/>
        </w:rPr>
        <w:t>off one</w:t>
      </w:r>
      <w:r w:rsidRPr="00686E34">
        <w:rPr>
          <w:rFonts w:ascii="Times New Roman" w:hAnsi="Times New Roman"/>
          <w:i/>
          <w:sz w:val="24"/>
          <w:szCs w:val="24"/>
          <w:lang w:val="en-US"/>
        </w:rPr>
        <w:t xml:space="preserve"> </w:t>
      </w:r>
      <w:r w:rsidRPr="00686E34">
        <w:rPr>
          <w:rFonts w:ascii="Times New Roman" w:hAnsi="Times New Roman"/>
          <w:sz w:val="24"/>
          <w:szCs w:val="24"/>
          <w:lang w:val="en-US"/>
        </w:rPr>
        <w:t>major false flag operation</w:t>
      </w:r>
      <w:r>
        <w:rPr>
          <w:rFonts w:ascii="Times New Roman" w:hAnsi="Times New Roman"/>
          <w:sz w:val="24"/>
          <w:szCs w:val="24"/>
          <w:lang w:val="en-US"/>
        </w:rPr>
        <w:t xml:space="preserve"> (e.g. the 9/11 attacks)</w:t>
      </w:r>
      <w:r w:rsidRPr="00686E34">
        <w:rPr>
          <w:rFonts w:ascii="Times New Roman" w:hAnsi="Times New Roman"/>
          <w:sz w:val="24"/>
          <w:szCs w:val="24"/>
          <w:lang w:val="en-US"/>
        </w:rPr>
        <w:t xml:space="preserve">, it becomes </w:t>
      </w:r>
      <w:r>
        <w:rPr>
          <w:rFonts w:ascii="Times New Roman" w:hAnsi="Times New Roman"/>
          <w:sz w:val="24"/>
          <w:szCs w:val="24"/>
          <w:lang w:val="en-US"/>
        </w:rPr>
        <w:t>more plausible</w:t>
      </w:r>
      <w:r w:rsidRPr="00686E34">
        <w:rPr>
          <w:rFonts w:ascii="Times New Roman" w:hAnsi="Times New Roman"/>
          <w:sz w:val="24"/>
          <w:szCs w:val="24"/>
          <w:lang w:val="en-US"/>
        </w:rPr>
        <w:t xml:space="preserve"> to suspect more false flag operations when another terrorist attack </w:t>
      </w:r>
      <w:r>
        <w:rPr>
          <w:rFonts w:ascii="Times New Roman" w:hAnsi="Times New Roman"/>
          <w:sz w:val="24"/>
          <w:szCs w:val="24"/>
          <w:lang w:val="en-US"/>
        </w:rPr>
        <w:t>occurs</w:t>
      </w:r>
      <w:r w:rsidRPr="00686E34">
        <w:rPr>
          <w:rFonts w:ascii="Times New Roman" w:hAnsi="Times New Roman"/>
          <w:sz w:val="24"/>
          <w:szCs w:val="24"/>
          <w:lang w:val="en-US"/>
        </w:rPr>
        <w:t xml:space="preserve">. </w:t>
      </w:r>
    </w:p>
    <w:p w:rsidR="00CF3D71" w:rsidRPr="00686E34" w:rsidRDefault="00CF3D71" w:rsidP="00053B63">
      <w:pPr>
        <w:pStyle w:val="Kop2"/>
        <w:spacing w:line="480" w:lineRule="auto"/>
        <w:jc w:val="both"/>
        <w:rPr>
          <w:rFonts w:ascii="Times New Roman" w:hAnsi="Times New Roman" w:cs="Times New Roman"/>
          <w:color w:val="auto"/>
          <w:sz w:val="24"/>
          <w:szCs w:val="24"/>
          <w:lang w:val="en-US"/>
        </w:rPr>
      </w:pPr>
      <w:bookmarkStart w:id="28" w:name="_Toc101201920"/>
      <w:bookmarkStart w:id="29" w:name="_Toc101201921"/>
      <w:bookmarkStart w:id="30" w:name="_Toc101201922"/>
      <w:bookmarkStart w:id="31" w:name="_Toc101201923"/>
      <w:bookmarkStart w:id="32" w:name="_Toc101201924"/>
      <w:bookmarkStart w:id="33" w:name="_Toc101201925"/>
      <w:bookmarkStart w:id="34" w:name="_Toc101201926"/>
      <w:bookmarkStart w:id="35" w:name="_Toc101201927"/>
      <w:bookmarkStart w:id="36" w:name="_Toc101201928"/>
      <w:bookmarkStart w:id="37" w:name="_Toc101201929"/>
      <w:bookmarkStart w:id="38" w:name="_Toc101201930"/>
      <w:bookmarkStart w:id="39" w:name="_Toc101201931"/>
      <w:bookmarkStart w:id="40" w:name="_Toc101201932"/>
      <w:bookmarkStart w:id="41" w:name="_Toc101201933"/>
      <w:bookmarkStart w:id="42" w:name="_Toc101201934"/>
      <w:bookmarkStart w:id="43" w:name="_Toc117878436"/>
      <w:bookmarkStart w:id="44" w:name="_Toc45717986"/>
      <w:bookmarkStart w:id="45" w:name="_Ref104481259"/>
      <w:bookmarkStart w:id="46" w:name="_Ref10475206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686E34">
        <w:rPr>
          <w:rFonts w:ascii="Times New Roman" w:hAnsi="Times New Roman" w:cs="Times New Roman"/>
          <w:color w:val="auto"/>
          <w:sz w:val="24"/>
          <w:szCs w:val="24"/>
          <w:lang w:val="en-US"/>
        </w:rPr>
        <w:t>Religion and supernatural black holes</w:t>
      </w:r>
      <w:bookmarkEnd w:id="43"/>
    </w:p>
    <w:p w:rsidR="00CF3D71" w:rsidRPr="00686E34" w:rsidRDefault="00CF3D71" w:rsidP="00053B63">
      <w:pPr>
        <w:pStyle w:val="Kop3"/>
        <w:spacing w:line="480" w:lineRule="auto"/>
        <w:rPr>
          <w:rFonts w:ascii="Times New Roman" w:hAnsi="Times New Roman" w:cs="Times New Roman"/>
          <w:color w:val="auto"/>
          <w:lang w:val="en-US"/>
        </w:rPr>
      </w:pPr>
      <w:bookmarkStart w:id="47" w:name="_Ref112340474"/>
      <w:bookmarkStart w:id="48" w:name="_Toc117878437"/>
      <w:r w:rsidRPr="00686E34">
        <w:rPr>
          <w:rFonts w:ascii="Times New Roman" w:hAnsi="Times New Roman" w:cs="Times New Roman"/>
          <w:color w:val="auto"/>
          <w:lang w:val="en-US"/>
        </w:rPr>
        <w:t>Divine hiddenness</w:t>
      </w:r>
      <w:bookmarkEnd w:id="47"/>
      <w:bookmarkEnd w:id="48"/>
      <w:r w:rsidRPr="00686E34">
        <w:rPr>
          <w:rFonts w:ascii="Times New Roman" w:hAnsi="Times New Roman" w:cs="Times New Roman"/>
          <w:color w:val="auto"/>
          <w:lang w:val="en-US"/>
        </w:rPr>
        <w:t xml:space="preserve"> </w:t>
      </w:r>
    </w:p>
    <w:bookmarkEnd w:id="44"/>
    <w:bookmarkEnd w:id="45"/>
    <w:bookmarkEnd w:id="46"/>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The realm of religion and supernatural belief offers a wide array of unobservable “occluded agents” </w:t>
      </w:r>
      <w:r>
        <w:rPr>
          <w:rFonts w:ascii="Times New Roman" w:hAnsi="Times New Roman"/>
          <w:noProof/>
          <w:sz w:val="24"/>
          <w:szCs w:val="24"/>
          <w:lang w:val="en-US"/>
        </w:rPr>
        <w:t>(Robertson 2016)</w:t>
      </w:r>
      <w:r w:rsidRPr="00686E34">
        <w:rPr>
          <w:rFonts w:ascii="Times New Roman" w:hAnsi="Times New Roman"/>
          <w:sz w:val="24"/>
          <w:szCs w:val="24"/>
          <w:lang w:val="en-US"/>
        </w:rPr>
        <w:t xml:space="preserve"> that are residing beyond the visible universe and may be interfering with the evidence for their own existence, thus potentially opening up an epistemic black hole.</w:t>
      </w:r>
      <w:r w:rsidRPr="00686E34">
        <w:rPr>
          <w:rStyle w:val="Voetnootmarkering"/>
          <w:rFonts w:ascii="Times New Roman" w:eastAsiaTheme="majorEastAsia" w:hAnsi="Times New Roman"/>
          <w:sz w:val="24"/>
          <w:szCs w:val="24"/>
          <w:lang w:val="en-US"/>
        </w:rPr>
        <w:t xml:space="preserve"> </w:t>
      </w:r>
      <w:r w:rsidRPr="00686E34">
        <w:rPr>
          <w:rFonts w:ascii="Times New Roman" w:hAnsi="Times New Roman"/>
          <w:sz w:val="24"/>
          <w:szCs w:val="24"/>
          <w:lang w:val="en-US"/>
        </w:rPr>
        <w:t xml:space="preserve">Most obviously, important strands within the world religions of Islam and Christianity conceive of God as secretly working behind the scenes, even covering up the evidence for his own existence. In the Bible, for instance, God is sometimes portrayed as deliberately hiding from human beings, as in this complaint from the Book of Isaiah: “Truly, thou art a God who </w:t>
      </w:r>
      <w:proofErr w:type="spellStart"/>
      <w:r w:rsidRPr="00686E34">
        <w:rPr>
          <w:rFonts w:ascii="Times New Roman" w:hAnsi="Times New Roman"/>
          <w:sz w:val="24"/>
          <w:szCs w:val="24"/>
          <w:lang w:val="en-US"/>
        </w:rPr>
        <w:t>hidest</w:t>
      </w:r>
      <w:proofErr w:type="spellEnd"/>
      <w:r w:rsidRPr="00686E34">
        <w:rPr>
          <w:rFonts w:ascii="Times New Roman" w:hAnsi="Times New Roman"/>
          <w:sz w:val="24"/>
          <w:szCs w:val="24"/>
          <w:lang w:val="en-US"/>
        </w:rPr>
        <w:t xml:space="preserve"> thyself” (Isaiah 45:15). Similar ideas can be found in the Quran, where God tells the faithful </w:t>
      </w:r>
      <w:r w:rsidRPr="00686E34">
        <w:rPr>
          <w:rFonts w:ascii="Times New Roman" w:hAnsi="Times New Roman"/>
          <w:sz w:val="24"/>
          <w:szCs w:val="24"/>
          <w:lang w:val="en-US"/>
        </w:rPr>
        <w:lastRenderedPageBreak/>
        <w:t>that he sometimes deliberately hides his actions to test the strength of their faith.</w:t>
      </w:r>
      <w:r w:rsidRPr="00686E34">
        <w:rPr>
          <w:rStyle w:val="Voetnootmarkering"/>
          <w:rFonts w:ascii="Times New Roman" w:eastAsiaTheme="majorEastAsia" w:hAnsi="Times New Roman"/>
          <w:sz w:val="24"/>
          <w:szCs w:val="24"/>
          <w:lang w:val="en-US"/>
        </w:rPr>
        <w:footnoteReference w:id="6"/>
      </w:r>
      <w:r w:rsidRPr="00686E34">
        <w:rPr>
          <w:rFonts w:ascii="Times New Roman" w:hAnsi="Times New Roman"/>
          <w:sz w:val="24"/>
          <w:szCs w:val="24"/>
          <w:lang w:val="en-US"/>
        </w:rPr>
        <w:t xml:space="preserve"> Many Christians believe that, after creating the universe, God has (mostly) retreated from the world. This conception of God, which is known as </w:t>
      </w:r>
      <w:proofErr w:type="spellStart"/>
      <w:r w:rsidRPr="00686E34">
        <w:rPr>
          <w:rFonts w:ascii="Times New Roman" w:hAnsi="Times New Roman"/>
          <w:i/>
          <w:iCs/>
          <w:sz w:val="24"/>
          <w:szCs w:val="24"/>
          <w:lang w:val="en-US"/>
        </w:rPr>
        <w:t>deus</w:t>
      </w:r>
      <w:proofErr w:type="spellEnd"/>
      <w:r w:rsidRPr="00686E34">
        <w:rPr>
          <w:rFonts w:ascii="Times New Roman" w:hAnsi="Times New Roman"/>
          <w:i/>
          <w:iCs/>
          <w:sz w:val="24"/>
          <w:szCs w:val="24"/>
          <w:lang w:val="en-US"/>
        </w:rPr>
        <w:t xml:space="preserve"> </w:t>
      </w:r>
      <w:proofErr w:type="spellStart"/>
      <w:r w:rsidRPr="00686E34">
        <w:rPr>
          <w:rFonts w:ascii="Times New Roman" w:hAnsi="Times New Roman"/>
          <w:i/>
          <w:iCs/>
          <w:sz w:val="24"/>
          <w:szCs w:val="24"/>
          <w:lang w:val="en-US"/>
        </w:rPr>
        <w:t>absconditus</w:t>
      </w:r>
      <w:proofErr w:type="spellEnd"/>
      <w:r w:rsidRPr="00686E34">
        <w:rPr>
          <w:rFonts w:ascii="Times New Roman" w:hAnsi="Times New Roman"/>
          <w:sz w:val="24"/>
          <w:szCs w:val="24"/>
          <w:lang w:val="en-US"/>
        </w:rPr>
        <w:t xml:space="preserve"> or the problem of divine hiddenness </w:t>
      </w:r>
      <w:r>
        <w:rPr>
          <w:rFonts w:ascii="Times New Roman" w:hAnsi="Times New Roman"/>
          <w:noProof/>
          <w:sz w:val="24"/>
          <w:szCs w:val="24"/>
          <w:lang w:val="en-US"/>
        </w:rPr>
        <w:t>(Schellenberg 2006)</w:t>
      </w:r>
      <w:r w:rsidRPr="00686E34">
        <w:rPr>
          <w:rFonts w:ascii="Times New Roman" w:hAnsi="Times New Roman"/>
          <w:sz w:val="24"/>
          <w:szCs w:val="24"/>
          <w:lang w:val="en-US"/>
        </w:rPr>
        <w:t xml:space="preserve">, is a recurring theme in the Christian tradition </w:t>
      </w:r>
      <w:r>
        <w:rPr>
          <w:rFonts w:ascii="Times New Roman" w:hAnsi="Times New Roman"/>
          <w:noProof/>
          <w:sz w:val="24"/>
          <w:szCs w:val="24"/>
          <w:lang w:val="en-US"/>
        </w:rPr>
        <w:t>(Philipse 2012: 302-309)</w:t>
      </w:r>
      <w:r w:rsidRPr="00686E34">
        <w:rPr>
          <w:rFonts w:ascii="Times New Roman" w:hAnsi="Times New Roman"/>
          <w:sz w:val="24"/>
          <w:szCs w:val="24"/>
          <w:lang w:val="en-US"/>
        </w:rPr>
        <w:t xml:space="preserve">. God seems to be not just invisible to the human senses but remains elusive even to those who actively seek him. Events that are apparently at odds with the notion of a hidden divine plan are often explained away by arguing that “God moves in mysterious ways” </w:t>
      </w:r>
      <w:r>
        <w:rPr>
          <w:rFonts w:ascii="Times New Roman" w:hAnsi="Times New Roman"/>
          <w:noProof/>
          <w:sz w:val="24"/>
          <w:szCs w:val="24"/>
          <w:lang w:val="en-US"/>
        </w:rPr>
        <w:t>(Boudry and De Smedt 2011)</w:t>
      </w:r>
      <w:r w:rsidRPr="00686E34">
        <w:rPr>
          <w:rFonts w:ascii="Times New Roman" w:hAnsi="Times New Roman"/>
          <w:sz w:val="24"/>
          <w:szCs w:val="24"/>
          <w:lang w:val="en-US"/>
        </w:rPr>
        <w:t>.</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Theologians and ordinary believers have developed different justifications for divine hiddenness, the most dominant of which is that it is a test of faith </w:t>
      </w:r>
      <w:r>
        <w:rPr>
          <w:rFonts w:ascii="Times New Roman" w:hAnsi="Times New Roman"/>
          <w:noProof/>
          <w:sz w:val="24"/>
          <w:szCs w:val="24"/>
          <w:lang w:val="en-US"/>
        </w:rPr>
        <w:t>(Schellenberg 2006)</w:t>
      </w:r>
      <w:r w:rsidRPr="00686E34">
        <w:rPr>
          <w:rFonts w:ascii="Times New Roman" w:hAnsi="Times New Roman"/>
          <w:sz w:val="24"/>
          <w:szCs w:val="24"/>
          <w:lang w:val="en-US"/>
        </w:rPr>
        <w:t xml:space="preserve">. If God revealed himself for all the world to see, it would be too easy to believe in his existence. A related response is that God wants to give us morally significant free will, and that revealing himself in any manifest way would take away that freedom </w:t>
      </w:r>
      <w:r>
        <w:rPr>
          <w:rFonts w:ascii="Times New Roman" w:hAnsi="Times New Roman"/>
          <w:noProof/>
          <w:sz w:val="24"/>
          <w:szCs w:val="24"/>
          <w:lang w:val="en-US"/>
        </w:rPr>
        <w:t>(Swinburne 2004)</w:t>
      </w:r>
      <w:r w:rsidRPr="00686E34">
        <w:rPr>
          <w:rFonts w:ascii="Times New Roman" w:hAnsi="Times New Roman"/>
          <w:sz w:val="24"/>
          <w:szCs w:val="24"/>
          <w:lang w:val="en-US"/>
        </w:rPr>
        <w:t xml:space="preserve">. Whatever the rationale for divine hiddenness, what it comes down to is a form of divine deception </w:t>
      </w:r>
      <w:r>
        <w:rPr>
          <w:rFonts w:ascii="Times New Roman" w:hAnsi="Times New Roman"/>
          <w:noProof/>
          <w:sz w:val="24"/>
          <w:szCs w:val="24"/>
          <w:lang w:val="en-US"/>
        </w:rPr>
        <w:t>(Nieminen et al. 2017)</w:t>
      </w:r>
      <w:r w:rsidRPr="00686E34">
        <w:rPr>
          <w:rFonts w:ascii="Times New Roman" w:hAnsi="Times New Roman"/>
          <w:sz w:val="24"/>
          <w:szCs w:val="24"/>
          <w:lang w:val="en-US"/>
        </w:rPr>
        <w:t xml:space="preserve">: God could clearly reveal himself to us, or at least leave evidence for his existence, but he decided to stay out of sight and even cover up his tracks.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In light of these features, a number of authors have recently pointed out the epistemological similarities between theism and conspiracy theories </w:t>
      </w:r>
      <w:r>
        <w:rPr>
          <w:rFonts w:ascii="Times New Roman" w:hAnsi="Times New Roman"/>
          <w:noProof/>
          <w:sz w:val="24"/>
          <w:szCs w:val="24"/>
          <w:lang w:val="en-US"/>
        </w:rPr>
        <w:t>(Edis 2019; Keeley 2007)</w:t>
      </w:r>
      <w:r w:rsidRPr="00686E34">
        <w:rPr>
          <w:rFonts w:ascii="Times New Roman" w:hAnsi="Times New Roman"/>
          <w:sz w:val="24"/>
          <w:szCs w:val="24"/>
          <w:lang w:val="en-US"/>
        </w:rPr>
        <w:t xml:space="preserve">. As these authors admit, however, monotheism cannot strictly speaking be regarded as a conspiracy theory because, by definition, God is a unified and single agent who has no-one to conspire with. Indeed, as Keeley (2007) has argued, God has “no need to conspire with anybody to bring about </w:t>
      </w:r>
      <w:r w:rsidRPr="00686E34">
        <w:rPr>
          <w:rFonts w:ascii="Times New Roman" w:hAnsi="Times New Roman"/>
          <w:sz w:val="24"/>
          <w:szCs w:val="24"/>
          <w:lang w:val="en-US"/>
        </w:rPr>
        <w:lastRenderedPageBreak/>
        <w:t xml:space="preserve">Providence according to His wishes” </w:t>
      </w:r>
      <w:r>
        <w:rPr>
          <w:rFonts w:ascii="Times New Roman" w:hAnsi="Times New Roman"/>
          <w:noProof/>
          <w:sz w:val="24"/>
          <w:szCs w:val="24"/>
          <w:lang w:val="en-US"/>
        </w:rPr>
        <w:t>(Keeley 2007: 140)</w:t>
      </w:r>
      <w:r w:rsidRPr="00686E34">
        <w:rPr>
          <w:rFonts w:ascii="Times New Roman" w:hAnsi="Times New Roman"/>
          <w:sz w:val="24"/>
          <w:szCs w:val="24"/>
          <w:lang w:val="en-US"/>
        </w:rPr>
        <w:t xml:space="preserve">, because he is by definition all-powerful and all-knowing. Only fallible humans need to collaborate with others to carry out elaborate and complex forms of deception.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The notion of an omnipotent supernatural being who deliberately hides himself can be regarded as an epistemic black hole: </w:t>
      </w:r>
      <w:bookmarkStart w:id="49" w:name="_Hlk104475096"/>
      <w:bookmarkStart w:id="50" w:name="_Hlk104480145"/>
      <w:r w:rsidRPr="00686E34">
        <w:rPr>
          <w:rFonts w:ascii="Times New Roman" w:hAnsi="Times New Roman"/>
          <w:sz w:val="24"/>
          <w:szCs w:val="24"/>
          <w:lang w:val="en-US"/>
        </w:rPr>
        <w:t xml:space="preserve">once you adopt this hypothesis, nothing can possibly conflict with it. However, the concept of divine deception and its related justifications remains controversial. Even though it appears in some strands of Christianity and Islam, mainstream traditions </w:t>
      </w:r>
      <w:r>
        <w:rPr>
          <w:rFonts w:ascii="Times New Roman" w:hAnsi="Times New Roman"/>
          <w:sz w:val="24"/>
          <w:szCs w:val="24"/>
          <w:lang w:val="en-US"/>
        </w:rPr>
        <w:t>claim</w:t>
      </w:r>
      <w:r w:rsidRPr="00686E34">
        <w:rPr>
          <w:rFonts w:ascii="Times New Roman" w:hAnsi="Times New Roman"/>
          <w:sz w:val="24"/>
          <w:szCs w:val="24"/>
          <w:lang w:val="en-US"/>
        </w:rPr>
        <w:t xml:space="preserve"> that God left the evidence for his existence all around us, at least for those who are willing to see </w:t>
      </w:r>
      <w:r>
        <w:rPr>
          <w:rFonts w:ascii="Times New Roman" w:hAnsi="Times New Roman"/>
          <w:noProof/>
          <w:sz w:val="24"/>
          <w:szCs w:val="24"/>
          <w:lang w:val="en-US"/>
        </w:rPr>
        <w:t>(Philipse 2012)</w:t>
      </w:r>
      <w:r w:rsidRPr="00686E34">
        <w:rPr>
          <w:rFonts w:ascii="Times New Roman" w:hAnsi="Times New Roman"/>
          <w:sz w:val="24"/>
          <w:szCs w:val="24"/>
          <w:lang w:val="en-US"/>
        </w:rPr>
        <w:t xml:space="preserve">. In this conception, God </w:t>
      </w:r>
      <w:r w:rsidRPr="00686E34">
        <w:rPr>
          <w:rFonts w:ascii="Times New Roman" w:hAnsi="Times New Roman"/>
          <w:i/>
          <w:iCs/>
          <w:sz w:val="24"/>
          <w:szCs w:val="24"/>
          <w:lang w:val="en-US"/>
        </w:rPr>
        <w:t xml:space="preserve">does </w:t>
      </w:r>
      <w:r w:rsidRPr="00686E34">
        <w:rPr>
          <w:rFonts w:ascii="Times New Roman" w:hAnsi="Times New Roman"/>
          <w:sz w:val="24"/>
          <w:szCs w:val="24"/>
          <w:lang w:val="en-US"/>
        </w:rPr>
        <w:t xml:space="preserve">want to be known by his creatures and is actually revealing himself to us, although perhaps not in an incontrovertible way that could settle all religious disputes for once and for all </w:t>
      </w:r>
      <w:r>
        <w:rPr>
          <w:rFonts w:ascii="Times New Roman" w:hAnsi="Times New Roman"/>
          <w:noProof/>
          <w:sz w:val="24"/>
          <w:szCs w:val="24"/>
          <w:lang w:val="en-US"/>
        </w:rPr>
        <w:t>(</w:t>
      </w:r>
      <w:r w:rsidR="0002693C">
        <w:rPr>
          <w:rFonts w:ascii="Times New Roman" w:hAnsi="Times New Roman"/>
          <w:noProof/>
          <w:sz w:val="24"/>
          <w:szCs w:val="24"/>
          <w:lang w:val="en-US"/>
        </w:rPr>
        <w:t>XXX</w:t>
      </w:r>
      <w:r>
        <w:rPr>
          <w:rFonts w:ascii="Times New Roman" w:hAnsi="Times New Roman"/>
          <w:noProof/>
          <w:sz w:val="24"/>
          <w:szCs w:val="24"/>
          <w:lang w:val="en-US"/>
        </w:rPr>
        <w:t>)</w:t>
      </w:r>
      <w:r w:rsidRPr="00686E34">
        <w:rPr>
          <w:rFonts w:ascii="Times New Roman" w:hAnsi="Times New Roman"/>
          <w:sz w:val="24"/>
          <w:szCs w:val="24"/>
          <w:lang w:val="en-US"/>
        </w:rPr>
        <w:t xml:space="preserve">. For the purposes of this paper, we therefore want to turn our attention to a more specific and historical case study of an epistemic black hole centered around different supernatural beings: witches. </w:t>
      </w:r>
      <w:bookmarkEnd w:id="49"/>
      <w:bookmarkEnd w:id="50"/>
    </w:p>
    <w:p w:rsidR="00CF3D71" w:rsidRPr="00686E34" w:rsidRDefault="00CF3D71" w:rsidP="00053B63">
      <w:pPr>
        <w:pStyle w:val="Kop3"/>
        <w:spacing w:line="480" w:lineRule="auto"/>
        <w:rPr>
          <w:rFonts w:ascii="Times New Roman" w:hAnsi="Times New Roman" w:cs="Times New Roman"/>
          <w:color w:val="auto"/>
          <w:lang w:val="en-US"/>
        </w:rPr>
      </w:pPr>
      <w:bookmarkStart w:id="51" w:name="_Ref112340458"/>
      <w:bookmarkStart w:id="52" w:name="_Toc117878438"/>
      <w:r w:rsidRPr="00686E34">
        <w:rPr>
          <w:rFonts w:ascii="Times New Roman" w:hAnsi="Times New Roman" w:cs="Times New Roman"/>
          <w:color w:val="auto"/>
          <w:lang w:val="en-US"/>
        </w:rPr>
        <w:t>The cumulative concept of witchcraft</w:t>
      </w:r>
      <w:bookmarkEnd w:id="51"/>
      <w:bookmarkEnd w:id="52"/>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In early modern Europe, there was a widespread belief among Christian communities that “witches” were living in their midst, fellow human beings who were in league with the Devil and who used magical powers to destroy harvests, spread illness or cause other mayhem. In many versions of the belief system, there was a literal “conspiracy” in the form of a witches’ sabbath, nightly gatherings in which witches from all across the region consorted with each other and worshipped the Devil, concocting evil plans to wreak havoc in human communities. Satan constantly tried to seduce people into this sinister alliance, especially through sexual intercourse. Estimates vary, but probably up to 50.000 or 60.000 people have been executed in total </w:t>
      </w:r>
      <w:r>
        <w:rPr>
          <w:rFonts w:ascii="Times New Roman" w:hAnsi="Times New Roman"/>
          <w:noProof/>
          <w:sz w:val="24"/>
          <w:szCs w:val="24"/>
          <w:lang w:val="en-US"/>
        </w:rPr>
        <w:t>(Goodare 2016; Hofhuis 2022; Levack 2016)</w:t>
      </w:r>
      <w:r w:rsidRPr="00686E34">
        <w:rPr>
          <w:rFonts w:ascii="Times New Roman" w:hAnsi="Times New Roman"/>
          <w:sz w:val="24"/>
          <w:szCs w:val="24"/>
          <w:lang w:val="en-US"/>
        </w:rPr>
        <w:t>.</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lastRenderedPageBreak/>
        <w:t xml:space="preserve">Even at the time there was already pervasive skepticism about the guilt of the executed, as well as about the existence of this diabolical sect in the first place. However, the witchcraft doctrine was ingeniously adapted to fend off such criticisms. It was thought to be an essential feature of the witchcraft conspiracy that the Devil, his demons and witches were continually hiding the evidence of their malfeasance. The crucial crimes, such as using harmful magic and sabbath attendance, normally all happened while nobody was watching: “Much is hidden, below the surface, and secret”, one contemporary wrote (XXX).  Demons were fallen angels, so they still possessed many supernatural powers to create illusions for deceiving people </w:t>
      </w:r>
      <w:r w:rsidRPr="00686E34">
        <w:rPr>
          <w:rFonts w:ascii="Times New Roman" w:hAnsi="Times New Roman"/>
          <w:sz w:val="24"/>
          <w:szCs w:val="24"/>
          <w:lang w:val="en-US"/>
        </w:rPr>
        <w:fldChar w:fldCharType="begin"/>
      </w:r>
      <w:r w:rsidRPr="00686E34">
        <w:rPr>
          <w:rFonts w:ascii="Times New Roman" w:hAnsi="Times New Roman"/>
          <w:sz w:val="24"/>
          <w:szCs w:val="24"/>
          <w:lang w:val="en-US"/>
        </w:rPr>
        <w:instrText xml:space="preserve"> ADDIN ZOTERO_ITEM CSL_CITATION {"citationID":"o1j6ro1k","properties":{"formattedCitation":"(Goodare, 2016; Levack, 2016)","plainCitation":"(Goodare, 2016; Levack, 2016)","noteIndex":0},"citationItems":[{"id":426,"uris":["http://zotero.org/users/3566189/items/V9JG3JQ3"],"uri":["http://zotero.org/users/3566189/items/V9JG3JQ3"],"itemData":{"id":426,"type":"book","abstract":"The European Witch-Hunt seeks to explain why thousands of people, mostly lower-class women, were deliberately tortured and killed in the name of religion and morality during three centuries of intermittent witch-hunting throughout Europe and North America.  Combining perspectives from history, sociology, psychology and other disciplines, this book provides a comprehensive account of witch-hunting in early modern Europe. Julian Goodare sets out an original interpretation of witch-hunting as an episode of ideologically-driven persecution by the ‘godly state’ in the era of the Reformation and Counter-Reformation. Full weight is also given to the context of village social relationships, and there is a detailed analysis of gender issues. Witch-hunting was a legal operation, and the courts’ rationale for interrogation under torture is explained. Panicking local elites, rather than central governments, were at the forefront of witch-hunting. Further chapters explore folk beliefs about legendary witches, and intellectuals’ beliefs about a secret conspiracy of witches in league with the Devil. Witch-hunting eventually declined when the ideological pressure to combat the Devil’s allies slackened. A final chapter sets witch-hunting in the context of other episodes of modern persecution.  This book is the ideal resource for students exploring the history of witch-hunting. Its level of detail and use of social theory also make it important for scholars and researchers.","event-place":"London","ISBN":"978-1-317-19830-7","language":"en","note":"Google-Books-ID: oM8mDAAAQBAJ","number-of-pages":"556","publisher":"Routledge","publisher-place":"London","source":"Google Books","title":"The European Witch-Hunt","author":[{"family":"Goodare","given":"Julian"}],"issued":{"date-parts":[["2016",5,12]]}}},{"id":261,"uris":["http://zotero.org/users/3566189/items/A6B62DEG"],"uri":["http://zotero.org/users/3566189/items/A6B62DEG"],"itemData":{"id":261,"type":"book","abstract":"Between 1450 and 1750 thousands of people – most of them women – were accused, prosecuted and executed for the crime of witchcraft. The witch-hunt was not a single event; it comprised thousands of individual prosecutions, each shaped by the religious and social dimensions of the particular area as well as political and legal factors. Brian Levack sorts through the proliferation of theories to provide a coherent introduction to the subject, as well as contributing to the scholarly debate. The book:  Examines why witchcraft prosecutions took place, how many trials and victims there were, and why witch-hunting eventually came to an end.  Explores the beliefs of both educated and illiterate people regarding witchcraft. Uses regional and local studies to give a more detailed analysis of the chronological and geographical distribution of witch-trials.  Emphasises the legal context of witchcraft prosecutions. Illuminates the social, economic and political history of early modern Europe, and in particular the position of women within it. In this fully updated third edition of his exceptional study, Levack incorporates the vast amount of literature that has emerged since the last edition. He substantially extends his consideration of the decline of the witch-hunt and goes further in his exploration of witch-hunting after the trials, especially in contemporary Africa. New illustrations vividly depict beliefs about witchcraft in early modern Europe.","event-place":"New York","ISBN":"978-1-317-87559-8","language":"en","note":"Google-Books-ID: cFIVAgAAQBAJ","number-of-pages":"490","publisher":"Routledge","publisher-place":"New York","source":"Google Books","title":"The Witch-Hunt in Early Modern Europe","author":[{"family":"Levack","given":"Brian P."}],"issued":{"date-parts":[["2016"]]}}}],"schema":"https://github.com/citation-style-language/schema/raw/master/csl-citation.json"} </w:instrText>
      </w:r>
      <w:r w:rsidRPr="00686E34">
        <w:rPr>
          <w:rFonts w:ascii="Times New Roman" w:hAnsi="Times New Roman"/>
          <w:sz w:val="24"/>
          <w:szCs w:val="24"/>
          <w:lang w:val="en-US"/>
        </w:rPr>
        <w:fldChar w:fldCharType="separate"/>
      </w:r>
      <w:r w:rsidRPr="00686E34">
        <w:rPr>
          <w:rFonts w:ascii="Times New Roman" w:hAnsi="Times New Roman"/>
          <w:sz w:val="24"/>
          <w:szCs w:val="24"/>
          <w:lang w:val="en-US"/>
        </w:rPr>
        <w:t>(Goodare, 2016; Levack, 2016)</w:t>
      </w:r>
      <w:r w:rsidRPr="00686E34">
        <w:rPr>
          <w:rFonts w:ascii="Times New Roman" w:hAnsi="Times New Roman"/>
          <w:sz w:val="24"/>
          <w:szCs w:val="24"/>
          <w:lang w:val="en-US"/>
        </w:rPr>
        <w:fldChar w:fldCharType="end"/>
      </w:r>
      <w:r w:rsidRPr="00686E34">
        <w:rPr>
          <w:rFonts w:ascii="Times New Roman" w:hAnsi="Times New Roman"/>
          <w:sz w:val="24"/>
          <w:szCs w:val="24"/>
          <w:lang w:val="en-US"/>
        </w:rPr>
        <w:t xml:space="preserve">. During witchcraft investigations this implied that any counterevidence could always be interpreted as the trickery of demons, and any conceivable </w:t>
      </w:r>
      <w:r w:rsidRPr="00686E34">
        <w:rPr>
          <w:rFonts w:ascii="Times New Roman" w:hAnsi="Times New Roman"/>
          <w:sz w:val="24"/>
          <w:szCs w:val="24"/>
          <w:lang w:val="en-US" w:eastAsia="zh-CN"/>
        </w:rPr>
        <w:t>event could be interpreted as further confirmation  that persecutors were onto the witchcraft network.</w:t>
      </w:r>
    </w:p>
    <w:p w:rsidR="00CF3D71" w:rsidRDefault="00CF3D71" w:rsidP="00053B63">
      <w:pPr>
        <w:spacing w:after="0" w:line="480" w:lineRule="auto"/>
        <w:jc w:val="both"/>
        <w:rPr>
          <w:rFonts w:ascii="Times New Roman" w:hAnsi="Times New Roman"/>
          <w:sz w:val="24"/>
          <w:szCs w:val="24"/>
          <w:lang w:val="en-US" w:eastAsia="zh-CN"/>
        </w:rPr>
      </w:pPr>
      <w:r w:rsidRPr="00D35216">
        <w:rPr>
          <w:rFonts w:ascii="Times New Roman" w:hAnsi="Times New Roman"/>
          <w:sz w:val="24"/>
          <w:szCs w:val="24"/>
          <w:lang w:val="en-US"/>
        </w:rPr>
        <w:t xml:space="preserve">For instance, husbands of accused women often protested that their wives could not have attended any sabbaths in the night, because they had seen them sleeping next to them in their beds. But here the witch-hunters retorted that demons must have created an illusion that made it look as if the wives were decently sleeping at home, while their actual bodies were elsewhere </w:t>
      </w:r>
      <w:r>
        <w:rPr>
          <w:rFonts w:ascii="Times New Roman" w:hAnsi="Times New Roman"/>
          <w:noProof/>
          <w:sz w:val="24"/>
          <w:szCs w:val="24"/>
          <w:lang w:val="en-US"/>
        </w:rPr>
        <w:t>(Hofhuis 2022: 157; Remy 2014: 43-44)</w:t>
      </w:r>
      <w:r w:rsidRPr="00D35216">
        <w:rPr>
          <w:rFonts w:ascii="Times New Roman" w:hAnsi="Times New Roman"/>
          <w:sz w:val="24"/>
          <w:szCs w:val="24"/>
          <w:lang w:val="en-US"/>
        </w:rPr>
        <w:t xml:space="preserve">. The interrogation of suspected witnesses also displays the logic of ‘heads I win, tails you lose’. </w:t>
      </w:r>
      <w:r w:rsidRPr="00D35216">
        <w:rPr>
          <w:rFonts w:ascii="Times New Roman" w:hAnsi="Times New Roman"/>
          <w:sz w:val="24"/>
          <w:szCs w:val="24"/>
          <w:lang w:val="en-US" w:eastAsia="zh-CN"/>
        </w:rPr>
        <w:t xml:space="preserve">If physical torments – often used in witch trials – made suspects confess quickly, it showed that they were guilty. But if they did not confess right away, this was often explained as the work of demons cleverly assisting the suspects in their ability to withstand torture, thus also indicating guilt </w:t>
      </w:r>
      <w:r>
        <w:rPr>
          <w:rFonts w:ascii="Times New Roman" w:hAnsi="Times New Roman"/>
          <w:noProof/>
          <w:sz w:val="24"/>
          <w:szCs w:val="24"/>
          <w:lang w:val="en-US" w:eastAsia="zh-CN"/>
        </w:rPr>
        <w:t>(Roper 2004: 47; Krause 2015: 26)</w:t>
      </w:r>
      <w:r w:rsidRPr="00D35216">
        <w:rPr>
          <w:rFonts w:ascii="Times New Roman" w:hAnsi="Times New Roman"/>
          <w:sz w:val="24"/>
          <w:szCs w:val="24"/>
          <w:lang w:val="en-US" w:eastAsia="zh-CN"/>
        </w:rPr>
        <w:t xml:space="preserve">. If the accused responded emotionally, it was deemed very suspicious. But if they did not respond emotionally </w:t>
      </w:r>
      <w:r w:rsidRPr="00D35216">
        <w:rPr>
          <w:rFonts w:ascii="Times New Roman" w:hAnsi="Times New Roman"/>
          <w:i/>
          <w:iCs/>
          <w:sz w:val="24"/>
          <w:szCs w:val="24"/>
          <w:lang w:val="en-US" w:eastAsia="zh-CN"/>
        </w:rPr>
        <w:t>enough</w:t>
      </w:r>
      <w:r w:rsidRPr="00D35216">
        <w:rPr>
          <w:rFonts w:ascii="Times New Roman" w:hAnsi="Times New Roman"/>
          <w:sz w:val="24"/>
          <w:szCs w:val="24"/>
          <w:lang w:val="en-US" w:eastAsia="zh-CN"/>
        </w:rPr>
        <w:t>, it was equally suspicious, as it suggested an evil personality or, again, demonic support</w:t>
      </w:r>
      <w:r w:rsidRPr="00D35216">
        <w:rPr>
          <w:rFonts w:ascii="Times New Roman" w:hAnsi="Times New Roman"/>
          <w:sz w:val="24"/>
          <w:szCs w:val="24"/>
          <w:lang w:val="en-US"/>
        </w:rPr>
        <w:t xml:space="preserve">. </w:t>
      </w:r>
      <w:r w:rsidRPr="00D35216">
        <w:rPr>
          <w:rFonts w:ascii="Times New Roman" w:hAnsi="Times New Roman"/>
          <w:sz w:val="24"/>
          <w:szCs w:val="24"/>
          <w:lang w:val="en-US" w:eastAsia="zh-CN"/>
        </w:rPr>
        <w:t xml:space="preserve">Probably most dubious of all were the people who disapproved of witch-hunts and were unwilling to cooperate. Were these individuals not witches themselves, or at least the victims of demonic delusion? (XXX). </w:t>
      </w:r>
    </w:p>
    <w:p w:rsidR="00CF3D71" w:rsidRPr="00D35216" w:rsidRDefault="00CF3D71" w:rsidP="00053B63">
      <w:pPr>
        <w:spacing w:after="0" w:line="480" w:lineRule="auto"/>
        <w:jc w:val="both"/>
        <w:rPr>
          <w:rFonts w:ascii="Times New Roman" w:hAnsi="Times New Roman"/>
          <w:sz w:val="24"/>
          <w:szCs w:val="24"/>
          <w:lang w:val="en-US" w:eastAsia="zh-CN"/>
        </w:rPr>
      </w:pPr>
      <w:r w:rsidRPr="00D35216">
        <w:rPr>
          <w:rFonts w:ascii="Times New Roman" w:hAnsi="Times New Roman"/>
          <w:sz w:val="24"/>
          <w:szCs w:val="24"/>
          <w:lang w:val="en-US"/>
        </w:rPr>
        <w:lastRenderedPageBreak/>
        <w:t xml:space="preserve">Past historians have often argued that witch persecutions were a shrewd tool, used to achieve some hidden end, like oppressing women, destroying traditional peasant culture, making money, or subjugating the poor. However, over the past </w:t>
      </w:r>
      <w:proofErr w:type="spellStart"/>
      <w:r w:rsidRPr="00D35216">
        <w:rPr>
          <w:rFonts w:ascii="Times New Roman" w:hAnsi="Times New Roman"/>
          <w:sz w:val="24"/>
          <w:szCs w:val="24"/>
          <w:lang w:val="en-US"/>
        </w:rPr>
        <w:t>decades</w:t>
      </w:r>
      <w:proofErr w:type="spellEnd"/>
      <w:r w:rsidRPr="00D35216">
        <w:rPr>
          <w:rFonts w:ascii="Times New Roman" w:hAnsi="Times New Roman"/>
          <w:sz w:val="24"/>
          <w:szCs w:val="24"/>
          <w:lang w:val="en-US"/>
        </w:rPr>
        <w:t xml:space="preserve"> most experts have come to the conclusion that many witch persecutions were more likely driven forward by genuine panics about the alleged dangers of witchcraft. </w:t>
      </w:r>
      <w:r w:rsidRPr="00D35216">
        <w:rPr>
          <w:rFonts w:ascii="Times New Roman" w:hAnsi="Times New Roman"/>
          <w:sz w:val="24"/>
          <w:szCs w:val="24"/>
          <w:lang w:val="en-US" w:eastAsia="zh-CN"/>
        </w:rPr>
        <w:t xml:space="preserve">As Julian </w:t>
      </w:r>
      <w:proofErr w:type="spellStart"/>
      <w:r w:rsidRPr="00D35216">
        <w:rPr>
          <w:rFonts w:ascii="Times New Roman" w:hAnsi="Times New Roman"/>
          <w:sz w:val="24"/>
          <w:szCs w:val="24"/>
          <w:lang w:val="en-US" w:eastAsia="zh-CN"/>
        </w:rPr>
        <w:t>Goodare</w:t>
      </w:r>
      <w:proofErr w:type="spellEnd"/>
      <w:r w:rsidRPr="00D35216">
        <w:rPr>
          <w:rFonts w:ascii="Times New Roman" w:hAnsi="Times New Roman"/>
          <w:sz w:val="24"/>
          <w:szCs w:val="24"/>
          <w:lang w:val="en-US" w:eastAsia="zh-CN"/>
        </w:rPr>
        <w:t xml:space="preserve"> says it: “a witchcraft accusation was not ‘really’ about something else; it was really about witchcraft.”  </w:t>
      </w:r>
      <w:r>
        <w:rPr>
          <w:rFonts w:ascii="Times New Roman" w:hAnsi="Times New Roman"/>
          <w:noProof/>
          <w:sz w:val="24"/>
          <w:szCs w:val="24"/>
          <w:lang w:val="en-US" w:eastAsia="zh-CN"/>
        </w:rPr>
        <w:t>(Goodare 2016: 385)</w:t>
      </w:r>
      <w:r w:rsidRPr="00D35216">
        <w:rPr>
          <w:rFonts w:ascii="Times New Roman" w:hAnsi="Times New Roman"/>
          <w:sz w:val="24"/>
          <w:szCs w:val="24"/>
          <w:lang w:val="en-US" w:eastAsia="zh-CN"/>
        </w:rPr>
        <w:t xml:space="preserve">. </w:t>
      </w:r>
    </w:p>
    <w:p w:rsidR="00CF3D71" w:rsidRPr="00686E34" w:rsidRDefault="00CF3D71" w:rsidP="00053B63">
      <w:pPr>
        <w:spacing w:after="0" w:line="480" w:lineRule="auto"/>
        <w:jc w:val="both"/>
        <w:rPr>
          <w:rFonts w:ascii="Times New Roman" w:hAnsi="Times New Roman"/>
          <w:sz w:val="24"/>
          <w:szCs w:val="24"/>
          <w:lang w:val="en-US"/>
        </w:rPr>
      </w:pPr>
      <w:r w:rsidRPr="00686E34">
        <w:rPr>
          <w:rFonts w:ascii="Times New Roman" w:hAnsi="Times New Roman"/>
          <w:sz w:val="24"/>
          <w:szCs w:val="24"/>
          <w:lang w:val="en-US" w:eastAsia="zh-CN"/>
        </w:rPr>
        <w:t xml:space="preserve">When people had thoroughly absorbed this belief system, it became difficult not to see unusual misfortune in the light of witchcraft and not to interpret further events as additional confirmation. As the sixteenth century physician and Dutch-German witch-hunt skeptic Johan </w:t>
      </w:r>
      <w:proofErr w:type="spellStart"/>
      <w:r w:rsidRPr="00686E34">
        <w:rPr>
          <w:rFonts w:ascii="Times New Roman" w:hAnsi="Times New Roman"/>
          <w:sz w:val="24"/>
          <w:szCs w:val="24"/>
          <w:lang w:val="en-US" w:eastAsia="zh-CN"/>
        </w:rPr>
        <w:t>Weyer</w:t>
      </w:r>
      <w:proofErr w:type="spellEnd"/>
      <w:r w:rsidRPr="00686E34">
        <w:rPr>
          <w:rFonts w:ascii="Times New Roman" w:hAnsi="Times New Roman"/>
          <w:sz w:val="24"/>
          <w:szCs w:val="24"/>
          <w:lang w:val="en-US" w:eastAsia="zh-CN"/>
        </w:rPr>
        <w:t xml:space="preserve"> put it: </w:t>
      </w:r>
      <w:r w:rsidRPr="00686E34">
        <w:rPr>
          <w:rFonts w:ascii="Times New Roman" w:hAnsi="Times New Roman"/>
          <w:sz w:val="24"/>
          <w:szCs w:val="24"/>
          <w:lang w:val="en-US"/>
        </w:rPr>
        <w:t xml:space="preserve"> “Assuredly, in matters admitting of little certitude, the less cautious would not then be slipping from one single error into a thousand ones, as though trapped in an inextricable labyrinth from which no way of escape, no end, can be seen” </w:t>
      </w:r>
      <w:r>
        <w:rPr>
          <w:rFonts w:ascii="Times New Roman" w:hAnsi="Times New Roman"/>
          <w:noProof/>
          <w:sz w:val="24"/>
          <w:szCs w:val="24"/>
          <w:lang w:val="en-US"/>
        </w:rPr>
        <w:t>(Weyer 1998: 522)</w:t>
      </w:r>
      <w:r w:rsidRPr="00686E34">
        <w:rPr>
          <w:rFonts w:ascii="Times New Roman" w:hAnsi="Times New Roman"/>
          <w:sz w:val="24"/>
          <w:szCs w:val="24"/>
          <w:lang w:val="en-US"/>
        </w:rPr>
        <w:t>. It is hard to think of a more eloquent description of what an epistemic black hole looks like.</w:t>
      </w:r>
    </w:p>
    <w:p w:rsidR="00CF3D71" w:rsidRPr="00686E34" w:rsidRDefault="00CF3D71" w:rsidP="00053B63">
      <w:pPr>
        <w:pStyle w:val="Kop2"/>
        <w:spacing w:line="480" w:lineRule="auto"/>
        <w:jc w:val="both"/>
        <w:rPr>
          <w:rFonts w:ascii="Times New Roman" w:hAnsi="Times New Roman" w:cs="Times New Roman"/>
          <w:color w:val="auto"/>
          <w:sz w:val="24"/>
          <w:szCs w:val="24"/>
          <w:lang w:val="en-US"/>
        </w:rPr>
      </w:pPr>
      <w:bookmarkStart w:id="53" w:name="_Toc117878439"/>
      <w:r w:rsidRPr="00686E34">
        <w:rPr>
          <w:rFonts w:ascii="Times New Roman" w:hAnsi="Times New Roman" w:cs="Times New Roman"/>
          <w:color w:val="auto"/>
          <w:sz w:val="24"/>
          <w:szCs w:val="24"/>
          <w:lang w:val="en-US"/>
        </w:rPr>
        <w:t>Freudian psychoanalysis</w:t>
      </w:r>
      <w:bookmarkEnd w:id="53"/>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A final and surprising example of an epistemic black hole can be found in Freudian psychoanalysis </w:t>
      </w:r>
      <w:r>
        <w:rPr>
          <w:rFonts w:ascii="Times New Roman" w:hAnsi="Times New Roman"/>
          <w:noProof/>
          <w:sz w:val="24"/>
          <w:szCs w:val="24"/>
          <w:lang w:val="en-US"/>
        </w:rPr>
        <w:t>(Cioffi 1998; Farrell 1996)</w:t>
      </w:r>
      <w:r w:rsidRPr="00686E34">
        <w:rPr>
          <w:rFonts w:ascii="Times New Roman" w:hAnsi="Times New Roman"/>
          <w:sz w:val="24"/>
          <w:szCs w:val="24"/>
          <w:lang w:val="en-US"/>
        </w:rPr>
        <w:t xml:space="preserve">. In Freud’s original version of the theory, the psychoanalytic “unconscious” is portrayed as an intelligent entity capable of pursuing intentional goals, chief among them the desire to remain hidden and to actively resist investigation by the therapist. In Freud’s most famous works, such as </w:t>
      </w:r>
      <w:r w:rsidRPr="00686E34">
        <w:rPr>
          <w:rFonts w:ascii="Times New Roman" w:hAnsi="Times New Roman"/>
          <w:i/>
          <w:iCs/>
          <w:sz w:val="24"/>
          <w:szCs w:val="24"/>
          <w:lang w:val="en-US"/>
        </w:rPr>
        <w:t xml:space="preserve">The Interpretation of Dreams </w:t>
      </w:r>
      <w:r w:rsidRPr="00686E34">
        <w:rPr>
          <w:rFonts w:ascii="Times New Roman" w:hAnsi="Times New Roman"/>
          <w:sz w:val="24"/>
          <w:szCs w:val="24"/>
          <w:lang w:val="en-US"/>
        </w:rPr>
        <w:t xml:space="preserve">and </w:t>
      </w:r>
      <w:r w:rsidRPr="00686E34">
        <w:rPr>
          <w:rFonts w:ascii="Times New Roman" w:hAnsi="Times New Roman"/>
          <w:i/>
          <w:iCs/>
          <w:sz w:val="24"/>
          <w:szCs w:val="24"/>
          <w:lang w:val="en-US"/>
        </w:rPr>
        <w:t xml:space="preserve">The Psychopathology of Everyday Life </w:t>
      </w:r>
      <w:r>
        <w:rPr>
          <w:rFonts w:ascii="Times New Roman" w:hAnsi="Times New Roman"/>
          <w:noProof/>
          <w:sz w:val="24"/>
          <w:szCs w:val="24"/>
          <w:lang w:val="en-US"/>
        </w:rPr>
        <w:t>(Freud 1953; Freud et al. 1960)</w:t>
      </w:r>
      <w:r w:rsidRPr="00686E34">
        <w:rPr>
          <w:rFonts w:ascii="Times New Roman" w:hAnsi="Times New Roman"/>
          <w:sz w:val="24"/>
          <w:szCs w:val="24"/>
          <w:lang w:val="en-US"/>
        </w:rPr>
        <w:t xml:space="preserve">, we are presented with reams of examples in which the Unconscious employs clever disguises to deceive the conscious subject, such as symbolism, denials, inversions, and word plays.  In his perceptive book </w:t>
      </w:r>
      <w:r w:rsidRPr="00686E34">
        <w:rPr>
          <w:rFonts w:ascii="Times New Roman" w:hAnsi="Times New Roman"/>
          <w:i/>
          <w:iCs/>
          <w:sz w:val="24"/>
          <w:szCs w:val="24"/>
          <w:lang w:val="en-US"/>
        </w:rPr>
        <w:t xml:space="preserve">The Psychoanalytic Movement, </w:t>
      </w:r>
      <w:r w:rsidRPr="00686E34">
        <w:rPr>
          <w:rFonts w:ascii="Times New Roman" w:hAnsi="Times New Roman"/>
          <w:sz w:val="24"/>
          <w:szCs w:val="24"/>
          <w:lang w:val="en-US"/>
        </w:rPr>
        <w:t>Ernest</w:t>
      </w:r>
      <w:r w:rsidRPr="00686E34">
        <w:rPr>
          <w:rFonts w:ascii="Times New Roman" w:hAnsi="Times New Roman"/>
          <w:i/>
          <w:iCs/>
          <w:sz w:val="24"/>
          <w:szCs w:val="24"/>
          <w:lang w:val="en-US"/>
        </w:rPr>
        <w:t xml:space="preserve"> </w:t>
      </w:r>
      <w:r w:rsidRPr="00686E34">
        <w:rPr>
          <w:rFonts w:ascii="Times New Roman" w:hAnsi="Times New Roman"/>
          <w:sz w:val="24"/>
          <w:szCs w:val="24"/>
          <w:lang w:val="en-US"/>
        </w:rPr>
        <w:t xml:space="preserve">Gellner called Freud’s psychoanalytic unconscious “The Trickster”, an intentional agent which “can and does interfere with the behavioral evidence about its own existence and activities” </w:t>
      </w:r>
      <w:r>
        <w:rPr>
          <w:rFonts w:ascii="Times New Roman" w:hAnsi="Times New Roman"/>
          <w:noProof/>
          <w:sz w:val="24"/>
          <w:szCs w:val="24"/>
          <w:lang w:val="en-US"/>
        </w:rPr>
        <w:t>(Gellner 1985: 142)</w:t>
      </w:r>
      <w:r w:rsidRPr="00686E34">
        <w:rPr>
          <w:rFonts w:ascii="Times New Roman" w:hAnsi="Times New Roman"/>
          <w:sz w:val="24"/>
          <w:szCs w:val="24"/>
          <w:lang w:val="en-US"/>
        </w:rPr>
        <w:t xml:space="preserve">. Just as with </w:t>
      </w:r>
      <w:r w:rsidRPr="00686E34">
        <w:rPr>
          <w:rFonts w:ascii="Times New Roman" w:hAnsi="Times New Roman"/>
          <w:sz w:val="24"/>
          <w:szCs w:val="24"/>
          <w:lang w:val="en-US"/>
        </w:rPr>
        <w:lastRenderedPageBreak/>
        <w:t>many conspiracy theories about history of fears about witchcraft, the intentions of the conspirator can be seen as sinister and nefarious. In Freud’s view, the unconscious harbors forbidden desires and impulses related to sexual perversion and aggression, which would be shocking to the conscious subject and must therefore be kept secret.</w:t>
      </w:r>
      <w:r w:rsidRPr="00686E34">
        <w:rPr>
          <w:rStyle w:val="Voetnootmarkering"/>
          <w:rFonts w:ascii="Times New Roman" w:eastAsiaTheme="majorEastAsia" w:hAnsi="Times New Roman"/>
          <w:sz w:val="24"/>
          <w:szCs w:val="24"/>
          <w:lang w:val="en-US"/>
        </w:rPr>
        <w:footnoteReference w:id="7"/>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Because of its peculiar epistemology, Freudian psychoanalysis has the same self-sealing quality as popular conspiracy theories about history or the witchcraft belief system in early modern Europe, in which absence of evidence or apparent counterevidence could always be interpreted in the theory’s own terms.</w:t>
      </w:r>
      <w:r w:rsidRPr="00686E34">
        <w:rPr>
          <w:rStyle w:val="Voetnootmarkering"/>
          <w:rFonts w:ascii="Times New Roman" w:eastAsiaTheme="majorEastAsia" w:hAnsi="Times New Roman"/>
          <w:sz w:val="24"/>
          <w:szCs w:val="24"/>
          <w:lang w:val="en-US"/>
        </w:rPr>
        <w:t xml:space="preserve"> </w:t>
      </w:r>
      <w:r w:rsidRPr="00686E34">
        <w:rPr>
          <w:rFonts w:ascii="Times New Roman" w:hAnsi="Times New Roman"/>
          <w:sz w:val="24"/>
          <w:szCs w:val="24"/>
          <w:lang w:val="en-US"/>
        </w:rPr>
        <w:t xml:space="preserve">When Freud was unable to find traces of a pathological complex or unconscious desire to account for a patient’s behavior, he was undeterred and treated this as a token of unconscious resistance. Since the unconscious was motivated to hide and disguise its dark secrets, it was not surprising to find an apparent lack of evidence. According to the same logic of deception, apparent refutations of the theory could be explained away with equal ease. In his clinical practice, Freud worked on the assumption that his patients harbored a secret and unconscious desire to disprove his own explanations, so as to avoid having to confront their own repressed desires. If a patient dismissed his psychoanalytic interpretations of their symptoms or dreams, he interpreted this as evidence of “resistance” or “denial”, as predicted by the theory </w:t>
      </w:r>
      <w:r>
        <w:rPr>
          <w:rFonts w:ascii="Times New Roman" w:hAnsi="Times New Roman"/>
          <w:noProof/>
          <w:sz w:val="24"/>
          <w:szCs w:val="24"/>
          <w:lang w:val="en-US"/>
        </w:rPr>
        <w:t>(Cioffi 1998; Crews 1986)</w:t>
      </w:r>
      <w:r w:rsidRPr="00686E34">
        <w:rPr>
          <w:rFonts w:ascii="Times New Roman" w:hAnsi="Times New Roman"/>
          <w:sz w:val="24"/>
          <w:szCs w:val="24"/>
          <w:lang w:val="en-US"/>
        </w:rPr>
        <w:t xml:space="preserve">. If the patient ceded to Freud and accepted his </w:t>
      </w:r>
      <w:r w:rsidRPr="00686E34">
        <w:rPr>
          <w:rFonts w:ascii="Times New Roman" w:hAnsi="Times New Roman"/>
          <w:sz w:val="24"/>
          <w:szCs w:val="24"/>
          <w:u w:val="single"/>
          <w:lang w:val="en-US"/>
        </w:rPr>
        <w:t>latest explanation</w:t>
      </w:r>
      <w:r w:rsidRPr="00686E34">
        <w:rPr>
          <w:rFonts w:ascii="Times New Roman" w:hAnsi="Times New Roman"/>
          <w:sz w:val="24"/>
          <w:szCs w:val="24"/>
          <w:lang w:val="en-US"/>
        </w:rPr>
        <w:t xml:space="preserve">, of course this also counted in favor of the theory, namely as an instance of resistance overcome through therapeutic pressure.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According to Freud, unconscious resistance could even disguise itself in the form of manifest symptoms or dreams. For instance, when one of Freud’s patients dreamt about being forced to </w:t>
      </w:r>
      <w:r w:rsidRPr="00686E34">
        <w:rPr>
          <w:rFonts w:ascii="Times New Roman" w:hAnsi="Times New Roman"/>
          <w:sz w:val="24"/>
          <w:szCs w:val="24"/>
          <w:lang w:val="en-US"/>
        </w:rPr>
        <w:lastRenderedPageBreak/>
        <w:t>spend the holidays with her mother-in-law, whom she despised, at face value this seemed to belie Freud’s contention that every dream is a manifestation of an unconscious wish-fulfilment. But as Freud himself explained, the apparent refutation was really a striking confirmation: “The dream showed that I was wrong.</w:t>
      </w:r>
      <w:r w:rsidRPr="00686E34">
        <w:rPr>
          <w:rFonts w:ascii="Times New Roman" w:hAnsi="Times New Roman"/>
          <w:i/>
          <w:iCs/>
          <w:sz w:val="24"/>
          <w:szCs w:val="24"/>
          <w:lang w:val="en-US"/>
        </w:rPr>
        <w:t xml:space="preserve"> Thus it was her wish that I might be wrong, and her dream showed that wish fulfilled</w:t>
      </w:r>
      <w:r w:rsidRPr="00686E34">
        <w:rPr>
          <w:rFonts w:ascii="Times New Roman" w:hAnsi="Times New Roman"/>
          <w:sz w:val="24"/>
          <w:szCs w:val="24"/>
          <w:lang w:val="en-US"/>
        </w:rPr>
        <w:t xml:space="preserve">” </w:t>
      </w:r>
      <w:r>
        <w:rPr>
          <w:rFonts w:ascii="Times New Roman" w:hAnsi="Times New Roman"/>
          <w:noProof/>
          <w:sz w:val="24"/>
          <w:szCs w:val="24"/>
          <w:lang w:val="en-US"/>
        </w:rPr>
        <w:t>(Freud 1953: 151)</w:t>
      </w:r>
      <w:r w:rsidRPr="00686E34">
        <w:rPr>
          <w:rFonts w:ascii="Times New Roman" w:hAnsi="Times New Roman"/>
          <w:sz w:val="24"/>
          <w:szCs w:val="24"/>
          <w:lang w:val="en-US"/>
        </w:rPr>
        <w:t>.</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Finally, Freud applied the same theoretical apparatus to his critics. Since every one of us is under the spell of the unconscious forces described by psychoanalysis, it was not surprising that critics of psychoanalysis tried to attack his brainchild. As Freud explained: </w:t>
      </w:r>
    </w:p>
    <w:p w:rsidR="00CF3D71" w:rsidRPr="00686E34" w:rsidRDefault="00CF3D71" w:rsidP="00053B63">
      <w:pPr>
        <w:spacing w:line="480" w:lineRule="auto"/>
        <w:ind w:left="576"/>
        <w:jc w:val="both"/>
        <w:rPr>
          <w:rFonts w:ascii="Times New Roman" w:hAnsi="Times New Roman"/>
          <w:sz w:val="24"/>
          <w:szCs w:val="24"/>
          <w:lang w:val="en-US"/>
        </w:rPr>
      </w:pPr>
      <w:r w:rsidRPr="00686E34">
        <w:rPr>
          <w:rFonts w:ascii="Times New Roman" w:hAnsi="Times New Roman"/>
          <w:sz w:val="24"/>
          <w:szCs w:val="24"/>
          <w:lang w:val="en-US"/>
        </w:rPr>
        <w:t xml:space="preserve">Psycho-analysis is seeking to bring to conscious recognition the things in mental life which are repressed; […] They [the critics] are therefore bound to call up the same resistance in him as in our patients; and that resistance finds it easy to disguise itself as an intellectual rejection and to bring up arguments like those which we ward off in our patients by means of the fundamental rule of psycho-analysis. </w:t>
      </w:r>
      <w:r>
        <w:rPr>
          <w:rFonts w:ascii="Times New Roman" w:hAnsi="Times New Roman"/>
          <w:noProof/>
          <w:sz w:val="24"/>
          <w:szCs w:val="24"/>
          <w:lang w:val="en-US"/>
        </w:rPr>
        <w:t>(Freud 1957: 39)</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It is tempting to reject such circular reasoning as a personal quirk on Freud’s part, but this “resistance argument” has been wielded by many later psychoanalysts, against both patients and critics of psychoanalysis </w:t>
      </w:r>
      <w:bookmarkStart w:id="54" w:name="_Hlk132306577"/>
      <w:r>
        <w:rPr>
          <w:rFonts w:ascii="Times New Roman" w:hAnsi="Times New Roman"/>
          <w:noProof/>
          <w:sz w:val="24"/>
          <w:szCs w:val="24"/>
          <w:lang w:val="en-US"/>
        </w:rPr>
        <w:t>(Borch-Jacobsen and Shamdasani 2011; Crews 2017)</w:t>
      </w:r>
      <w:r w:rsidRPr="00686E34">
        <w:rPr>
          <w:rFonts w:ascii="Times New Roman" w:hAnsi="Times New Roman"/>
          <w:sz w:val="24"/>
          <w:szCs w:val="24"/>
          <w:lang w:val="en-US"/>
        </w:rPr>
        <w:t xml:space="preserve">. </w:t>
      </w:r>
      <w:bookmarkStart w:id="55" w:name="_Toc101201936"/>
      <w:bookmarkStart w:id="56" w:name="_Toc101201937"/>
      <w:bookmarkEnd w:id="55"/>
      <w:bookmarkEnd w:id="56"/>
      <w:r w:rsidRPr="00686E34">
        <w:rPr>
          <w:rFonts w:ascii="Times New Roman" w:hAnsi="Times New Roman"/>
          <w:sz w:val="24"/>
          <w:szCs w:val="24"/>
          <w:lang w:val="en-US"/>
        </w:rPr>
        <w:t xml:space="preserve">That is because it is a central prediction of the theory, and thus an entirely reasonable inference (from the perspective of a Freudian psychoanalyst) to make. </w:t>
      </w:r>
    </w:p>
    <w:p w:rsidR="00CF3D71" w:rsidRPr="00686E34" w:rsidRDefault="00CF3D71" w:rsidP="00053B63">
      <w:pPr>
        <w:pStyle w:val="Kop1"/>
        <w:spacing w:line="480" w:lineRule="auto"/>
        <w:rPr>
          <w:rFonts w:ascii="Times New Roman" w:hAnsi="Times New Roman" w:cs="Times New Roman"/>
          <w:color w:val="auto"/>
          <w:sz w:val="24"/>
          <w:szCs w:val="24"/>
          <w:lang w:val="en-US"/>
        </w:rPr>
      </w:pPr>
      <w:bookmarkStart w:id="57" w:name="_Toc112269339"/>
      <w:bookmarkStart w:id="58" w:name="_Ref102412022"/>
      <w:bookmarkStart w:id="59" w:name="_Toc117878440"/>
      <w:bookmarkEnd w:id="54"/>
      <w:bookmarkEnd w:id="57"/>
      <w:r w:rsidRPr="00686E34">
        <w:rPr>
          <w:rFonts w:ascii="Times New Roman" w:hAnsi="Times New Roman" w:cs="Times New Roman"/>
          <w:color w:val="auto"/>
          <w:sz w:val="24"/>
          <w:szCs w:val="24"/>
          <w:lang w:val="en-US"/>
        </w:rPr>
        <w:t>The dynamics of epistemic black holes</w:t>
      </w:r>
      <w:bookmarkEnd w:id="58"/>
      <w:bookmarkEnd w:id="59"/>
    </w:p>
    <w:p w:rsidR="00CF3D71" w:rsidRPr="00686E34" w:rsidRDefault="00CF3D71" w:rsidP="00053B63">
      <w:pPr>
        <w:pStyle w:val="Kop2"/>
        <w:spacing w:line="480" w:lineRule="auto"/>
        <w:rPr>
          <w:rFonts w:ascii="Times New Roman" w:hAnsi="Times New Roman" w:cs="Times New Roman"/>
          <w:color w:val="auto"/>
          <w:sz w:val="24"/>
          <w:szCs w:val="24"/>
          <w:lang w:val="en-US"/>
        </w:rPr>
      </w:pPr>
      <w:bookmarkStart w:id="60" w:name="_Ref135746112"/>
      <w:r w:rsidRPr="00686E34">
        <w:rPr>
          <w:rFonts w:ascii="Times New Roman" w:hAnsi="Times New Roman" w:cs="Times New Roman"/>
          <w:color w:val="auto"/>
          <w:sz w:val="24"/>
          <w:szCs w:val="24"/>
          <w:lang w:val="en-US"/>
        </w:rPr>
        <w:t>Arbitrariness and proliferating alternatives</w:t>
      </w:r>
      <w:bookmarkEnd w:id="60"/>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Because of their self-sealing character, epistemic black holes are extremely resilient against external challenges in the form of counterevidence or skeptical questions. This strong resilience, however, comes at a steep cost: the belief systems suffers from a problem of arbitrariness, in </w:t>
      </w:r>
      <w:r w:rsidRPr="00686E34">
        <w:rPr>
          <w:rFonts w:ascii="Times New Roman" w:hAnsi="Times New Roman"/>
          <w:sz w:val="24"/>
          <w:szCs w:val="24"/>
          <w:lang w:val="en-US"/>
        </w:rPr>
        <w:lastRenderedPageBreak/>
        <w:t>the sense that the available evidence is always congruent with many different versions, and there is no rational way to adjudicate between them.</w:t>
      </w:r>
      <w:r w:rsidRPr="00686E34">
        <w:rPr>
          <w:rStyle w:val="Voetnootmarkering"/>
          <w:rFonts w:ascii="Times New Roman" w:eastAsiaTheme="majorEastAsia" w:hAnsi="Times New Roman"/>
          <w:sz w:val="24"/>
          <w:szCs w:val="24"/>
          <w:lang w:val="en-US"/>
        </w:rPr>
        <w:footnoteReference w:id="8"/>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For example, for any given historical event, it is always possible to develop multiple (unfounded) conspiracy theories involving different culprits, different objectives and different schemes. An event like the 9/11 attacks could be (and has been) interpreted as an inside job by the Bush administration, or a plot by the Saudi government or the Mossad, or the Jews more generally, or by any group of agents that is sufficiently powerful to cover up its tracks and make it look like Al Qaeda orchestrated the attacks.</w:t>
      </w:r>
      <w:r w:rsidRPr="00686E34">
        <w:rPr>
          <w:rStyle w:val="Voetnootmarkering"/>
          <w:rFonts w:ascii="Times New Roman" w:eastAsiaTheme="majorEastAsia" w:hAnsi="Times New Roman"/>
          <w:sz w:val="24"/>
          <w:szCs w:val="24"/>
          <w:lang w:val="en-US"/>
        </w:rPr>
        <w:footnoteReference w:id="9"/>
      </w:r>
      <w:r w:rsidRPr="00686E34">
        <w:rPr>
          <w:rFonts w:ascii="Times New Roman" w:hAnsi="Times New Roman"/>
          <w:sz w:val="24"/>
          <w:szCs w:val="24"/>
          <w:lang w:val="en-US"/>
        </w:rPr>
        <w:t xml:space="preserve"> As for the murder of John F. Kennedy, a 2013 Gallup poll asked respondents if they believed that Lee Harvey Oswald acted alone and, if not, who was really behind the plot </w:t>
      </w:r>
      <w:r>
        <w:rPr>
          <w:rFonts w:ascii="Times New Roman" w:hAnsi="Times New Roman"/>
          <w:noProof/>
          <w:sz w:val="24"/>
          <w:szCs w:val="24"/>
          <w:lang w:val="en-US"/>
        </w:rPr>
        <w:t>(Swift 2013)</w:t>
      </w:r>
      <w:r w:rsidRPr="00686E34">
        <w:rPr>
          <w:rFonts w:ascii="Times New Roman" w:hAnsi="Times New Roman"/>
          <w:sz w:val="24"/>
          <w:szCs w:val="24"/>
          <w:lang w:val="en-US"/>
        </w:rPr>
        <w:t>. After half a century of conspiracy theorizing and hundreds of books and articles disputing the official version of events, the results still proffered a wide array of culprits: the Mafia (13%), the federal government (13%), the CIA (7%), Cuba and Fidel Castro (5%), JFK’s own vice-president Lyndon Johnson (3%), the Soviet Union (3%), the Ku Klux Klan (3%), FBI director J. Edgar Hoover (1%), and various other actors. Following the logic of epistemic black holes, it is impossible to rule out the complicity of any of these potential culprits, provided that they have been careful enough to cover their tracks.</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lastRenderedPageBreak/>
        <w:t xml:space="preserve">A similar problem of arbitrariness also affects other parameters of the conspiracy theory, such as the method being used by the conspirators. Most 9/11 conspiracy theorists believe that the Twin Towers were not brought down by the impact of the planes, as the official version claims, but by some other means. As to the precise nature of the mechanism, there is a wide array of conflicting viewpoints: some suspect a process of controlled demolition with conventional explosives, others suspect the use of exotic novel technologies like </w:t>
      </w:r>
      <w:proofErr w:type="spellStart"/>
      <w:r w:rsidRPr="00686E34">
        <w:rPr>
          <w:rFonts w:ascii="Times New Roman" w:hAnsi="Times New Roman"/>
          <w:sz w:val="24"/>
          <w:szCs w:val="24"/>
          <w:lang w:val="en-US"/>
        </w:rPr>
        <w:t>nano</w:t>
      </w:r>
      <w:proofErr w:type="spellEnd"/>
      <w:r w:rsidRPr="00686E34">
        <w:rPr>
          <w:rFonts w:ascii="Times New Roman" w:hAnsi="Times New Roman"/>
          <w:sz w:val="24"/>
          <w:szCs w:val="24"/>
          <w:lang w:val="en-US"/>
        </w:rPr>
        <w:t xml:space="preserve">-thermite, while some even deny that the objects hitting the Twin Towers and the Pentagon were commercial planes at all, but could have been missiles, military planes, or digitally created CGI holograms </w:t>
      </w:r>
      <w:r>
        <w:rPr>
          <w:rFonts w:ascii="Times New Roman" w:hAnsi="Times New Roman"/>
          <w:noProof/>
          <w:sz w:val="24"/>
          <w:szCs w:val="24"/>
          <w:lang w:val="en-US"/>
        </w:rPr>
        <w:t>(Aaronovitch 2010)</w:t>
      </w:r>
      <w:r w:rsidRPr="00686E34">
        <w:rPr>
          <w:rFonts w:ascii="Times New Roman" w:hAnsi="Times New Roman"/>
          <w:sz w:val="24"/>
          <w:szCs w:val="24"/>
          <w:lang w:val="en-US"/>
        </w:rPr>
        <w:t>.</w:t>
      </w:r>
      <w:r w:rsidRPr="00686E34">
        <w:rPr>
          <w:rStyle w:val="Voetnootmarkering"/>
          <w:rFonts w:ascii="Times New Roman" w:eastAsiaTheme="majorEastAsia" w:hAnsi="Times New Roman"/>
          <w:sz w:val="24"/>
          <w:szCs w:val="24"/>
          <w:lang w:val="en-US"/>
        </w:rPr>
        <w:footnoteReference w:id="10"/>
      </w:r>
      <w:r w:rsidRPr="00686E34">
        <w:rPr>
          <w:rFonts w:ascii="Times New Roman" w:hAnsi="Times New Roman"/>
          <w:sz w:val="24"/>
          <w:szCs w:val="24"/>
          <w:lang w:val="en-US"/>
        </w:rPr>
        <w:t xml:space="preserve"> There is no rational way to discriminate between such competing conspiracy theories, because all of them are equally capable of accounting for the available evidence. As Harris </w:t>
      </w:r>
      <w:r>
        <w:rPr>
          <w:rFonts w:ascii="Times New Roman" w:hAnsi="Times New Roman"/>
          <w:noProof/>
          <w:sz w:val="24"/>
          <w:szCs w:val="24"/>
          <w:lang w:val="en-US"/>
        </w:rPr>
        <w:t>(2018: 256)</w:t>
      </w:r>
      <w:r w:rsidRPr="00686E34">
        <w:rPr>
          <w:rFonts w:ascii="Times New Roman" w:hAnsi="Times New Roman"/>
          <w:sz w:val="24"/>
          <w:szCs w:val="24"/>
          <w:lang w:val="en-US"/>
        </w:rPr>
        <w:t xml:space="preserve"> recently put it, “any number of conspiratorial explanations will fit the data, and hence will be equally supported”.</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The problem of arbitrariness can also be observed in the domain of religion and supernatural belief. If you assume that one or more powerful supernatural beings exist, but they are actively hiding and resisting your investigation, the identification of these supernatural creatures and their attributes becomes to a large extent arbitrary. In philosophy of religion, this is known as the “problem of religious diversity” </w:t>
      </w:r>
      <w:r>
        <w:rPr>
          <w:rFonts w:ascii="Times New Roman" w:hAnsi="Times New Roman"/>
          <w:noProof/>
          <w:sz w:val="24"/>
          <w:szCs w:val="24"/>
          <w:lang w:val="en-US"/>
        </w:rPr>
        <w:t>(Basinger 2011)</w:t>
      </w:r>
      <w:r w:rsidRPr="00686E34">
        <w:rPr>
          <w:rFonts w:ascii="Times New Roman" w:hAnsi="Times New Roman"/>
          <w:sz w:val="24"/>
          <w:szCs w:val="24"/>
          <w:lang w:val="en-US"/>
        </w:rPr>
        <w:t xml:space="preserve">. Many cultures have devised different belief systems about deities and other supernatural creatures, but these belief systems are often mutually contradictory and there is no rational way to adjudicate between them </w:t>
      </w:r>
      <w:r>
        <w:rPr>
          <w:rFonts w:ascii="Times New Roman" w:hAnsi="Times New Roman"/>
          <w:noProof/>
          <w:sz w:val="24"/>
          <w:szCs w:val="24"/>
          <w:lang w:val="en-US"/>
        </w:rPr>
        <w:t>(Philipse 2012)</w:t>
      </w:r>
      <w:r w:rsidRPr="00686E34">
        <w:rPr>
          <w:rFonts w:ascii="Times New Roman" w:hAnsi="Times New Roman"/>
          <w:sz w:val="24"/>
          <w:szCs w:val="24"/>
          <w:lang w:val="en-US"/>
        </w:rPr>
        <w:t xml:space="preserve">. Even the choice between monotheism and polytheism remains essentially arbitrary. Is there a single supernatural creature pulling the strings behind the world’s curtain, or are we dealing </w:t>
      </w:r>
      <w:r w:rsidRPr="00686E34">
        <w:rPr>
          <w:rFonts w:ascii="Times New Roman" w:hAnsi="Times New Roman"/>
          <w:sz w:val="24"/>
          <w:szCs w:val="24"/>
          <w:lang w:val="en-US"/>
        </w:rPr>
        <w:lastRenderedPageBreak/>
        <w:t xml:space="preserve">with a genuine ‘conspiracy’ of different deities plotting together? In making his case for religious skepticism, Philo exposed this problem in David Hume’s </w:t>
      </w:r>
      <w:r w:rsidRPr="00686E34">
        <w:rPr>
          <w:rFonts w:ascii="Times New Roman" w:hAnsi="Times New Roman"/>
          <w:i/>
          <w:iCs/>
          <w:sz w:val="24"/>
          <w:szCs w:val="24"/>
          <w:lang w:val="en-US"/>
        </w:rPr>
        <w:t>Dialogues</w:t>
      </w:r>
      <w:r w:rsidRPr="00686E34">
        <w:rPr>
          <w:rFonts w:ascii="Times New Roman" w:hAnsi="Times New Roman"/>
          <w:sz w:val="24"/>
          <w:szCs w:val="24"/>
          <w:lang w:val="en-US"/>
        </w:rPr>
        <w:t xml:space="preserve">: </w:t>
      </w:r>
    </w:p>
    <w:p w:rsidR="00CF3D71" w:rsidRPr="00686E34" w:rsidRDefault="00CF3D71" w:rsidP="00053B63">
      <w:pPr>
        <w:spacing w:line="480" w:lineRule="auto"/>
        <w:ind w:left="708"/>
        <w:jc w:val="both"/>
        <w:rPr>
          <w:rFonts w:ascii="Times New Roman" w:hAnsi="Times New Roman"/>
          <w:sz w:val="24"/>
          <w:szCs w:val="24"/>
          <w:lang w:val="en-US"/>
        </w:rPr>
      </w:pPr>
      <w:r w:rsidRPr="00686E34">
        <w:rPr>
          <w:rFonts w:ascii="Times New Roman" w:hAnsi="Times New Roman"/>
          <w:sz w:val="24"/>
          <w:szCs w:val="24"/>
          <w:lang w:val="en-US"/>
        </w:rPr>
        <w:t xml:space="preserve">In such subjects, who can determine, where the truth; nay, who can conjecture where the probability lies, amidst a great number of hypotheses which may be proposed, and a still greater which may be imagined? […] And what shadow of an argument, continued Philo, can you produce, from your hypothesis, to prove the unity of the Deity? […] why may not several deities combine in contriving and framing a world?  </w:t>
      </w:r>
      <w:r>
        <w:rPr>
          <w:rFonts w:ascii="Times New Roman" w:hAnsi="Times New Roman"/>
          <w:noProof/>
          <w:sz w:val="24"/>
          <w:szCs w:val="24"/>
          <w:lang w:val="en-US"/>
        </w:rPr>
        <w:t>(Hume 1998 [1779]: 36)</w:t>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Given that supernatural creatures are alleged to have powers that transcend those of human beings, or may even be omnipotent, it is impossible for mere mortals to find out.</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In an analogous way, the history of psychoanalysis also illustrates the problem of theoretical arbitrariness. As Boudry and </w:t>
      </w:r>
      <w:proofErr w:type="spellStart"/>
      <w:r w:rsidRPr="00686E34">
        <w:rPr>
          <w:rFonts w:ascii="Times New Roman" w:hAnsi="Times New Roman"/>
          <w:sz w:val="24"/>
          <w:szCs w:val="24"/>
          <w:lang w:val="en-US"/>
        </w:rPr>
        <w:t>Buekens</w:t>
      </w:r>
      <w:proofErr w:type="spellEnd"/>
      <w:r w:rsidRPr="00686E34">
        <w:rPr>
          <w:rFonts w:ascii="Times New Roman" w:hAnsi="Times New Roman"/>
          <w:sz w:val="24"/>
          <w:szCs w:val="24"/>
          <w:lang w:val="en-US"/>
        </w:rPr>
        <w:t xml:space="preserve"> </w:t>
      </w:r>
      <w:r>
        <w:rPr>
          <w:rFonts w:ascii="Times New Roman" w:hAnsi="Times New Roman"/>
          <w:noProof/>
          <w:sz w:val="24"/>
          <w:szCs w:val="24"/>
          <w:lang w:val="en-US"/>
        </w:rPr>
        <w:t>(2011)</w:t>
      </w:r>
      <w:r w:rsidRPr="00686E34">
        <w:rPr>
          <w:rFonts w:ascii="Times New Roman" w:hAnsi="Times New Roman"/>
          <w:sz w:val="24"/>
          <w:szCs w:val="24"/>
          <w:lang w:val="en-US"/>
        </w:rPr>
        <w:t xml:space="preserve"> have shown, the conceptual core structure of psychoanalysis provides a sort of empty shell into which any number of rival theoretical notions can be inserted. In particular, while Freud’s original theory centered around the Oedipus complex and the notion of infantile sexual desires, later theorists have developed the theory in widely divergent (and often incompatible) directions. Otto Rank’s version of psychoanalysis reduces virtually every psychological complex to the repressed birth trauma, Alfred Adler unearthed inferiority complexes everywhere, Melanie Klein introduced the notion of unconscious breast envy as a counterweight to penis envy, Carl Jung developed the theory of unconscious archetypes (anima, persona, shadow), and so forth </w:t>
      </w:r>
      <w:r>
        <w:rPr>
          <w:rFonts w:ascii="Times New Roman" w:hAnsi="Times New Roman"/>
          <w:noProof/>
          <w:sz w:val="24"/>
          <w:szCs w:val="24"/>
          <w:lang w:val="en-US"/>
        </w:rPr>
        <w:t>(Macmillan 1997)</w:t>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In the absence of any evidential constraints for fixing the parameters of conspiracy explanations, the psychoanalytic movement has often been beset by irresolvable theoretical disputes and schisms. In the words of Frederick Crews </w:t>
      </w:r>
      <w:r>
        <w:rPr>
          <w:rFonts w:ascii="Times New Roman" w:hAnsi="Times New Roman"/>
          <w:noProof/>
          <w:sz w:val="24"/>
          <w:szCs w:val="24"/>
          <w:lang w:val="en-US"/>
        </w:rPr>
        <w:t>(1998: xxx)</w:t>
      </w:r>
      <w:r w:rsidRPr="00686E34">
        <w:rPr>
          <w:rFonts w:ascii="Times New Roman" w:hAnsi="Times New Roman"/>
          <w:sz w:val="24"/>
          <w:szCs w:val="24"/>
          <w:lang w:val="en-US"/>
        </w:rPr>
        <w:t xml:space="preserve">, the epistemological structure of psychoanalysis renders the development of the psychoanalytic movement </w:t>
      </w:r>
      <w:r w:rsidRPr="00686E34">
        <w:rPr>
          <w:rFonts w:ascii="Times New Roman" w:hAnsi="Times New Roman"/>
          <w:sz w:val="24"/>
          <w:szCs w:val="24"/>
          <w:lang w:val="en-US"/>
        </w:rPr>
        <w:lastRenderedPageBreak/>
        <w:t xml:space="preserve">“drastically centrifugal, spinning off ever more numerous, mutually excommunicating schools and cliques” </w:t>
      </w:r>
      <w:r>
        <w:rPr>
          <w:rFonts w:ascii="Times New Roman" w:hAnsi="Times New Roman"/>
          <w:noProof/>
          <w:sz w:val="24"/>
          <w:szCs w:val="24"/>
          <w:lang w:val="en-US"/>
        </w:rPr>
        <w:t>(see also Gordin 2012: 202)</w:t>
      </w:r>
      <w:r w:rsidRPr="00686E34">
        <w:rPr>
          <w:rFonts w:ascii="Times New Roman" w:hAnsi="Times New Roman"/>
          <w:sz w:val="24"/>
          <w:szCs w:val="24"/>
          <w:lang w:val="en-US"/>
        </w:rPr>
        <w:t>.</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In the early modern witch hunts, the various misfortunes and disasters that occasioned witch hunts could also be “explained” in a variety of different ways, with different culprits and different mechanisms. In most cases such explanations did not need to be mutually exclusive, as different witches and different magic spells could be perceived as contributing to the same result (such as an illness or natural disaster). However, the most vivid demonstration of the arbitrary nature of witchcraft beliefs is that sometimes those who had initiated or commanded over the witch trials ended up on the stake themselves. The fact that skeptical arguments could always be disarmed was an attractive feature for witch hunters as long as witchcraft accusations were targeting </w:t>
      </w:r>
      <w:r w:rsidRPr="00686E34">
        <w:rPr>
          <w:rFonts w:ascii="Times New Roman" w:hAnsi="Times New Roman"/>
          <w:i/>
          <w:iCs/>
          <w:sz w:val="24"/>
          <w:szCs w:val="24"/>
          <w:lang w:val="en-US"/>
        </w:rPr>
        <w:t>others</w:t>
      </w:r>
      <w:r w:rsidRPr="00686E34">
        <w:rPr>
          <w:rFonts w:ascii="Times New Roman" w:hAnsi="Times New Roman"/>
          <w:sz w:val="24"/>
          <w:szCs w:val="24"/>
          <w:lang w:val="en-US"/>
        </w:rPr>
        <w:t xml:space="preserve">. But due to the arbitrariness of witchcraft explanations, the accusatory dynamics could easily spiral out of control, also targeting people who initially contributed to the trials.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Consider the fate of the richest man of the German city of Trier and president of its university, Dietrich </w:t>
      </w:r>
      <w:proofErr w:type="spellStart"/>
      <w:r w:rsidRPr="00686E34">
        <w:rPr>
          <w:rFonts w:ascii="Times New Roman" w:hAnsi="Times New Roman"/>
          <w:sz w:val="24"/>
          <w:szCs w:val="24"/>
          <w:lang w:val="en-US"/>
        </w:rPr>
        <w:t>Flade</w:t>
      </w:r>
      <w:proofErr w:type="spellEnd"/>
      <w:r w:rsidRPr="00686E34">
        <w:rPr>
          <w:rFonts w:ascii="Times New Roman" w:hAnsi="Times New Roman"/>
          <w:sz w:val="24"/>
          <w:szCs w:val="24"/>
          <w:lang w:val="en-US"/>
        </w:rPr>
        <w:t xml:space="preserve">. Initially, </w:t>
      </w:r>
      <w:proofErr w:type="spellStart"/>
      <w:r w:rsidRPr="00686E34">
        <w:rPr>
          <w:rFonts w:ascii="Times New Roman" w:hAnsi="Times New Roman"/>
          <w:sz w:val="24"/>
          <w:szCs w:val="24"/>
          <w:lang w:val="en-US"/>
        </w:rPr>
        <w:t>Flade</w:t>
      </w:r>
      <w:proofErr w:type="spellEnd"/>
      <w:r w:rsidRPr="00686E34">
        <w:rPr>
          <w:rFonts w:ascii="Times New Roman" w:hAnsi="Times New Roman"/>
          <w:sz w:val="24"/>
          <w:szCs w:val="24"/>
          <w:lang w:val="en-US"/>
        </w:rPr>
        <w:t xml:space="preserve"> had supported witch trials, and in his role as town bailiff he even operated as a notably harsh witch-hunter himself. But at some point the alleged witches began to name </w:t>
      </w:r>
      <w:proofErr w:type="spellStart"/>
      <w:r w:rsidRPr="00686E34">
        <w:rPr>
          <w:rFonts w:ascii="Times New Roman" w:hAnsi="Times New Roman"/>
          <w:sz w:val="24"/>
          <w:szCs w:val="24"/>
          <w:lang w:val="en-US"/>
        </w:rPr>
        <w:t>Flade</w:t>
      </w:r>
      <w:proofErr w:type="spellEnd"/>
      <w:r w:rsidRPr="00686E34">
        <w:rPr>
          <w:rFonts w:ascii="Times New Roman" w:hAnsi="Times New Roman"/>
          <w:sz w:val="24"/>
          <w:szCs w:val="24"/>
          <w:lang w:val="en-US"/>
        </w:rPr>
        <w:t xml:space="preserve"> as one of their accomplices, and within the witchcraft doctrine it was difficult to counter that. </w:t>
      </w:r>
      <w:proofErr w:type="spellStart"/>
      <w:r w:rsidRPr="00686E34">
        <w:rPr>
          <w:rFonts w:ascii="Times New Roman" w:hAnsi="Times New Roman"/>
          <w:sz w:val="24"/>
          <w:szCs w:val="24"/>
          <w:lang w:val="en-US"/>
        </w:rPr>
        <w:t>Flade’s</w:t>
      </w:r>
      <w:proofErr w:type="spellEnd"/>
      <w:r w:rsidRPr="00686E34">
        <w:rPr>
          <w:rFonts w:ascii="Times New Roman" w:hAnsi="Times New Roman"/>
          <w:sz w:val="24"/>
          <w:szCs w:val="24"/>
          <w:lang w:val="en-US"/>
        </w:rPr>
        <w:t xml:space="preserve"> friends brought forward that he could not possibly be a witch, since he had persecuted witches himself. But this defense failed to have much of an impact. After all, were witches not always ingeniously trying to pull the wool over people’s eyes, for instance by presenting themselves as witch-hunters? On 18 September 1589 </w:t>
      </w:r>
      <w:proofErr w:type="spellStart"/>
      <w:r w:rsidRPr="00686E34">
        <w:rPr>
          <w:rFonts w:ascii="Times New Roman" w:hAnsi="Times New Roman"/>
          <w:sz w:val="24"/>
          <w:szCs w:val="24"/>
          <w:lang w:val="en-US"/>
        </w:rPr>
        <w:t>Flade</w:t>
      </w:r>
      <w:proofErr w:type="spellEnd"/>
      <w:r w:rsidRPr="00686E34">
        <w:rPr>
          <w:rFonts w:ascii="Times New Roman" w:hAnsi="Times New Roman"/>
          <w:sz w:val="24"/>
          <w:szCs w:val="24"/>
          <w:lang w:val="en-US"/>
        </w:rPr>
        <w:t xml:space="preserve"> was first strangled, and then burned in public in full view of almost the entire city population </w:t>
      </w:r>
      <w:r>
        <w:rPr>
          <w:rFonts w:ascii="Times New Roman" w:hAnsi="Times New Roman"/>
          <w:noProof/>
          <w:sz w:val="24"/>
          <w:szCs w:val="24"/>
          <w:lang w:val="en-US"/>
        </w:rPr>
        <w:t>(Dillinger 1999; Hofhuis 2022)</w:t>
      </w:r>
      <w:r w:rsidRPr="00686E34">
        <w:rPr>
          <w:rFonts w:ascii="Times New Roman" w:hAnsi="Times New Roman"/>
          <w:sz w:val="24"/>
          <w:szCs w:val="24"/>
          <w:lang w:val="en-US"/>
        </w:rPr>
        <w:t>.</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lastRenderedPageBreak/>
        <w:t xml:space="preserve">In a similar vein – but in a less literal sense – believers in conspiracy theories and psychoanalysts also sometimes become “victims” of the very same conspiratorial logic that they directed towards others. For instance, when the influential French conspiracy theorist Thierry </w:t>
      </w:r>
      <w:proofErr w:type="spellStart"/>
      <w:r w:rsidRPr="00686E34">
        <w:rPr>
          <w:rFonts w:ascii="Times New Roman" w:hAnsi="Times New Roman"/>
          <w:sz w:val="24"/>
          <w:szCs w:val="24"/>
          <w:lang w:val="en-US"/>
        </w:rPr>
        <w:t>Meyssan</w:t>
      </w:r>
      <w:proofErr w:type="spellEnd"/>
      <w:r w:rsidRPr="00686E34">
        <w:rPr>
          <w:rFonts w:ascii="Times New Roman" w:hAnsi="Times New Roman"/>
          <w:sz w:val="24"/>
          <w:szCs w:val="24"/>
          <w:lang w:val="en-US"/>
        </w:rPr>
        <w:t xml:space="preserve"> suggested that on 9/11 the Pentagon was hit by some sort of missile instead of a passenger plane, other 9/11 conspiracy theorists went on to argue that </w:t>
      </w:r>
      <w:proofErr w:type="spellStart"/>
      <w:r w:rsidRPr="00686E34">
        <w:rPr>
          <w:rFonts w:ascii="Times New Roman" w:hAnsi="Times New Roman"/>
          <w:sz w:val="24"/>
          <w:szCs w:val="24"/>
          <w:lang w:val="en-US"/>
        </w:rPr>
        <w:t>Meyssan</w:t>
      </w:r>
      <w:proofErr w:type="spellEnd"/>
      <w:r w:rsidRPr="00686E34">
        <w:rPr>
          <w:rFonts w:ascii="Times New Roman" w:hAnsi="Times New Roman"/>
          <w:sz w:val="24"/>
          <w:szCs w:val="24"/>
          <w:lang w:val="en-US"/>
        </w:rPr>
        <w:t xml:space="preserve"> himself was a Deep State agent who had infiltrated into conspiracist communities to sow doubt and discredit the conspiracy theory</w:t>
      </w:r>
      <w:r w:rsidRPr="00686E34" w:rsidDel="003F4E33">
        <w:rPr>
          <w:rFonts w:ascii="Times New Roman" w:hAnsi="Times New Roman"/>
          <w:sz w:val="24"/>
          <w:szCs w:val="24"/>
          <w:lang w:val="en-US"/>
        </w:rPr>
        <w:t xml:space="preserve"> </w:t>
      </w:r>
      <w:r w:rsidRPr="00686E34">
        <w:rPr>
          <w:rFonts w:ascii="Times New Roman" w:hAnsi="Times New Roman"/>
          <w:sz w:val="24"/>
          <w:szCs w:val="24"/>
          <w:lang w:val="en-US"/>
        </w:rPr>
        <w:t xml:space="preserve">community </w:t>
      </w:r>
      <w:r>
        <w:rPr>
          <w:rFonts w:ascii="Times New Roman" w:hAnsi="Times New Roman"/>
          <w:noProof/>
          <w:sz w:val="24"/>
          <w:szCs w:val="24"/>
          <w:lang w:val="en-US"/>
        </w:rPr>
        <w:t>(Sunstein and Vermeule 2009: 223)</w:t>
      </w:r>
      <w:r w:rsidRPr="00686E34">
        <w:rPr>
          <w:rFonts w:ascii="Times New Roman" w:hAnsi="Times New Roman"/>
          <w:sz w:val="24"/>
          <w:szCs w:val="24"/>
          <w:lang w:val="en-US"/>
        </w:rPr>
        <w:t>. Analogously, the different schools of psychoanalysis after Freud have often turned on one another, explaining dissent in theory-internal terms. As historians of the psychoanalytic movement have observed, Freud made a habit of accusing renegade disciples of harboring some repressed desire or unresolved complex that warranted further psychoanalytic treatment. This recurrent “</w:t>
      </w:r>
      <w:proofErr w:type="spellStart"/>
      <w:r w:rsidRPr="00686E34">
        <w:rPr>
          <w:rFonts w:ascii="Times New Roman" w:hAnsi="Times New Roman"/>
          <w:sz w:val="24"/>
          <w:szCs w:val="24"/>
          <w:lang w:val="en-US"/>
        </w:rPr>
        <w:t>pathologisation</w:t>
      </w:r>
      <w:proofErr w:type="spellEnd"/>
      <w:r w:rsidRPr="00686E34">
        <w:rPr>
          <w:rFonts w:ascii="Times New Roman" w:hAnsi="Times New Roman"/>
          <w:sz w:val="24"/>
          <w:szCs w:val="24"/>
          <w:lang w:val="en-US"/>
        </w:rPr>
        <w:t xml:space="preserve"> of dissent” </w:t>
      </w:r>
      <w:r>
        <w:rPr>
          <w:rFonts w:ascii="Times New Roman" w:hAnsi="Times New Roman"/>
          <w:noProof/>
          <w:sz w:val="24"/>
          <w:szCs w:val="24"/>
          <w:lang w:val="en-US"/>
        </w:rPr>
        <w:t>(Borch-Jacobsen and Shamdasani 2011: 85)</w:t>
      </w:r>
      <w:r w:rsidRPr="00686E34">
        <w:rPr>
          <w:rFonts w:ascii="Times New Roman" w:hAnsi="Times New Roman"/>
          <w:sz w:val="24"/>
          <w:szCs w:val="24"/>
          <w:lang w:val="en-US"/>
        </w:rPr>
        <w:t xml:space="preserve"> in the history of the psychoanalytic movement was the only way to delegitimize alternative conceptions of psychoanalysis, and thus to cover up the essential arbitrariness of the theory. Unsurprisingly, those renegade disciples returned the favor by directing this pathologizing logic at their former master </w:t>
      </w:r>
      <w:r>
        <w:rPr>
          <w:rFonts w:ascii="Times New Roman" w:hAnsi="Times New Roman"/>
          <w:noProof/>
          <w:sz w:val="24"/>
          <w:szCs w:val="24"/>
          <w:lang w:val="en-US"/>
        </w:rPr>
        <w:t>(Borch-Jacobsen and Shamdasani 2011; Sulloway 1992)</w:t>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In the case of the early modern witch persecutions we saw that the witchcraft doctrine benefited from the arbitrariness of invoking demonic illusions to make any finding fit their narrative. Ironically, their staunchest opponents used exactly the same line of reasoning. Many contemporary critics of witch-hunting argued that the witch-hunters had themselves fallen prey to diabolical deception </w:t>
      </w:r>
      <w:r w:rsidRPr="00686E34">
        <w:rPr>
          <w:rFonts w:ascii="Times New Roman" w:hAnsi="Times New Roman"/>
          <w:sz w:val="24"/>
          <w:szCs w:val="24"/>
          <w:lang w:val="en-US"/>
        </w:rPr>
        <w:fldChar w:fldCharType="begin"/>
      </w:r>
      <w:r w:rsidRPr="00686E34">
        <w:rPr>
          <w:rFonts w:ascii="Times New Roman" w:hAnsi="Times New Roman"/>
          <w:sz w:val="24"/>
          <w:szCs w:val="24"/>
          <w:lang w:val="en-US"/>
        </w:rPr>
        <w:instrText xml:space="preserve"> ADDIN ZOTERO_ITEM CSL_CITATION {"citationID":"lUgy1hnN","properties":{"formattedCitation":"(Hofhuis, 2022, pp. 310\\uc0\\u8211{}329)","plainCitation":"(Hofhuis, 2022, pp. 310–329)","noteIndex":0},"citationItems":[{"id":1531,"uris":["http://zotero.org/users/3566189/items/8679CABZ"],"uri":["http://zotero.org/users/3566189/items/8679CABZ"],"itemData":{"id":1531,"type":"webpage","abstract":"Why did early modern Europeans hunt for witches? Were witch hunts a shrewd tool to oppress women or the poor, or were they just a way of making money? Or were witch-hunters primarily driven by a genuine belief in witchcraft? The witches’ sabbath, the diabolical pact and the nightly flight were elements in the early modern concept of witchcraft that seem to have been intelligently designed to trigger persistent witch persecutions. But in contrast to many explanations adduced by historians, witch hunts were not based on intelligent design. So how to explain them? Steije Hofhuis suggests a new theory: Darwinian cultural evolution. He contends that the apparent design underlying the witch hunts emerged from a hidden evolutionary process. That process fostered the preservation of cultural variants which over time accidentally unleashed larger and larger persecutions. Witch-hunts did not so much evolve to serve human interests, but ensured their own “selfish” reproduction. Historians have often compared witch persecutions to the outbreaks of contagious disease, but only as figure of speech. But shouldn’t we take the similarities more seriously? Were witch-hunts perhaps a cultural ‘virus’ that spread at the expense of its human hosts? This study bridges the gap between qualitative history and the upcoming field of Darwinian cultural evolution. The aim is to contribute to a new research program, based on the qualitative application of Darwinian theory to the humanities","genre":"Dissertation","language":"en","note":"Accepted: 2022-10-11T05:04:16Z\nISBN: 9789036106870\npublisher: Utrecht University\nDOI: 10.33540/1460","title":"Qualitative Darwinism: An evolutionary history of witch-hunting","title-short":"Qualitative Darwinism","URL":"https://dspace.library.uu.nl/handle/1874/423242","author":[{"family":"Hofhuis","given":"Steije"}],"accessed":{"date-parts":[["2022",12,30]]},"issued":{"date-parts":[["2022",9,30]]}},"locator":"310-29"}],"schema":"https://github.com/citation-style-language/schema/raw/master/csl-citation.json"} </w:instrText>
      </w:r>
      <w:r w:rsidRPr="00686E34">
        <w:rPr>
          <w:rFonts w:ascii="Times New Roman" w:hAnsi="Times New Roman"/>
          <w:sz w:val="24"/>
          <w:szCs w:val="24"/>
          <w:lang w:val="en-US"/>
        </w:rPr>
        <w:fldChar w:fldCharType="separate"/>
      </w:r>
      <w:r w:rsidRPr="00686E34">
        <w:rPr>
          <w:rFonts w:ascii="Times New Roman" w:hAnsi="Times New Roman"/>
          <w:sz w:val="24"/>
          <w:szCs w:val="24"/>
          <w:lang w:val="en-US"/>
        </w:rPr>
        <w:t>(Hofhuis, 2022, pp. 310–329)</w:t>
      </w:r>
      <w:r w:rsidRPr="00686E34">
        <w:rPr>
          <w:rFonts w:ascii="Times New Roman" w:hAnsi="Times New Roman"/>
          <w:sz w:val="24"/>
          <w:szCs w:val="24"/>
          <w:lang w:val="en-US"/>
        </w:rPr>
        <w:fldChar w:fldCharType="end"/>
      </w:r>
      <w:r w:rsidRPr="00686E34">
        <w:rPr>
          <w:rFonts w:ascii="Times New Roman" w:hAnsi="Times New Roman"/>
          <w:sz w:val="24"/>
          <w:szCs w:val="24"/>
          <w:lang w:val="en-US"/>
        </w:rPr>
        <w:t xml:space="preserve">. In their view, the Devil was the evil designer behind the whole witch-hunt system, as he was eager to bring about the human suffering of the witch trials, as well as make people ruin their souls by killing the innocent. This is also how we should read Johann </w:t>
      </w:r>
      <w:proofErr w:type="spellStart"/>
      <w:r w:rsidRPr="00686E34">
        <w:rPr>
          <w:rFonts w:ascii="Times New Roman" w:hAnsi="Times New Roman"/>
          <w:sz w:val="24"/>
          <w:szCs w:val="24"/>
          <w:lang w:val="en-US"/>
        </w:rPr>
        <w:t>Weyer’s</w:t>
      </w:r>
      <w:proofErr w:type="spellEnd"/>
      <w:r w:rsidRPr="00686E34">
        <w:rPr>
          <w:rFonts w:ascii="Times New Roman" w:hAnsi="Times New Roman"/>
          <w:sz w:val="24"/>
          <w:szCs w:val="24"/>
          <w:lang w:val="en-US"/>
        </w:rPr>
        <w:t xml:space="preserve"> quote mentioned above about the “inextricable labyrinth”. In his view it was Satan who had created the illusory belief system from which no </w:t>
      </w:r>
      <w:r w:rsidRPr="00686E34">
        <w:rPr>
          <w:rFonts w:ascii="Times New Roman" w:hAnsi="Times New Roman"/>
          <w:sz w:val="24"/>
          <w:szCs w:val="24"/>
          <w:lang w:val="en-US"/>
        </w:rPr>
        <w:lastRenderedPageBreak/>
        <w:t xml:space="preserve">escape was possible: “From long experience, that crafty old weaver knows how to weave such webs skillfully.” </w:t>
      </w:r>
      <w:r w:rsidRPr="00686E34">
        <w:rPr>
          <w:rFonts w:ascii="Times New Roman" w:hAnsi="Times New Roman"/>
          <w:sz w:val="24"/>
          <w:szCs w:val="24"/>
          <w:lang w:val="en-US"/>
        </w:rPr>
        <w:fldChar w:fldCharType="begin"/>
      </w:r>
      <w:r w:rsidRPr="00686E34">
        <w:rPr>
          <w:rFonts w:ascii="Times New Roman" w:hAnsi="Times New Roman"/>
          <w:sz w:val="24"/>
          <w:szCs w:val="24"/>
          <w:lang w:val="en-US"/>
        </w:rPr>
        <w:instrText xml:space="preserve"> ADDIN ZOTERO_ITEM CSL_CITATION {"citationID":"Wp6FyIrX","properties":{"formattedCitation":"(Weyer, 1998, p. 522)","plainCitation":"(Weyer, 1998, p. 522)","noteIndex":0},"citationItems":[{"id":341,"uris":["http://zotero.org/users/3566189/items/Q425B2XN"],"uri":["http://zotero.org/users/3566189/items/Q425B2XN"],"itemData":{"id":341,"type":"book","event-place":"Tempe, Arizona","language":"English","note":"OCLC: 45161246","publisher":"Medieval &amp; Renaissance Texts &amp; Studies","publisher-place":"Tempe, Arizona","title":"Witches, devils, and doctors in the Renaissance","author":[{"family":"Weyer","given":"Johann"}],"translator":[{"family":"Mora","given":"George"},{"family":"Kohl","given":"Benjamin G"}],"issued":{"date-parts":[["1998"]]}},"locator":"522"}],"schema":"https://github.com/citation-style-language/schema/raw/master/csl-citation.json"} </w:instrText>
      </w:r>
      <w:r w:rsidRPr="00686E34">
        <w:rPr>
          <w:rFonts w:ascii="Times New Roman" w:hAnsi="Times New Roman"/>
          <w:sz w:val="24"/>
          <w:szCs w:val="24"/>
          <w:lang w:val="en-US"/>
        </w:rPr>
        <w:fldChar w:fldCharType="separate"/>
      </w:r>
      <w:r w:rsidRPr="00686E34">
        <w:rPr>
          <w:rFonts w:ascii="Times New Roman" w:hAnsi="Times New Roman"/>
          <w:sz w:val="24"/>
          <w:szCs w:val="24"/>
          <w:lang w:val="en-US"/>
        </w:rPr>
        <w:t>(Weyer, 1998, p. 522)</w:t>
      </w:r>
      <w:r w:rsidRPr="00686E34">
        <w:rPr>
          <w:rFonts w:ascii="Times New Roman" w:hAnsi="Times New Roman"/>
          <w:sz w:val="24"/>
          <w:szCs w:val="24"/>
          <w:lang w:val="en-US"/>
        </w:rPr>
        <w:fldChar w:fldCharType="end"/>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The humanitarian goals of the witchcraft skeptics were laudable, but some of their arguments were as arbitrary as those of the witch-hunters. </w:t>
      </w:r>
      <w:r w:rsidRPr="00686E34">
        <w:rPr>
          <w:rFonts w:ascii="Times New Roman" w:hAnsi="Times New Roman"/>
          <w:sz w:val="24"/>
          <w:szCs w:val="24"/>
          <w:lang w:val="en-US" w:eastAsia="zh-CN"/>
        </w:rPr>
        <w:t xml:space="preserve">Whether people considered something real or illusory could eventually just depend on what seemed most convenient or plausible. The “trump card of demonology” is what Dillinger calls the idea of diabolical deception: it could be invoked to neutralize any ostensible phenomenon that appeared unfitting </w:t>
      </w:r>
      <w:r>
        <w:rPr>
          <w:rFonts w:ascii="Times New Roman" w:hAnsi="Times New Roman"/>
          <w:noProof/>
          <w:sz w:val="24"/>
          <w:szCs w:val="24"/>
          <w:lang w:val="en-US" w:eastAsia="zh-CN"/>
        </w:rPr>
        <w:t>(Dillinger 2018: 45)</w:t>
      </w:r>
      <w:r w:rsidRPr="00686E34">
        <w:rPr>
          <w:rFonts w:ascii="Times New Roman" w:hAnsi="Times New Roman"/>
          <w:sz w:val="24"/>
          <w:szCs w:val="24"/>
          <w:lang w:val="en-US" w:eastAsia="zh-CN"/>
        </w:rPr>
        <w:t>.</w:t>
      </w:r>
      <w:r w:rsidRPr="00686E34">
        <w:rPr>
          <w:rStyle w:val="Voetnootmarkering"/>
          <w:rFonts w:ascii="Times New Roman" w:eastAsiaTheme="majorEastAsia" w:hAnsi="Times New Roman"/>
          <w:sz w:val="24"/>
          <w:szCs w:val="24"/>
          <w:lang w:val="en-US" w:eastAsia="zh-CN"/>
        </w:rPr>
        <w:footnoteReference w:id="11"/>
      </w:r>
    </w:p>
    <w:p w:rsidR="00CF3D71" w:rsidRPr="00686E34" w:rsidRDefault="00CF3D71" w:rsidP="00053B63">
      <w:pPr>
        <w:pStyle w:val="Kop2"/>
        <w:spacing w:line="480" w:lineRule="auto"/>
        <w:rPr>
          <w:rFonts w:ascii="Times New Roman" w:hAnsi="Times New Roman" w:cs="Times New Roman"/>
          <w:color w:val="auto"/>
          <w:sz w:val="24"/>
          <w:szCs w:val="24"/>
          <w:lang w:val="en-US"/>
        </w:rPr>
      </w:pPr>
      <w:bookmarkStart w:id="61" w:name="_Toc112269342"/>
      <w:bookmarkStart w:id="62" w:name="_Toc117878442"/>
      <w:bookmarkStart w:id="63" w:name="_Ref135927690"/>
      <w:bookmarkEnd w:id="61"/>
      <w:r w:rsidRPr="00686E34">
        <w:rPr>
          <w:rFonts w:ascii="Times New Roman" w:hAnsi="Times New Roman" w:cs="Times New Roman"/>
          <w:color w:val="auto"/>
          <w:sz w:val="24"/>
          <w:szCs w:val="24"/>
          <w:lang w:val="en-US"/>
        </w:rPr>
        <w:t>Cultural and ideological determinants</w:t>
      </w:r>
      <w:bookmarkEnd w:id="63"/>
      <w:r w:rsidRPr="00686E34">
        <w:rPr>
          <w:rFonts w:ascii="Times New Roman" w:hAnsi="Times New Roman" w:cs="Times New Roman"/>
          <w:color w:val="auto"/>
          <w:sz w:val="24"/>
          <w:szCs w:val="24"/>
          <w:lang w:val="en-US"/>
        </w:rPr>
        <w:t xml:space="preserve"> </w:t>
      </w:r>
      <w:bookmarkEnd w:id="62"/>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Since the parameters of an epistemic black hole can never be constrained by empirical evidence alone, the belief system is free to adapt to non-epistemic factors. In the case of unfounded conspiracy theories, this includes the political goals and ideological orientation of the theorists, as well as changing cultural environments. Conspiracy theories are useful instruments for political propaganda </w:t>
      </w:r>
      <w:r>
        <w:rPr>
          <w:rFonts w:ascii="Times New Roman" w:hAnsi="Times New Roman"/>
          <w:noProof/>
          <w:sz w:val="24"/>
          <w:szCs w:val="24"/>
          <w:lang w:val="en-US"/>
        </w:rPr>
        <w:t>(Cassam 2019; Harris 2023)</w:t>
      </w:r>
      <w:r w:rsidRPr="00686E34">
        <w:rPr>
          <w:rFonts w:ascii="Times New Roman" w:hAnsi="Times New Roman"/>
          <w:sz w:val="24"/>
          <w:szCs w:val="24"/>
          <w:lang w:val="en-US"/>
        </w:rPr>
        <w:t xml:space="preserve"> exactly because they are so versatile and malleable </w:t>
      </w:r>
      <w:r>
        <w:rPr>
          <w:rFonts w:ascii="Times New Roman" w:hAnsi="Times New Roman"/>
          <w:noProof/>
          <w:sz w:val="24"/>
          <w:szCs w:val="24"/>
          <w:lang w:val="en-US"/>
        </w:rPr>
        <w:t>(Napolitano 2023)</w:t>
      </w:r>
      <w:r w:rsidRPr="00686E34">
        <w:rPr>
          <w:rFonts w:ascii="Times New Roman" w:hAnsi="Times New Roman"/>
          <w:sz w:val="24"/>
          <w:szCs w:val="24"/>
          <w:lang w:val="en-US"/>
        </w:rPr>
        <w:t>.</w:t>
      </w:r>
      <w:r w:rsidRPr="00686E34">
        <w:rPr>
          <w:rStyle w:val="Voetnootmarkering"/>
          <w:rFonts w:ascii="Times New Roman" w:eastAsiaTheme="majorEastAsia" w:hAnsi="Times New Roman"/>
          <w:sz w:val="24"/>
          <w:szCs w:val="24"/>
          <w:lang w:val="en-US"/>
        </w:rPr>
        <w:footnoteReference w:id="12"/>
      </w:r>
      <w:r w:rsidRPr="00686E34">
        <w:rPr>
          <w:rFonts w:ascii="Times New Roman" w:hAnsi="Times New Roman"/>
          <w:sz w:val="24"/>
          <w:szCs w:val="24"/>
          <w:lang w:val="en-US"/>
        </w:rPr>
        <w:t xml:space="preserve"> They can target either powerful groups or marginalized minorities, be anti-establishment or pro-establishment, and serve left-wing causes or right-wing causes. In light of this, Nera, </w:t>
      </w:r>
      <w:proofErr w:type="spellStart"/>
      <w:r w:rsidRPr="00686E34">
        <w:rPr>
          <w:rFonts w:ascii="Times New Roman" w:hAnsi="Times New Roman"/>
          <w:sz w:val="24"/>
          <w:szCs w:val="24"/>
          <w:lang w:val="en-US"/>
        </w:rPr>
        <w:t>Bertin</w:t>
      </w:r>
      <w:proofErr w:type="spellEnd"/>
      <w:r w:rsidRPr="00686E34">
        <w:rPr>
          <w:rFonts w:ascii="Times New Roman" w:hAnsi="Times New Roman"/>
          <w:sz w:val="24"/>
          <w:szCs w:val="24"/>
          <w:lang w:val="en-US"/>
        </w:rPr>
        <w:t xml:space="preserve"> and Klein </w:t>
      </w:r>
      <w:r>
        <w:rPr>
          <w:rFonts w:ascii="Times New Roman" w:hAnsi="Times New Roman"/>
          <w:noProof/>
          <w:sz w:val="24"/>
          <w:szCs w:val="24"/>
          <w:lang w:val="en-US"/>
        </w:rPr>
        <w:t>(2022)</w:t>
      </w:r>
      <w:r w:rsidRPr="00686E34">
        <w:rPr>
          <w:rFonts w:ascii="Times New Roman" w:hAnsi="Times New Roman"/>
          <w:sz w:val="24"/>
          <w:szCs w:val="24"/>
          <w:lang w:val="en-US"/>
        </w:rPr>
        <w:t xml:space="preserve"> have recently called conspiracy theories “opportunistic” in their attributions of power and influence to certain groups or agents.</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A striking instance of the flexibility of conspiracy traditions over time is provided by the fate of antisemitic conspiracy theories during the past century. Prejudice and hostility against Jewish minorities has a long and sordid history in Christendom, dating back for many centuries. </w:t>
      </w:r>
      <w:r w:rsidRPr="00686E34">
        <w:rPr>
          <w:rFonts w:ascii="Times New Roman" w:hAnsi="Times New Roman"/>
          <w:sz w:val="24"/>
          <w:szCs w:val="24"/>
          <w:lang w:val="en-US"/>
        </w:rPr>
        <w:lastRenderedPageBreak/>
        <w:t>Nonetheless, contemporary forms of conspiratorial antisemitism, which obsess over a world-spanning conspiracy of international Jewry, only emerged in the late 19</w:t>
      </w:r>
      <w:r w:rsidRPr="00686E34">
        <w:rPr>
          <w:rFonts w:ascii="Times New Roman" w:hAnsi="Times New Roman"/>
          <w:sz w:val="24"/>
          <w:szCs w:val="24"/>
          <w:vertAlign w:val="superscript"/>
          <w:lang w:val="en-US"/>
        </w:rPr>
        <w:t>th</w:t>
      </w:r>
      <w:r w:rsidRPr="00686E34">
        <w:rPr>
          <w:rFonts w:ascii="Times New Roman" w:hAnsi="Times New Roman"/>
          <w:sz w:val="24"/>
          <w:szCs w:val="24"/>
          <w:lang w:val="en-US"/>
        </w:rPr>
        <w:t xml:space="preserve"> century </w:t>
      </w:r>
      <w:r>
        <w:rPr>
          <w:rFonts w:ascii="Times New Roman" w:hAnsi="Times New Roman"/>
          <w:noProof/>
          <w:sz w:val="24"/>
          <w:szCs w:val="24"/>
          <w:lang w:val="en-US"/>
        </w:rPr>
        <w:t>(Pipes 1999; Arendt 1951/2017)</w:t>
      </w:r>
      <w:r w:rsidRPr="00686E34">
        <w:rPr>
          <w:rFonts w:ascii="Times New Roman" w:hAnsi="Times New Roman"/>
          <w:sz w:val="24"/>
          <w:szCs w:val="24"/>
          <w:lang w:val="en-US"/>
        </w:rPr>
        <w:t>.  By the early 20</w:t>
      </w:r>
      <w:r w:rsidRPr="00686E34">
        <w:rPr>
          <w:rFonts w:ascii="Times New Roman" w:hAnsi="Times New Roman"/>
          <w:sz w:val="24"/>
          <w:szCs w:val="24"/>
          <w:vertAlign w:val="superscript"/>
          <w:lang w:val="en-US"/>
        </w:rPr>
        <w:t>th</w:t>
      </w:r>
      <w:r w:rsidRPr="00686E34">
        <w:rPr>
          <w:rFonts w:ascii="Times New Roman" w:hAnsi="Times New Roman"/>
          <w:sz w:val="24"/>
          <w:szCs w:val="24"/>
          <w:lang w:val="en-US"/>
        </w:rPr>
        <w:t xml:space="preserve"> century, antisemitic </w:t>
      </w:r>
      <w:proofErr w:type="spellStart"/>
      <w:r w:rsidRPr="00686E34">
        <w:rPr>
          <w:rFonts w:ascii="Times New Roman" w:hAnsi="Times New Roman"/>
          <w:sz w:val="24"/>
          <w:szCs w:val="24"/>
          <w:lang w:val="en-US"/>
        </w:rPr>
        <w:t>conspiracism</w:t>
      </w:r>
      <w:proofErr w:type="spellEnd"/>
      <w:r w:rsidRPr="00686E34">
        <w:rPr>
          <w:rFonts w:ascii="Times New Roman" w:hAnsi="Times New Roman"/>
          <w:sz w:val="24"/>
          <w:szCs w:val="24"/>
          <w:lang w:val="en-US"/>
        </w:rPr>
        <w:t xml:space="preserve"> gained ascendancy throughout the Western world, appearing in both leftist and right-wing versions, and documents like the </w:t>
      </w:r>
      <w:r w:rsidRPr="00686E34">
        <w:rPr>
          <w:rFonts w:ascii="Times New Roman" w:hAnsi="Times New Roman"/>
          <w:i/>
          <w:iCs/>
          <w:sz w:val="24"/>
          <w:szCs w:val="24"/>
          <w:lang w:val="en-US"/>
        </w:rPr>
        <w:t xml:space="preserve">Protocols of the Elders of Zion </w:t>
      </w:r>
      <w:r w:rsidRPr="00686E34">
        <w:rPr>
          <w:rFonts w:ascii="Times New Roman" w:hAnsi="Times New Roman"/>
          <w:sz w:val="24"/>
          <w:szCs w:val="24"/>
          <w:lang w:val="en-US"/>
        </w:rPr>
        <w:t xml:space="preserve">were widely read, discussed and taken seriously. In the 1940s, the right-wing version of antisemitic </w:t>
      </w:r>
      <w:proofErr w:type="spellStart"/>
      <w:r w:rsidRPr="00686E34">
        <w:rPr>
          <w:rFonts w:ascii="Times New Roman" w:hAnsi="Times New Roman"/>
          <w:sz w:val="24"/>
          <w:szCs w:val="24"/>
          <w:lang w:val="en-US"/>
        </w:rPr>
        <w:t>conspiracism</w:t>
      </w:r>
      <w:proofErr w:type="spellEnd"/>
      <w:r w:rsidRPr="00686E34">
        <w:rPr>
          <w:rFonts w:ascii="Times New Roman" w:hAnsi="Times New Roman"/>
          <w:sz w:val="24"/>
          <w:szCs w:val="24"/>
          <w:lang w:val="en-US"/>
        </w:rPr>
        <w:t xml:space="preserve"> culminated in the genocidal fanaticism of Nazi Germany.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In the aftermath of the Second World War, however, Jews abruptly disappear from conspiracist literature (with the notable exception of Soviet Russia under Stalin). This had nothing to do with novel evidence, but with the almost universal abhorrence of Nazism. Most conspiracy theorists, even the ones who had earlier promulgated antisemitic conspiracies, began to abandon or downplay the Jewish element and settled for other suitable culprits, while leaving the rest of the conspiracist playbook intact. New favorite targets in the post-war conspiracist literature included the CIA or FBI, reflecting the ascent of the United States as the new global superpower, as well as new transnational organizations like the United Nations or the Bilderberg group, </w:t>
      </w:r>
      <w:r>
        <w:rPr>
          <w:rFonts w:ascii="Times New Roman" w:hAnsi="Times New Roman"/>
          <w:sz w:val="24"/>
          <w:szCs w:val="24"/>
          <w:lang w:val="en-US"/>
        </w:rPr>
        <w:t xml:space="preserve">the latter being </w:t>
      </w:r>
      <w:r w:rsidRPr="00686E34">
        <w:rPr>
          <w:rFonts w:ascii="Times New Roman" w:hAnsi="Times New Roman"/>
          <w:sz w:val="24"/>
          <w:szCs w:val="24"/>
          <w:lang w:val="en-US"/>
        </w:rPr>
        <w:t xml:space="preserve">an ideal target owing to its notorious privacy and secrecy. In short, this shift from Jews to other perpetrators did not reflect any novel evidence, but was driven by “changing social and political circumstances” </w:t>
      </w:r>
      <w:r>
        <w:rPr>
          <w:rFonts w:ascii="Times New Roman" w:hAnsi="Times New Roman"/>
          <w:noProof/>
          <w:sz w:val="24"/>
          <w:szCs w:val="24"/>
          <w:lang w:val="en-US"/>
        </w:rPr>
        <w:t>(Byford 2011: 97)</w:t>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Shifting beliefs about the perpetrators and crimes of diabolical witchcraft also reflect cultural and ideological determinants. When the age of European witch-hunting began in the Western Alps around the year 1430, the purported crime was not yet specifically associated with women. Yet, within a context of widespread misogyny and unequal power balances between the sexes, it is hardly surprising that women were soon disproportionally targeted (around 75 to 80 percent of the victims were female). Women were widely viewed as more lustful, superstitious and irrational than men. So it made sense to think that it was relatively easier for the Devil to lure </w:t>
      </w:r>
      <w:r w:rsidRPr="00686E34">
        <w:rPr>
          <w:rFonts w:ascii="Times New Roman" w:hAnsi="Times New Roman"/>
          <w:sz w:val="24"/>
          <w:szCs w:val="24"/>
          <w:lang w:val="en-US"/>
        </w:rPr>
        <w:lastRenderedPageBreak/>
        <w:t xml:space="preserve">them into witchcraft through sexual intercourse and to make them abjure God </w:t>
      </w:r>
      <w:r>
        <w:rPr>
          <w:rFonts w:ascii="Times New Roman" w:hAnsi="Times New Roman"/>
          <w:noProof/>
          <w:sz w:val="24"/>
          <w:szCs w:val="24"/>
          <w:lang w:val="en-US"/>
        </w:rPr>
        <w:t>(Rowlands 2013)</w:t>
      </w:r>
      <w:r w:rsidRPr="00686E34">
        <w:rPr>
          <w:rFonts w:ascii="Times New Roman" w:hAnsi="Times New Roman"/>
          <w:sz w:val="24"/>
          <w:szCs w:val="24"/>
          <w:lang w:val="en-US"/>
        </w:rPr>
        <w:t xml:space="preserve">. But the concept of witchcraft remained malleable enough to integrate other cultural and ideological trends. In the late sixteenth century, parts of Europe suffered from enormous economic distress, stimulating heightened aggression against allegedly corrupted elites who enriched themselves at the expense of others. Reflecting this trend, the witchcraft beliefs and subsequent trials increasingly began to focus on witches that were rich, male and powerful – the aforementioned Dietrich </w:t>
      </w:r>
      <w:proofErr w:type="spellStart"/>
      <w:r w:rsidRPr="00686E34">
        <w:rPr>
          <w:rFonts w:ascii="Times New Roman" w:hAnsi="Times New Roman"/>
          <w:sz w:val="24"/>
          <w:szCs w:val="24"/>
          <w:lang w:val="en-US"/>
        </w:rPr>
        <w:t>Flade</w:t>
      </w:r>
      <w:proofErr w:type="spellEnd"/>
      <w:r w:rsidRPr="00686E34">
        <w:rPr>
          <w:rFonts w:ascii="Times New Roman" w:hAnsi="Times New Roman"/>
          <w:sz w:val="24"/>
          <w:szCs w:val="24"/>
          <w:lang w:val="en-US"/>
        </w:rPr>
        <w:t xml:space="preserve"> is a case in point </w:t>
      </w:r>
      <w:r>
        <w:rPr>
          <w:rFonts w:ascii="Times New Roman" w:hAnsi="Times New Roman"/>
          <w:noProof/>
          <w:sz w:val="24"/>
          <w:szCs w:val="24"/>
          <w:lang w:val="en-US"/>
        </w:rPr>
        <w:t>(Behringer 2008: 230–245; Dillinger 1999; Hofhuis 2022)</w:t>
      </w:r>
      <w:r w:rsidRPr="00686E34">
        <w:rPr>
          <w:rFonts w:ascii="Times New Roman" w:hAnsi="Times New Roman"/>
          <w:sz w:val="24"/>
          <w:szCs w:val="24"/>
          <w:lang w:val="en-US"/>
        </w:rPr>
        <w:t>.</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The history of psychoanalysis offers a similar example of how theoretical developments can reflect changing cultural environments rather than a changing evidence base. In the early days of psychoanalysis, Freud touted the concept of </w:t>
      </w:r>
      <w:r w:rsidRPr="00686E34">
        <w:rPr>
          <w:rFonts w:ascii="Times New Roman" w:hAnsi="Times New Roman"/>
          <w:i/>
          <w:iCs/>
          <w:sz w:val="24"/>
          <w:szCs w:val="24"/>
          <w:lang w:val="en-US"/>
        </w:rPr>
        <w:t>penis envy</w:t>
      </w:r>
      <w:r w:rsidRPr="00686E34">
        <w:rPr>
          <w:rFonts w:ascii="Times New Roman" w:hAnsi="Times New Roman"/>
          <w:sz w:val="24"/>
          <w:szCs w:val="24"/>
          <w:lang w:val="en-US"/>
        </w:rPr>
        <w:t xml:space="preserve"> as one of the most important discoveries of psychoanalysis. In Freud’s account, the development of the female psyche revolves around the unconscious desire to possess a penis. As the little girl discovers that her body lacks the prized appendage, she develops an unconscious desire to possess a penis and accuses others of thwarting that wish or having castrated her. In the most favorable cases, the desire for a penis is later substituted for a desire to have a baby. Penis envy, according to Freud, was not a peculiar desire occurring in some women, but an unbending and universal law of female psychology.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In the second half of the 20th century, however, the doctrine of universal penis envy in women started to disappear from the psychoanalytic literature. It is unlikely that this theoretical change was driven by a changing evidence base, for Freud and his followers had confirmed the existence of penis envy in numerous cases, and the method of investigation itself remained unaltered. “When”, as the philosopher Frank Cioffi rhetorically asked, “did women stop wanting penises?” </w:t>
      </w:r>
      <w:r>
        <w:rPr>
          <w:rFonts w:ascii="Times New Roman" w:hAnsi="Times New Roman"/>
          <w:noProof/>
          <w:sz w:val="24"/>
          <w:szCs w:val="24"/>
          <w:lang w:val="en-US"/>
        </w:rPr>
        <w:t>(Cioffi 1998: 27 )</w:t>
      </w:r>
      <w:r w:rsidRPr="00686E34">
        <w:rPr>
          <w:rFonts w:ascii="Times New Roman" w:hAnsi="Times New Roman"/>
          <w:sz w:val="24"/>
          <w:szCs w:val="24"/>
          <w:lang w:val="en-US"/>
        </w:rPr>
        <w:t xml:space="preserve">. As in the case of the Jews disappearing from conspiracist literature, the notion of universal penis envy had just become ideologically unpalatable. </w:t>
      </w:r>
      <w:r w:rsidRPr="00686E34">
        <w:rPr>
          <w:rFonts w:ascii="Times New Roman" w:hAnsi="Times New Roman"/>
          <w:sz w:val="24"/>
          <w:szCs w:val="24"/>
          <w:lang w:val="en-US"/>
        </w:rPr>
        <w:lastRenderedPageBreak/>
        <w:t xml:space="preserve">Feminist critiques exposed the sexist and misogynist prejudices of Freud’s “phallocentric” theory of the female psyche, and some feminist psychoanalysts like Melanie Klein and Karen Horney proposed alternative concepts like </w:t>
      </w:r>
      <w:r w:rsidRPr="00686E34">
        <w:rPr>
          <w:rFonts w:ascii="Times New Roman" w:hAnsi="Times New Roman"/>
          <w:i/>
          <w:iCs/>
          <w:sz w:val="24"/>
          <w:szCs w:val="24"/>
          <w:lang w:val="en-US"/>
        </w:rPr>
        <w:t>breast envy</w:t>
      </w:r>
      <w:r w:rsidRPr="00686E34">
        <w:rPr>
          <w:rFonts w:ascii="Times New Roman" w:hAnsi="Times New Roman"/>
          <w:sz w:val="24"/>
          <w:szCs w:val="24"/>
          <w:lang w:val="en-US"/>
        </w:rPr>
        <w:t xml:space="preserve"> and </w:t>
      </w:r>
      <w:r w:rsidRPr="00686E34">
        <w:rPr>
          <w:rFonts w:ascii="Times New Roman" w:hAnsi="Times New Roman"/>
          <w:i/>
          <w:iCs/>
          <w:sz w:val="24"/>
          <w:szCs w:val="24"/>
          <w:lang w:val="en-US"/>
        </w:rPr>
        <w:t>womb and vagina envy</w:t>
      </w:r>
      <w:r w:rsidRPr="00686E34">
        <w:rPr>
          <w:rFonts w:ascii="Times New Roman" w:hAnsi="Times New Roman"/>
          <w:sz w:val="24"/>
          <w:szCs w:val="24"/>
          <w:lang w:val="en-US"/>
        </w:rPr>
        <w:t xml:space="preserve"> </w:t>
      </w:r>
      <w:r>
        <w:rPr>
          <w:rFonts w:ascii="Times New Roman" w:hAnsi="Times New Roman"/>
          <w:noProof/>
          <w:sz w:val="24"/>
          <w:szCs w:val="24"/>
          <w:lang w:val="en-US"/>
        </w:rPr>
        <w:t>(Sayers 1987)</w:t>
      </w:r>
      <w:r w:rsidRPr="00686E34">
        <w:rPr>
          <w:rFonts w:ascii="Times New Roman" w:hAnsi="Times New Roman"/>
          <w:sz w:val="24"/>
          <w:szCs w:val="24"/>
          <w:lang w:val="en-US"/>
        </w:rPr>
        <w:t xml:space="preserve">. But these were equally arbitrary concepts, epistemically on a par with the original Oedipus complex. Just as the prominence or absence of “the Jews” in conspiracy theories reflected the changing cultural fate of antisemitism, the specific content of psychoanalytic theory tended to reflect changing cultural sensibilities rather than changing evidence </w:t>
      </w:r>
      <w:r>
        <w:rPr>
          <w:rFonts w:ascii="Times New Roman" w:hAnsi="Times New Roman"/>
          <w:noProof/>
          <w:sz w:val="24"/>
          <w:szCs w:val="24"/>
          <w:lang w:val="en-US"/>
        </w:rPr>
        <w:t>(Cioffi 1998)</w:t>
      </w:r>
      <w:r w:rsidRPr="00686E34">
        <w:rPr>
          <w:rFonts w:ascii="Times New Roman" w:hAnsi="Times New Roman"/>
          <w:sz w:val="24"/>
          <w:szCs w:val="24"/>
          <w:lang w:val="en-US"/>
        </w:rPr>
        <w:t xml:space="preserve">. </w:t>
      </w:r>
    </w:p>
    <w:p w:rsidR="00CF3D71" w:rsidRPr="00686E34" w:rsidRDefault="00CF3D71" w:rsidP="00053B63">
      <w:pPr>
        <w:pStyle w:val="Kop1"/>
        <w:spacing w:line="480" w:lineRule="auto"/>
        <w:jc w:val="both"/>
        <w:rPr>
          <w:rFonts w:ascii="Times New Roman" w:hAnsi="Times New Roman" w:cs="Times New Roman"/>
          <w:color w:val="auto"/>
          <w:sz w:val="24"/>
          <w:szCs w:val="24"/>
          <w:lang w:val="en-US"/>
        </w:rPr>
      </w:pPr>
      <w:bookmarkStart w:id="64" w:name="_Toc45717989"/>
      <w:bookmarkStart w:id="65" w:name="_Toc117878443"/>
      <w:r w:rsidRPr="00686E34">
        <w:rPr>
          <w:rFonts w:ascii="Times New Roman" w:hAnsi="Times New Roman" w:cs="Times New Roman"/>
          <w:color w:val="auto"/>
          <w:sz w:val="24"/>
          <w:szCs w:val="24"/>
          <w:lang w:val="en-US"/>
        </w:rPr>
        <w:t>Conclusion</w:t>
      </w:r>
      <w:bookmarkEnd w:id="64"/>
      <w:bookmarkEnd w:id="65"/>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This paper has analyzed the warped epistemology and cultural dynamics of epistemic black holes, belief systems about invisible agents that are self-sealing and extremely resistant to external challenges. The most notable examples of epistemic black holes are unfounded conspiracy theories about historical events, but less obvious examples include Freudian psychoanalysis, as well as certain religious and supernatural belief systems, notably the cumulative concept of witchcraft in early modern Europe. By postulating clever invisible agencies that purposefully evade detection, these belief systems are by their very nature resilient against external challenges. Because these belief systems exert such a strong attractions on unwitting believer, even rational people can fall into their orbit. This epistemological analysis is intended to complement psychological explanations of the universal appeal of such belief systems, as well as more contingent historical and sociological accounts of their success in certain cultural environments. For instance, though it is plausible that the human mind has evolved tendencies to </w:t>
      </w:r>
      <w:proofErr w:type="spellStart"/>
      <w:r w:rsidRPr="00686E34">
        <w:rPr>
          <w:rFonts w:ascii="Times New Roman" w:hAnsi="Times New Roman"/>
          <w:sz w:val="24"/>
          <w:szCs w:val="24"/>
          <w:lang w:val="en-US"/>
        </w:rPr>
        <w:t>overdetect</w:t>
      </w:r>
      <w:proofErr w:type="spellEnd"/>
      <w:r w:rsidRPr="00686E34">
        <w:rPr>
          <w:rFonts w:ascii="Times New Roman" w:hAnsi="Times New Roman"/>
          <w:sz w:val="24"/>
          <w:szCs w:val="24"/>
          <w:lang w:val="en-US"/>
        </w:rPr>
        <w:t xml:space="preserve"> conspiracies </w:t>
      </w:r>
      <w:r>
        <w:rPr>
          <w:rFonts w:ascii="Times New Roman" w:hAnsi="Times New Roman"/>
          <w:noProof/>
          <w:sz w:val="24"/>
          <w:szCs w:val="24"/>
          <w:lang w:val="en-US"/>
        </w:rPr>
        <w:t>(van Prooijen and Van Vugt 2018)</w:t>
      </w:r>
      <w:r w:rsidRPr="00686E34">
        <w:rPr>
          <w:rFonts w:ascii="Times New Roman" w:hAnsi="Times New Roman"/>
          <w:sz w:val="24"/>
          <w:szCs w:val="24"/>
          <w:lang w:val="en-US"/>
        </w:rPr>
        <w:t xml:space="preserve">, the extreme resilience of conspiracy theories to counterevidence and criticism also helps to explain their perennial appeal and cross-cultural persistence.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lastRenderedPageBreak/>
        <w:t xml:space="preserve">Based on this epistemological analysis, we have also tried to draw some parallels about the cultural development and dynamics of the respective belief systems. Most importantly, because of their self-insulation and resilience to external challenges, epistemic black holes suffer from a problem of arbitrariness and proliferating alternatives. As a result of this, such belief systems tend to be unstable and vulnerable to internal disarray, since believers can always come up with a rival version that accommodates the evidence equally well. In other cases, we see that the evolution of such belief system flexibly accommodates to changing cultural circumstances and sensibilities. </w:t>
      </w:r>
    </w:p>
    <w:p w:rsidR="00CF3D71" w:rsidRPr="00686E34" w:rsidRDefault="00CF3D71" w:rsidP="00053B63">
      <w:pPr>
        <w:spacing w:line="480" w:lineRule="auto"/>
        <w:jc w:val="both"/>
        <w:rPr>
          <w:rFonts w:ascii="Times New Roman" w:hAnsi="Times New Roman"/>
          <w:sz w:val="24"/>
          <w:szCs w:val="24"/>
          <w:lang w:val="en-US"/>
        </w:rPr>
      </w:pPr>
      <w:r w:rsidRPr="00686E34">
        <w:rPr>
          <w:rFonts w:ascii="Times New Roman" w:hAnsi="Times New Roman"/>
          <w:sz w:val="24"/>
          <w:szCs w:val="24"/>
          <w:lang w:val="en-US"/>
        </w:rPr>
        <w:t xml:space="preserve">Finally, we believe that this epistemological analysis may be useful for pedagogical purposes. By understanding the self-sealing logic of conspiracy theories and other epistemic black holes, people may better appreciate the arbitrary and gratuitous nature of such beliefs. By appreciating how, using the same types of inferences and evidence, entirely different theories can be concocted that are equally plausible and equally compatible with the evidence, people might be better “inoculated” against the attraction of such unfounded belief systems </w:t>
      </w:r>
      <w:r>
        <w:rPr>
          <w:rFonts w:ascii="Times New Roman" w:hAnsi="Times New Roman"/>
          <w:noProof/>
          <w:sz w:val="24"/>
          <w:szCs w:val="24"/>
          <w:lang w:val="en-US"/>
        </w:rPr>
        <w:t>(Norman 2021XXX)</w:t>
      </w:r>
      <w:r w:rsidRPr="00686E34">
        <w:rPr>
          <w:rFonts w:ascii="Times New Roman" w:hAnsi="Times New Roman"/>
          <w:sz w:val="24"/>
          <w:szCs w:val="24"/>
          <w:lang w:val="en-US"/>
        </w:rPr>
        <w:t xml:space="preserve">.  </w:t>
      </w:r>
    </w:p>
    <w:p w:rsidR="00CF3D71" w:rsidRPr="00686E34" w:rsidRDefault="00CF3D71" w:rsidP="00053B63">
      <w:pPr>
        <w:spacing w:line="480" w:lineRule="auto"/>
        <w:jc w:val="both"/>
        <w:rPr>
          <w:rFonts w:ascii="Times New Roman" w:hAnsi="Times New Roman"/>
          <w:b/>
          <w:bCs/>
          <w:sz w:val="24"/>
          <w:szCs w:val="24"/>
          <w:lang w:val="en-US"/>
        </w:rPr>
      </w:pPr>
      <w:r w:rsidRPr="00686E34">
        <w:rPr>
          <w:rFonts w:ascii="Times New Roman" w:hAnsi="Times New Roman"/>
          <w:b/>
          <w:bCs/>
          <w:sz w:val="24"/>
          <w:szCs w:val="24"/>
          <w:lang w:val="en-US"/>
        </w:rPr>
        <w:t>Acknowledgements.</w:t>
      </w:r>
    </w:p>
    <w:p w:rsidR="00CF3D71" w:rsidRPr="006A3840" w:rsidRDefault="00CF3D71" w:rsidP="00053B63">
      <w:pPr>
        <w:pStyle w:val="EndNoteBibliography"/>
        <w:spacing w:after="0" w:line="480" w:lineRule="auto"/>
        <w:ind w:left="720" w:hanging="720"/>
      </w:pPr>
      <w:r w:rsidRPr="006A3840">
        <w:t xml:space="preserve">Aaronovitch, David. (2010) </w:t>
      </w:r>
      <w:r w:rsidRPr="006A3840">
        <w:rPr>
          <w:i/>
        </w:rPr>
        <w:t>Voodoo histories : the role of the conspiracy theory in shaping modern history</w:t>
      </w:r>
      <w:r w:rsidRPr="006A3840">
        <w:t>. New York: Riverhead Books.</w:t>
      </w:r>
    </w:p>
    <w:p w:rsidR="00CF3D71" w:rsidRPr="006A3840" w:rsidRDefault="00CF3D71" w:rsidP="00053B63">
      <w:pPr>
        <w:pStyle w:val="EndNoteBibliography"/>
        <w:spacing w:after="0" w:line="480" w:lineRule="auto"/>
        <w:ind w:left="720" w:hanging="720"/>
      </w:pPr>
      <w:r w:rsidRPr="006A3840">
        <w:t xml:space="preserve">Arendt, Hannah. (1951/2017) </w:t>
      </w:r>
      <w:r w:rsidRPr="006A3840">
        <w:rPr>
          <w:i/>
        </w:rPr>
        <w:t>The origins of totalitarianism</w:t>
      </w:r>
      <w:r w:rsidRPr="006A3840">
        <w:t>. Penguin Classics.</w:t>
      </w:r>
    </w:p>
    <w:p w:rsidR="00CF3D71" w:rsidRPr="006A3840" w:rsidRDefault="00CF3D71" w:rsidP="00053B63">
      <w:pPr>
        <w:pStyle w:val="EndNoteBibliography"/>
        <w:spacing w:after="0" w:line="480" w:lineRule="auto"/>
        <w:ind w:left="720" w:hanging="720"/>
      </w:pPr>
      <w:r w:rsidRPr="006A3840">
        <w:t xml:space="preserve">Basinger, David. (2011) 'Religious diversity (pluralism)'. </w:t>
      </w:r>
      <w:r w:rsidRPr="006A3840">
        <w:rPr>
          <w:i/>
        </w:rPr>
        <w:t>Stanford Encyclopedia of Philosophy</w:t>
      </w:r>
      <w:r w:rsidRPr="006A3840">
        <w:t>.</w:t>
      </w:r>
    </w:p>
    <w:p w:rsidR="00CF3D71" w:rsidRPr="006A3840" w:rsidRDefault="00CF3D71" w:rsidP="00053B63">
      <w:pPr>
        <w:pStyle w:val="EndNoteBibliography"/>
        <w:spacing w:after="0" w:line="480" w:lineRule="auto"/>
        <w:ind w:left="720" w:hanging="720"/>
      </w:pPr>
      <w:r w:rsidRPr="006A3840">
        <w:t xml:space="preserve">Begby, Endre. (2021) 'Evidential preemption'. </w:t>
      </w:r>
      <w:r w:rsidRPr="006A3840">
        <w:rPr>
          <w:i/>
        </w:rPr>
        <w:t>Philosophy and Phenomenological Research</w:t>
      </w:r>
      <w:r w:rsidRPr="006A3840">
        <w:t>, 102 (3), 515-530.</w:t>
      </w:r>
    </w:p>
    <w:p w:rsidR="00CF3D71" w:rsidRPr="006A3840" w:rsidRDefault="00CF3D71" w:rsidP="00053B63">
      <w:pPr>
        <w:pStyle w:val="EndNoteBibliography"/>
        <w:spacing w:after="0" w:line="480" w:lineRule="auto"/>
        <w:ind w:left="720" w:hanging="720"/>
      </w:pPr>
      <w:r w:rsidRPr="006A3840">
        <w:t xml:space="preserve">Behringer, Wolfgang. (2008) </w:t>
      </w:r>
      <w:r w:rsidRPr="006A3840">
        <w:rPr>
          <w:i/>
        </w:rPr>
        <w:t>Witches and witch-hunts: a global history</w:t>
      </w:r>
      <w:r w:rsidRPr="006A3840">
        <w:t>. Cambridge: Polity Press.</w:t>
      </w:r>
    </w:p>
    <w:p w:rsidR="00CF3D71" w:rsidRPr="006A3840" w:rsidRDefault="00CF3D71" w:rsidP="00053B63">
      <w:pPr>
        <w:pStyle w:val="EndNoteBibliography"/>
        <w:spacing w:after="0" w:line="480" w:lineRule="auto"/>
        <w:ind w:left="720" w:hanging="720"/>
      </w:pPr>
      <w:r w:rsidRPr="006A3840">
        <w:t xml:space="preserve">Borch-Jacobsen, Mikkel, and Sonu Shamdasani. (2011) </w:t>
      </w:r>
      <w:r w:rsidRPr="006A3840">
        <w:rPr>
          <w:i/>
        </w:rPr>
        <w:t>The Freud files: An inquiry into the history of psychoanalysis</w:t>
      </w:r>
      <w:r w:rsidRPr="006A3840">
        <w:t>. Cambridge University Press.</w:t>
      </w:r>
    </w:p>
    <w:p w:rsidR="00CF3D71" w:rsidRPr="006A3840" w:rsidRDefault="00CF3D71" w:rsidP="00053B63">
      <w:pPr>
        <w:pStyle w:val="EndNoteBibliography"/>
        <w:spacing w:after="0" w:line="480" w:lineRule="auto"/>
        <w:ind w:left="720" w:hanging="720"/>
      </w:pPr>
      <w:r w:rsidRPr="006A3840">
        <w:lastRenderedPageBreak/>
        <w:t xml:space="preserve">Boudry, Maarten. (2022) 'Why We Should Be Suspicious of Conspiracy Theories: A Novel Demarcation Problem'. </w:t>
      </w:r>
      <w:r w:rsidRPr="006A3840">
        <w:rPr>
          <w:i/>
        </w:rPr>
        <w:t>Episteme</w:t>
      </w:r>
      <w:r w:rsidRPr="006A3840">
        <w:t xml:space="preserve">, 1-21. </w:t>
      </w:r>
      <w:r w:rsidRPr="00CF3D71">
        <w:t>https://doi.org/10.1017/epi.2022.34</w:t>
      </w:r>
      <w:r w:rsidRPr="006A3840">
        <w:t xml:space="preserve">. </w:t>
      </w:r>
      <w:r w:rsidRPr="00CF3D71">
        <w:t>https://www.cambridge.org/core/article/why-we-should-be-suspicious-of-conspiracy-theories-a-novel-demarcation-problem/5654AA1C282170DF3DDB26BF53E45E29</w:t>
      </w:r>
      <w:r w:rsidRPr="006A3840">
        <w:t>.</w:t>
      </w:r>
    </w:p>
    <w:p w:rsidR="00CF3D71" w:rsidRPr="00D62A77" w:rsidRDefault="00CF3D71" w:rsidP="00053B63">
      <w:pPr>
        <w:pStyle w:val="EndNoteBibliography"/>
        <w:spacing w:after="0" w:line="480" w:lineRule="auto"/>
        <w:ind w:left="720" w:hanging="720"/>
        <w:rPr>
          <w:lang w:val="nl-BE"/>
        </w:rPr>
      </w:pPr>
      <w:r w:rsidRPr="006A3840">
        <w:t xml:space="preserve">Boudry, Maarten, and Filip Buekens. (2011) 'The Epistemic Predicament of a Pseudoscience: Social Constructivism Confronts Freudian Psychoanalysis'. </w:t>
      </w:r>
      <w:r w:rsidRPr="00D62A77">
        <w:rPr>
          <w:i/>
          <w:lang w:val="nl-BE"/>
        </w:rPr>
        <w:t>Theoria</w:t>
      </w:r>
      <w:r w:rsidRPr="00D62A77">
        <w:rPr>
          <w:lang w:val="nl-BE"/>
        </w:rPr>
        <w:t>, 77 (2), 159–179. https://doi.org/10.1111/j.1755-2567.2011.01098.x.</w:t>
      </w:r>
    </w:p>
    <w:p w:rsidR="00CF3D71" w:rsidRPr="006A3840" w:rsidRDefault="00CF3D71" w:rsidP="00053B63">
      <w:pPr>
        <w:pStyle w:val="EndNoteBibliography"/>
        <w:spacing w:after="0" w:line="480" w:lineRule="auto"/>
        <w:ind w:left="720" w:hanging="720"/>
      </w:pPr>
      <w:r w:rsidRPr="00D62A77">
        <w:rPr>
          <w:lang w:val="nl-BE"/>
        </w:rPr>
        <w:t xml:space="preserve">Boudry, Maarten, and Johan De Smedt. </w:t>
      </w:r>
      <w:r w:rsidRPr="006A3840">
        <w:t xml:space="preserve">(2011) 'In Mysterious Ways: On petitionary prayer and subtle forms of supernatural causation'. </w:t>
      </w:r>
      <w:r w:rsidRPr="006A3840">
        <w:rPr>
          <w:i/>
        </w:rPr>
        <w:t>Religion</w:t>
      </w:r>
      <w:r w:rsidRPr="006A3840">
        <w:t xml:space="preserve">, 41 (3), 449-469. </w:t>
      </w:r>
      <w:r w:rsidRPr="00CF3D71">
        <w:t>https://doi.org/10.1080/0048721x.2011.600464</w:t>
      </w:r>
      <w:r w:rsidRPr="006A3840">
        <w:t>. &lt;Go to ISI&gt;://WOS:000297957300008.</w:t>
      </w:r>
    </w:p>
    <w:p w:rsidR="00CF3D71" w:rsidRPr="006A3840" w:rsidRDefault="00CF3D71" w:rsidP="00053B63">
      <w:pPr>
        <w:pStyle w:val="EndNoteBibliography"/>
        <w:spacing w:after="0" w:line="480" w:lineRule="auto"/>
        <w:ind w:left="720" w:hanging="720"/>
      </w:pPr>
      <w:r w:rsidRPr="006A3840">
        <w:t xml:space="preserve">Buenting, Joel, and Jason Taylor. (2010) 'Conspiracy theories and fortuitous data'. </w:t>
      </w:r>
      <w:r w:rsidRPr="006A3840">
        <w:rPr>
          <w:i/>
        </w:rPr>
        <w:t>Philosophy of the Social Sciences</w:t>
      </w:r>
      <w:r w:rsidRPr="006A3840">
        <w:t>, 40 (4), 567-578.</w:t>
      </w:r>
    </w:p>
    <w:p w:rsidR="00CF3D71" w:rsidRPr="006A3840" w:rsidRDefault="00CF3D71" w:rsidP="00053B63">
      <w:pPr>
        <w:pStyle w:val="EndNoteBibliography"/>
        <w:spacing w:after="0" w:line="480" w:lineRule="auto"/>
        <w:ind w:left="720" w:hanging="720"/>
      </w:pPr>
      <w:r w:rsidRPr="006A3840">
        <w:t xml:space="preserve">Byford, J. (2011) </w:t>
      </w:r>
      <w:r w:rsidRPr="006A3840">
        <w:rPr>
          <w:i/>
        </w:rPr>
        <w:t>Conspiracy Theories: A Critical Introduction</w:t>
      </w:r>
      <w:r w:rsidRPr="006A3840">
        <w:t>. Palgrave Macmillan.</w:t>
      </w:r>
    </w:p>
    <w:p w:rsidR="00CF3D71" w:rsidRPr="006A3840" w:rsidRDefault="00CF3D71" w:rsidP="00053B63">
      <w:pPr>
        <w:pStyle w:val="EndNoteBibliography"/>
        <w:spacing w:after="0" w:line="480" w:lineRule="auto"/>
        <w:ind w:left="720" w:hanging="720"/>
      </w:pPr>
      <w:r w:rsidRPr="006A3840">
        <w:t xml:space="preserve">Cassam, Quassim. (2019) </w:t>
      </w:r>
      <w:r w:rsidRPr="006A3840">
        <w:rPr>
          <w:i/>
        </w:rPr>
        <w:t>Conspiracy theories</w:t>
      </w:r>
      <w:r w:rsidRPr="006A3840">
        <w:t>. John Wiley &amp; Sons.</w:t>
      </w:r>
    </w:p>
    <w:p w:rsidR="00CF3D71" w:rsidRPr="006A3840" w:rsidRDefault="00CF3D71" w:rsidP="00053B63">
      <w:pPr>
        <w:pStyle w:val="EndNoteBibliography"/>
        <w:spacing w:after="0" w:line="480" w:lineRule="auto"/>
        <w:ind w:left="720" w:hanging="720"/>
      </w:pPr>
      <w:r w:rsidRPr="006A3840">
        <w:t xml:space="preserve">Cioffi, F. (1998) </w:t>
      </w:r>
      <w:r w:rsidRPr="006A3840">
        <w:rPr>
          <w:i/>
        </w:rPr>
        <w:t>Freud and the question of pseudoscience</w:t>
      </w:r>
      <w:r w:rsidRPr="006A3840">
        <w:t>. Chicago: Open Court.</w:t>
      </w:r>
    </w:p>
    <w:p w:rsidR="00CF3D71" w:rsidRPr="006A3840" w:rsidRDefault="00CF3D71" w:rsidP="00053B63">
      <w:pPr>
        <w:pStyle w:val="EndNoteBibliography"/>
        <w:spacing w:after="0" w:line="480" w:lineRule="auto"/>
        <w:ind w:left="720" w:hanging="720"/>
      </w:pPr>
      <w:r w:rsidRPr="006A3840">
        <w:t xml:space="preserve">Clarke, S. (2002) 'Conspiracy theories and conspiracy theorizing'. </w:t>
      </w:r>
      <w:r w:rsidRPr="006A3840">
        <w:rPr>
          <w:i/>
        </w:rPr>
        <w:t>Philosophy of the Social Sciences</w:t>
      </w:r>
      <w:r w:rsidRPr="006A3840">
        <w:t>, 32 (2), 131-150.</w:t>
      </w:r>
    </w:p>
    <w:p w:rsidR="00CF3D71" w:rsidRPr="006A3840" w:rsidRDefault="00CF3D71" w:rsidP="00053B63">
      <w:pPr>
        <w:pStyle w:val="EndNoteBibliography"/>
        <w:spacing w:after="0" w:line="480" w:lineRule="auto"/>
        <w:ind w:left="720" w:hanging="720"/>
      </w:pPr>
      <w:r w:rsidRPr="006A3840">
        <w:t xml:space="preserve">Cohn, Norman. (1967) </w:t>
      </w:r>
      <w:r w:rsidRPr="006A3840">
        <w:rPr>
          <w:i/>
        </w:rPr>
        <w:t>Warrant for Genocide: The Myth of the Jewish World-conspiracy and the Protocols of the Elders of Zion</w:t>
      </w:r>
      <w:r w:rsidRPr="006A3840">
        <w:t>. Eyre &amp; Spottiswoode.</w:t>
      </w:r>
    </w:p>
    <w:p w:rsidR="00CF3D71" w:rsidRPr="006A3840" w:rsidRDefault="00CF3D71" w:rsidP="00053B63">
      <w:pPr>
        <w:pStyle w:val="EndNoteBibliography"/>
        <w:spacing w:after="0" w:line="480" w:lineRule="auto"/>
        <w:ind w:left="720" w:hanging="720"/>
      </w:pPr>
      <w:r w:rsidRPr="006A3840">
        <w:t xml:space="preserve">Crews, Frederick C. (1998) </w:t>
      </w:r>
      <w:r w:rsidRPr="006A3840">
        <w:rPr>
          <w:i/>
        </w:rPr>
        <w:t>Unauthorized Freud: doubters confront a legend</w:t>
      </w:r>
      <w:r w:rsidRPr="006A3840">
        <w:t>. Viking.</w:t>
      </w:r>
    </w:p>
    <w:p w:rsidR="00CF3D71" w:rsidRPr="006A3840" w:rsidRDefault="00CF3D71" w:rsidP="00053B63">
      <w:pPr>
        <w:pStyle w:val="EndNoteBibliography"/>
        <w:spacing w:after="0" w:line="480" w:lineRule="auto"/>
        <w:ind w:left="720" w:hanging="720"/>
      </w:pPr>
      <w:r w:rsidRPr="006A3840">
        <w:t xml:space="preserve">---. (2017) </w:t>
      </w:r>
      <w:r w:rsidRPr="006A3840">
        <w:rPr>
          <w:i/>
        </w:rPr>
        <w:t>Freud: The making of an illusion</w:t>
      </w:r>
      <w:r w:rsidRPr="006A3840">
        <w:t>. Profile Books.</w:t>
      </w:r>
    </w:p>
    <w:p w:rsidR="00CF3D71" w:rsidRPr="006A3840" w:rsidRDefault="00CF3D71" w:rsidP="00053B63">
      <w:pPr>
        <w:pStyle w:val="EndNoteBibliography"/>
        <w:spacing w:after="0" w:line="480" w:lineRule="auto"/>
        <w:ind w:left="720" w:hanging="720"/>
      </w:pPr>
      <w:r w:rsidRPr="006A3840">
        <w:t xml:space="preserve">Crews, Frederick. C. (1986) </w:t>
      </w:r>
      <w:r w:rsidRPr="006A3840">
        <w:rPr>
          <w:i/>
        </w:rPr>
        <w:t>Skeptical engagements</w:t>
      </w:r>
      <w:r w:rsidRPr="006A3840">
        <w:t>. Oxford: Oxford University Press.</w:t>
      </w:r>
    </w:p>
    <w:p w:rsidR="00CF3D71" w:rsidRPr="006A3840" w:rsidRDefault="00CF3D71" w:rsidP="00053B63">
      <w:pPr>
        <w:pStyle w:val="EndNoteBibliography"/>
        <w:spacing w:after="0" w:line="480" w:lineRule="auto"/>
        <w:ind w:left="720" w:hanging="720"/>
      </w:pPr>
      <w:r w:rsidRPr="006A3840">
        <w:t xml:space="preserve">Dennett, Daniel C. (1987) </w:t>
      </w:r>
      <w:r w:rsidRPr="006A3840">
        <w:rPr>
          <w:i/>
        </w:rPr>
        <w:t>The intentional stance</w:t>
      </w:r>
      <w:r w:rsidRPr="006A3840">
        <w:t>. Cambridge: MIT Press.</w:t>
      </w:r>
    </w:p>
    <w:p w:rsidR="00CF3D71" w:rsidRPr="006A3840" w:rsidRDefault="00CF3D71" w:rsidP="00053B63">
      <w:pPr>
        <w:pStyle w:val="EndNoteBibliography"/>
        <w:spacing w:after="0" w:line="480" w:lineRule="auto"/>
        <w:ind w:left="720" w:hanging="720"/>
      </w:pPr>
      <w:r w:rsidRPr="006A3840">
        <w:t xml:space="preserve">---. (2006) </w:t>
      </w:r>
      <w:r w:rsidRPr="006A3840">
        <w:rPr>
          <w:i/>
        </w:rPr>
        <w:t>Breaking the spell: Religion as a natural phenomenon</w:t>
      </w:r>
      <w:r w:rsidRPr="006A3840">
        <w:t>. New York, N.Y.: Viking (Penguin).</w:t>
      </w:r>
    </w:p>
    <w:p w:rsidR="00CF3D71" w:rsidRPr="006A3840" w:rsidRDefault="00CF3D71" w:rsidP="00053B63">
      <w:pPr>
        <w:pStyle w:val="EndNoteBibliography"/>
        <w:spacing w:after="0" w:line="480" w:lineRule="auto"/>
        <w:ind w:left="720" w:hanging="720"/>
      </w:pPr>
      <w:r w:rsidRPr="006A3840">
        <w:t xml:space="preserve">Dentith, M R. X. (2018) </w:t>
      </w:r>
      <w:r w:rsidRPr="006A3840">
        <w:rPr>
          <w:i/>
        </w:rPr>
        <w:t>Taking conspiracy theories seriously</w:t>
      </w:r>
      <w:r w:rsidRPr="006A3840">
        <w:t>. Rowman &amp; Littlefield.</w:t>
      </w:r>
    </w:p>
    <w:p w:rsidR="00CF3D71" w:rsidRPr="00D62A77" w:rsidRDefault="00CF3D71" w:rsidP="00053B63">
      <w:pPr>
        <w:pStyle w:val="EndNoteBibliography"/>
        <w:spacing w:after="0" w:line="480" w:lineRule="auto"/>
        <w:ind w:left="720" w:hanging="720"/>
        <w:rPr>
          <w:lang w:val="nl-BE"/>
        </w:rPr>
      </w:pPr>
      <w:r w:rsidRPr="006A3840">
        <w:t xml:space="preserve">---. (2019) 'Conspiracy theories on the basis of the evidence'. </w:t>
      </w:r>
      <w:r w:rsidRPr="00D62A77">
        <w:rPr>
          <w:i/>
          <w:lang w:val="nl-BE"/>
        </w:rPr>
        <w:t>Synthese</w:t>
      </w:r>
      <w:r w:rsidRPr="00D62A77">
        <w:rPr>
          <w:lang w:val="nl-BE"/>
        </w:rPr>
        <w:t>, 196 (6), 2243-2261.</w:t>
      </w:r>
    </w:p>
    <w:p w:rsidR="00CF3D71" w:rsidRPr="006A3840" w:rsidRDefault="00CF3D71" w:rsidP="00053B63">
      <w:pPr>
        <w:pStyle w:val="EndNoteBibliography"/>
        <w:spacing w:after="0" w:line="480" w:lineRule="auto"/>
        <w:ind w:left="720" w:hanging="720"/>
      </w:pPr>
      <w:r w:rsidRPr="00D62A77">
        <w:rPr>
          <w:lang w:val="nl-BE"/>
        </w:rPr>
        <w:lastRenderedPageBreak/>
        <w:t xml:space="preserve">Dillinger, Johannes. (1999) </w:t>
      </w:r>
      <w:r w:rsidRPr="00D62A77">
        <w:rPr>
          <w:i/>
          <w:lang w:val="nl-BE"/>
        </w:rPr>
        <w:t>"Böse Leute": Hexenverfolgungen in Schwäbisch-Österreich und Kurtrier im Vergleich</w:t>
      </w:r>
      <w:r w:rsidRPr="00D62A77">
        <w:rPr>
          <w:lang w:val="nl-BE"/>
        </w:rPr>
        <w:t xml:space="preserve">. </w:t>
      </w:r>
      <w:r w:rsidRPr="006A3840">
        <w:t>Trier: Spee.</w:t>
      </w:r>
    </w:p>
    <w:p w:rsidR="00CF3D71" w:rsidRPr="006A3840" w:rsidRDefault="00CF3D71" w:rsidP="00053B63">
      <w:pPr>
        <w:pStyle w:val="EndNoteBibliography"/>
        <w:spacing w:after="0" w:line="480" w:lineRule="auto"/>
        <w:ind w:left="720" w:hanging="720"/>
      </w:pPr>
      <w:r w:rsidRPr="006A3840">
        <w:t xml:space="preserve">---. (2018) </w:t>
      </w:r>
      <w:r w:rsidRPr="006A3840">
        <w:rPr>
          <w:i/>
        </w:rPr>
        <w:t>Hexen und Magie: 2., aktualisierte Auflage</w:t>
      </w:r>
      <w:r w:rsidRPr="006A3840">
        <w:t>.</w:t>
      </w:r>
      <w:r w:rsidRPr="006A3840">
        <w:rPr>
          <w:i/>
        </w:rPr>
        <w:t>Frankfurt am Main</w:t>
      </w:r>
      <w:r w:rsidRPr="006A3840">
        <w:t>. Frankfurt am Main: Campus Verlag.</w:t>
      </w:r>
    </w:p>
    <w:p w:rsidR="00CF3D71" w:rsidRPr="006A3840" w:rsidRDefault="00CF3D71" w:rsidP="00053B63">
      <w:pPr>
        <w:pStyle w:val="EndNoteBibliography"/>
        <w:spacing w:after="0" w:line="480" w:lineRule="auto"/>
        <w:ind w:left="720" w:hanging="720"/>
      </w:pPr>
      <w:r w:rsidRPr="006A3840">
        <w:t xml:space="preserve">Douglas, Karen M, Jan‐Willem van Prooijen, and Robbie M Sutton. (2022) 'Is the label ‘conspiracy theory’a cause or a consequence of disbelief in alternative narratives?'. </w:t>
      </w:r>
      <w:r w:rsidRPr="006A3840">
        <w:rPr>
          <w:i/>
        </w:rPr>
        <w:t>British Journal of Psychology</w:t>
      </w:r>
      <w:r w:rsidRPr="006A3840">
        <w:t>, 113 (3), 575-590.</w:t>
      </w:r>
    </w:p>
    <w:p w:rsidR="00CF3D71" w:rsidRPr="006A3840" w:rsidRDefault="00CF3D71" w:rsidP="00053B63">
      <w:pPr>
        <w:pStyle w:val="EndNoteBibliography"/>
        <w:spacing w:after="0" w:line="480" w:lineRule="auto"/>
        <w:ind w:left="720" w:hanging="720"/>
      </w:pPr>
      <w:r w:rsidRPr="006A3840">
        <w:t xml:space="preserve">Edis, Taner. (2019). "Cosmic Conspiracy Theories: How Theologies Evade Science." In </w:t>
      </w:r>
      <w:r w:rsidRPr="006A3840">
        <w:rPr>
          <w:i/>
        </w:rPr>
        <w:t>Theology and Science: From Genesis to Astrobiology</w:t>
      </w:r>
      <w:r w:rsidRPr="006A3840">
        <w:t>, 143-165. New Jersey: World Scientific.</w:t>
      </w:r>
    </w:p>
    <w:p w:rsidR="00CF3D71" w:rsidRPr="006A3840" w:rsidRDefault="00CF3D71" w:rsidP="00053B63">
      <w:pPr>
        <w:pStyle w:val="EndNoteBibliography"/>
        <w:spacing w:after="0" w:line="480" w:lineRule="auto"/>
        <w:ind w:left="720" w:hanging="720"/>
      </w:pPr>
      <w:r w:rsidRPr="006A3840">
        <w:t xml:space="preserve">Enders, Adam M., Joseph E. Uscinski, Casey A. Klofstad, Michelle I. Seelig, Stefan Wuchty, Manohar N. Murthi, Kamal Premaratne, and John R. Funchion. (2021) 'Do conspiracy beliefs form a belief system? Examining the structure and organization of conspiracy beliefs'. </w:t>
      </w:r>
      <w:r w:rsidRPr="006A3840">
        <w:rPr>
          <w:i/>
        </w:rPr>
        <w:t>Journal of Social and Political Psychology</w:t>
      </w:r>
      <w:r w:rsidRPr="006A3840">
        <w:t>, 9 (1), 255-271.</w:t>
      </w:r>
    </w:p>
    <w:p w:rsidR="00CF3D71" w:rsidRPr="006A3840" w:rsidRDefault="00CF3D71" w:rsidP="00053B63">
      <w:pPr>
        <w:pStyle w:val="EndNoteBibliography"/>
        <w:spacing w:after="0" w:line="480" w:lineRule="auto"/>
        <w:ind w:left="720" w:hanging="720"/>
      </w:pPr>
      <w:r w:rsidRPr="006A3840">
        <w:t xml:space="preserve">Farrell, John. (1996) </w:t>
      </w:r>
      <w:r w:rsidRPr="006A3840">
        <w:rPr>
          <w:i/>
        </w:rPr>
        <w:t>Freud's paranoid quest: Psychoanalysis and modern suspicion</w:t>
      </w:r>
      <w:r w:rsidRPr="006A3840">
        <w:t>. London: New York University Press.</w:t>
      </w:r>
    </w:p>
    <w:p w:rsidR="00CF3D71" w:rsidRPr="006A3840" w:rsidRDefault="00CF3D71" w:rsidP="00053B63">
      <w:pPr>
        <w:pStyle w:val="EndNoteBibliography"/>
        <w:spacing w:after="0" w:line="480" w:lineRule="auto"/>
        <w:ind w:left="720" w:hanging="720"/>
      </w:pPr>
      <w:r w:rsidRPr="006A3840">
        <w:t xml:space="preserve">Freud, Sigmund. (1953) </w:t>
      </w:r>
      <w:r w:rsidRPr="006A3840">
        <w:rPr>
          <w:i/>
        </w:rPr>
        <w:t>Standard edition. Vol. 4, (1900) The interpretation of dreams (first part)</w:t>
      </w:r>
      <w:r w:rsidRPr="006A3840">
        <w:t>. London: Hogarth Press.</w:t>
      </w:r>
    </w:p>
    <w:p w:rsidR="00CF3D71" w:rsidRPr="006A3840" w:rsidRDefault="00CF3D71" w:rsidP="00053B63">
      <w:pPr>
        <w:pStyle w:val="EndNoteBibliography"/>
        <w:spacing w:after="0" w:line="480" w:lineRule="auto"/>
        <w:ind w:left="720" w:hanging="720"/>
      </w:pPr>
      <w:r w:rsidRPr="006A3840">
        <w:t xml:space="preserve">---. (1957) </w:t>
      </w:r>
      <w:r w:rsidRPr="006A3840">
        <w:rPr>
          <w:i/>
        </w:rPr>
        <w:t>Standard edition. Vol. 11, (1910) : Five lectures on psycho-analysis, Leonardo da Vinci, and other works</w:t>
      </w:r>
      <w:r w:rsidRPr="006A3840">
        <w:t>. London: Hogarth Press.</w:t>
      </w:r>
    </w:p>
    <w:p w:rsidR="00CF3D71" w:rsidRPr="006A3840" w:rsidRDefault="00CF3D71" w:rsidP="00053B63">
      <w:pPr>
        <w:pStyle w:val="EndNoteBibliography"/>
        <w:spacing w:after="0" w:line="480" w:lineRule="auto"/>
        <w:ind w:left="720" w:hanging="720"/>
      </w:pPr>
      <w:r w:rsidRPr="006A3840">
        <w:t xml:space="preserve">Freud, Sigmund, James Strachey, Anna Freud, A. Richards, and Institute of Psycho-analysis. (1960) </w:t>
      </w:r>
      <w:r w:rsidRPr="006A3840">
        <w:rPr>
          <w:i/>
        </w:rPr>
        <w:t>The standard edition of the complete psychological works of Sigmund Freud. Vol. 6, The psychopathology of everyday life</w:t>
      </w:r>
      <w:r w:rsidRPr="006A3840">
        <w:t>.</w:t>
      </w:r>
    </w:p>
    <w:p w:rsidR="00CF3D71" w:rsidRPr="006A3840" w:rsidRDefault="00CF3D71" w:rsidP="00053B63">
      <w:pPr>
        <w:pStyle w:val="EndNoteBibliography"/>
        <w:spacing w:after="0" w:line="480" w:lineRule="auto"/>
        <w:ind w:left="720" w:hanging="720"/>
      </w:pPr>
      <w:r w:rsidRPr="006A3840">
        <w:t xml:space="preserve">Gellner, E. (1985) </w:t>
      </w:r>
      <w:r w:rsidRPr="006A3840">
        <w:rPr>
          <w:i/>
        </w:rPr>
        <w:t>The Psychoanalytic Movement: The Cunning of Unreason</w:t>
      </w:r>
      <w:r w:rsidRPr="006A3840">
        <w:t>. London: Paladin.</w:t>
      </w:r>
    </w:p>
    <w:p w:rsidR="00CF3D71" w:rsidRPr="006A3840" w:rsidRDefault="00CF3D71" w:rsidP="00053B63">
      <w:pPr>
        <w:pStyle w:val="EndNoteBibliography"/>
        <w:spacing w:after="0" w:line="480" w:lineRule="auto"/>
        <w:ind w:left="720" w:hanging="720"/>
      </w:pPr>
      <w:r w:rsidRPr="006A3840">
        <w:t xml:space="preserve">Gershman, Samuel J. (2019) 'How to never be wrong'. </w:t>
      </w:r>
      <w:r w:rsidRPr="006A3840">
        <w:rPr>
          <w:i/>
        </w:rPr>
        <w:t>Psychonomic Bulletin &amp; Review</w:t>
      </w:r>
      <w:r w:rsidRPr="006A3840">
        <w:t>, 26 (1), 13-28.</w:t>
      </w:r>
    </w:p>
    <w:p w:rsidR="00CF3D71" w:rsidRPr="006A3840" w:rsidRDefault="00CF3D71" w:rsidP="00053B63">
      <w:pPr>
        <w:pStyle w:val="EndNoteBibliography"/>
        <w:spacing w:after="0" w:line="480" w:lineRule="auto"/>
        <w:ind w:left="720" w:hanging="720"/>
      </w:pPr>
      <w:r w:rsidRPr="006A3840">
        <w:t xml:space="preserve">Goertzel, Ted. (1994) 'Belief in conspiracy theories'. </w:t>
      </w:r>
      <w:r w:rsidRPr="006A3840">
        <w:rPr>
          <w:i/>
        </w:rPr>
        <w:t>Political psychology</w:t>
      </w:r>
      <w:r w:rsidRPr="006A3840">
        <w:t>, 15, 733-744.</w:t>
      </w:r>
    </w:p>
    <w:p w:rsidR="00CF3D71" w:rsidRPr="006A3840" w:rsidRDefault="00CF3D71" w:rsidP="00053B63">
      <w:pPr>
        <w:pStyle w:val="EndNoteBibliography"/>
        <w:spacing w:after="0" w:line="480" w:lineRule="auto"/>
        <w:ind w:left="720" w:hanging="720"/>
      </w:pPr>
      <w:r w:rsidRPr="006A3840">
        <w:t xml:space="preserve">Goodare, Julian. (2016) </w:t>
      </w:r>
      <w:r w:rsidRPr="006A3840">
        <w:rPr>
          <w:i/>
        </w:rPr>
        <w:t>The European witch-hunt</w:t>
      </w:r>
      <w:r w:rsidRPr="006A3840">
        <w:t>. Routledge.</w:t>
      </w:r>
    </w:p>
    <w:p w:rsidR="00CF3D71" w:rsidRPr="006A3840" w:rsidRDefault="00CF3D71" w:rsidP="00053B63">
      <w:pPr>
        <w:pStyle w:val="EndNoteBibliography"/>
        <w:spacing w:after="0" w:line="480" w:lineRule="auto"/>
        <w:ind w:left="720" w:hanging="720"/>
      </w:pPr>
      <w:r w:rsidRPr="006A3840">
        <w:lastRenderedPageBreak/>
        <w:t xml:space="preserve">Gordin, M. D. (2012) </w:t>
      </w:r>
      <w:r w:rsidRPr="006A3840">
        <w:rPr>
          <w:i/>
        </w:rPr>
        <w:t>The Pseudoscience Wars: Immanuel Velikovsky and the Birth of the Modern Fringe</w:t>
      </w:r>
      <w:r w:rsidRPr="006A3840">
        <w:t>. University of Chicago Press.</w:t>
      </w:r>
    </w:p>
    <w:p w:rsidR="00CF3D71" w:rsidRPr="006A3840" w:rsidRDefault="00CF3D71" w:rsidP="00053B63">
      <w:pPr>
        <w:pStyle w:val="EndNoteBibliography"/>
        <w:spacing w:after="0" w:line="480" w:lineRule="auto"/>
        <w:ind w:left="720" w:hanging="720"/>
      </w:pPr>
      <w:r w:rsidRPr="006A3840">
        <w:t xml:space="preserve">Harris, Keith. (2018) 'What's epistemically wrong with conspiracy theorising?'. </w:t>
      </w:r>
      <w:r w:rsidRPr="006A3840">
        <w:rPr>
          <w:i/>
        </w:rPr>
        <w:t>Royal Institute of Philosophy Supplement</w:t>
      </w:r>
      <w:r w:rsidRPr="006A3840">
        <w:t>, 84, 235-257.</w:t>
      </w:r>
    </w:p>
    <w:p w:rsidR="00CF3D71" w:rsidRPr="006A3840" w:rsidRDefault="00CF3D71" w:rsidP="00053B63">
      <w:pPr>
        <w:pStyle w:val="EndNoteBibliography"/>
        <w:spacing w:after="0" w:line="480" w:lineRule="auto"/>
        <w:ind w:left="720" w:hanging="720"/>
      </w:pPr>
      <w:r w:rsidRPr="006A3840">
        <w:t xml:space="preserve">Harris, Keith Raymond. (2023) 'Conspiracy theories, populism, and epistemic autonomy'. </w:t>
      </w:r>
      <w:r w:rsidRPr="006A3840">
        <w:rPr>
          <w:i/>
        </w:rPr>
        <w:t>Journal of the American Philosophical Association</w:t>
      </w:r>
      <w:r w:rsidRPr="006A3840">
        <w:t>, 9 (1), 21-36.</w:t>
      </w:r>
    </w:p>
    <w:p w:rsidR="00CF3D71" w:rsidRPr="006A3840" w:rsidRDefault="00CF3D71" w:rsidP="00053B63">
      <w:pPr>
        <w:pStyle w:val="EndNoteBibliography"/>
        <w:spacing w:after="0" w:line="480" w:lineRule="auto"/>
        <w:ind w:left="720" w:hanging="720"/>
      </w:pPr>
      <w:r w:rsidRPr="006A3840">
        <w:t xml:space="preserve">Henrich, Joseph. (2015) </w:t>
      </w:r>
      <w:r w:rsidRPr="006A3840">
        <w:rPr>
          <w:i/>
        </w:rPr>
        <w:t>The secret of our success: How culture is driving human evolution, domesticating our species, and making us smarter</w:t>
      </w:r>
      <w:r w:rsidRPr="006A3840">
        <w:t>. Princeton University Press.</w:t>
      </w:r>
    </w:p>
    <w:p w:rsidR="00CF3D71" w:rsidRPr="006A3840" w:rsidRDefault="00CF3D71" w:rsidP="00053B63">
      <w:pPr>
        <w:pStyle w:val="EndNoteBibliography"/>
        <w:spacing w:after="0" w:line="480" w:lineRule="auto"/>
        <w:ind w:left="720" w:hanging="720"/>
      </w:pPr>
      <w:r w:rsidRPr="006A3840">
        <w:t xml:space="preserve">Hofhuis, Steije Thomas. (2022) </w:t>
      </w:r>
      <w:r w:rsidRPr="006A3840">
        <w:rPr>
          <w:i/>
        </w:rPr>
        <w:t>Qualitative Darwinism: An evolutionary history of witch-hunting</w:t>
      </w:r>
      <w:r w:rsidRPr="006A3840">
        <w:t>. Utrecht University.</w:t>
      </w:r>
    </w:p>
    <w:p w:rsidR="00CF3D71" w:rsidRPr="006A3840" w:rsidRDefault="00CF3D71" w:rsidP="00053B63">
      <w:pPr>
        <w:pStyle w:val="EndNoteBibliography"/>
        <w:spacing w:after="0" w:line="480" w:lineRule="auto"/>
        <w:ind w:left="720" w:hanging="720"/>
      </w:pPr>
      <w:r w:rsidRPr="006A3840">
        <w:t xml:space="preserve">Hume, David. (1998 [1779]) </w:t>
      </w:r>
      <w:r w:rsidRPr="006A3840">
        <w:rPr>
          <w:i/>
        </w:rPr>
        <w:t>Dialogues Concerning Natural Religion (2nd ed)</w:t>
      </w:r>
      <w:r w:rsidRPr="006A3840">
        <w:t>. Edited by R. H.  Popkin. Indianapolis: Hackett.</w:t>
      </w:r>
    </w:p>
    <w:p w:rsidR="00CF3D71" w:rsidRPr="006A3840" w:rsidRDefault="00CF3D71" w:rsidP="00053B63">
      <w:pPr>
        <w:pStyle w:val="EndNoteBibliography"/>
        <w:spacing w:after="0" w:line="480" w:lineRule="auto"/>
        <w:ind w:left="720" w:hanging="720"/>
      </w:pPr>
      <w:r w:rsidRPr="006A3840">
        <w:t xml:space="preserve">Keeley, B. L. (1999) 'Of conspiracy theories'. </w:t>
      </w:r>
      <w:r w:rsidRPr="006A3840">
        <w:rPr>
          <w:i/>
        </w:rPr>
        <w:t>Journal of Philosophy</w:t>
      </w:r>
      <w:r w:rsidRPr="006A3840">
        <w:t>, 96 (3), 109-126.</w:t>
      </w:r>
    </w:p>
    <w:p w:rsidR="00CF3D71" w:rsidRPr="006A3840" w:rsidRDefault="00CF3D71" w:rsidP="00053B63">
      <w:pPr>
        <w:pStyle w:val="EndNoteBibliography"/>
        <w:spacing w:after="0" w:line="480" w:lineRule="auto"/>
        <w:ind w:left="720" w:hanging="720"/>
      </w:pPr>
      <w:r w:rsidRPr="006A3840">
        <w:t xml:space="preserve">Keeley, Brian L. (2007) 'God as the ultimate conspiracy theory'. </w:t>
      </w:r>
      <w:r w:rsidRPr="006A3840">
        <w:rPr>
          <w:i/>
        </w:rPr>
        <w:t>Episteme: A journal of social epistemology</w:t>
      </w:r>
      <w:r w:rsidRPr="006A3840">
        <w:t>, 4 (2), 135-149.</w:t>
      </w:r>
    </w:p>
    <w:p w:rsidR="00CF3D71" w:rsidRPr="006A3840" w:rsidRDefault="00CF3D71" w:rsidP="00053B63">
      <w:pPr>
        <w:pStyle w:val="EndNoteBibliography"/>
        <w:spacing w:after="0" w:line="480" w:lineRule="auto"/>
        <w:ind w:left="720" w:hanging="720"/>
      </w:pPr>
      <w:r w:rsidRPr="006A3840">
        <w:t xml:space="preserve">---. (2018). "The Credulity of Conspiracy Theorists:  Conspiratorial, Scientific, and Religious Explanation." In </w:t>
      </w:r>
      <w:r w:rsidRPr="006A3840">
        <w:rPr>
          <w:i/>
        </w:rPr>
        <w:t>Conspiracy Theories and the People Who Believe Them</w:t>
      </w:r>
      <w:r w:rsidRPr="006A3840">
        <w:t>, edited by Joseph E. Uscinski, 422-431. Oxford University Press.</w:t>
      </w:r>
    </w:p>
    <w:p w:rsidR="00CF3D71" w:rsidRPr="006A3840" w:rsidRDefault="00CF3D71" w:rsidP="00053B63">
      <w:pPr>
        <w:pStyle w:val="EndNoteBibliography"/>
        <w:spacing w:after="0" w:line="480" w:lineRule="auto"/>
        <w:ind w:left="720" w:hanging="720"/>
      </w:pPr>
      <w:r w:rsidRPr="006A3840">
        <w:t xml:space="preserve">Krause, Virginia. (2015) </w:t>
      </w:r>
      <w:r w:rsidRPr="006A3840">
        <w:rPr>
          <w:i/>
        </w:rPr>
        <w:t>Witchcraft, demonology, and confession in early modern France</w:t>
      </w:r>
      <w:r w:rsidRPr="006A3840">
        <w:t>. Cambridge University Press.</w:t>
      </w:r>
    </w:p>
    <w:p w:rsidR="00CF3D71" w:rsidRPr="006A3840" w:rsidRDefault="00CF3D71" w:rsidP="00053B63">
      <w:pPr>
        <w:pStyle w:val="EndNoteBibliography"/>
        <w:spacing w:after="0" w:line="480" w:lineRule="auto"/>
        <w:ind w:left="720" w:hanging="720"/>
      </w:pPr>
      <w:r w:rsidRPr="006A3840">
        <w:t xml:space="preserve">Lakatos, Imre. (1970). "Falsification and the methodology of scientific research programmes." In </w:t>
      </w:r>
      <w:r w:rsidRPr="006A3840">
        <w:rPr>
          <w:i/>
        </w:rPr>
        <w:t>Criticism and the Growth of Knowledge</w:t>
      </w:r>
      <w:r w:rsidRPr="006A3840">
        <w:t>, edited by Imre Lakatos and Alan Musgrave, 91-196. Cambridge: Cambridge University Press.</w:t>
      </w:r>
    </w:p>
    <w:p w:rsidR="00CF3D71" w:rsidRPr="006A3840" w:rsidRDefault="00CF3D71" w:rsidP="00053B63">
      <w:pPr>
        <w:pStyle w:val="EndNoteBibliography"/>
        <w:spacing w:after="0" w:line="480" w:lineRule="auto"/>
        <w:ind w:left="720" w:hanging="720"/>
      </w:pPr>
      <w:r w:rsidRPr="006A3840">
        <w:t xml:space="preserve">Law, Stephen. (2011) </w:t>
      </w:r>
      <w:r w:rsidRPr="006A3840">
        <w:rPr>
          <w:i/>
        </w:rPr>
        <w:t>Believing bullshit: How not to get sucked into an intellectual black hole</w:t>
      </w:r>
      <w:r w:rsidRPr="006A3840">
        <w:t>. New York: Prometheus.</w:t>
      </w:r>
    </w:p>
    <w:p w:rsidR="00CF3D71" w:rsidRPr="006A3840" w:rsidRDefault="00CF3D71" w:rsidP="00053B63">
      <w:pPr>
        <w:pStyle w:val="EndNoteBibliography"/>
        <w:spacing w:after="0" w:line="480" w:lineRule="auto"/>
        <w:ind w:left="720" w:hanging="720"/>
      </w:pPr>
      <w:r w:rsidRPr="006A3840">
        <w:t xml:space="preserve">Levack, Brian P. (2016) </w:t>
      </w:r>
      <w:r w:rsidRPr="006A3840">
        <w:rPr>
          <w:i/>
        </w:rPr>
        <w:t>The Witch-Hunt in Early Modern Europe</w:t>
      </w:r>
      <w:r w:rsidRPr="006A3840">
        <w:t>. New York: Routledge.</w:t>
      </w:r>
    </w:p>
    <w:p w:rsidR="00CF3D71" w:rsidRPr="006A3840" w:rsidRDefault="00CF3D71" w:rsidP="00053B63">
      <w:pPr>
        <w:pStyle w:val="EndNoteBibliography"/>
        <w:spacing w:after="0" w:line="480" w:lineRule="auto"/>
        <w:ind w:left="720" w:hanging="720"/>
      </w:pPr>
      <w:r w:rsidRPr="006A3840">
        <w:lastRenderedPageBreak/>
        <w:t xml:space="preserve">Lewens, Tim. (2015) </w:t>
      </w:r>
      <w:r w:rsidRPr="006A3840">
        <w:rPr>
          <w:i/>
        </w:rPr>
        <w:t>Cultural Evolution: Conceptual Challenges</w:t>
      </w:r>
      <w:r w:rsidRPr="006A3840">
        <w:t>. OUP Oxford.</w:t>
      </w:r>
    </w:p>
    <w:p w:rsidR="00CF3D71" w:rsidRPr="006A3840" w:rsidRDefault="00CF3D71" w:rsidP="00053B63">
      <w:pPr>
        <w:pStyle w:val="EndNoteBibliography"/>
        <w:spacing w:after="0" w:line="480" w:lineRule="auto"/>
        <w:ind w:left="720" w:hanging="720"/>
      </w:pPr>
      <w:r w:rsidRPr="006A3840">
        <w:t xml:space="preserve">Macmillan, M. (1997) </w:t>
      </w:r>
      <w:r w:rsidRPr="006A3840">
        <w:rPr>
          <w:i/>
        </w:rPr>
        <w:t>Freud Evaluated: The Completed Arc</w:t>
      </w:r>
      <w:r w:rsidRPr="006A3840">
        <w:t>. Cambridge, MA: MIT Press.</w:t>
      </w:r>
    </w:p>
    <w:p w:rsidR="00CF3D71" w:rsidRPr="006A3840" w:rsidRDefault="00CF3D71" w:rsidP="00053B63">
      <w:pPr>
        <w:pStyle w:val="EndNoteBibliography"/>
        <w:spacing w:after="0" w:line="480" w:lineRule="auto"/>
        <w:ind w:left="720" w:hanging="720"/>
      </w:pPr>
      <w:r w:rsidRPr="006A3840">
        <w:t xml:space="preserve">Napolitano, M Giulia. (2021). "Conspiracy theories and evidential self-insulation." In </w:t>
      </w:r>
      <w:r w:rsidRPr="006A3840">
        <w:rPr>
          <w:i/>
        </w:rPr>
        <w:t>The epistemology of fake news</w:t>
      </w:r>
      <w:r w:rsidRPr="006A3840">
        <w:t>, 82-106. OUP Oxford.</w:t>
      </w:r>
    </w:p>
    <w:p w:rsidR="00CF3D71" w:rsidRPr="006A3840" w:rsidRDefault="00CF3D71" w:rsidP="00053B63">
      <w:pPr>
        <w:pStyle w:val="EndNoteBibliography"/>
        <w:spacing w:after="0" w:line="480" w:lineRule="auto"/>
        <w:ind w:left="720" w:hanging="720"/>
      </w:pPr>
      <w:r w:rsidRPr="006A3840">
        <w:t>---. (2023) 'Conspiracy Theories, Resistance to Evidence, and Propaganda: How Conspiracy Theories Advance Political Causes'.</w:t>
      </w:r>
    </w:p>
    <w:p w:rsidR="00CF3D71" w:rsidRPr="006A3840" w:rsidRDefault="00CF3D71" w:rsidP="00053B63">
      <w:pPr>
        <w:pStyle w:val="EndNoteBibliography"/>
        <w:spacing w:after="0" w:line="480" w:lineRule="auto"/>
        <w:ind w:left="720" w:hanging="720"/>
      </w:pPr>
      <w:r w:rsidRPr="006A3840">
        <w:t xml:space="preserve">Napolitano, M Giulia, and Kevin Reuter. (2021) 'What is a conspiracy theory?'. </w:t>
      </w:r>
      <w:r w:rsidRPr="006A3840">
        <w:rPr>
          <w:i/>
        </w:rPr>
        <w:t>Erkenntnis</w:t>
      </w:r>
      <w:r w:rsidRPr="006A3840">
        <w:t>, 1-28.</w:t>
      </w:r>
    </w:p>
    <w:p w:rsidR="00CF3D71" w:rsidRPr="006A3840" w:rsidRDefault="00CF3D71" w:rsidP="00053B63">
      <w:pPr>
        <w:pStyle w:val="EndNoteBibliography"/>
        <w:spacing w:after="0" w:line="480" w:lineRule="auto"/>
        <w:ind w:left="720" w:hanging="720"/>
      </w:pPr>
      <w:r w:rsidRPr="006A3840">
        <w:t xml:space="preserve">Nera, Kenzo, Paul Bertin, and Olivier Klein. (2022) 'Conspiracy theories as opportunistic attributions of power'. </w:t>
      </w:r>
      <w:r w:rsidRPr="006A3840">
        <w:rPr>
          <w:i/>
        </w:rPr>
        <w:t>Current opinion in psychology</w:t>
      </w:r>
      <w:r w:rsidRPr="006A3840">
        <w:t>, 101381.</w:t>
      </w:r>
    </w:p>
    <w:p w:rsidR="00CF3D71" w:rsidRPr="006A3840" w:rsidRDefault="00CF3D71" w:rsidP="00053B63">
      <w:pPr>
        <w:pStyle w:val="EndNoteBibliography"/>
        <w:spacing w:after="0" w:line="480" w:lineRule="auto"/>
        <w:ind w:left="720" w:hanging="720"/>
      </w:pPr>
      <w:r w:rsidRPr="006A3840">
        <w:t xml:space="preserve">Nguyen, C Thi. (2020) 'Echo chambers and epistemic bubbles'. </w:t>
      </w:r>
      <w:r w:rsidRPr="006A3840">
        <w:rPr>
          <w:i/>
        </w:rPr>
        <w:t>Episteme</w:t>
      </w:r>
      <w:r w:rsidRPr="006A3840">
        <w:t>, 17 (2), 141-161.</w:t>
      </w:r>
    </w:p>
    <w:p w:rsidR="00CF3D71" w:rsidRPr="006A3840" w:rsidRDefault="00CF3D71" w:rsidP="00053B63">
      <w:pPr>
        <w:pStyle w:val="EndNoteBibliography"/>
        <w:spacing w:after="0" w:line="480" w:lineRule="auto"/>
        <w:ind w:left="720" w:hanging="720"/>
      </w:pPr>
      <w:r w:rsidRPr="006A3840">
        <w:t xml:space="preserve">Nieminen, Petteri, Maarten Boudry, Esko Ryökäs, and Anne-Mari Mustonen. (2017) 'Biblical and Theistic Arguments Against The Evolutionary Argument Against Naturalism'. </w:t>
      </w:r>
      <w:r w:rsidRPr="006A3840">
        <w:rPr>
          <w:i/>
        </w:rPr>
        <w:t>Zygon</w:t>
      </w:r>
      <w:r w:rsidRPr="006A3840">
        <w:t xml:space="preserve">, 52 (1), 9-23. </w:t>
      </w:r>
      <w:r w:rsidRPr="00CF3D71">
        <w:t>https://doi.org/10.1111/zygo.12327</w:t>
      </w:r>
      <w:r w:rsidRPr="006A3840">
        <w:t xml:space="preserve">. </w:t>
      </w:r>
      <w:r w:rsidRPr="00CF3D71">
        <w:t>http://dx.doi.org/10.1111/zygo.12327</w:t>
      </w:r>
      <w:r w:rsidRPr="006A3840">
        <w:t>.</w:t>
      </w:r>
    </w:p>
    <w:p w:rsidR="00CF3D71" w:rsidRPr="006A3840" w:rsidRDefault="00CF3D71" w:rsidP="00053B63">
      <w:pPr>
        <w:pStyle w:val="EndNoteBibliography"/>
        <w:spacing w:after="0" w:line="480" w:lineRule="auto"/>
        <w:ind w:left="720" w:hanging="720"/>
      </w:pPr>
      <w:r w:rsidRPr="006A3840">
        <w:t xml:space="preserve">Nilus, S. (2009) </w:t>
      </w:r>
      <w:r w:rsidRPr="006A3840">
        <w:rPr>
          <w:i/>
        </w:rPr>
        <w:t>The Jewish Peril: Protocols of the Learned Elders of Zion</w:t>
      </w:r>
      <w:r w:rsidRPr="006A3840">
        <w:t>. Martino Pub.</w:t>
      </w:r>
    </w:p>
    <w:p w:rsidR="00CF3D71" w:rsidRPr="006A3840" w:rsidRDefault="00CF3D71" w:rsidP="00053B63">
      <w:pPr>
        <w:pStyle w:val="EndNoteBibliography"/>
        <w:spacing w:after="0" w:line="480" w:lineRule="auto"/>
        <w:ind w:left="720" w:hanging="720"/>
      </w:pPr>
      <w:r w:rsidRPr="006A3840">
        <w:t xml:space="preserve">Norman, Andy. (2021) </w:t>
      </w:r>
      <w:r w:rsidRPr="006A3840">
        <w:rPr>
          <w:i/>
        </w:rPr>
        <w:t>Mental Immunity: Infectious Ideas, Mind-Parasites, and the Search for a Better Way to Think</w:t>
      </w:r>
      <w:r w:rsidRPr="006A3840">
        <w:t>. HarperCollins.</w:t>
      </w:r>
    </w:p>
    <w:p w:rsidR="00CF3D71" w:rsidRPr="006A3840" w:rsidRDefault="00CF3D71" w:rsidP="00053B63">
      <w:pPr>
        <w:pStyle w:val="EndNoteBibliography"/>
        <w:spacing w:after="0" w:line="480" w:lineRule="auto"/>
        <w:ind w:left="720" w:hanging="720"/>
      </w:pPr>
      <w:r w:rsidRPr="006A3840">
        <w:t xml:space="preserve">Philipse, Herman. (2012) </w:t>
      </w:r>
      <w:r w:rsidRPr="006A3840">
        <w:rPr>
          <w:i/>
        </w:rPr>
        <w:t>God in the age of science?: a critique of religious reason</w:t>
      </w:r>
      <w:r w:rsidRPr="006A3840">
        <w:t>. Oxford: Oxford University Press.</w:t>
      </w:r>
    </w:p>
    <w:p w:rsidR="00CF3D71" w:rsidRPr="006A3840" w:rsidRDefault="00CF3D71" w:rsidP="00053B63">
      <w:pPr>
        <w:pStyle w:val="EndNoteBibliography"/>
        <w:spacing w:after="0" w:line="480" w:lineRule="auto"/>
        <w:ind w:left="720" w:hanging="720"/>
      </w:pPr>
      <w:r w:rsidRPr="006A3840">
        <w:t xml:space="preserve">Pigden, Charles R. (1995) 'Popper revisited, or what is wrong with conspiracy theories?'. </w:t>
      </w:r>
      <w:r w:rsidRPr="006A3840">
        <w:rPr>
          <w:i/>
        </w:rPr>
        <w:t>Philosophy of the Social Sciences</w:t>
      </w:r>
      <w:r w:rsidRPr="006A3840">
        <w:t>, 25 (1), 3.</w:t>
      </w:r>
    </w:p>
    <w:p w:rsidR="00CF3D71" w:rsidRPr="006A3840" w:rsidRDefault="00CF3D71" w:rsidP="00053B63">
      <w:pPr>
        <w:pStyle w:val="EndNoteBibliography"/>
        <w:spacing w:after="0" w:line="480" w:lineRule="auto"/>
        <w:ind w:left="720" w:hanging="720"/>
      </w:pPr>
      <w:r w:rsidRPr="006A3840">
        <w:t xml:space="preserve">Pipes, Daniel. (1999) </w:t>
      </w:r>
      <w:r w:rsidRPr="006A3840">
        <w:rPr>
          <w:i/>
        </w:rPr>
        <w:t>Conspiracy: How the paranoid style flourishes and where it comes from</w:t>
      </w:r>
      <w:r w:rsidRPr="006A3840">
        <w:t>. Simon and Schuster.</w:t>
      </w:r>
    </w:p>
    <w:p w:rsidR="00CF3D71" w:rsidRPr="006A3840" w:rsidRDefault="00CF3D71" w:rsidP="00053B63">
      <w:pPr>
        <w:pStyle w:val="EndNoteBibliography"/>
        <w:spacing w:after="0" w:line="480" w:lineRule="auto"/>
        <w:ind w:left="720" w:hanging="720"/>
      </w:pPr>
      <w:r w:rsidRPr="006A3840">
        <w:t xml:space="preserve">Popper, Karl R. (1959) </w:t>
      </w:r>
      <w:r w:rsidRPr="006A3840">
        <w:rPr>
          <w:i/>
        </w:rPr>
        <w:t>The logic of scientific discovery</w:t>
      </w:r>
      <w:r w:rsidRPr="006A3840">
        <w:t>. London &amp; New York: Routledge.</w:t>
      </w:r>
    </w:p>
    <w:p w:rsidR="00CF3D71" w:rsidRPr="006A3840" w:rsidRDefault="00CF3D71" w:rsidP="00053B63">
      <w:pPr>
        <w:pStyle w:val="EndNoteBibliography"/>
        <w:spacing w:after="0" w:line="480" w:lineRule="auto"/>
        <w:ind w:left="720" w:hanging="720"/>
      </w:pPr>
      <w:r w:rsidRPr="006A3840">
        <w:t xml:space="preserve">---. (1963/2002) </w:t>
      </w:r>
      <w:r w:rsidRPr="006A3840">
        <w:rPr>
          <w:i/>
        </w:rPr>
        <w:t>Conjectures and refutations: The growth of scientific knowledge</w:t>
      </w:r>
      <w:r w:rsidRPr="006A3840">
        <w:t>. London: Routledge.</w:t>
      </w:r>
    </w:p>
    <w:p w:rsidR="00CF3D71" w:rsidRPr="006A3840" w:rsidRDefault="00CF3D71" w:rsidP="00053B63">
      <w:pPr>
        <w:pStyle w:val="EndNoteBibliography"/>
        <w:spacing w:after="0" w:line="480" w:lineRule="auto"/>
        <w:ind w:left="720" w:hanging="720"/>
      </w:pPr>
      <w:r w:rsidRPr="006A3840">
        <w:t xml:space="preserve">Poth, Nina, and Krzysztof Dolega. (2023) 'Bayesian belief protection: A study of belief in conspiracy theories'. </w:t>
      </w:r>
      <w:r w:rsidRPr="006A3840">
        <w:rPr>
          <w:i/>
        </w:rPr>
        <w:t>Philosophical Psychology</w:t>
      </w:r>
      <w:r w:rsidRPr="006A3840">
        <w:t>, 1-26.</w:t>
      </w:r>
    </w:p>
    <w:p w:rsidR="00CF3D71" w:rsidRPr="006A3840" w:rsidRDefault="00CF3D71" w:rsidP="00053B63">
      <w:pPr>
        <w:pStyle w:val="EndNoteBibliography"/>
        <w:spacing w:after="0" w:line="480" w:lineRule="auto"/>
        <w:ind w:left="720" w:hanging="720"/>
      </w:pPr>
      <w:r w:rsidRPr="006A3840">
        <w:lastRenderedPageBreak/>
        <w:t xml:space="preserve">Remy, Nicolas. (2014) </w:t>
      </w:r>
      <w:r w:rsidRPr="006A3840">
        <w:rPr>
          <w:i/>
        </w:rPr>
        <w:t>Demonolatry: an account of the historical practice of witchcraft</w:t>
      </w:r>
      <w:r w:rsidRPr="006A3840">
        <w:t>. Courier Corporation.</w:t>
      </w:r>
    </w:p>
    <w:p w:rsidR="00CF3D71" w:rsidRPr="006A3840" w:rsidRDefault="00CF3D71" w:rsidP="00053B63">
      <w:pPr>
        <w:pStyle w:val="EndNoteBibliography"/>
        <w:spacing w:after="0" w:line="480" w:lineRule="auto"/>
        <w:ind w:left="720" w:hanging="720"/>
      </w:pPr>
      <w:r w:rsidRPr="006A3840">
        <w:t xml:space="preserve">Robertson, D.G. (2016) </w:t>
      </w:r>
      <w:r w:rsidRPr="006A3840">
        <w:rPr>
          <w:i/>
        </w:rPr>
        <w:t>UFOs, Conspiracy Theories and the New Age: Millennial Conspiracism</w:t>
      </w:r>
      <w:r w:rsidRPr="006A3840">
        <w:t>. Bloomsbury Publishing.</w:t>
      </w:r>
    </w:p>
    <w:p w:rsidR="00CF3D71" w:rsidRPr="006A3840" w:rsidRDefault="00CF3D71" w:rsidP="00053B63">
      <w:pPr>
        <w:pStyle w:val="EndNoteBibliography"/>
        <w:spacing w:after="0" w:line="480" w:lineRule="auto"/>
        <w:ind w:left="720" w:hanging="720"/>
      </w:pPr>
      <w:r w:rsidRPr="006A3840">
        <w:t xml:space="preserve">Roper, Lyndal. (2004) </w:t>
      </w:r>
      <w:r w:rsidRPr="006A3840">
        <w:rPr>
          <w:i/>
        </w:rPr>
        <w:t>Witch Craze: terror and fantasy in Baroque Germany</w:t>
      </w:r>
      <w:r w:rsidRPr="006A3840">
        <w:t>. Yale University Press.</w:t>
      </w:r>
    </w:p>
    <w:p w:rsidR="00CF3D71" w:rsidRPr="006A3840" w:rsidRDefault="00CF3D71" w:rsidP="00053B63">
      <w:pPr>
        <w:pStyle w:val="EndNoteBibliography"/>
        <w:spacing w:after="0" w:line="480" w:lineRule="auto"/>
        <w:ind w:left="720" w:hanging="720"/>
      </w:pPr>
      <w:r w:rsidRPr="006A3840">
        <w:t xml:space="preserve">Rowlands, Alison. (2013). "Witchcraft and Gender in Early Modern Europe." In </w:t>
      </w:r>
      <w:r w:rsidRPr="006A3840">
        <w:rPr>
          <w:i/>
        </w:rPr>
        <w:t>The Oxford Handbook of Witchcraft in Early Modern Europe and Colonial America</w:t>
      </w:r>
      <w:r w:rsidRPr="006A3840">
        <w:t>, 449-67. Oxford: Oxford University Press.</w:t>
      </w:r>
    </w:p>
    <w:p w:rsidR="00CF3D71" w:rsidRPr="006A3840" w:rsidRDefault="00CF3D71" w:rsidP="00053B63">
      <w:pPr>
        <w:pStyle w:val="EndNoteBibliography"/>
        <w:spacing w:after="0" w:line="480" w:lineRule="auto"/>
        <w:ind w:left="720" w:hanging="720"/>
      </w:pPr>
      <w:r w:rsidRPr="006A3840">
        <w:t xml:space="preserve">Sayers, J. (1987) 'Melanie Klein, psychoanalysis, and feminism'. </w:t>
      </w:r>
      <w:r w:rsidRPr="006A3840">
        <w:rPr>
          <w:i/>
        </w:rPr>
        <w:t>Feminist Review</w:t>
      </w:r>
      <w:r w:rsidRPr="006A3840">
        <w:t>, 25, 23-37.</w:t>
      </w:r>
    </w:p>
    <w:p w:rsidR="00CF3D71" w:rsidRPr="006A3840" w:rsidRDefault="00CF3D71" w:rsidP="00053B63">
      <w:pPr>
        <w:pStyle w:val="EndNoteBibliography"/>
        <w:spacing w:after="0" w:line="480" w:lineRule="auto"/>
        <w:ind w:left="720" w:hanging="720"/>
      </w:pPr>
      <w:r w:rsidRPr="006A3840">
        <w:t xml:space="preserve">Schellenberg, John L. (2006) </w:t>
      </w:r>
      <w:r w:rsidRPr="006A3840">
        <w:rPr>
          <w:i/>
        </w:rPr>
        <w:t>Divine hiddenness and human reason</w:t>
      </w:r>
      <w:r w:rsidRPr="006A3840">
        <w:t>. Cornell University Press.</w:t>
      </w:r>
    </w:p>
    <w:p w:rsidR="00CF3D71" w:rsidRPr="006A3840" w:rsidRDefault="00CF3D71" w:rsidP="00053B63">
      <w:pPr>
        <w:pStyle w:val="EndNoteBibliography"/>
        <w:spacing w:after="0" w:line="480" w:lineRule="auto"/>
        <w:ind w:left="720" w:hanging="720"/>
      </w:pPr>
      <w:r w:rsidRPr="006A3840">
        <w:t xml:space="preserve">Shermer, M. (2022) </w:t>
      </w:r>
      <w:r w:rsidRPr="006A3840">
        <w:rPr>
          <w:i/>
        </w:rPr>
        <w:t>Conspiracy: Why the Rational Believe the Irrational</w:t>
      </w:r>
      <w:r w:rsidRPr="006A3840">
        <w:t>. Johns Hopkins University Press.</w:t>
      </w:r>
    </w:p>
    <w:p w:rsidR="00CF3D71" w:rsidRPr="006A3840" w:rsidRDefault="00CF3D71" w:rsidP="00053B63">
      <w:pPr>
        <w:pStyle w:val="EndNoteBibliography"/>
        <w:spacing w:after="0" w:line="480" w:lineRule="auto"/>
        <w:ind w:left="720" w:hanging="720"/>
      </w:pPr>
      <w:r w:rsidRPr="006A3840">
        <w:t xml:space="preserve">Sperber, Dan. (1996) </w:t>
      </w:r>
      <w:r w:rsidRPr="006A3840">
        <w:rPr>
          <w:i/>
        </w:rPr>
        <w:t>Explaining culture: A naturalistic approach</w:t>
      </w:r>
      <w:r w:rsidRPr="006A3840">
        <w:t>. Cambridge, Mass.: Blackwell.</w:t>
      </w:r>
    </w:p>
    <w:p w:rsidR="00CF3D71" w:rsidRPr="006A3840" w:rsidRDefault="00CF3D71" w:rsidP="00053B63">
      <w:pPr>
        <w:pStyle w:val="EndNoteBibliography"/>
        <w:spacing w:after="0" w:line="480" w:lineRule="auto"/>
        <w:ind w:left="720" w:hanging="720"/>
      </w:pPr>
      <w:r w:rsidRPr="006A3840">
        <w:t xml:space="preserve">Stanford, Kyle. 2017. Underdetermination of scientific theory. </w:t>
      </w:r>
      <w:r w:rsidRPr="006A3840">
        <w:rPr>
          <w:i/>
        </w:rPr>
        <w:t>Stanford Encyclopedia of Philosophy</w:t>
      </w:r>
      <w:r w:rsidRPr="006A3840">
        <w:t>.</w:t>
      </w:r>
    </w:p>
    <w:p w:rsidR="00CF3D71" w:rsidRPr="006A3840" w:rsidRDefault="00CF3D71" w:rsidP="00053B63">
      <w:pPr>
        <w:pStyle w:val="EndNoteBibliography"/>
        <w:spacing w:after="0" w:line="480" w:lineRule="auto"/>
        <w:ind w:left="720" w:hanging="720"/>
      </w:pPr>
      <w:r w:rsidRPr="006A3840">
        <w:t xml:space="preserve">Stokes, Patrick. (2018). "Conspiracy Theory and the Perils of Pure Particularism." In </w:t>
      </w:r>
      <w:r w:rsidRPr="006A3840">
        <w:rPr>
          <w:i/>
        </w:rPr>
        <w:t>Taking Conspiracy Theories Seriously</w:t>
      </w:r>
      <w:r w:rsidRPr="006A3840">
        <w:t>, edited by Matthew R. X. Dentith, 25-38. Rowman and Littlefield.</w:t>
      </w:r>
    </w:p>
    <w:p w:rsidR="00CF3D71" w:rsidRPr="006A3840" w:rsidRDefault="00CF3D71" w:rsidP="00053B63">
      <w:pPr>
        <w:pStyle w:val="EndNoteBibliography"/>
        <w:spacing w:after="0" w:line="480" w:lineRule="auto"/>
        <w:ind w:left="720" w:hanging="720"/>
      </w:pPr>
      <w:r w:rsidRPr="006A3840">
        <w:t xml:space="preserve">Sulloway, Frank J. (1992) </w:t>
      </w:r>
      <w:r w:rsidRPr="006A3840">
        <w:rPr>
          <w:i/>
        </w:rPr>
        <w:t>Freud, biologist of the mind: Beyond the psychoanalytic legend</w:t>
      </w:r>
      <w:r w:rsidRPr="006A3840">
        <w:t>. Harvard University Press.</w:t>
      </w:r>
    </w:p>
    <w:p w:rsidR="00CF3D71" w:rsidRPr="006A3840" w:rsidRDefault="00CF3D71" w:rsidP="00053B63">
      <w:pPr>
        <w:pStyle w:val="EndNoteBibliography"/>
        <w:spacing w:after="0" w:line="480" w:lineRule="auto"/>
        <w:ind w:left="720" w:hanging="720"/>
      </w:pPr>
      <w:r w:rsidRPr="006A3840">
        <w:t xml:space="preserve">Sunstein, Cass R., and Adrian Vermeule. (2009) 'Conspiracy theories: Causes and cures'. </w:t>
      </w:r>
      <w:r w:rsidRPr="006A3840">
        <w:rPr>
          <w:i/>
        </w:rPr>
        <w:t>Journal of Political Philosophy</w:t>
      </w:r>
      <w:r w:rsidRPr="006A3840">
        <w:t>, 17 (2), 202-227.</w:t>
      </w:r>
    </w:p>
    <w:p w:rsidR="00CF3D71" w:rsidRPr="006A3840" w:rsidRDefault="00CF3D71" w:rsidP="00053B63">
      <w:pPr>
        <w:pStyle w:val="EndNoteBibliography"/>
        <w:spacing w:after="0" w:line="480" w:lineRule="auto"/>
        <w:ind w:left="720" w:hanging="720"/>
      </w:pPr>
      <w:r w:rsidRPr="006A3840">
        <w:t xml:space="preserve">Swift, Art. 2013. Majority in US still believe JFK killed in a conspiracy. </w:t>
      </w:r>
      <w:r w:rsidRPr="006A3840">
        <w:rPr>
          <w:i/>
        </w:rPr>
        <w:t>Gallup</w:t>
      </w:r>
      <w:r w:rsidRPr="006A3840">
        <w:t>.</w:t>
      </w:r>
    </w:p>
    <w:p w:rsidR="00CF3D71" w:rsidRPr="006A3840" w:rsidRDefault="00CF3D71" w:rsidP="00053B63">
      <w:pPr>
        <w:pStyle w:val="EndNoteBibliography"/>
        <w:spacing w:after="0" w:line="480" w:lineRule="auto"/>
        <w:ind w:left="720" w:hanging="720"/>
      </w:pPr>
      <w:r w:rsidRPr="006A3840">
        <w:t xml:space="preserve">Swinburne, Richard. (2004) </w:t>
      </w:r>
      <w:r w:rsidRPr="006A3840">
        <w:rPr>
          <w:i/>
        </w:rPr>
        <w:t>The existence of God</w:t>
      </w:r>
      <w:r w:rsidRPr="006A3840">
        <w:t>. Oxford: Clarendon Press.</w:t>
      </w:r>
    </w:p>
    <w:p w:rsidR="00CF3D71" w:rsidRPr="006A3840" w:rsidRDefault="00CF3D71" w:rsidP="00053B63">
      <w:pPr>
        <w:pStyle w:val="EndNoteBibliography"/>
        <w:spacing w:after="0" w:line="480" w:lineRule="auto"/>
        <w:ind w:left="720" w:hanging="720"/>
      </w:pPr>
      <w:r w:rsidRPr="006A3840">
        <w:t xml:space="preserve">Uscinski, Joseph E., ed. (2018). </w:t>
      </w:r>
      <w:r w:rsidRPr="006A3840">
        <w:rPr>
          <w:i/>
        </w:rPr>
        <w:t>Conspiracy theories and the people who believe them</w:t>
      </w:r>
      <w:r w:rsidRPr="006A3840">
        <w:t>: Oxford University Press.</w:t>
      </w:r>
    </w:p>
    <w:p w:rsidR="00CF3D71" w:rsidRPr="006A3840" w:rsidRDefault="00CF3D71" w:rsidP="00053B63">
      <w:pPr>
        <w:pStyle w:val="EndNoteBibliography"/>
        <w:spacing w:after="0" w:line="480" w:lineRule="auto"/>
        <w:ind w:left="720" w:hanging="720"/>
      </w:pPr>
      <w:r w:rsidRPr="00D62A77">
        <w:rPr>
          <w:lang w:val="nl-BE"/>
        </w:rPr>
        <w:t xml:space="preserve">van Prooijen, Jan-Willem, and Mark Van Vugt. </w:t>
      </w:r>
      <w:r w:rsidRPr="006A3840">
        <w:t xml:space="preserve">(2018) 'Conspiracy theories: Evolved functions and psychological mechanisms'. </w:t>
      </w:r>
      <w:r w:rsidRPr="006A3840">
        <w:rPr>
          <w:i/>
        </w:rPr>
        <w:t>Perspectives on psychological science</w:t>
      </w:r>
      <w:r w:rsidRPr="006A3840">
        <w:t>, 13 (6), 770-788.</w:t>
      </w:r>
    </w:p>
    <w:p w:rsidR="00CF3D71" w:rsidRPr="006A3840" w:rsidRDefault="00CF3D71" w:rsidP="00053B63">
      <w:pPr>
        <w:pStyle w:val="EndNoteBibliography"/>
        <w:spacing w:line="480" w:lineRule="auto"/>
        <w:ind w:left="720" w:hanging="720"/>
      </w:pPr>
      <w:r w:rsidRPr="006A3840">
        <w:lastRenderedPageBreak/>
        <w:t xml:space="preserve">Weyer, Johann. (1998) </w:t>
      </w:r>
      <w:r w:rsidRPr="006A3840">
        <w:rPr>
          <w:i/>
        </w:rPr>
        <w:t>Witches, devils, and doctors in the Renaissance</w:t>
      </w:r>
      <w:r w:rsidRPr="006A3840">
        <w:t>. Translated by George Mora and Benjamin G. Kohl. Tempe, Arizona: Medieval &amp; Renaissance Texts &amp; Studies.</w:t>
      </w:r>
    </w:p>
    <w:p w:rsidR="00CF3D71" w:rsidRPr="003341B3" w:rsidRDefault="00CF3D71" w:rsidP="00053B63">
      <w:pPr>
        <w:spacing w:line="480" w:lineRule="auto"/>
        <w:rPr>
          <w:rFonts w:ascii="Times New Roman" w:hAnsi="Times New Roman"/>
          <w:sz w:val="24"/>
          <w:szCs w:val="24"/>
          <w:lang w:val="de-DE"/>
        </w:rPr>
      </w:pPr>
    </w:p>
    <w:bookmarkEnd w:id="0"/>
    <w:p w:rsidR="00CF3D71" w:rsidRPr="003341B3" w:rsidRDefault="00CF3D71" w:rsidP="00053B63">
      <w:pPr>
        <w:spacing w:line="480" w:lineRule="auto"/>
        <w:rPr>
          <w:rFonts w:ascii="Times New Roman" w:hAnsi="Times New Roman"/>
          <w:sz w:val="24"/>
          <w:szCs w:val="24"/>
          <w:lang w:val="de-DE"/>
        </w:rPr>
      </w:pPr>
    </w:p>
    <w:p w:rsidR="009144B2" w:rsidRPr="00D62A77" w:rsidRDefault="00E54CC0">
      <w:pPr>
        <w:rPr>
          <w:lang w:val="en-US"/>
        </w:rPr>
      </w:pPr>
    </w:p>
    <w:sectPr w:rsidR="009144B2" w:rsidRPr="00D62A77" w:rsidSect="00C114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CC0" w:rsidRDefault="00E54CC0" w:rsidP="00CF3D71">
      <w:pPr>
        <w:spacing w:after="0" w:line="240" w:lineRule="auto"/>
      </w:pPr>
      <w:r>
        <w:separator/>
      </w:r>
    </w:p>
  </w:endnote>
  <w:endnote w:type="continuationSeparator" w:id="0">
    <w:p w:rsidR="00E54CC0" w:rsidRDefault="00E54CC0" w:rsidP="00CF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238514"/>
      <w:docPartObj>
        <w:docPartGallery w:val="Page Numbers (Bottom of Page)"/>
        <w:docPartUnique/>
      </w:docPartObj>
    </w:sdtPr>
    <w:sdtEndPr/>
    <w:sdtContent>
      <w:p w:rsidR="003674B7" w:rsidRDefault="00BF182C">
        <w:pPr>
          <w:pStyle w:val="Voettekst"/>
          <w:jc w:val="center"/>
        </w:pPr>
        <w:r>
          <w:fldChar w:fldCharType="begin"/>
        </w:r>
        <w:r>
          <w:instrText>PAGE   \* MERGEFORMAT</w:instrText>
        </w:r>
        <w:r>
          <w:fldChar w:fldCharType="separate"/>
        </w:r>
        <w:r>
          <w:t>2</w:t>
        </w:r>
        <w:r>
          <w:fldChar w:fldCharType="end"/>
        </w:r>
      </w:p>
    </w:sdtContent>
  </w:sdt>
  <w:p w:rsidR="003674B7" w:rsidRDefault="00E54C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CC0" w:rsidRDefault="00E54CC0" w:rsidP="00CF3D71">
      <w:pPr>
        <w:spacing w:after="0" w:line="240" w:lineRule="auto"/>
      </w:pPr>
      <w:r>
        <w:separator/>
      </w:r>
    </w:p>
  </w:footnote>
  <w:footnote w:type="continuationSeparator" w:id="0">
    <w:p w:rsidR="00E54CC0" w:rsidRDefault="00E54CC0" w:rsidP="00CF3D71">
      <w:pPr>
        <w:spacing w:after="0" w:line="240" w:lineRule="auto"/>
      </w:pPr>
      <w:r>
        <w:continuationSeparator/>
      </w:r>
    </w:p>
  </w:footnote>
  <w:footnote w:id="1">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Our approach is more akin to </w:t>
      </w:r>
      <w:proofErr w:type="spellStart"/>
      <w:r w:rsidRPr="005B00B0">
        <w:rPr>
          <w:rFonts w:ascii="Times New Roman" w:hAnsi="Times New Roman"/>
          <w:lang w:val="en-US"/>
        </w:rPr>
        <w:t>Imre</w:t>
      </w:r>
      <w:proofErr w:type="spellEnd"/>
      <w:r w:rsidRPr="005B00B0">
        <w:rPr>
          <w:rFonts w:ascii="Times New Roman" w:hAnsi="Times New Roman"/>
          <w:lang w:val="en-US"/>
        </w:rPr>
        <w:t xml:space="preserve"> Lakatos’ later developments of </w:t>
      </w:r>
      <w:proofErr w:type="spellStart"/>
      <w:r w:rsidRPr="005B00B0">
        <w:rPr>
          <w:rFonts w:ascii="Times New Roman" w:hAnsi="Times New Roman"/>
          <w:lang w:val="en-US"/>
        </w:rPr>
        <w:t>falsificationism</w:t>
      </w:r>
      <w:proofErr w:type="spellEnd"/>
      <w:r w:rsidRPr="005B00B0">
        <w:rPr>
          <w:rFonts w:ascii="Times New Roman" w:hAnsi="Times New Roman"/>
          <w:lang w:val="en-US"/>
        </w:rPr>
        <w:t xml:space="preserve"> in terms of progressive vs. degenerative research programs </w:t>
      </w:r>
      <w:r>
        <w:rPr>
          <w:rFonts w:ascii="Times New Roman" w:hAnsi="Times New Roman"/>
          <w:noProof/>
          <w:lang w:val="en-US"/>
        </w:rPr>
        <w:t>(Lakatos 1970)</w:t>
      </w:r>
      <w:r w:rsidRPr="005B00B0">
        <w:rPr>
          <w:rFonts w:ascii="Times New Roman" w:hAnsi="Times New Roman"/>
          <w:lang w:val="en-US"/>
        </w:rPr>
        <w:t xml:space="preserve">, an approach which has also been pursued by Clarke </w:t>
      </w:r>
      <w:r>
        <w:rPr>
          <w:rFonts w:ascii="Times New Roman" w:hAnsi="Times New Roman"/>
          <w:noProof/>
          <w:lang w:val="en-US"/>
        </w:rPr>
        <w:t>(2002)</w:t>
      </w:r>
      <w:r w:rsidRPr="005B00B0">
        <w:rPr>
          <w:rFonts w:ascii="Times New Roman" w:hAnsi="Times New Roman"/>
          <w:lang w:val="en-US"/>
        </w:rPr>
        <w:t xml:space="preserve"> in the context of conspiracy theories. </w:t>
      </w:r>
    </w:p>
  </w:footnote>
  <w:footnote w:id="2">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In recent years, a number of philosophers have challenged the notion that “conspiracy theories” (defined in this broad and neutral sense) suffer from some sort of general deficiency, arguing that every conspiracy theory should be evaluated on its own merits. For a defense of this “</w:t>
      </w:r>
      <w:proofErr w:type="spellStart"/>
      <w:r w:rsidRPr="005B00B0">
        <w:rPr>
          <w:rFonts w:ascii="Times New Roman" w:hAnsi="Times New Roman"/>
          <w:lang w:val="en-US"/>
        </w:rPr>
        <w:t>particularist</w:t>
      </w:r>
      <w:proofErr w:type="spellEnd"/>
      <w:r w:rsidRPr="005B00B0">
        <w:rPr>
          <w:rFonts w:ascii="Times New Roman" w:hAnsi="Times New Roman"/>
          <w:lang w:val="en-US"/>
        </w:rPr>
        <w:t xml:space="preserve">” approach, see </w:t>
      </w:r>
      <w:r>
        <w:rPr>
          <w:rFonts w:ascii="Times New Roman" w:hAnsi="Times New Roman"/>
          <w:noProof/>
          <w:lang w:val="en-US"/>
        </w:rPr>
        <w:t>(Dentith 2018, 2019; Buenting and Taylor 2010; Pigden 1995)</w:t>
      </w:r>
      <w:r w:rsidRPr="005B00B0">
        <w:rPr>
          <w:rFonts w:ascii="Times New Roman" w:hAnsi="Times New Roman"/>
          <w:lang w:val="en-US"/>
        </w:rPr>
        <w:t xml:space="preserve">. For a defense of more “generalist” positions, see </w:t>
      </w:r>
      <w:r>
        <w:rPr>
          <w:rFonts w:ascii="Times New Roman" w:hAnsi="Times New Roman"/>
          <w:noProof/>
          <w:lang w:val="en-US"/>
        </w:rPr>
        <w:t>(Stokes 2018; Harris 2018; Napolitano and Reuter 2021)</w:t>
      </w:r>
      <w:r w:rsidRPr="005B00B0">
        <w:rPr>
          <w:rFonts w:ascii="Times New Roman" w:hAnsi="Times New Roman"/>
          <w:lang w:val="en-US"/>
        </w:rPr>
        <w:t xml:space="preserve">. </w:t>
      </w:r>
    </w:p>
  </w:footnote>
  <w:footnote w:id="3">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In comparison with our approach, Napolitano’s account of “evidential insulation” </w:t>
      </w:r>
      <w:r>
        <w:rPr>
          <w:rFonts w:ascii="Times New Roman" w:hAnsi="Times New Roman"/>
          <w:noProof/>
          <w:lang w:val="en-US"/>
        </w:rPr>
        <w:t>(2021)</w:t>
      </w:r>
      <w:r w:rsidRPr="005B00B0">
        <w:rPr>
          <w:rFonts w:ascii="Times New Roman" w:hAnsi="Times New Roman"/>
          <w:lang w:val="en-US"/>
        </w:rPr>
        <w:t xml:space="preserve"> places more emphasis on the psychological attitudes of believers.</w:t>
      </w:r>
    </w:p>
  </w:footnote>
  <w:footnote w:id="4">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A list of contemporary imprints of the </w:t>
      </w:r>
      <w:r w:rsidRPr="005B00B0">
        <w:rPr>
          <w:rFonts w:ascii="Times New Roman" w:hAnsi="Times New Roman"/>
          <w:i/>
          <w:iCs/>
          <w:lang w:val="en-US"/>
        </w:rPr>
        <w:t xml:space="preserve">Protocols </w:t>
      </w:r>
      <w:r w:rsidRPr="005B00B0">
        <w:rPr>
          <w:rFonts w:ascii="Times New Roman" w:hAnsi="Times New Roman"/>
          <w:lang w:val="en-US"/>
        </w:rPr>
        <w:t>can be found on Wikipedia: bit.ly/3qU7W7a</w:t>
      </w:r>
    </w:p>
  </w:footnote>
  <w:footnote w:id="5">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It should be noted that the U.S. government itself had also provided grist to the conspiracist mill by publishing an earlier report on 9/11 in 2002 (</w:t>
      </w:r>
      <w:r w:rsidRPr="005B00B0">
        <w:rPr>
          <w:rFonts w:ascii="Times New Roman" w:hAnsi="Times New Roman"/>
          <w:i/>
          <w:lang w:val="en-US"/>
        </w:rPr>
        <w:t>Joint Inquiry into Intelligence Community Activities before and after the Terrorist Attacks of September 11, 2001</w:t>
      </w:r>
      <w:r w:rsidRPr="005B00B0">
        <w:rPr>
          <w:rFonts w:ascii="Times New Roman" w:hAnsi="Times New Roman"/>
          <w:lang w:val="en-US"/>
        </w:rPr>
        <w:t xml:space="preserve">), in which 28 pages relating to links with Saudi Arabia were redacted, fueling suspicions of a cover-up. Even when these pages were declassified and released in 2016, however, this hardly put to rest the 9/11 Truth movement. Because surely we would not expect the U.S. government to admit to its own complicity? </w:t>
      </w:r>
    </w:p>
  </w:footnote>
  <w:footnote w:id="6">
    <w:p w:rsidR="00CF3D71" w:rsidRPr="005B00B0" w:rsidRDefault="00CF3D71" w:rsidP="005B00B0">
      <w:pPr>
        <w:pStyle w:val="Voetnoottekst"/>
        <w:spacing w:line="480" w:lineRule="auto"/>
        <w:rPr>
          <w:rFonts w:ascii="Times New Roman" w:hAnsi="Times New Roman"/>
          <w:lang w:val="de-DE"/>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See for example: “We alternate these days of victory and defeat among people so that Allah may reveal the true believers, choose martyrs from among you […] Do you think you will enter Paradise without Allah proving which of you truly struggled for His cause and patiently endured?” </w:t>
      </w:r>
      <w:r w:rsidRPr="005B00B0">
        <w:rPr>
          <w:rFonts w:ascii="Times New Roman" w:hAnsi="Times New Roman"/>
          <w:lang w:val="de-DE"/>
        </w:rPr>
        <w:t>(</w:t>
      </w:r>
      <w:proofErr w:type="spellStart"/>
      <w:r w:rsidRPr="005B00B0">
        <w:rPr>
          <w:rFonts w:ascii="Times New Roman" w:hAnsi="Times New Roman"/>
          <w:lang w:val="de-DE"/>
        </w:rPr>
        <w:t>Quran</w:t>
      </w:r>
      <w:proofErr w:type="spellEnd"/>
      <w:r w:rsidRPr="005B00B0">
        <w:rPr>
          <w:rFonts w:ascii="Times New Roman" w:hAnsi="Times New Roman"/>
          <w:lang w:val="de-DE"/>
        </w:rPr>
        <w:t xml:space="preserve"> 3:137-140).</w:t>
      </w:r>
    </w:p>
  </w:footnote>
  <w:footnote w:id="7">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In some versions of psychoanalysis, there is no longer a single and unified agent but rather a dynamic interaction between multiple mental systems, each of which is capable of intentional agency (Ego, Id, Superego), sometimes working at cross-purposes, sometimes collaborating or compromising.</w:t>
      </w:r>
    </w:p>
  </w:footnote>
  <w:footnote w:id="8">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Logically speaking, a theory is always ‘underdetermined’ by evidence, in the sense that one can always come up with alternatives that are logically compatible with the available evidence, no matter how much evidence is being gathered. But though this logical problem of </w:t>
      </w:r>
      <w:r w:rsidRPr="005B00B0">
        <w:rPr>
          <w:rFonts w:ascii="Times New Roman" w:hAnsi="Times New Roman"/>
          <w:i/>
          <w:lang w:val="en-US"/>
        </w:rPr>
        <w:t>underdetermination by evidence</w:t>
      </w:r>
      <w:r w:rsidRPr="005B00B0">
        <w:rPr>
          <w:rFonts w:ascii="Times New Roman" w:hAnsi="Times New Roman"/>
          <w:lang w:val="en-US"/>
        </w:rPr>
        <w:t xml:space="preserve"> is widely accepted in philosophy of science </w:t>
      </w:r>
      <w:r>
        <w:rPr>
          <w:rFonts w:ascii="Times New Roman" w:hAnsi="Times New Roman"/>
          <w:noProof/>
          <w:lang w:val="en-US"/>
        </w:rPr>
        <w:t>(Stanford 2017)</w:t>
      </w:r>
      <w:r w:rsidRPr="005B00B0">
        <w:rPr>
          <w:rFonts w:ascii="Times New Roman" w:hAnsi="Times New Roman"/>
          <w:lang w:val="en-US"/>
        </w:rPr>
        <w:t xml:space="preserve">, in scientific practice there are multiple ways of rationally discriminating between rival theories (e.g. simplicity, fecundity, coherence). The arbitrariness characteristic of epistemic black holes runs deeper: for any amount of evidence, one can always come up with multiple rival theories whose explanatory virtues are </w:t>
      </w:r>
      <w:r w:rsidRPr="005B00B0">
        <w:rPr>
          <w:rFonts w:ascii="Times New Roman" w:hAnsi="Times New Roman"/>
          <w:i/>
          <w:lang w:val="en-US"/>
        </w:rPr>
        <w:t xml:space="preserve">equally good </w:t>
      </w:r>
      <w:r w:rsidRPr="005B00B0">
        <w:rPr>
          <w:rFonts w:ascii="Times New Roman" w:hAnsi="Times New Roman"/>
          <w:lang w:val="en-US"/>
        </w:rPr>
        <w:t xml:space="preserve">(or bad). </w:t>
      </w:r>
    </w:p>
  </w:footnote>
  <w:footnote w:id="9">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In practice, of course, there may be </w:t>
      </w:r>
      <w:r w:rsidRPr="005B00B0">
        <w:rPr>
          <w:rFonts w:ascii="Times New Roman" w:hAnsi="Times New Roman"/>
          <w:i/>
          <w:lang w:val="en-US"/>
        </w:rPr>
        <w:t>some</w:t>
      </w:r>
      <w:r w:rsidRPr="005B00B0">
        <w:rPr>
          <w:rFonts w:ascii="Times New Roman" w:hAnsi="Times New Roman"/>
          <w:lang w:val="en-US"/>
        </w:rPr>
        <w:t xml:space="preserve"> constraints on the answers to the </w:t>
      </w:r>
      <w:r w:rsidRPr="005B00B0">
        <w:rPr>
          <w:rFonts w:ascii="Times New Roman" w:hAnsi="Times New Roman"/>
          <w:i/>
          <w:iCs/>
          <w:lang w:val="en-US"/>
        </w:rPr>
        <w:t>cui bono</w:t>
      </w:r>
      <w:r w:rsidRPr="005B00B0">
        <w:rPr>
          <w:rFonts w:ascii="Times New Roman" w:hAnsi="Times New Roman"/>
          <w:lang w:val="en-US"/>
        </w:rPr>
        <w:t xml:space="preserve"> question, since not anyone will have a plausible motive (XXX).</w:t>
      </w:r>
    </w:p>
  </w:footnote>
  <w:footnote w:id="10">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‘Debunking the 9/11 Myths: The Airplanes’, </w:t>
      </w:r>
      <w:r w:rsidRPr="005B00B0">
        <w:rPr>
          <w:rFonts w:ascii="Times New Roman" w:hAnsi="Times New Roman"/>
          <w:i/>
          <w:iCs/>
          <w:lang w:val="en-US"/>
        </w:rPr>
        <w:t>Popular Mechanics</w:t>
      </w:r>
      <w:r w:rsidRPr="005B00B0">
        <w:rPr>
          <w:rFonts w:ascii="Times New Roman" w:hAnsi="Times New Roman"/>
          <w:lang w:val="en-US"/>
        </w:rPr>
        <w:t>, Sep. 10, 2021. https://www.popularmechanics.com/military/a5654/debunking-911-myths-planes/</w:t>
      </w:r>
    </w:p>
  </w:footnote>
  <w:footnote w:id="11">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Translated from the German original: “Joker der </w:t>
      </w:r>
      <w:proofErr w:type="spellStart"/>
      <w:r w:rsidRPr="005B00B0">
        <w:rPr>
          <w:rFonts w:ascii="Times New Roman" w:hAnsi="Times New Roman"/>
          <w:lang w:val="en-US"/>
        </w:rPr>
        <w:t>Dämonologie</w:t>
      </w:r>
      <w:proofErr w:type="spellEnd"/>
      <w:r w:rsidRPr="005B00B0">
        <w:rPr>
          <w:rFonts w:ascii="Times New Roman" w:hAnsi="Times New Roman"/>
          <w:lang w:val="en-US"/>
        </w:rPr>
        <w:t>”</w:t>
      </w:r>
    </w:p>
  </w:footnote>
  <w:footnote w:id="12">
    <w:p w:rsidR="00CF3D71" w:rsidRPr="005B00B0" w:rsidRDefault="00CF3D71" w:rsidP="005B00B0">
      <w:pPr>
        <w:pStyle w:val="Voetnoottekst"/>
        <w:spacing w:line="480" w:lineRule="auto"/>
        <w:rPr>
          <w:rFonts w:ascii="Times New Roman" w:hAnsi="Times New Roman"/>
          <w:lang w:val="en-US"/>
        </w:rPr>
      </w:pPr>
      <w:r w:rsidRPr="005B00B0">
        <w:rPr>
          <w:rStyle w:val="Voetnootmarkering"/>
          <w:rFonts w:ascii="Times New Roman" w:eastAsiaTheme="majorEastAsia" w:hAnsi="Times New Roman"/>
        </w:rPr>
        <w:footnoteRef/>
      </w:r>
      <w:r w:rsidRPr="005B00B0">
        <w:rPr>
          <w:rFonts w:ascii="Times New Roman" w:hAnsi="Times New Roman"/>
          <w:lang w:val="en-US"/>
        </w:rPr>
        <w:t xml:space="preserve"> This does not mean that conspiracy theories just </w:t>
      </w:r>
      <w:r w:rsidRPr="005B00B0">
        <w:rPr>
          <w:rFonts w:ascii="Times New Roman" w:hAnsi="Times New Roman"/>
          <w:i/>
          <w:lang w:val="en-US"/>
        </w:rPr>
        <w:t xml:space="preserve">are </w:t>
      </w:r>
      <w:r w:rsidRPr="005B00B0">
        <w:rPr>
          <w:rFonts w:ascii="Times New Roman" w:hAnsi="Times New Roman"/>
          <w:lang w:val="en-US"/>
        </w:rPr>
        <w:t xml:space="preserve">political propaganda, as </w:t>
      </w:r>
      <w:proofErr w:type="spellStart"/>
      <w:r w:rsidRPr="005B00B0">
        <w:rPr>
          <w:rFonts w:ascii="Times New Roman" w:hAnsi="Times New Roman"/>
          <w:lang w:val="en-US"/>
        </w:rPr>
        <w:t>Cassam</w:t>
      </w:r>
      <w:proofErr w:type="spellEnd"/>
      <w:r w:rsidRPr="005B00B0">
        <w:rPr>
          <w:rFonts w:ascii="Times New Roman" w:hAnsi="Times New Roman"/>
          <w:lang w:val="en-US"/>
        </w:rPr>
        <w:t xml:space="preserve"> </w:t>
      </w:r>
      <w:r>
        <w:rPr>
          <w:rFonts w:ascii="Times New Roman" w:hAnsi="Times New Roman"/>
          <w:noProof/>
          <w:lang w:val="en-US"/>
        </w:rPr>
        <w:t>(2019)</w:t>
      </w:r>
      <w:r w:rsidRPr="005B00B0">
        <w:rPr>
          <w:rFonts w:ascii="Times New Roman" w:hAnsi="Times New Roman"/>
          <w:lang w:val="en-US"/>
        </w:rPr>
        <w:t xml:space="preserve"> has argued, just that conspiracy theories can be easily utilized for political propaganda. For a critique of that part of </w:t>
      </w:r>
      <w:proofErr w:type="spellStart"/>
      <w:r w:rsidRPr="005B00B0">
        <w:rPr>
          <w:rFonts w:ascii="Times New Roman" w:hAnsi="Times New Roman"/>
          <w:lang w:val="en-US"/>
        </w:rPr>
        <w:t>Cassam’s</w:t>
      </w:r>
      <w:proofErr w:type="spellEnd"/>
      <w:r w:rsidRPr="005B00B0">
        <w:rPr>
          <w:rFonts w:ascii="Times New Roman" w:hAnsi="Times New Roman"/>
          <w:lang w:val="en-US"/>
        </w:rPr>
        <w:t xml:space="preserve">, thesis, see </w:t>
      </w:r>
      <w:r>
        <w:rPr>
          <w:rFonts w:ascii="Times New Roman" w:hAnsi="Times New Roman"/>
          <w:noProof/>
          <w:lang w:val="en-US"/>
        </w:rPr>
        <w:t>(Harris 2023)</w:t>
      </w:r>
      <w:r w:rsidRPr="005B00B0">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21B9"/>
    <w:multiLevelType w:val="multilevel"/>
    <w:tmpl w:val="DC7C43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4D6063"/>
    <w:multiLevelType w:val="multilevel"/>
    <w:tmpl w:val="AC3290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62516C"/>
    <w:multiLevelType w:val="multilevel"/>
    <w:tmpl w:val="B776B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DC91101"/>
    <w:multiLevelType w:val="multilevel"/>
    <w:tmpl w:val="E7006C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5635DD"/>
    <w:multiLevelType w:val="multilevel"/>
    <w:tmpl w:val="9A900D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5E6435"/>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5431283B"/>
    <w:multiLevelType w:val="multilevel"/>
    <w:tmpl w:val="F9A6D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E9F508F"/>
    <w:multiLevelType w:val="multilevel"/>
    <w:tmpl w:val="0BF291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BEE5988"/>
    <w:multiLevelType w:val="multilevel"/>
    <w:tmpl w:val="F4BC4F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6"/>
  </w:num>
  <w:num w:numId="3">
    <w:abstractNumId w:val="2"/>
  </w:num>
  <w:num w:numId="4">
    <w:abstractNumId w:val="0"/>
  </w:num>
  <w:num w:numId="5">
    <w:abstractNumId w:val="7"/>
  </w:num>
  <w:num w:numId="6">
    <w:abstractNumId w:val="1"/>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F3D71"/>
    <w:rsid w:val="0002693C"/>
    <w:rsid w:val="000735B0"/>
    <w:rsid w:val="004B3810"/>
    <w:rsid w:val="006511E1"/>
    <w:rsid w:val="00BF182C"/>
    <w:rsid w:val="00CF3D71"/>
    <w:rsid w:val="00D4407F"/>
    <w:rsid w:val="00D62A77"/>
    <w:rsid w:val="00E54CC0"/>
    <w:rsid w:val="00F4513F"/>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0443"/>
  <w15:chartTrackingRefBased/>
  <w15:docId w15:val="{74929539-7570-4E46-A8ED-F9F5B6B6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F3D71"/>
    <w:pPr>
      <w:spacing w:after="200" w:line="276" w:lineRule="auto"/>
    </w:pPr>
    <w:rPr>
      <w:rFonts w:ascii="Calibri" w:eastAsia="Times New Roman" w:hAnsi="Calibri" w:cs="Times New Roman"/>
      <w:lang w:val="nl-NL" w:eastAsia="en-US"/>
    </w:rPr>
  </w:style>
  <w:style w:type="paragraph" w:styleId="Kop1">
    <w:name w:val="heading 1"/>
    <w:basedOn w:val="Standaard"/>
    <w:next w:val="Standaard"/>
    <w:link w:val="Kop1Char"/>
    <w:uiPriority w:val="9"/>
    <w:qFormat/>
    <w:rsid w:val="00CF3D71"/>
    <w:pPr>
      <w:keepNext/>
      <w:keepLines/>
      <w:numPr>
        <w:numId w:val="9"/>
      </w:numPr>
      <w:spacing w:before="240" w:after="0" w:line="259" w:lineRule="auto"/>
      <w:outlineLvl w:val="0"/>
    </w:pPr>
    <w:rPr>
      <w:rFonts w:asciiTheme="majorHAnsi" w:eastAsiaTheme="majorEastAsia" w:hAnsiTheme="majorHAnsi" w:cstheme="majorBidi"/>
      <w:b/>
      <w:color w:val="2F5496" w:themeColor="accent1" w:themeShade="BF"/>
      <w:sz w:val="32"/>
      <w:szCs w:val="32"/>
      <w:lang w:val="nl-BE"/>
    </w:rPr>
  </w:style>
  <w:style w:type="paragraph" w:styleId="Kop2">
    <w:name w:val="heading 2"/>
    <w:basedOn w:val="Standaard"/>
    <w:next w:val="Standaard"/>
    <w:link w:val="Kop2Char"/>
    <w:uiPriority w:val="9"/>
    <w:unhideWhenUsed/>
    <w:qFormat/>
    <w:rsid w:val="00CF3D71"/>
    <w:pPr>
      <w:keepNext/>
      <w:keepLines/>
      <w:numPr>
        <w:ilvl w:val="1"/>
        <w:numId w:val="9"/>
      </w:numPr>
      <w:spacing w:before="40" w:after="0" w:line="259" w:lineRule="auto"/>
      <w:outlineLvl w:val="1"/>
    </w:pPr>
    <w:rPr>
      <w:rFonts w:asciiTheme="majorHAnsi" w:eastAsiaTheme="majorEastAsia" w:hAnsiTheme="majorHAnsi" w:cstheme="majorBidi"/>
      <w:b/>
      <w:i/>
      <w:color w:val="2F5496" w:themeColor="accent1" w:themeShade="BF"/>
      <w:sz w:val="26"/>
      <w:szCs w:val="26"/>
      <w:lang w:val="nl-BE"/>
    </w:rPr>
  </w:style>
  <w:style w:type="paragraph" w:styleId="Kop3">
    <w:name w:val="heading 3"/>
    <w:basedOn w:val="Standaard"/>
    <w:next w:val="Standaard"/>
    <w:link w:val="Kop3Char"/>
    <w:uiPriority w:val="9"/>
    <w:unhideWhenUsed/>
    <w:qFormat/>
    <w:rsid w:val="00CF3D71"/>
    <w:pPr>
      <w:keepNext/>
      <w:keepLines/>
      <w:numPr>
        <w:ilvl w:val="2"/>
        <w:numId w:val="9"/>
      </w:numPr>
      <w:spacing w:before="40" w:after="0" w:line="259" w:lineRule="auto"/>
      <w:outlineLvl w:val="2"/>
    </w:pPr>
    <w:rPr>
      <w:rFonts w:asciiTheme="majorHAnsi" w:eastAsiaTheme="majorEastAsia" w:hAnsiTheme="majorHAnsi" w:cstheme="majorBidi"/>
      <w:i/>
      <w:color w:val="1F3763" w:themeColor="accent1" w:themeShade="7F"/>
      <w:sz w:val="24"/>
      <w:szCs w:val="24"/>
      <w:lang w:val="nl-BE"/>
    </w:rPr>
  </w:style>
  <w:style w:type="paragraph" w:styleId="Kop4">
    <w:name w:val="heading 4"/>
    <w:basedOn w:val="Standaard"/>
    <w:next w:val="Standaard"/>
    <w:link w:val="Kop4Char"/>
    <w:uiPriority w:val="9"/>
    <w:semiHidden/>
    <w:unhideWhenUsed/>
    <w:qFormat/>
    <w:rsid w:val="00CF3D71"/>
    <w:pPr>
      <w:keepNext/>
      <w:keepLines/>
      <w:numPr>
        <w:ilvl w:val="3"/>
        <w:numId w:val="9"/>
      </w:numPr>
      <w:spacing w:before="40" w:after="0" w:line="259" w:lineRule="auto"/>
      <w:outlineLvl w:val="3"/>
    </w:pPr>
    <w:rPr>
      <w:rFonts w:asciiTheme="majorHAnsi" w:eastAsiaTheme="majorEastAsia" w:hAnsiTheme="majorHAnsi" w:cstheme="majorBidi"/>
      <w:i/>
      <w:iCs/>
      <w:color w:val="2F5496" w:themeColor="accent1" w:themeShade="BF"/>
      <w:lang w:val="nl-BE"/>
    </w:rPr>
  </w:style>
  <w:style w:type="paragraph" w:styleId="Kop5">
    <w:name w:val="heading 5"/>
    <w:basedOn w:val="Standaard"/>
    <w:next w:val="Standaard"/>
    <w:link w:val="Kop5Char"/>
    <w:uiPriority w:val="9"/>
    <w:semiHidden/>
    <w:unhideWhenUsed/>
    <w:qFormat/>
    <w:rsid w:val="00CF3D71"/>
    <w:pPr>
      <w:keepNext/>
      <w:keepLines/>
      <w:numPr>
        <w:ilvl w:val="4"/>
        <w:numId w:val="9"/>
      </w:numPr>
      <w:spacing w:before="40" w:after="0" w:line="259" w:lineRule="auto"/>
      <w:outlineLvl w:val="4"/>
    </w:pPr>
    <w:rPr>
      <w:rFonts w:asciiTheme="majorHAnsi" w:eastAsiaTheme="majorEastAsia" w:hAnsiTheme="majorHAnsi" w:cstheme="majorBidi"/>
      <w:color w:val="2F5496" w:themeColor="accent1" w:themeShade="BF"/>
      <w:lang w:val="nl-BE"/>
    </w:rPr>
  </w:style>
  <w:style w:type="paragraph" w:styleId="Kop6">
    <w:name w:val="heading 6"/>
    <w:basedOn w:val="Standaard"/>
    <w:next w:val="Standaard"/>
    <w:link w:val="Kop6Char"/>
    <w:uiPriority w:val="9"/>
    <w:semiHidden/>
    <w:unhideWhenUsed/>
    <w:qFormat/>
    <w:rsid w:val="00CF3D71"/>
    <w:pPr>
      <w:keepNext/>
      <w:keepLines/>
      <w:numPr>
        <w:ilvl w:val="5"/>
        <w:numId w:val="9"/>
      </w:numPr>
      <w:spacing w:before="40" w:after="0" w:line="259" w:lineRule="auto"/>
      <w:outlineLvl w:val="5"/>
    </w:pPr>
    <w:rPr>
      <w:rFonts w:asciiTheme="majorHAnsi" w:eastAsiaTheme="majorEastAsia" w:hAnsiTheme="majorHAnsi" w:cstheme="majorBidi"/>
      <w:color w:val="1F3763" w:themeColor="accent1" w:themeShade="7F"/>
      <w:lang w:val="nl-BE"/>
    </w:rPr>
  </w:style>
  <w:style w:type="paragraph" w:styleId="Kop7">
    <w:name w:val="heading 7"/>
    <w:basedOn w:val="Standaard"/>
    <w:next w:val="Standaard"/>
    <w:link w:val="Kop7Char"/>
    <w:uiPriority w:val="9"/>
    <w:semiHidden/>
    <w:unhideWhenUsed/>
    <w:qFormat/>
    <w:rsid w:val="00CF3D71"/>
    <w:pPr>
      <w:keepNext/>
      <w:keepLines/>
      <w:numPr>
        <w:ilvl w:val="6"/>
        <w:numId w:val="9"/>
      </w:numPr>
      <w:spacing w:before="40" w:after="0" w:line="259" w:lineRule="auto"/>
      <w:outlineLvl w:val="6"/>
    </w:pPr>
    <w:rPr>
      <w:rFonts w:asciiTheme="majorHAnsi" w:eastAsiaTheme="majorEastAsia" w:hAnsiTheme="majorHAnsi" w:cstheme="majorBidi"/>
      <w:i/>
      <w:iCs/>
      <w:color w:val="1F3763" w:themeColor="accent1" w:themeShade="7F"/>
      <w:lang w:val="nl-BE"/>
    </w:rPr>
  </w:style>
  <w:style w:type="paragraph" w:styleId="Kop8">
    <w:name w:val="heading 8"/>
    <w:basedOn w:val="Standaard"/>
    <w:next w:val="Standaard"/>
    <w:link w:val="Kop8Char"/>
    <w:uiPriority w:val="9"/>
    <w:semiHidden/>
    <w:unhideWhenUsed/>
    <w:qFormat/>
    <w:rsid w:val="00CF3D71"/>
    <w:pPr>
      <w:keepNext/>
      <w:keepLines/>
      <w:numPr>
        <w:ilvl w:val="7"/>
        <w:numId w:val="9"/>
      </w:numPr>
      <w:spacing w:before="40" w:after="0" w:line="259" w:lineRule="auto"/>
      <w:outlineLvl w:val="7"/>
    </w:pPr>
    <w:rPr>
      <w:rFonts w:asciiTheme="majorHAnsi" w:eastAsiaTheme="majorEastAsia" w:hAnsiTheme="majorHAnsi" w:cstheme="majorBidi"/>
      <w:color w:val="272727" w:themeColor="text1" w:themeTint="D8"/>
      <w:sz w:val="21"/>
      <w:szCs w:val="21"/>
      <w:lang w:val="nl-BE"/>
    </w:rPr>
  </w:style>
  <w:style w:type="paragraph" w:styleId="Kop9">
    <w:name w:val="heading 9"/>
    <w:basedOn w:val="Standaard"/>
    <w:next w:val="Standaard"/>
    <w:link w:val="Kop9Char"/>
    <w:uiPriority w:val="9"/>
    <w:semiHidden/>
    <w:unhideWhenUsed/>
    <w:qFormat/>
    <w:rsid w:val="00CF3D71"/>
    <w:pPr>
      <w:keepNext/>
      <w:keepLines/>
      <w:numPr>
        <w:ilvl w:val="8"/>
        <w:numId w:val="9"/>
      </w:numPr>
      <w:spacing w:before="40" w:after="0" w:line="259" w:lineRule="auto"/>
      <w:outlineLvl w:val="8"/>
    </w:pPr>
    <w:rPr>
      <w:rFonts w:asciiTheme="majorHAnsi" w:eastAsiaTheme="majorEastAsia" w:hAnsiTheme="majorHAnsi" w:cstheme="majorBidi"/>
      <w:i/>
      <w:iCs/>
      <w:color w:val="272727" w:themeColor="text1" w:themeTint="D8"/>
      <w:sz w:val="21"/>
      <w:szCs w:val="21"/>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3D71"/>
    <w:rPr>
      <w:rFonts w:asciiTheme="majorHAnsi" w:eastAsiaTheme="majorEastAsia" w:hAnsiTheme="majorHAnsi" w:cstheme="majorBidi"/>
      <w:b/>
      <w:color w:val="2F5496" w:themeColor="accent1" w:themeShade="BF"/>
      <w:sz w:val="32"/>
      <w:szCs w:val="32"/>
      <w:lang w:eastAsia="en-US"/>
    </w:rPr>
  </w:style>
  <w:style w:type="character" w:customStyle="1" w:styleId="Kop2Char">
    <w:name w:val="Kop 2 Char"/>
    <w:basedOn w:val="Standaardalinea-lettertype"/>
    <w:link w:val="Kop2"/>
    <w:uiPriority w:val="9"/>
    <w:rsid w:val="00CF3D71"/>
    <w:rPr>
      <w:rFonts w:asciiTheme="majorHAnsi" w:eastAsiaTheme="majorEastAsia" w:hAnsiTheme="majorHAnsi" w:cstheme="majorBidi"/>
      <w:b/>
      <w:i/>
      <w:color w:val="2F5496" w:themeColor="accent1" w:themeShade="BF"/>
      <w:sz w:val="26"/>
      <w:szCs w:val="26"/>
      <w:lang w:eastAsia="en-US"/>
    </w:rPr>
  </w:style>
  <w:style w:type="character" w:customStyle="1" w:styleId="Kop3Char">
    <w:name w:val="Kop 3 Char"/>
    <w:basedOn w:val="Standaardalinea-lettertype"/>
    <w:link w:val="Kop3"/>
    <w:uiPriority w:val="9"/>
    <w:rsid w:val="00CF3D71"/>
    <w:rPr>
      <w:rFonts w:asciiTheme="majorHAnsi" w:eastAsiaTheme="majorEastAsia" w:hAnsiTheme="majorHAnsi" w:cstheme="majorBidi"/>
      <w:i/>
      <w:color w:val="1F3763" w:themeColor="accent1" w:themeShade="7F"/>
      <w:sz w:val="24"/>
      <w:szCs w:val="24"/>
      <w:lang w:eastAsia="en-US"/>
    </w:rPr>
  </w:style>
  <w:style w:type="character" w:customStyle="1" w:styleId="Kop4Char">
    <w:name w:val="Kop 4 Char"/>
    <w:basedOn w:val="Standaardalinea-lettertype"/>
    <w:link w:val="Kop4"/>
    <w:uiPriority w:val="9"/>
    <w:semiHidden/>
    <w:rsid w:val="00CF3D71"/>
    <w:rPr>
      <w:rFonts w:asciiTheme="majorHAnsi" w:eastAsiaTheme="majorEastAsia" w:hAnsiTheme="majorHAnsi" w:cstheme="majorBidi"/>
      <w:i/>
      <w:iCs/>
      <w:color w:val="2F5496" w:themeColor="accent1" w:themeShade="BF"/>
      <w:lang w:eastAsia="en-US"/>
    </w:rPr>
  </w:style>
  <w:style w:type="character" w:customStyle="1" w:styleId="Kop5Char">
    <w:name w:val="Kop 5 Char"/>
    <w:basedOn w:val="Standaardalinea-lettertype"/>
    <w:link w:val="Kop5"/>
    <w:uiPriority w:val="9"/>
    <w:semiHidden/>
    <w:rsid w:val="00CF3D71"/>
    <w:rPr>
      <w:rFonts w:asciiTheme="majorHAnsi" w:eastAsiaTheme="majorEastAsia" w:hAnsiTheme="majorHAnsi" w:cstheme="majorBidi"/>
      <w:color w:val="2F5496" w:themeColor="accent1" w:themeShade="BF"/>
      <w:lang w:eastAsia="en-US"/>
    </w:rPr>
  </w:style>
  <w:style w:type="character" w:customStyle="1" w:styleId="Kop6Char">
    <w:name w:val="Kop 6 Char"/>
    <w:basedOn w:val="Standaardalinea-lettertype"/>
    <w:link w:val="Kop6"/>
    <w:uiPriority w:val="9"/>
    <w:semiHidden/>
    <w:rsid w:val="00CF3D71"/>
    <w:rPr>
      <w:rFonts w:asciiTheme="majorHAnsi" w:eastAsiaTheme="majorEastAsia" w:hAnsiTheme="majorHAnsi" w:cstheme="majorBidi"/>
      <w:color w:val="1F3763" w:themeColor="accent1" w:themeShade="7F"/>
      <w:lang w:eastAsia="en-US"/>
    </w:rPr>
  </w:style>
  <w:style w:type="character" w:customStyle="1" w:styleId="Kop7Char">
    <w:name w:val="Kop 7 Char"/>
    <w:basedOn w:val="Standaardalinea-lettertype"/>
    <w:link w:val="Kop7"/>
    <w:uiPriority w:val="9"/>
    <w:semiHidden/>
    <w:rsid w:val="00CF3D71"/>
    <w:rPr>
      <w:rFonts w:asciiTheme="majorHAnsi" w:eastAsiaTheme="majorEastAsia" w:hAnsiTheme="majorHAnsi" w:cstheme="majorBidi"/>
      <w:i/>
      <w:iCs/>
      <w:color w:val="1F3763" w:themeColor="accent1" w:themeShade="7F"/>
      <w:lang w:eastAsia="en-US"/>
    </w:rPr>
  </w:style>
  <w:style w:type="character" w:customStyle="1" w:styleId="Kop8Char">
    <w:name w:val="Kop 8 Char"/>
    <w:basedOn w:val="Standaardalinea-lettertype"/>
    <w:link w:val="Kop8"/>
    <w:uiPriority w:val="9"/>
    <w:semiHidden/>
    <w:rsid w:val="00CF3D71"/>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CF3D71"/>
    <w:rPr>
      <w:rFonts w:asciiTheme="majorHAnsi" w:eastAsiaTheme="majorEastAsia" w:hAnsiTheme="majorHAnsi" w:cstheme="majorBidi"/>
      <w:i/>
      <w:iCs/>
      <w:color w:val="272727" w:themeColor="text1" w:themeTint="D8"/>
      <w:sz w:val="21"/>
      <w:szCs w:val="21"/>
      <w:lang w:eastAsia="en-US"/>
    </w:rPr>
  </w:style>
  <w:style w:type="character" w:styleId="Hyperlink">
    <w:name w:val="Hyperlink"/>
    <w:basedOn w:val="Standaardalinea-lettertype"/>
    <w:uiPriority w:val="99"/>
    <w:unhideWhenUsed/>
    <w:rsid w:val="00CF3D71"/>
    <w:rPr>
      <w:color w:val="0563C1" w:themeColor="hyperlink"/>
      <w:u w:val="single"/>
    </w:rPr>
  </w:style>
  <w:style w:type="character" w:styleId="Onopgelostemelding">
    <w:name w:val="Unresolved Mention"/>
    <w:basedOn w:val="Standaardalinea-lettertype"/>
    <w:uiPriority w:val="99"/>
    <w:semiHidden/>
    <w:unhideWhenUsed/>
    <w:rsid w:val="00CF3D71"/>
    <w:rPr>
      <w:color w:val="605E5C"/>
      <w:shd w:val="clear" w:color="auto" w:fill="E1DFDD"/>
    </w:rPr>
  </w:style>
  <w:style w:type="paragraph" w:styleId="Voetnoottekst">
    <w:name w:val="footnote text"/>
    <w:basedOn w:val="Standaard"/>
    <w:link w:val="VoetnoottekstChar"/>
    <w:uiPriority w:val="99"/>
    <w:unhideWhenUsed/>
    <w:rsid w:val="00CF3D71"/>
    <w:pPr>
      <w:spacing w:after="0" w:line="240" w:lineRule="auto"/>
    </w:pPr>
    <w:rPr>
      <w:sz w:val="20"/>
      <w:szCs w:val="20"/>
    </w:rPr>
  </w:style>
  <w:style w:type="character" w:customStyle="1" w:styleId="VoetnoottekstChar">
    <w:name w:val="Voetnoottekst Char"/>
    <w:basedOn w:val="Standaardalinea-lettertype"/>
    <w:link w:val="Voetnoottekst"/>
    <w:uiPriority w:val="99"/>
    <w:rsid w:val="00CF3D71"/>
    <w:rPr>
      <w:rFonts w:ascii="Calibri" w:eastAsia="Times New Roman" w:hAnsi="Calibri" w:cs="Times New Roman"/>
      <w:sz w:val="20"/>
      <w:szCs w:val="20"/>
      <w:lang w:val="nl-NL" w:eastAsia="en-US"/>
    </w:rPr>
  </w:style>
  <w:style w:type="character" w:styleId="Voetnootmarkering">
    <w:name w:val="footnote reference"/>
    <w:basedOn w:val="Standaardalinea-lettertype"/>
    <w:uiPriority w:val="99"/>
    <w:semiHidden/>
    <w:unhideWhenUsed/>
    <w:rsid w:val="00CF3D71"/>
    <w:rPr>
      <w:vertAlign w:val="superscript"/>
    </w:rPr>
  </w:style>
  <w:style w:type="paragraph" w:styleId="Bibliografie">
    <w:name w:val="Bibliography"/>
    <w:basedOn w:val="Standaard"/>
    <w:next w:val="Standaard"/>
    <w:uiPriority w:val="37"/>
    <w:unhideWhenUsed/>
    <w:rsid w:val="00CF3D71"/>
    <w:pPr>
      <w:spacing w:after="0" w:line="240" w:lineRule="auto"/>
      <w:ind w:left="720" w:hanging="720"/>
    </w:pPr>
  </w:style>
  <w:style w:type="paragraph" w:styleId="Koptekst">
    <w:name w:val="header"/>
    <w:basedOn w:val="Standaard"/>
    <w:link w:val="KoptekstChar"/>
    <w:uiPriority w:val="99"/>
    <w:unhideWhenUsed/>
    <w:rsid w:val="00CF3D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3D71"/>
    <w:rPr>
      <w:rFonts w:ascii="Calibri" w:eastAsia="Times New Roman" w:hAnsi="Calibri" w:cs="Times New Roman"/>
      <w:lang w:val="nl-NL" w:eastAsia="en-US"/>
    </w:rPr>
  </w:style>
  <w:style w:type="paragraph" w:styleId="Voettekst">
    <w:name w:val="footer"/>
    <w:basedOn w:val="Standaard"/>
    <w:link w:val="VoettekstChar"/>
    <w:uiPriority w:val="99"/>
    <w:unhideWhenUsed/>
    <w:rsid w:val="00CF3D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3D71"/>
    <w:rPr>
      <w:rFonts w:ascii="Calibri" w:eastAsia="Times New Roman" w:hAnsi="Calibri" w:cs="Times New Roman"/>
      <w:lang w:val="nl-NL" w:eastAsia="en-US"/>
    </w:rPr>
  </w:style>
  <w:style w:type="character" w:styleId="Verwijzingopmerking">
    <w:name w:val="annotation reference"/>
    <w:basedOn w:val="Standaardalinea-lettertype"/>
    <w:uiPriority w:val="99"/>
    <w:semiHidden/>
    <w:unhideWhenUsed/>
    <w:rsid w:val="00CF3D71"/>
    <w:rPr>
      <w:sz w:val="16"/>
      <w:szCs w:val="16"/>
    </w:rPr>
  </w:style>
  <w:style w:type="paragraph" w:styleId="Tekstopmerking">
    <w:name w:val="annotation text"/>
    <w:basedOn w:val="Standaard"/>
    <w:link w:val="TekstopmerkingChar"/>
    <w:uiPriority w:val="99"/>
    <w:unhideWhenUsed/>
    <w:rsid w:val="00CF3D71"/>
    <w:pPr>
      <w:spacing w:line="240" w:lineRule="auto"/>
    </w:pPr>
    <w:rPr>
      <w:sz w:val="20"/>
      <w:szCs w:val="20"/>
    </w:rPr>
  </w:style>
  <w:style w:type="character" w:customStyle="1" w:styleId="TekstopmerkingChar">
    <w:name w:val="Tekst opmerking Char"/>
    <w:basedOn w:val="Standaardalinea-lettertype"/>
    <w:link w:val="Tekstopmerking"/>
    <w:uiPriority w:val="99"/>
    <w:rsid w:val="00CF3D71"/>
    <w:rPr>
      <w:rFonts w:ascii="Calibri" w:eastAsia="Times New Roman"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CF3D71"/>
    <w:rPr>
      <w:b/>
      <w:bCs/>
    </w:rPr>
  </w:style>
  <w:style w:type="character" w:customStyle="1" w:styleId="OnderwerpvanopmerkingChar">
    <w:name w:val="Onderwerp van opmerking Char"/>
    <w:basedOn w:val="TekstopmerkingChar"/>
    <w:link w:val="Onderwerpvanopmerking"/>
    <w:uiPriority w:val="99"/>
    <w:semiHidden/>
    <w:rsid w:val="00CF3D71"/>
    <w:rPr>
      <w:rFonts w:ascii="Calibri" w:eastAsia="Times New Roman" w:hAnsi="Calibri" w:cs="Times New Roman"/>
      <w:b/>
      <w:bCs/>
      <w:sz w:val="20"/>
      <w:szCs w:val="20"/>
      <w:lang w:val="nl-NL" w:eastAsia="en-US"/>
    </w:rPr>
  </w:style>
  <w:style w:type="paragraph" w:styleId="Ballontekst">
    <w:name w:val="Balloon Text"/>
    <w:basedOn w:val="Standaard"/>
    <w:link w:val="BallontekstChar"/>
    <w:uiPriority w:val="99"/>
    <w:semiHidden/>
    <w:unhideWhenUsed/>
    <w:rsid w:val="00CF3D7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3D71"/>
    <w:rPr>
      <w:rFonts w:ascii="Segoe UI" w:eastAsia="Times New Roman" w:hAnsi="Segoe UI" w:cs="Segoe UI"/>
      <w:sz w:val="18"/>
      <w:szCs w:val="18"/>
      <w:lang w:val="nl-NL" w:eastAsia="en-US"/>
    </w:rPr>
  </w:style>
  <w:style w:type="paragraph" w:customStyle="1" w:styleId="EndNoteBibliographyTitle">
    <w:name w:val="EndNote Bibliography Title"/>
    <w:basedOn w:val="Standaard"/>
    <w:link w:val="EndNoteBibliographyTitleChar"/>
    <w:rsid w:val="00CF3D71"/>
    <w:pPr>
      <w:spacing w:after="0" w:line="259" w:lineRule="auto"/>
      <w:jc w:val="center"/>
    </w:pPr>
    <w:rPr>
      <w:rFonts w:eastAsiaTheme="minorHAnsi" w:cs="Calibri"/>
      <w:noProof/>
      <w:lang w:val="en-US"/>
    </w:rPr>
  </w:style>
  <w:style w:type="character" w:customStyle="1" w:styleId="EndNoteBibliographyTitleChar">
    <w:name w:val="EndNote Bibliography Title Char"/>
    <w:basedOn w:val="Standaardalinea-lettertype"/>
    <w:link w:val="EndNoteBibliographyTitle"/>
    <w:rsid w:val="00CF3D71"/>
    <w:rPr>
      <w:rFonts w:ascii="Calibri" w:eastAsiaTheme="minorHAnsi" w:hAnsi="Calibri" w:cs="Calibri"/>
      <w:noProof/>
      <w:lang w:val="en-US" w:eastAsia="en-US"/>
    </w:rPr>
  </w:style>
  <w:style w:type="paragraph" w:customStyle="1" w:styleId="EndNoteBibliography">
    <w:name w:val="EndNote Bibliography"/>
    <w:basedOn w:val="Standaard"/>
    <w:link w:val="EndNoteBibliographyChar"/>
    <w:rsid w:val="00CF3D71"/>
    <w:pPr>
      <w:spacing w:after="160" w:line="240" w:lineRule="auto"/>
    </w:pPr>
    <w:rPr>
      <w:rFonts w:eastAsiaTheme="minorHAnsi" w:cs="Calibri"/>
      <w:noProof/>
      <w:lang w:val="en-US"/>
    </w:rPr>
  </w:style>
  <w:style w:type="character" w:customStyle="1" w:styleId="EndNoteBibliographyChar">
    <w:name w:val="EndNote Bibliography Char"/>
    <w:basedOn w:val="Standaardalinea-lettertype"/>
    <w:link w:val="EndNoteBibliography"/>
    <w:rsid w:val="00CF3D71"/>
    <w:rPr>
      <w:rFonts w:ascii="Calibri" w:eastAsiaTheme="minorHAnsi" w:hAnsi="Calibri" w:cs="Calibri"/>
      <w:noProof/>
      <w:lang w:val="en-US" w:eastAsia="en-US"/>
    </w:rPr>
  </w:style>
  <w:style w:type="paragraph" w:styleId="Kopvaninhoudsopgave">
    <w:name w:val="TOC Heading"/>
    <w:basedOn w:val="Kop1"/>
    <w:next w:val="Standaard"/>
    <w:uiPriority w:val="39"/>
    <w:unhideWhenUsed/>
    <w:qFormat/>
    <w:rsid w:val="00CF3D71"/>
    <w:pPr>
      <w:numPr>
        <w:numId w:val="0"/>
      </w:numPr>
      <w:outlineLvl w:val="9"/>
    </w:pPr>
    <w:rPr>
      <w:lang w:eastAsia="nl-BE"/>
    </w:rPr>
  </w:style>
  <w:style w:type="paragraph" w:styleId="Inhopg1">
    <w:name w:val="toc 1"/>
    <w:basedOn w:val="Standaard"/>
    <w:next w:val="Standaard"/>
    <w:autoRedefine/>
    <w:uiPriority w:val="39"/>
    <w:unhideWhenUsed/>
    <w:rsid w:val="00CF3D71"/>
    <w:pPr>
      <w:tabs>
        <w:tab w:val="left" w:pos="440"/>
        <w:tab w:val="right" w:leader="dot" w:pos="9062"/>
      </w:tabs>
      <w:spacing w:after="100" w:line="259" w:lineRule="auto"/>
    </w:pPr>
    <w:rPr>
      <w:rFonts w:asciiTheme="minorHAnsi" w:eastAsiaTheme="minorHAnsi" w:hAnsiTheme="minorHAnsi" w:cstheme="minorBidi"/>
      <w:lang w:val="nl-BE"/>
    </w:rPr>
  </w:style>
  <w:style w:type="paragraph" w:styleId="Inhopg2">
    <w:name w:val="toc 2"/>
    <w:basedOn w:val="Standaard"/>
    <w:next w:val="Standaard"/>
    <w:autoRedefine/>
    <w:uiPriority w:val="39"/>
    <w:unhideWhenUsed/>
    <w:rsid w:val="00CF3D71"/>
    <w:pPr>
      <w:tabs>
        <w:tab w:val="left" w:pos="880"/>
        <w:tab w:val="right" w:leader="dot" w:pos="9062"/>
      </w:tabs>
      <w:spacing w:after="100" w:line="259" w:lineRule="auto"/>
      <w:ind w:left="220"/>
    </w:pPr>
    <w:rPr>
      <w:rFonts w:asciiTheme="minorHAnsi" w:eastAsiaTheme="minorHAnsi" w:hAnsiTheme="minorHAnsi" w:cstheme="minorBidi"/>
      <w:lang w:val="nl-BE"/>
    </w:rPr>
  </w:style>
  <w:style w:type="paragraph" w:styleId="Revisie">
    <w:name w:val="Revision"/>
    <w:hidden/>
    <w:uiPriority w:val="99"/>
    <w:semiHidden/>
    <w:rsid w:val="00CF3D71"/>
    <w:pPr>
      <w:spacing w:after="0" w:line="240" w:lineRule="auto"/>
    </w:pPr>
    <w:rPr>
      <w:rFonts w:eastAsiaTheme="minorHAnsi"/>
      <w:lang w:eastAsia="en-US"/>
    </w:rPr>
  </w:style>
  <w:style w:type="character" w:styleId="GevolgdeHyperlink">
    <w:name w:val="FollowedHyperlink"/>
    <w:basedOn w:val="Standaardalinea-lettertype"/>
    <w:uiPriority w:val="99"/>
    <w:semiHidden/>
    <w:unhideWhenUsed/>
    <w:rsid w:val="00CF3D71"/>
    <w:rPr>
      <w:color w:val="954F72" w:themeColor="followedHyperlink"/>
      <w:u w:val="single"/>
    </w:rPr>
  </w:style>
  <w:style w:type="paragraph" w:styleId="Eindnoottekst">
    <w:name w:val="endnote text"/>
    <w:basedOn w:val="Standaard"/>
    <w:link w:val="EindnoottekstChar"/>
    <w:uiPriority w:val="99"/>
    <w:semiHidden/>
    <w:unhideWhenUsed/>
    <w:rsid w:val="00CF3D71"/>
    <w:pPr>
      <w:spacing w:after="0" w:line="240" w:lineRule="auto"/>
    </w:pPr>
    <w:rPr>
      <w:rFonts w:asciiTheme="minorHAnsi" w:eastAsiaTheme="minorHAnsi" w:hAnsiTheme="minorHAnsi" w:cstheme="minorBidi"/>
      <w:sz w:val="20"/>
      <w:szCs w:val="20"/>
      <w:lang w:val="nl-BE"/>
    </w:rPr>
  </w:style>
  <w:style w:type="character" w:customStyle="1" w:styleId="EindnoottekstChar">
    <w:name w:val="Eindnoottekst Char"/>
    <w:basedOn w:val="Standaardalinea-lettertype"/>
    <w:link w:val="Eindnoottekst"/>
    <w:uiPriority w:val="99"/>
    <w:semiHidden/>
    <w:rsid w:val="00CF3D71"/>
    <w:rPr>
      <w:rFonts w:eastAsiaTheme="minorHAnsi"/>
      <w:sz w:val="20"/>
      <w:szCs w:val="20"/>
      <w:lang w:eastAsia="en-US"/>
    </w:rPr>
  </w:style>
  <w:style w:type="paragraph" w:styleId="Normaalweb">
    <w:name w:val="Normal (Web)"/>
    <w:basedOn w:val="Standaard"/>
    <w:uiPriority w:val="99"/>
    <w:semiHidden/>
    <w:unhideWhenUsed/>
    <w:rsid w:val="00CF3D71"/>
    <w:pPr>
      <w:spacing w:after="160" w:line="259" w:lineRule="auto"/>
    </w:pPr>
    <w:rPr>
      <w:rFonts w:ascii="Times New Roman" w:eastAsiaTheme="minorHAnsi" w:hAnsi="Times New Roman"/>
      <w:sz w:val="24"/>
      <w:szCs w:val="24"/>
      <w:lang w:val="nl-BE"/>
    </w:rPr>
  </w:style>
  <w:style w:type="character" w:styleId="Eindnootmarkering">
    <w:name w:val="endnote reference"/>
    <w:basedOn w:val="Standaardalinea-lettertype"/>
    <w:uiPriority w:val="99"/>
    <w:semiHidden/>
    <w:unhideWhenUsed/>
    <w:rsid w:val="00CF3D71"/>
    <w:rPr>
      <w:vertAlign w:val="superscript"/>
    </w:rPr>
  </w:style>
  <w:style w:type="paragraph" w:styleId="Inhopg3">
    <w:name w:val="toc 3"/>
    <w:basedOn w:val="Standaard"/>
    <w:next w:val="Standaard"/>
    <w:autoRedefine/>
    <w:uiPriority w:val="39"/>
    <w:unhideWhenUsed/>
    <w:rsid w:val="00CF3D71"/>
    <w:pPr>
      <w:tabs>
        <w:tab w:val="left" w:pos="1320"/>
        <w:tab w:val="right" w:leader="dot" w:pos="9062"/>
      </w:tabs>
      <w:spacing w:after="100" w:line="259" w:lineRule="auto"/>
      <w:ind w:left="440"/>
    </w:pPr>
    <w:rPr>
      <w:rFonts w:asciiTheme="minorHAnsi" w:eastAsiaTheme="minorHAnsi" w:hAnsiTheme="minorHAnsi" w:cstheme="minorBidi"/>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6C119-362E-4551-AB28-B0A8366E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10476</Words>
  <Characters>59298</Characters>
  <Application>Microsoft Office Word</Application>
  <DocSecurity>0</DocSecurity>
  <Lines>812</Lines>
  <Paragraphs>209</Paragraphs>
  <ScaleCrop>false</ScaleCrop>
  <Company/>
  <LinksUpToDate>false</LinksUpToDate>
  <CharactersWithSpaces>69565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5</cp:revision>
  <dcterms:created xsi:type="dcterms:W3CDTF">2023-05-24T17:40:00Z</dcterms:created>
  <dcterms:modified xsi:type="dcterms:W3CDTF">2023-05-25T15:21:00Z</dcterms:modified>
</cp:coreProperties>
</file>