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5E3D" w14:textId="53182AD1" w:rsidR="00BC02B4" w:rsidRPr="00545533" w:rsidRDefault="00BC02B4" w:rsidP="00156B0E">
      <w:pPr>
        <w:jc w:val="center"/>
        <w:rPr>
          <w:sz w:val="28"/>
          <w:szCs w:val="28"/>
        </w:rPr>
      </w:pPr>
      <w:r w:rsidRPr="00545533">
        <w:rPr>
          <w:sz w:val="28"/>
          <w:szCs w:val="28"/>
        </w:rPr>
        <w:t xml:space="preserve">A Note on </w:t>
      </w:r>
      <w:proofErr w:type="spellStart"/>
      <w:r w:rsidRPr="00545533">
        <w:rPr>
          <w:sz w:val="28"/>
          <w:szCs w:val="28"/>
        </w:rPr>
        <w:t>Landauer’s</w:t>
      </w:r>
      <w:proofErr w:type="spellEnd"/>
      <w:r w:rsidRPr="00545533">
        <w:rPr>
          <w:sz w:val="28"/>
          <w:szCs w:val="28"/>
        </w:rPr>
        <w:t xml:space="preserve"> Principle</w:t>
      </w:r>
    </w:p>
    <w:p w14:paraId="3DBA7260" w14:textId="77777777" w:rsidR="00156B0E" w:rsidRDefault="00156B0E" w:rsidP="00156B0E">
      <w:pPr>
        <w:jc w:val="center"/>
      </w:pPr>
    </w:p>
    <w:p w14:paraId="116768A4" w14:textId="7674495A" w:rsidR="00905078" w:rsidRDefault="00156B0E" w:rsidP="00156B0E">
      <w:pPr>
        <w:jc w:val="center"/>
      </w:pPr>
      <w:r>
        <w:t>R. E. Kastner</w:t>
      </w:r>
      <w:r w:rsidR="007B2A77">
        <w:t xml:space="preserve"> </w:t>
      </w:r>
      <w:r w:rsidR="00905078">
        <w:t>(rkastner@umd.edu)</w:t>
      </w:r>
    </w:p>
    <w:p w14:paraId="2C6B362B" w14:textId="508B772A" w:rsidR="00156B0E" w:rsidRDefault="007B2A77" w:rsidP="00156B0E">
      <w:pPr>
        <w:jc w:val="center"/>
      </w:pPr>
      <w:r>
        <w:t>and A</w:t>
      </w:r>
      <w:r w:rsidR="00FC1AFB">
        <w:t>ndreas</w:t>
      </w:r>
      <w:r>
        <w:t xml:space="preserve"> Schlatter</w:t>
      </w:r>
    </w:p>
    <w:p w14:paraId="5886E1BB" w14:textId="77777777" w:rsidR="009B7F79" w:rsidRDefault="009B7F79" w:rsidP="00156B0E">
      <w:pPr>
        <w:jc w:val="center"/>
      </w:pPr>
    </w:p>
    <w:p w14:paraId="06327B8F" w14:textId="78160379" w:rsidR="00156B0E" w:rsidRDefault="000D1321" w:rsidP="00156B0E">
      <w:pPr>
        <w:jc w:val="center"/>
      </w:pPr>
      <w:r>
        <w:t>July 4, 20</w:t>
      </w:r>
      <w:r w:rsidR="00156B0E">
        <w:t>23</w:t>
      </w:r>
    </w:p>
    <w:p w14:paraId="72A154BC" w14:textId="77777777" w:rsidR="00BC02B4" w:rsidRDefault="00BC02B4"/>
    <w:p w14:paraId="5D5D2F78" w14:textId="17A13603" w:rsidR="00BC02B4" w:rsidRDefault="00BC02B4">
      <w:r>
        <w:t xml:space="preserve">ABSTRACT. </w:t>
      </w:r>
      <w:r w:rsidR="00EF3813">
        <w:t xml:space="preserve">A form of </w:t>
      </w:r>
      <w:proofErr w:type="spellStart"/>
      <w:r>
        <w:t>Landauer’s</w:t>
      </w:r>
      <w:proofErr w:type="spellEnd"/>
      <w:r>
        <w:t xml:space="preserve"> Principle is </w:t>
      </w:r>
      <w:r w:rsidR="002A207A">
        <w:t>shown to hold</w:t>
      </w:r>
      <w:r w:rsidR="00AE78F3">
        <w:t xml:space="preserve"> for thermal systems</w:t>
      </w:r>
      <w:r>
        <w:t xml:space="preserve"> by reference to the</w:t>
      </w:r>
      <w:r w:rsidR="007E3FD0">
        <w:t xml:space="preserve"> joint entropy</w:t>
      </w:r>
      <w:r w:rsidR="00F92B4C">
        <w:t xml:space="preserve"> associated with conjugate observables</w:t>
      </w:r>
      <w:r>
        <w:t xml:space="preserve">. It is shown that the source of the compensating entropy for </w:t>
      </w:r>
      <w:r w:rsidR="00461761">
        <w:t xml:space="preserve">irreversible </w:t>
      </w:r>
      <w:r w:rsidR="00697E17">
        <w:t xml:space="preserve">physical </w:t>
      </w:r>
      <w:r w:rsidR="00461761">
        <w:t>processes</w:t>
      </w:r>
      <w:r>
        <w:t xml:space="preserve"> is due to the irreducible uncertainty attending </w:t>
      </w:r>
      <w:r w:rsidR="00F71101">
        <w:t>values of</w:t>
      </w:r>
      <w:r w:rsidR="006C00FE">
        <w:t xml:space="preserve"> </w:t>
      </w:r>
      <w:r w:rsidR="00F92B4C">
        <w:t xml:space="preserve">such </w:t>
      </w:r>
      <w:r w:rsidR="006C00FE">
        <w:t>mutually</w:t>
      </w:r>
      <w:r w:rsidR="00F71101">
        <w:t xml:space="preserve"> incompatible observables</w:t>
      </w:r>
      <w:r>
        <w:t>.</w:t>
      </w:r>
      <w:r w:rsidR="00881E44">
        <w:t xml:space="preserve"> The relevant irreversibility is argued to be that of </w:t>
      </w:r>
      <w:r w:rsidR="00C84EB5">
        <w:t xml:space="preserve">quantum </w:t>
      </w:r>
      <w:r w:rsidR="00881E44">
        <w:t>measurement rather than erasure</w:t>
      </w:r>
      <w:r w:rsidR="00F92B4C">
        <w:t xml:space="preserve"> of </w:t>
      </w:r>
      <w:r w:rsidR="005B553F">
        <w:t xml:space="preserve">classical </w:t>
      </w:r>
      <w:r w:rsidR="00F92B4C">
        <w:t xml:space="preserve">memory </w:t>
      </w:r>
      <w:r w:rsidR="00CF0250">
        <w:t>devices</w:t>
      </w:r>
      <w:r w:rsidR="00F92B4C">
        <w:t>,</w:t>
      </w:r>
      <w:r w:rsidR="00662104">
        <w:t xml:space="preserve"> as commonly assumed.</w:t>
      </w:r>
    </w:p>
    <w:p w14:paraId="0598A79D" w14:textId="77777777" w:rsidR="00BC02B4" w:rsidRDefault="00BC02B4"/>
    <w:p w14:paraId="087ECA9A" w14:textId="77777777" w:rsidR="00BC02B4" w:rsidRDefault="00BC02B4"/>
    <w:p w14:paraId="14649D52" w14:textId="3A41CF82" w:rsidR="00575AA3" w:rsidRDefault="00697779">
      <w:r>
        <w:tab/>
      </w:r>
      <w:proofErr w:type="spellStart"/>
      <w:r w:rsidR="00595B9D">
        <w:t>Landauer’s</w:t>
      </w:r>
      <w:proofErr w:type="spellEnd"/>
      <w:r w:rsidR="00595B9D">
        <w:t xml:space="preserve"> Principle</w:t>
      </w:r>
      <w:r w:rsidR="0085569C">
        <w:t>, in the form addressed here,</w:t>
      </w:r>
      <w:r w:rsidR="00595B9D">
        <w:t xml:space="preserve"> can be defined as the requirement for </w:t>
      </w:r>
      <w:r w:rsidR="00603C6E">
        <w:t>N</w:t>
      </w:r>
      <w:r w:rsidR="00595B9D">
        <w:t xml:space="preserve"> bit</w:t>
      </w:r>
      <w:r w:rsidR="00603C6E">
        <w:t>s</w:t>
      </w:r>
      <w:r w:rsidR="00595B9D">
        <w:t xml:space="preserve"> of entropy increase in an operation </w:t>
      </w:r>
      <w:r w:rsidR="008C2248">
        <w:t>physically implementing</w:t>
      </w:r>
      <w:r w:rsidR="00206B66">
        <w:t xml:space="preserve"> </w:t>
      </w:r>
      <w:r w:rsidR="00603C6E">
        <w:t>N</w:t>
      </w:r>
      <w:r w:rsidR="00206B66">
        <w:t xml:space="preserve"> bit</w:t>
      </w:r>
      <w:r w:rsidR="00603C6E">
        <w:t>s</w:t>
      </w:r>
      <w:r w:rsidR="00206B66">
        <w:t xml:space="preserve"> of</w:t>
      </w:r>
      <w:r w:rsidR="00595B9D">
        <w:t xml:space="preserve"> logical irreversibility</w:t>
      </w:r>
      <w:r w:rsidR="00995FBB">
        <w:t xml:space="preserve"> corresponding to entropy decrease</w:t>
      </w:r>
      <w:r w:rsidR="00237CFB">
        <w:t xml:space="preserve"> (i.e., reduction in </w:t>
      </w:r>
      <w:r w:rsidR="00761F91">
        <w:t xml:space="preserve">accessible </w:t>
      </w:r>
      <w:r w:rsidR="00237CFB">
        <w:t>phase space volume)</w:t>
      </w:r>
      <w:r w:rsidR="00595B9D">
        <w:t>.</w:t>
      </w:r>
      <w:r w:rsidR="00225999">
        <w:rPr>
          <w:rStyle w:val="FootnoteReference"/>
        </w:rPr>
        <w:footnoteReference w:id="1"/>
      </w:r>
      <w:r w:rsidR="00595B9D">
        <w:t xml:space="preserve"> </w:t>
      </w:r>
      <w:r w:rsidR="008C2248">
        <w:t xml:space="preserve"> </w:t>
      </w:r>
      <w:proofErr w:type="spellStart"/>
      <w:r w:rsidR="008C2248">
        <w:t>Landauer</w:t>
      </w:r>
      <w:proofErr w:type="spellEnd"/>
      <w:r w:rsidR="008C2248">
        <w:t xml:space="preserve"> provided some heuristic arguments in support of his principle, but ultimately appealed to the Second Law of Thermodynamics (</w:t>
      </w:r>
      <w:proofErr w:type="spellStart"/>
      <w:r w:rsidR="008C2248">
        <w:t>Landauer</w:t>
      </w:r>
      <w:proofErr w:type="spellEnd"/>
      <w:r w:rsidR="008C2248">
        <w:t xml:space="preserve"> </w:t>
      </w:r>
      <w:r w:rsidR="00056F4E">
        <w:t>1</w:t>
      </w:r>
      <w:r w:rsidR="00FE6A39">
        <w:t>9</w:t>
      </w:r>
      <w:r w:rsidR="00056F4E">
        <w:t xml:space="preserve">61, </w:t>
      </w:r>
      <w:r w:rsidR="008C2248">
        <w:t>187)</w:t>
      </w:r>
      <w:r w:rsidR="00342019">
        <w:t>.</w:t>
      </w:r>
      <w:r w:rsidR="008C2248">
        <w:t xml:space="preserve"> </w:t>
      </w:r>
      <w:proofErr w:type="spellStart"/>
      <w:r w:rsidR="006A4807">
        <w:t>Earman</w:t>
      </w:r>
      <w:proofErr w:type="spellEnd"/>
      <w:r w:rsidR="006A4807">
        <w:t xml:space="preserve"> and Norton (</w:t>
      </w:r>
      <w:r w:rsidR="008006A1">
        <w:t>1999</w:t>
      </w:r>
      <w:r w:rsidR="006A4807">
        <w:t xml:space="preserve">) have </w:t>
      </w:r>
      <w:r w:rsidR="0080042D">
        <w:t xml:space="preserve">correctly </w:t>
      </w:r>
      <w:r w:rsidR="006A4807">
        <w:t xml:space="preserve">pointed out that attempts to use </w:t>
      </w:r>
      <w:proofErr w:type="spellStart"/>
      <w:r w:rsidR="006A4807">
        <w:t>Landauer’s</w:t>
      </w:r>
      <w:proofErr w:type="spellEnd"/>
      <w:r w:rsidR="006A4807">
        <w:t xml:space="preserve"> Principle (LP) to save the Second Law from violation by such devices as “Maxwell’s Demon” are circular whenever they invoke the Second Law in support of LP. EN (</w:t>
      </w:r>
      <w:r w:rsidR="00036F24">
        <w:t>1999</w:t>
      </w:r>
      <w:r w:rsidR="006A4807">
        <w:t>) also argue that attempts to save the Second Law and/or LP without resort to the Second Law are subject to counterexamples and are not universal or conclusive.</w:t>
      </w:r>
      <w:r w:rsidR="007F0502">
        <w:t xml:space="preserve"> In addition, Norton (</w:t>
      </w:r>
      <w:r w:rsidR="00036F24">
        <w:t>2013</w:t>
      </w:r>
      <w:r w:rsidR="007F0502">
        <w:t>) argues that the information-theoretic approach to thwarting the Demon is similarly circular and fails to identify a fundamental and universal principle.</w:t>
      </w:r>
      <w:r w:rsidR="009301BA">
        <w:rPr>
          <w:rStyle w:val="FootnoteReference"/>
        </w:rPr>
        <w:footnoteReference w:id="2"/>
      </w:r>
      <w:r w:rsidR="007F0502">
        <w:t xml:space="preserve"> </w:t>
      </w:r>
    </w:p>
    <w:p w14:paraId="1DE63BEC" w14:textId="77777777" w:rsidR="001E4153" w:rsidRDefault="001E4153"/>
    <w:p w14:paraId="0EC5A9AD" w14:textId="07FEB970" w:rsidR="003E0E64" w:rsidRDefault="00697779">
      <w:r>
        <w:tab/>
      </w:r>
      <w:r w:rsidR="006A4807">
        <w:t xml:space="preserve">Meanwhile, </w:t>
      </w:r>
      <w:r w:rsidR="00595B9D">
        <w:t>Bennett (</w:t>
      </w:r>
      <w:r w:rsidR="00EF62D0">
        <w:t>1982</w:t>
      </w:r>
      <w:r w:rsidR="00595B9D">
        <w:t xml:space="preserve">) </w:t>
      </w:r>
      <w:r w:rsidR="00297B1B">
        <w:t>claimed</w:t>
      </w:r>
      <w:r w:rsidR="00595B9D">
        <w:t xml:space="preserve"> that the relevant </w:t>
      </w:r>
      <w:r w:rsidR="005E4C9C">
        <w:t>irreversible process</w:t>
      </w:r>
      <w:r w:rsidR="00595B9D">
        <w:t xml:space="preserve"> is that of erasure of memory devices rather than measurement, which he </w:t>
      </w:r>
      <w:r w:rsidR="0015583D">
        <w:t>portray</w:t>
      </w:r>
      <w:r w:rsidR="00595B9D">
        <w:t xml:space="preserve">ed as copying. </w:t>
      </w:r>
      <w:r w:rsidR="006A4807">
        <w:t xml:space="preserve"> Bennett’s formulation has become the Received View in the literature on this </w:t>
      </w:r>
      <w:r w:rsidR="002971CB">
        <w:t>topic</w:t>
      </w:r>
      <w:r w:rsidR="006A4807">
        <w:t>, and a consensus has developed that Bennett refuted Brillouin’s identification of measurement as the source of the entropy cost attending the entropy-reducing sorting of the Demon</w:t>
      </w:r>
      <w:r w:rsidR="00042538">
        <w:t xml:space="preserve"> (Brillouin</w:t>
      </w:r>
      <w:r w:rsidR="00AC14EB">
        <w:t>, 1951</w:t>
      </w:r>
      <w:r w:rsidR="00042538">
        <w:t>)</w:t>
      </w:r>
      <w:r w:rsidR="006A4807">
        <w:t xml:space="preserve">. </w:t>
      </w:r>
      <w:r w:rsidR="00595B9D">
        <w:t>However, the copying model of measurement applies only to the classical limit</w:t>
      </w:r>
      <w:r w:rsidR="00504124">
        <w:t xml:space="preserve"> and is thus inadequate at a fundamental level</w:t>
      </w:r>
      <w:r w:rsidR="00595B9D">
        <w:t xml:space="preserve">. </w:t>
      </w:r>
      <w:r w:rsidR="003E0E64">
        <w:t xml:space="preserve">If a system is prepared in a state </w:t>
      </w:r>
      <w:r w:rsidR="003E0E64" w:rsidRPr="003A2FF9">
        <w:rPr>
          <w:rFonts w:ascii="Symbol" w:hAnsi="Symbol"/>
          <w:i/>
          <w:iCs/>
        </w:rPr>
        <w:t>y</w:t>
      </w:r>
      <w:r w:rsidR="003E0E64" w:rsidRPr="003A2FF9">
        <w:rPr>
          <w:i/>
          <w:iCs/>
        </w:rPr>
        <w:t>(x)</w:t>
      </w:r>
      <w:r w:rsidR="003E0E64">
        <w:t xml:space="preserve"> with spread </w:t>
      </w:r>
      <w:r w:rsidR="003E0E64" w:rsidRPr="003A2FF9">
        <w:rPr>
          <w:rFonts w:ascii="Symbol" w:hAnsi="Symbol"/>
          <w:i/>
          <w:iCs/>
        </w:rPr>
        <w:t>D</w:t>
      </w:r>
      <w:r w:rsidR="003E0E64" w:rsidRPr="003A2FF9">
        <w:rPr>
          <w:i/>
          <w:iCs/>
        </w:rPr>
        <w:t>x,</w:t>
      </w:r>
      <w:r w:rsidR="003E0E64">
        <w:t xml:space="preserve"> measuring its position is an irreversible process that, by the uncertainty principle, expands the uncertainty associated with its momentum</w:t>
      </w:r>
      <w:r w:rsidR="005E0B8A">
        <w:t xml:space="preserve"> (and vice versa</w:t>
      </w:r>
      <w:r w:rsidR="00AD17CD">
        <w:t>).</w:t>
      </w:r>
      <w:r w:rsidR="006A4807">
        <w:t xml:space="preserve">  It appears that the Received View has neglected to take this point into account, and </w:t>
      </w:r>
      <w:r w:rsidR="00E30B3E">
        <w:t>it</w:t>
      </w:r>
      <w:r w:rsidR="006A4807">
        <w:t xml:space="preserve"> is the focus of the present Note.</w:t>
      </w:r>
    </w:p>
    <w:p w14:paraId="10EC4EFB" w14:textId="77777777" w:rsidR="00BD7431" w:rsidRDefault="00BD7431"/>
    <w:p w14:paraId="375B8A89" w14:textId="1BA58569" w:rsidR="00C57859" w:rsidRDefault="00697779">
      <w:r>
        <w:tab/>
      </w:r>
      <w:r w:rsidR="00BD7431">
        <w:t xml:space="preserve">Before dealing with </w:t>
      </w:r>
      <w:r w:rsidR="0097317B">
        <w:t>further</w:t>
      </w:r>
      <w:r w:rsidR="00BD7431">
        <w:t xml:space="preserve"> specifics, we </w:t>
      </w:r>
      <w:r w:rsidR="000D51D7">
        <w:t>first</w:t>
      </w:r>
      <w:r w:rsidR="00BD7431">
        <w:t xml:space="preserve"> consider the important concern of Norton (2013) that one cannot simply assume that ``information entropy'' </w:t>
      </w:r>
      <w:r w:rsidR="00BD7431" w:rsidRPr="004B4FA6">
        <w:rPr>
          <w:i/>
          <w:iCs/>
        </w:rPr>
        <w:t>I</w:t>
      </w:r>
      <w:r w:rsidR="00BD7431">
        <w:t xml:space="preserve"> can be automatically identified with thermodynamic entropy </w:t>
      </w:r>
      <w:r w:rsidR="00BD7431" w:rsidRPr="004B4FA6">
        <w:rPr>
          <w:i/>
          <w:iCs/>
        </w:rPr>
        <w:t>S</w:t>
      </w:r>
      <w:r w:rsidR="00BD7431">
        <w:t xml:space="preserve">, a practice that has contributed to confusion and arguably to overstated claims about the findings of experiments (see, e.g., discussion of an experiment by </w:t>
      </w:r>
      <w:proofErr w:type="spellStart"/>
      <w:r w:rsidR="00BD7431">
        <w:rPr>
          <w:rFonts w:ascii="Arial" w:hAnsi="Arial" w:cs="Arial"/>
          <w:color w:val="222222"/>
          <w:sz w:val="20"/>
          <w:szCs w:val="20"/>
          <w:shd w:val="clear" w:color="auto" w:fill="FFFFFF"/>
        </w:rPr>
        <w:t>Bérut</w:t>
      </w:r>
      <w:proofErr w:type="spellEnd"/>
      <w:r w:rsidR="00BD7431">
        <w:rPr>
          <w:rStyle w:val="apple-converted-space"/>
          <w:rFonts w:ascii="Arial" w:hAnsi="Arial" w:cs="Arial"/>
          <w:color w:val="222222"/>
          <w:sz w:val="20"/>
          <w:szCs w:val="20"/>
          <w:shd w:val="clear" w:color="auto" w:fill="FFFFFF"/>
        </w:rPr>
        <w:t> </w:t>
      </w:r>
      <w:r w:rsidR="00BD7431">
        <w:rPr>
          <w:rStyle w:val="html-italic"/>
          <w:rFonts w:ascii="Arial" w:hAnsi="Arial" w:cs="Arial"/>
          <w:i/>
          <w:iCs/>
          <w:color w:val="222222"/>
        </w:rPr>
        <w:t>et al</w:t>
      </w:r>
      <w:r w:rsidR="00BD7431">
        <w:t xml:space="preserve"> in Norton (2013, 3.7). However, the present work supports the relation of </w:t>
      </w:r>
      <w:r w:rsidR="00BD7431" w:rsidRPr="00743892">
        <w:rPr>
          <w:i/>
          <w:iCs/>
        </w:rPr>
        <w:t>I</w:t>
      </w:r>
      <w:r w:rsidR="00BD7431">
        <w:t xml:space="preserve"> to </w:t>
      </w:r>
      <w:r w:rsidR="00BD7431" w:rsidRPr="00743892">
        <w:rPr>
          <w:i/>
          <w:iCs/>
        </w:rPr>
        <w:t xml:space="preserve">S </w:t>
      </w:r>
      <w:r w:rsidR="00BD7431">
        <w:t xml:space="preserve">under appropriate physical conditions. In teasing out the relation of </w:t>
      </w:r>
      <w:r w:rsidR="00BD7431" w:rsidRPr="00886304">
        <w:rPr>
          <w:i/>
          <w:iCs/>
        </w:rPr>
        <w:t>I</w:t>
      </w:r>
      <w:r w:rsidR="00BD7431">
        <w:t xml:space="preserve"> to </w:t>
      </w:r>
      <w:r w:rsidR="00BD7431" w:rsidRPr="00886304">
        <w:rPr>
          <w:i/>
          <w:iCs/>
        </w:rPr>
        <w:t>S</w:t>
      </w:r>
      <w:r w:rsidR="00BD7431">
        <w:t xml:space="preserve">, we must distinguish between epistemic uncertainty (in which a system is in a determinate but unknown outcome-state) and ontological uncertainty (in which a system cannot be said to possess a property corresponding to an outcome-state). Let us denote the former, epistemic form of </w:t>
      </w:r>
      <w:r w:rsidR="00BD7431" w:rsidRPr="00AB7B12">
        <w:rPr>
          <w:i/>
          <w:iCs/>
        </w:rPr>
        <w:t>I</w:t>
      </w:r>
      <w:r w:rsidR="00BD7431">
        <w:t xml:space="preserve"> by </w:t>
      </w:r>
      <w:proofErr w:type="gramStart"/>
      <w:r w:rsidR="00BD7431" w:rsidRPr="00AB7B12">
        <w:rPr>
          <w:i/>
          <w:iCs/>
        </w:rPr>
        <w:t>I</w:t>
      </w:r>
      <w:r w:rsidR="00BD7431" w:rsidRPr="00AB7B12">
        <w:rPr>
          <w:i/>
          <w:iCs/>
          <w:vertAlign w:val="subscript"/>
        </w:rPr>
        <w:t>E</w:t>
      </w:r>
      <w:r w:rsidR="00BD7431" w:rsidRPr="00AB7B12">
        <w:rPr>
          <w:vertAlign w:val="subscript"/>
        </w:rPr>
        <w:t xml:space="preserve"> </w:t>
      </w:r>
      <w:r w:rsidR="00BD7431">
        <w:rPr>
          <w:vertAlign w:val="subscript"/>
        </w:rPr>
        <w:t xml:space="preserve"> </w:t>
      </w:r>
      <w:r w:rsidR="00BD7431">
        <w:t>and</w:t>
      </w:r>
      <w:proofErr w:type="gramEnd"/>
      <w:r w:rsidR="00BD7431">
        <w:t xml:space="preserve"> the latter, ontological form of </w:t>
      </w:r>
      <w:r w:rsidR="00BD7431" w:rsidRPr="00DF6F27">
        <w:rPr>
          <w:i/>
          <w:iCs/>
        </w:rPr>
        <w:t xml:space="preserve">I </w:t>
      </w:r>
      <w:r w:rsidR="00BD7431">
        <w:t xml:space="preserve">by </w:t>
      </w:r>
      <w:r w:rsidR="00BD7431" w:rsidRPr="00DF6F27">
        <w:rPr>
          <w:i/>
          <w:iCs/>
        </w:rPr>
        <w:t>I</w:t>
      </w:r>
      <w:r w:rsidR="00BD7431" w:rsidRPr="00DF6F27">
        <w:rPr>
          <w:i/>
          <w:iCs/>
          <w:vertAlign w:val="subscript"/>
        </w:rPr>
        <w:t>O</w:t>
      </w:r>
      <w:r w:rsidR="00BD7431">
        <w:t xml:space="preserve">.   </w:t>
      </w:r>
      <w:r w:rsidR="00BD7431" w:rsidRPr="00AB7B12">
        <w:rPr>
          <w:i/>
          <w:iCs/>
        </w:rPr>
        <w:t>I</w:t>
      </w:r>
      <w:r w:rsidR="00BD7431" w:rsidRPr="00AB7B12">
        <w:rPr>
          <w:i/>
          <w:iCs/>
          <w:vertAlign w:val="subscript"/>
        </w:rPr>
        <w:t>E</w:t>
      </w:r>
      <w:r w:rsidR="00BD7431" w:rsidRPr="00AB7B12">
        <w:rPr>
          <w:vertAlign w:val="subscript"/>
        </w:rPr>
        <w:t xml:space="preserve"> </w:t>
      </w:r>
      <w:r w:rsidR="00BD7431">
        <w:t xml:space="preserve">, as Norton notes, needs to be distinguished from </w:t>
      </w:r>
      <w:r w:rsidR="00BD7431" w:rsidRPr="00057D6A">
        <w:rPr>
          <w:i/>
          <w:iCs/>
        </w:rPr>
        <w:t>S</w:t>
      </w:r>
      <w:r w:rsidR="00BD7431">
        <w:t>: the fact that we do or don't happen to know which state a classical memory device is in does not affect its accessible phase space volume</w:t>
      </w:r>
      <w:r w:rsidR="008C37B2">
        <w:t>.</w:t>
      </w:r>
      <w:r w:rsidR="00BD7431">
        <w:rPr>
          <w:rStyle w:val="FootnoteReference"/>
        </w:rPr>
        <w:footnoteReference w:id="3"/>
      </w:r>
      <w:r w:rsidR="008C37B2">
        <w:t xml:space="preserve"> </w:t>
      </w:r>
      <w:r w:rsidR="00764DFD">
        <w:rPr>
          <w:rFonts w:ascii="Arial" w:hAnsi="Arial" w:cs="Arial"/>
          <w:color w:val="222222"/>
          <w:sz w:val="20"/>
          <w:szCs w:val="20"/>
          <w:shd w:val="clear" w:color="auto" w:fill="FFFFFF"/>
        </w:rPr>
        <w:t xml:space="preserve"> </w:t>
      </w:r>
      <w:r w:rsidR="00625CBF">
        <w:t>In contrast</w:t>
      </w:r>
      <w:r w:rsidR="00BD7431">
        <w:t>,</w:t>
      </w:r>
      <w:r w:rsidR="00857E31">
        <w:t xml:space="preserve"> </w:t>
      </w:r>
      <w:r w:rsidR="00BD7431" w:rsidRPr="00AB7B12">
        <w:rPr>
          <w:i/>
          <w:iCs/>
        </w:rPr>
        <w:t>I</w:t>
      </w:r>
      <w:r w:rsidR="00BD7431">
        <w:rPr>
          <w:i/>
          <w:iCs/>
          <w:vertAlign w:val="subscript"/>
        </w:rPr>
        <w:t>O</w:t>
      </w:r>
      <w:r w:rsidR="00BD7431" w:rsidRPr="00AB7B12">
        <w:rPr>
          <w:vertAlign w:val="subscript"/>
        </w:rPr>
        <w:t xml:space="preserve"> </w:t>
      </w:r>
      <w:r w:rsidR="00BD7431">
        <w:t xml:space="preserve"> </w:t>
      </w:r>
      <w:r w:rsidR="00625CBF">
        <w:t>can</w:t>
      </w:r>
      <w:r w:rsidR="00BD7431">
        <w:t xml:space="preserve"> be interpreted as a generalized form of thermodynamic entropy due to the complementary relationship between incompatible observables in quantum systems</w:t>
      </w:r>
      <w:r w:rsidR="00F56917">
        <w:t xml:space="preserve"> and the fact that such systems </w:t>
      </w:r>
      <w:r w:rsidR="00507BC8">
        <w:t>do not</w:t>
      </w:r>
      <w:r w:rsidR="00F56917">
        <w:t xml:space="preserve"> possess any particular </w:t>
      </w:r>
      <w:r w:rsidR="00AE3B62">
        <w:t xml:space="preserve">determinate </w:t>
      </w:r>
      <w:r w:rsidR="00F56917">
        <w:t>value independently of measurement</w:t>
      </w:r>
      <w:r w:rsidR="00BD7431">
        <w:t>.</w:t>
      </w:r>
      <w:r w:rsidR="002035F4">
        <w:rPr>
          <w:rStyle w:val="FootnoteReference"/>
        </w:rPr>
        <w:footnoteReference w:id="4"/>
      </w:r>
      <w:r w:rsidR="00BD7431">
        <w:t xml:space="preserve"> </w:t>
      </w:r>
      <w:r w:rsidR="00454F28">
        <w:t xml:space="preserve"> </w:t>
      </w:r>
      <w:r w:rsidR="00BD7431">
        <w:t xml:space="preserve">In </w:t>
      </w:r>
      <w:r w:rsidR="00B87873">
        <w:t xml:space="preserve">this spirit, we re-label </w:t>
      </w:r>
      <w:r w:rsidR="00B87873" w:rsidRPr="00DF6F27">
        <w:rPr>
          <w:i/>
          <w:iCs/>
        </w:rPr>
        <w:t>I</w:t>
      </w:r>
      <w:r w:rsidR="00B87873" w:rsidRPr="00DF6F27">
        <w:rPr>
          <w:i/>
          <w:iCs/>
          <w:vertAlign w:val="subscript"/>
        </w:rPr>
        <w:t>O</w:t>
      </w:r>
      <w:r w:rsidR="00B87873">
        <w:rPr>
          <w:i/>
          <w:iCs/>
          <w:vertAlign w:val="subscript"/>
        </w:rPr>
        <w:t xml:space="preserve"> </w:t>
      </w:r>
      <w:r w:rsidR="00B87873">
        <w:t xml:space="preserve">as </w:t>
      </w:r>
      <w:r w:rsidR="00B87873" w:rsidRPr="00B87873">
        <w:rPr>
          <w:i/>
          <w:iCs/>
        </w:rPr>
        <w:t>I</w:t>
      </w:r>
      <w:r w:rsidR="00B87873" w:rsidRPr="00B87873">
        <w:rPr>
          <w:i/>
          <w:iCs/>
          <w:vertAlign w:val="subscript"/>
        </w:rPr>
        <w:t>Q</w:t>
      </w:r>
      <w:r w:rsidR="004264A2">
        <w:t xml:space="preserve"> </w:t>
      </w:r>
      <w:r w:rsidR="00C57859">
        <w:t xml:space="preserve">. </w:t>
      </w:r>
    </w:p>
    <w:p w14:paraId="790E49A9" w14:textId="77777777" w:rsidR="00601F9B" w:rsidRDefault="00601F9B"/>
    <w:p w14:paraId="0FB6FB25" w14:textId="16492E2A" w:rsidR="00A54A5A" w:rsidRDefault="00697779">
      <w:r>
        <w:tab/>
      </w:r>
      <w:r w:rsidR="005B14D0">
        <w:t>Thus, f</w:t>
      </w:r>
      <w:r w:rsidR="00EF21A4">
        <w:t>or the quantum situation,</w:t>
      </w:r>
      <w:r w:rsidR="00EC3FBD">
        <w:t xml:space="preserve"> the traditional Boltzmann and other forms of classical thermodynamic entropy must be generalized to accommodate the fundamental quantum level at which Nature operates, since those traditional forms assume values of incompatible observables to be simultaneously determinate, as in the classical phase space description</w:t>
      </w:r>
      <w:r w:rsidR="00EF2EE0">
        <w:t xml:space="preserve"> (and tacitly assume all uncertainty as epistemic)</w:t>
      </w:r>
      <w:r w:rsidR="00EC3FBD">
        <w:t xml:space="preserve">. </w:t>
      </w:r>
      <w:r w:rsidR="00EF21A4">
        <w:t xml:space="preserve">Instead, we must treat the position and momentum state spaces </w:t>
      </w:r>
      <w:r w:rsidR="002838E7">
        <w:t>separately</w:t>
      </w:r>
      <w:r w:rsidR="00EF21A4">
        <w:t>, while taking into account their mutual constraint due to the</w:t>
      </w:r>
      <w:r w:rsidR="002562DB">
        <w:t xml:space="preserve">ir Fourier-transform relationship (which </w:t>
      </w:r>
      <w:r w:rsidR="00207A2D">
        <w:t>implies</w:t>
      </w:r>
      <w:r w:rsidR="002562DB">
        <w:t xml:space="preserve"> the</w:t>
      </w:r>
      <w:r w:rsidR="00EF21A4">
        <w:t xml:space="preserve"> uncertainty principle</w:t>
      </w:r>
      <w:r w:rsidR="002562DB">
        <w:t>)</w:t>
      </w:r>
      <w:r w:rsidR="00EF21A4">
        <w:t>.</w:t>
      </w:r>
      <w:r w:rsidR="003016FD">
        <w:t xml:space="preserve">  Thus, if one is dealing with a quantum system in some prepared state, the entropy associated with that state is properly understood as a measure of uncertainty that is irreducibly a </w:t>
      </w:r>
      <w:r w:rsidR="003016FD" w:rsidRPr="00304AA6">
        <w:rPr>
          <w:i/>
          <w:iCs/>
        </w:rPr>
        <w:t>joint</w:t>
      </w:r>
      <w:r w:rsidR="003016FD" w:rsidRPr="004F0C43">
        <w:rPr>
          <w:i/>
          <w:iCs/>
        </w:rPr>
        <w:t xml:space="preserve"> entropy</w:t>
      </w:r>
      <w:r w:rsidR="003016FD">
        <w:t xml:space="preserve"> corresponding to incompatible sets of observables.</w:t>
      </w:r>
    </w:p>
    <w:p w14:paraId="7142CB7B" w14:textId="77777777" w:rsidR="003127AA" w:rsidRDefault="003127AA"/>
    <w:p w14:paraId="5BECE04A" w14:textId="36304C23" w:rsidR="00A54A5A" w:rsidRDefault="002844EA">
      <w:r>
        <w:t xml:space="preserve"> </w:t>
      </w:r>
      <w:r w:rsidR="00697779">
        <w:tab/>
      </w:r>
      <w:r w:rsidR="00A54A5A">
        <w:t xml:space="preserve">The concept of joint entropy </w:t>
      </w:r>
      <w:r w:rsidR="007E0F3E">
        <w:t xml:space="preserve">applicable to the quantum </w:t>
      </w:r>
      <w:r w:rsidR="005D0882">
        <w:t>case</w:t>
      </w:r>
      <w:r w:rsidR="007E0F3E">
        <w:t xml:space="preserve"> </w:t>
      </w:r>
      <w:r w:rsidR="00A54A5A">
        <w:t xml:space="preserve">was studied by Hirschman (1957) and </w:t>
      </w:r>
      <w:proofErr w:type="spellStart"/>
      <w:r w:rsidR="00A54A5A">
        <w:t>Leipnik</w:t>
      </w:r>
      <w:proofErr w:type="spellEnd"/>
      <w:r w:rsidR="00A54A5A">
        <w:t xml:space="preserve"> (1959)</w:t>
      </w:r>
      <w:r w:rsidR="00C8377A">
        <w:t>, who built on the pioneering work of Weyl (</w:t>
      </w:r>
      <w:r w:rsidR="00071F69">
        <w:t>1928</w:t>
      </w:r>
      <w:r w:rsidR="00C8377A">
        <w:t>)</w:t>
      </w:r>
      <w:r w:rsidR="00A54A5A">
        <w:t xml:space="preserve">. These studies yielded a quantitative expression for </w:t>
      </w:r>
      <w:r w:rsidR="00064E24">
        <w:t>the joint entropy for Fourier transform pairs such as position and momentum.</w:t>
      </w:r>
      <w:r w:rsidR="001D42E4">
        <w:t xml:space="preserve"> Specifically, we have the relation:</w:t>
      </w:r>
      <w:r w:rsidR="006F39C4">
        <w:rPr>
          <w:rStyle w:val="FootnoteReference"/>
        </w:rPr>
        <w:footnoteReference w:id="5"/>
      </w:r>
    </w:p>
    <w:p w14:paraId="773FB796" w14:textId="77777777" w:rsidR="007E0F3E" w:rsidRDefault="007E0F3E"/>
    <w:p w14:paraId="6CE9FA9F" w14:textId="77777777" w:rsidR="007E0F3E" w:rsidRDefault="007E0F3E"/>
    <w:p w14:paraId="2645F0CC" w14:textId="489D02BA" w:rsidR="001D42E4" w:rsidRPr="002E31CA" w:rsidRDefault="00FF1BF7">
      <w:pPr>
        <w:rPr>
          <w:rFonts w:eastAsiaTheme="minorEastAsia"/>
        </w:rPr>
      </w:pPr>
      <m:oMath>
        <m:r>
          <w:rPr>
            <w:rFonts w:ascii="Cambria Math" w:hAnsi="Cambria Math"/>
          </w:rPr>
          <w:lastRenderedPageBreak/>
          <m:t xml:space="preserve">       -</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x</m:t>
                        </m:r>
                      </m:e>
                    </m:d>
                  </m:e>
                </m:d>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x</m:t>
                            </m:r>
                          </m:e>
                        </m:d>
                      </m:e>
                    </m:d>
                  </m:e>
                  <m:sup>
                    <m:r>
                      <w:rPr>
                        <w:rFonts w:ascii="Cambria Math" w:hAnsi="Cambria Math"/>
                      </w:rPr>
                      <m:t>2</m:t>
                    </m:r>
                  </m:sup>
                </m:sSup>
              </m:e>
            </m:func>
            <m:r>
              <w:rPr>
                <w:rFonts w:ascii="Cambria Math" w:hAnsi="Cambria Math"/>
              </w:rPr>
              <m:t>dx-</m:t>
            </m:r>
          </m:e>
        </m:nary>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φ</m:t>
                    </m:r>
                    <m:d>
                      <m:dPr>
                        <m:ctrlPr>
                          <w:rPr>
                            <w:rFonts w:ascii="Cambria Math" w:hAnsi="Cambria Math"/>
                            <w:i/>
                          </w:rPr>
                        </m:ctrlPr>
                      </m:dPr>
                      <m:e>
                        <m:r>
                          <w:rPr>
                            <w:rFonts w:ascii="Cambria Math" w:hAnsi="Cambria Math"/>
                          </w:rPr>
                          <m:t>p</m:t>
                        </m:r>
                      </m:e>
                    </m:d>
                  </m:e>
                </m:d>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φ</m:t>
                        </m:r>
                        <m:d>
                          <m:dPr>
                            <m:ctrlPr>
                              <w:rPr>
                                <w:rFonts w:ascii="Cambria Math" w:hAnsi="Cambria Math"/>
                                <w:i/>
                              </w:rPr>
                            </m:ctrlPr>
                          </m:dPr>
                          <m:e>
                            <m:r>
                              <w:rPr>
                                <w:rFonts w:ascii="Cambria Math" w:hAnsi="Cambria Math"/>
                              </w:rPr>
                              <m:t>p</m:t>
                            </m:r>
                          </m:e>
                        </m:d>
                      </m:e>
                    </m:d>
                  </m:e>
                  <m:sup>
                    <m:r>
                      <w:rPr>
                        <w:rFonts w:ascii="Cambria Math" w:hAnsi="Cambria Math"/>
                      </w:rPr>
                      <m:t>2</m:t>
                    </m:r>
                  </m:sup>
                </m:sSup>
              </m:e>
            </m:func>
            <m:r>
              <w:rPr>
                <w:rFonts w:ascii="Cambria Math" w:hAnsi="Cambria Math"/>
              </w:rPr>
              <m:t>dp≥</m:t>
            </m:r>
          </m:e>
        </m:nary>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he</m:t>
                    </m:r>
                  </m:num>
                  <m:den>
                    <m:r>
                      <w:rPr>
                        <w:rFonts w:ascii="Cambria Math" w:hAnsi="Cambria Math"/>
                      </w:rPr>
                      <m:t>2</m:t>
                    </m:r>
                  </m:den>
                </m:f>
              </m:e>
            </m:d>
          </m:e>
        </m:func>
        <m:r>
          <w:rPr>
            <w:rFonts w:ascii="Cambria Math" w:hAnsi="Cambria Math"/>
          </w:rPr>
          <m:t xml:space="preserve">   </m:t>
        </m:r>
      </m:oMath>
      <w:r w:rsidR="00CF6FBC">
        <w:rPr>
          <w:rFonts w:eastAsiaTheme="minorEastAsia"/>
        </w:rPr>
        <w:tab/>
      </w:r>
      <w:r>
        <w:rPr>
          <w:rFonts w:eastAsiaTheme="minorEastAsia"/>
        </w:rPr>
        <w:tab/>
      </w:r>
      <w:r w:rsidR="00CF6FBC">
        <w:rPr>
          <w:rFonts w:eastAsiaTheme="minorEastAsia"/>
        </w:rPr>
        <w:t>(1)</w:t>
      </w:r>
    </w:p>
    <w:p w14:paraId="69B8E88D" w14:textId="77777777" w:rsidR="002E31CA" w:rsidRDefault="002E31CA">
      <w:pPr>
        <w:rPr>
          <w:rFonts w:eastAsiaTheme="minorEastAsia"/>
        </w:rPr>
      </w:pPr>
    </w:p>
    <w:p w14:paraId="6268135F" w14:textId="6B85811A" w:rsidR="00F81F1C" w:rsidRDefault="002E31CA">
      <w:pPr>
        <w:rPr>
          <w:rFonts w:eastAsiaTheme="minorEastAsia"/>
        </w:rPr>
      </w:pPr>
      <w:r>
        <w:rPr>
          <w:rFonts w:eastAsiaTheme="minorEastAsia"/>
        </w:rPr>
        <w:t xml:space="preserve">where the left-hand side is the joint entropy </w:t>
      </w:r>
      <w:r w:rsidRPr="002B3C5B">
        <w:rPr>
          <w:rFonts w:ascii="Times New Roman" w:eastAsiaTheme="minorEastAsia" w:hAnsi="Times New Roman" w:cs="Times New Roman"/>
          <w:i/>
          <w:iCs/>
        </w:rPr>
        <w:t>L</w:t>
      </w:r>
      <w:r>
        <w:rPr>
          <w:rFonts w:eastAsiaTheme="minorEastAsia"/>
        </w:rPr>
        <w:t xml:space="preserve">. </w:t>
      </w:r>
      <w:r w:rsidR="00225AA4">
        <w:rPr>
          <w:rFonts w:eastAsiaTheme="minorEastAsia"/>
        </w:rPr>
        <w:t xml:space="preserve"> </w:t>
      </w:r>
      <w:r w:rsidR="00F81F1C">
        <w:rPr>
          <w:rFonts w:eastAsiaTheme="minorEastAsia"/>
        </w:rPr>
        <w:t xml:space="preserve">The associated </w:t>
      </w:r>
      <w:r w:rsidR="00CA6549">
        <w:rPr>
          <w:rFonts w:eastAsiaTheme="minorEastAsia"/>
        </w:rPr>
        <w:t xml:space="preserve">relation for </w:t>
      </w:r>
      <w:r w:rsidR="006130BE">
        <w:rPr>
          <w:rFonts w:eastAsiaTheme="minorEastAsia"/>
        </w:rPr>
        <w:t>dimensionless</w:t>
      </w:r>
      <w:r w:rsidR="00F81F1C">
        <w:rPr>
          <w:rFonts w:eastAsiaTheme="minorEastAsia"/>
        </w:rPr>
        <w:t xml:space="preserve"> entropy</w:t>
      </w:r>
      <w:r w:rsidR="00B92153">
        <w:rPr>
          <w:rFonts w:eastAsiaTheme="minorEastAsia"/>
        </w:rPr>
        <w:t>, i.e.,</w:t>
      </w:r>
      <w:r w:rsidR="00F81F1C">
        <w:rPr>
          <w:rFonts w:eastAsiaTheme="minorEastAsia"/>
        </w:rPr>
        <w:t xml:space="preserve"> </w:t>
      </w:r>
      <w:r w:rsidR="00B92153">
        <w:rPr>
          <w:rFonts w:eastAsiaTheme="minorEastAsia"/>
        </w:rPr>
        <w:t>the</w:t>
      </w:r>
      <w:r w:rsidR="00F81F1C">
        <w:rPr>
          <w:rFonts w:eastAsiaTheme="minorEastAsia"/>
        </w:rPr>
        <w:t xml:space="preserve"> joint </w:t>
      </w:r>
      <w:r w:rsidR="00E940E5">
        <w:rPr>
          <w:rFonts w:eastAsiaTheme="minorEastAsia"/>
        </w:rPr>
        <w:t xml:space="preserve">quantum </w:t>
      </w:r>
      <w:r w:rsidR="00F81F1C">
        <w:rPr>
          <w:rFonts w:eastAsiaTheme="minorEastAsia"/>
        </w:rPr>
        <w:t xml:space="preserve">information </w:t>
      </w:r>
      <w:r w:rsidR="001D1F83" w:rsidRPr="00EC3D92">
        <w:rPr>
          <w:rFonts w:ascii="Times New Roman" w:eastAsiaTheme="minorEastAsia" w:hAnsi="Times New Roman" w:cs="Times New Roman"/>
          <w:i/>
          <w:iCs/>
        </w:rPr>
        <w:t>I</w:t>
      </w:r>
      <w:r w:rsidR="00A51CAC" w:rsidRPr="00EC3D92">
        <w:rPr>
          <w:rFonts w:ascii="Times New Roman" w:eastAsiaTheme="minorEastAsia" w:hAnsi="Times New Roman" w:cs="Times New Roman"/>
          <w:i/>
          <w:iCs/>
          <w:vertAlign w:val="subscript"/>
        </w:rPr>
        <w:t>Q</w:t>
      </w:r>
      <w:r w:rsidR="001D1F83">
        <w:rPr>
          <w:rFonts w:eastAsiaTheme="minorEastAsia"/>
        </w:rPr>
        <w:t xml:space="preserve"> </w:t>
      </w:r>
      <w:r w:rsidR="00F81F1C">
        <w:rPr>
          <w:rFonts w:eastAsiaTheme="minorEastAsia"/>
        </w:rPr>
        <w:t>is</w:t>
      </w:r>
      <w:r w:rsidR="00837BF1">
        <w:rPr>
          <w:rFonts w:eastAsiaTheme="minorEastAsia"/>
        </w:rPr>
        <w:t xml:space="preserve"> defined as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m:t>
            </m:r>
          </m:sub>
        </m:sSub>
        <m:r>
          <w:rPr>
            <w:rFonts w:ascii="Cambria Math" w:eastAsiaTheme="minorEastAsia" w:hAnsi="Cambria Math"/>
          </w:rPr>
          <m:t>=L-ln h:</m:t>
        </m:r>
      </m:oMath>
    </w:p>
    <w:p w14:paraId="75062535" w14:textId="77777777" w:rsidR="0059358C" w:rsidRDefault="0059358C">
      <w:pPr>
        <w:rPr>
          <w:rFonts w:eastAsiaTheme="minorEastAsia"/>
        </w:rPr>
      </w:pPr>
    </w:p>
    <w:p w14:paraId="70CB2694" w14:textId="77777777" w:rsidR="0059358C" w:rsidRDefault="0059358C" w:rsidP="0059358C"/>
    <w:p w14:paraId="3C93EC89" w14:textId="5AD274D8" w:rsidR="0059358C" w:rsidRPr="002E31CA" w:rsidRDefault="0059358C" w:rsidP="0059358C">
      <w:pPr>
        <w:rPr>
          <w:rFonts w:eastAsiaTheme="minorEastAsia"/>
        </w:rPr>
      </w:pPr>
      <m:oMath>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Q</m:t>
            </m:r>
          </m:sub>
        </m:sSub>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x</m:t>
                        </m:r>
                      </m:e>
                    </m:d>
                  </m:e>
                </m:d>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ψ</m:t>
                        </m:r>
                        <m:d>
                          <m:dPr>
                            <m:ctrlPr>
                              <w:rPr>
                                <w:rFonts w:ascii="Cambria Math" w:hAnsi="Cambria Math"/>
                                <w:i/>
                              </w:rPr>
                            </m:ctrlPr>
                          </m:dPr>
                          <m:e>
                            <m:r>
                              <w:rPr>
                                <w:rFonts w:ascii="Cambria Math" w:hAnsi="Cambria Math"/>
                              </w:rPr>
                              <m:t>x</m:t>
                            </m:r>
                          </m:e>
                        </m:d>
                      </m:e>
                    </m:d>
                  </m:e>
                  <m:sup>
                    <m:r>
                      <w:rPr>
                        <w:rFonts w:ascii="Cambria Math" w:hAnsi="Cambria Math"/>
                      </w:rPr>
                      <m:t>2</m:t>
                    </m:r>
                  </m:sup>
                </m:sSup>
              </m:e>
            </m:func>
            <m:r>
              <w:rPr>
                <w:rFonts w:ascii="Cambria Math" w:hAnsi="Cambria Math"/>
              </w:rPr>
              <m:t>dx-</m:t>
            </m:r>
          </m:e>
        </m:nary>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φ</m:t>
                    </m:r>
                    <m:d>
                      <m:dPr>
                        <m:ctrlPr>
                          <w:rPr>
                            <w:rFonts w:ascii="Cambria Math" w:hAnsi="Cambria Math"/>
                            <w:i/>
                          </w:rPr>
                        </m:ctrlPr>
                      </m:dPr>
                      <m:e>
                        <m:r>
                          <w:rPr>
                            <w:rFonts w:ascii="Cambria Math" w:hAnsi="Cambria Math"/>
                          </w:rPr>
                          <m:t>p</m:t>
                        </m:r>
                      </m:e>
                    </m:d>
                  </m:e>
                </m:d>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φ</m:t>
                        </m:r>
                        <m:d>
                          <m:dPr>
                            <m:ctrlPr>
                              <w:rPr>
                                <w:rFonts w:ascii="Cambria Math" w:hAnsi="Cambria Math"/>
                                <w:i/>
                              </w:rPr>
                            </m:ctrlPr>
                          </m:dPr>
                          <m:e>
                            <m:r>
                              <w:rPr>
                                <w:rFonts w:ascii="Cambria Math" w:hAnsi="Cambria Math"/>
                              </w:rPr>
                              <m:t>p</m:t>
                            </m:r>
                          </m:e>
                        </m:d>
                      </m:e>
                    </m:d>
                  </m:e>
                  <m:sup>
                    <m:r>
                      <w:rPr>
                        <w:rFonts w:ascii="Cambria Math" w:hAnsi="Cambria Math"/>
                      </w:rPr>
                      <m:t>2</m:t>
                    </m:r>
                  </m:sup>
                </m:sSup>
              </m:e>
            </m:func>
            <m:r>
              <w:rPr>
                <w:rFonts w:ascii="Cambria Math" w:hAnsi="Cambria Math"/>
              </w:rPr>
              <m:t>dp-ln h≥</m:t>
            </m:r>
          </m:e>
        </m:nary>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e</m:t>
                    </m:r>
                  </m:num>
                  <m:den>
                    <m:r>
                      <w:rPr>
                        <w:rFonts w:ascii="Cambria Math" w:hAnsi="Cambria Math"/>
                      </w:rPr>
                      <m:t>2</m:t>
                    </m:r>
                  </m:den>
                </m:f>
              </m:e>
            </m:d>
          </m:e>
        </m:func>
        <m:r>
          <w:rPr>
            <w:rFonts w:ascii="Cambria Math" w:hAnsi="Cambria Math"/>
          </w:rPr>
          <m:t xml:space="preserve">   </m:t>
        </m:r>
      </m:oMath>
      <w:r>
        <w:rPr>
          <w:rFonts w:eastAsiaTheme="minorEastAsia"/>
        </w:rPr>
        <w:tab/>
      </w:r>
      <w:r>
        <w:rPr>
          <w:rFonts w:eastAsiaTheme="minorEastAsia"/>
        </w:rPr>
        <w:tab/>
        <w:t>(2)</w:t>
      </w:r>
    </w:p>
    <w:p w14:paraId="11792D4A" w14:textId="77777777" w:rsidR="0059358C" w:rsidRDefault="0059358C">
      <w:pPr>
        <w:rPr>
          <w:rFonts w:eastAsiaTheme="minorEastAsia"/>
        </w:rPr>
      </w:pPr>
    </w:p>
    <w:p w14:paraId="1649FB27" w14:textId="77777777" w:rsidR="00F81F1C" w:rsidRDefault="00F81F1C">
      <w:pPr>
        <w:rPr>
          <w:rFonts w:eastAsiaTheme="minorEastAsia"/>
        </w:rPr>
      </w:pPr>
    </w:p>
    <w:p w14:paraId="789B8503" w14:textId="7D5B0BAC" w:rsidR="001355EF" w:rsidRDefault="00697779">
      <w:pPr>
        <w:rPr>
          <w:rFonts w:eastAsiaTheme="minorEastAsia"/>
        </w:rPr>
      </w:pPr>
      <w:r>
        <w:rPr>
          <w:rFonts w:eastAsiaTheme="minorEastAsia"/>
        </w:rPr>
        <w:tab/>
      </w:r>
      <w:r w:rsidR="00225AA4">
        <w:rPr>
          <w:rFonts w:eastAsiaTheme="minorEastAsia"/>
        </w:rPr>
        <w:t xml:space="preserve">Note that this </w:t>
      </w:r>
      <w:r w:rsidR="00387000">
        <w:rPr>
          <w:rFonts w:eastAsiaTheme="minorEastAsia"/>
        </w:rPr>
        <w:t xml:space="preserve">quantity </w:t>
      </w:r>
      <w:r w:rsidR="00225AA4">
        <w:rPr>
          <w:rFonts w:eastAsiaTheme="minorEastAsia"/>
        </w:rPr>
        <w:t>reflects</w:t>
      </w:r>
      <w:r w:rsidR="005470A4">
        <w:rPr>
          <w:rFonts w:eastAsiaTheme="minorEastAsia"/>
        </w:rPr>
        <w:t xml:space="preserve"> </w:t>
      </w:r>
      <w:r w:rsidR="003E004F">
        <w:rPr>
          <w:rFonts w:eastAsiaTheme="minorEastAsia"/>
        </w:rPr>
        <w:t xml:space="preserve">the </w:t>
      </w:r>
      <w:r w:rsidR="000F77C8">
        <w:rPr>
          <w:rFonts w:eastAsiaTheme="minorEastAsia"/>
        </w:rPr>
        <w:t>accessible</w:t>
      </w:r>
      <w:r w:rsidR="00061108">
        <w:rPr>
          <w:rFonts w:eastAsiaTheme="minorEastAsia"/>
        </w:rPr>
        <w:t xml:space="preserve"> </w:t>
      </w:r>
      <w:r w:rsidR="0053146F">
        <w:rPr>
          <w:rFonts w:eastAsiaTheme="minorEastAsia"/>
        </w:rPr>
        <w:t xml:space="preserve">position and momentum </w:t>
      </w:r>
      <w:r w:rsidR="00061108">
        <w:rPr>
          <w:rFonts w:eastAsiaTheme="minorEastAsia"/>
        </w:rPr>
        <w:t>state space</w:t>
      </w:r>
      <w:r w:rsidR="005470A4">
        <w:rPr>
          <w:rFonts w:eastAsiaTheme="minorEastAsia"/>
        </w:rPr>
        <w:t>s</w:t>
      </w:r>
      <w:r w:rsidR="00061108">
        <w:rPr>
          <w:rFonts w:eastAsiaTheme="minorEastAsia"/>
        </w:rPr>
        <w:t xml:space="preserve"> corresponding to</w:t>
      </w:r>
      <w:r w:rsidR="00EA4E4F">
        <w:rPr>
          <w:rFonts w:eastAsiaTheme="minorEastAsia"/>
        </w:rPr>
        <w:t xml:space="preserve"> an objective uncertainty or spread in </w:t>
      </w:r>
      <w:proofErr w:type="gramStart"/>
      <w:r w:rsidR="00EA4E4F">
        <w:rPr>
          <w:rFonts w:eastAsiaTheme="minorEastAsia"/>
        </w:rPr>
        <w:t>values</w:t>
      </w:r>
      <w:r w:rsidR="00225AA4">
        <w:rPr>
          <w:vertAlign w:val="subscript"/>
        </w:rPr>
        <w:t xml:space="preserve">,  </w:t>
      </w:r>
      <w:r w:rsidR="00225AA4" w:rsidRPr="00225AA4">
        <w:t>since</w:t>
      </w:r>
      <w:proofErr w:type="gramEnd"/>
      <w:r w:rsidR="00F6686B">
        <w:t xml:space="preserve"> for general </w:t>
      </w:r>
      <m:oMath>
        <m:r>
          <w:rPr>
            <w:rFonts w:ascii="Cambria Math" w:hAnsi="Cambria Math"/>
          </w:rPr>
          <m:t>ψ</m:t>
        </m:r>
        <m:d>
          <m:dPr>
            <m:ctrlPr>
              <w:rPr>
                <w:rFonts w:ascii="Cambria Math" w:hAnsi="Cambria Math"/>
                <w:i/>
              </w:rPr>
            </m:ctrlPr>
          </m:dPr>
          <m:e>
            <m:r>
              <w:rPr>
                <w:rFonts w:ascii="Cambria Math" w:hAnsi="Cambria Math"/>
              </w:rPr>
              <m:t>x</m:t>
            </m:r>
          </m:e>
        </m:d>
      </m:oMath>
      <w:r w:rsidR="003267E2">
        <w:t xml:space="preserve"> there is no fact of the matter about the system's possession of </w:t>
      </w:r>
      <w:r w:rsidR="004768CB">
        <w:t>any particular value of either observable.</w:t>
      </w:r>
      <w:r w:rsidR="00225AA4">
        <w:t xml:space="preserve"> </w:t>
      </w:r>
      <w:r w:rsidR="00225AA4">
        <w:rPr>
          <w:vertAlign w:val="subscript"/>
        </w:rPr>
        <w:t xml:space="preserve"> </w:t>
      </w:r>
      <w:r w:rsidR="00CF6FBC">
        <w:rPr>
          <w:rFonts w:eastAsiaTheme="minorEastAsia"/>
        </w:rPr>
        <w:t xml:space="preserve">For </w:t>
      </w:r>
      <m:oMath>
        <m:r>
          <w:rPr>
            <w:rFonts w:ascii="Cambria Math" w:hAnsi="Cambria Math"/>
          </w:rPr>
          <m:t>ψ</m:t>
        </m:r>
        <m:d>
          <m:dPr>
            <m:ctrlPr>
              <w:rPr>
                <w:rFonts w:ascii="Cambria Math" w:hAnsi="Cambria Math"/>
                <w:i/>
              </w:rPr>
            </m:ctrlPr>
          </m:dPr>
          <m:e>
            <m:r>
              <w:rPr>
                <w:rFonts w:ascii="Cambria Math" w:hAnsi="Cambria Math"/>
              </w:rPr>
              <m:t>x</m:t>
            </m:r>
          </m:e>
        </m:d>
        <m:r>
          <w:rPr>
            <w:rFonts w:ascii="Cambria Math" w:hAnsi="Cambria Math"/>
          </w:rPr>
          <m:t xml:space="preserve"> </m:t>
        </m:r>
      </m:oMath>
      <w:r w:rsidR="00CF6FBC">
        <w:rPr>
          <w:rFonts w:eastAsiaTheme="minorEastAsia"/>
        </w:rPr>
        <w:t xml:space="preserve">a Gaussian, (1) </w:t>
      </w:r>
      <w:r w:rsidR="006C2192">
        <w:rPr>
          <w:rFonts w:eastAsiaTheme="minorEastAsia"/>
        </w:rPr>
        <w:t xml:space="preserve">and (2) </w:t>
      </w:r>
      <w:r w:rsidR="00CF6FBC">
        <w:rPr>
          <w:rFonts w:eastAsiaTheme="minorEastAsia"/>
        </w:rPr>
        <w:t>become  equalit</w:t>
      </w:r>
      <w:r w:rsidR="006C2192">
        <w:rPr>
          <w:rFonts w:eastAsiaTheme="minorEastAsia"/>
        </w:rPr>
        <w:t>ies</w:t>
      </w:r>
      <w:r w:rsidR="00CF6FBC">
        <w:rPr>
          <w:rFonts w:eastAsiaTheme="minorEastAsia"/>
        </w:rPr>
        <w:t>.</w:t>
      </w:r>
      <w:r w:rsidR="00156B0E">
        <w:rPr>
          <w:rFonts w:eastAsiaTheme="minorEastAsia"/>
        </w:rPr>
        <w:t xml:space="preserve"> </w:t>
      </w:r>
      <w:r w:rsidR="00586F45">
        <w:rPr>
          <w:rFonts w:eastAsiaTheme="minorEastAsia"/>
        </w:rPr>
        <w:t>In this case, it is clear that any reduction in the entropy associated with either observable must be compensated by an increase by the same amount in the complementary observable.</w:t>
      </w:r>
      <w:r w:rsidR="00CE34EF">
        <w:rPr>
          <w:rFonts w:eastAsiaTheme="minorEastAsia"/>
        </w:rPr>
        <w:t xml:space="preserve"> </w:t>
      </w:r>
      <w:r w:rsidR="001C40FA">
        <w:rPr>
          <w:rFonts w:eastAsiaTheme="minorEastAsia"/>
        </w:rPr>
        <w:t xml:space="preserve">Since thermal states correspond to Gaussian distributions, </w:t>
      </w:r>
      <w:r w:rsidR="00D72FEB">
        <w:rPr>
          <w:rFonts w:eastAsiaTheme="minorEastAsia"/>
        </w:rPr>
        <w:t>the relation (</w:t>
      </w:r>
      <w:r w:rsidR="00AF38CB">
        <w:rPr>
          <w:rFonts w:eastAsiaTheme="minorEastAsia"/>
        </w:rPr>
        <w:t>2</w:t>
      </w:r>
      <w:r w:rsidR="00D72FEB">
        <w:rPr>
          <w:rFonts w:eastAsiaTheme="minorEastAsia"/>
        </w:rPr>
        <w:t>) impl</w:t>
      </w:r>
      <w:r w:rsidR="00261EC0">
        <w:rPr>
          <w:rFonts w:eastAsiaTheme="minorEastAsia"/>
        </w:rPr>
        <w:t>ies</w:t>
      </w:r>
      <w:r w:rsidR="00D72FEB">
        <w:rPr>
          <w:rFonts w:eastAsiaTheme="minorEastAsia"/>
        </w:rPr>
        <w:t xml:space="preserve"> </w:t>
      </w:r>
      <w:proofErr w:type="spellStart"/>
      <w:r w:rsidR="001C40FA">
        <w:rPr>
          <w:rFonts w:eastAsiaTheme="minorEastAsia"/>
        </w:rPr>
        <w:t>Landauer’s</w:t>
      </w:r>
      <w:proofErr w:type="spellEnd"/>
      <w:r w:rsidR="001C40FA">
        <w:rPr>
          <w:rFonts w:eastAsiaTheme="minorEastAsia"/>
        </w:rPr>
        <w:t xml:space="preserve"> Principle</w:t>
      </w:r>
      <w:r w:rsidR="005443BF">
        <w:rPr>
          <w:rFonts w:eastAsiaTheme="minorEastAsia"/>
        </w:rPr>
        <w:t xml:space="preserve"> (interpreted ontologically as above)</w:t>
      </w:r>
      <w:r w:rsidR="001C40FA">
        <w:rPr>
          <w:rFonts w:eastAsiaTheme="minorEastAsia"/>
        </w:rPr>
        <w:t xml:space="preserve"> for any </w:t>
      </w:r>
      <w:r w:rsidR="004724C6">
        <w:rPr>
          <w:rFonts w:eastAsiaTheme="minorEastAsia"/>
        </w:rPr>
        <w:t xml:space="preserve">quantum </w:t>
      </w:r>
      <w:r w:rsidR="001C40FA">
        <w:rPr>
          <w:rFonts w:eastAsiaTheme="minorEastAsia"/>
        </w:rPr>
        <w:t xml:space="preserve">system in thermal equilibrium. </w:t>
      </w:r>
      <w:r w:rsidR="001355EF">
        <w:rPr>
          <w:rFonts w:eastAsiaTheme="minorEastAsia"/>
        </w:rPr>
        <w:t>We thus conclude that the appropriate quantum-level definition of thermodynamic entropy is</w:t>
      </w:r>
      <w:r w:rsidR="00474D35">
        <w:rPr>
          <w:rFonts w:eastAsiaTheme="minorEastAsia"/>
        </w:rPr>
        <w:t xml:space="preserve"> </w:t>
      </w:r>
      <m:oMath>
        <m:r>
          <w:rPr>
            <w:rFonts w:ascii="Cambria Math" w:eastAsiaTheme="minorEastAsia" w:hAnsi="Cambria Math"/>
          </w:rPr>
          <m:t>S=</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m:t>
            </m:r>
          </m:sub>
        </m:sSub>
      </m:oMath>
      <w:r w:rsidR="00A91AFC">
        <w:rPr>
          <w:rFonts w:eastAsiaTheme="minorEastAsia"/>
        </w:rPr>
        <w:t>.</w:t>
      </w:r>
      <w:r w:rsidR="0093345B">
        <w:rPr>
          <w:rFonts w:eastAsiaTheme="minorEastAsia"/>
        </w:rPr>
        <w:t xml:space="preserve"> Moreover, arguably it is the quantum form of </w:t>
      </w:r>
      <w:proofErr w:type="spellStart"/>
      <w:r w:rsidR="0093345B">
        <w:rPr>
          <w:rFonts w:eastAsiaTheme="minorEastAsia"/>
        </w:rPr>
        <w:t>Landauer's</w:t>
      </w:r>
      <w:proofErr w:type="spellEnd"/>
      <w:r w:rsidR="0093345B">
        <w:rPr>
          <w:rFonts w:eastAsiaTheme="minorEastAsia"/>
        </w:rPr>
        <w:t xml:space="preserve"> Principle that underlies the Second Law. </w:t>
      </w:r>
    </w:p>
    <w:p w14:paraId="3116825E" w14:textId="77777777" w:rsidR="00095834" w:rsidRDefault="00095834">
      <w:pPr>
        <w:rPr>
          <w:rFonts w:eastAsiaTheme="minorEastAsia"/>
        </w:rPr>
      </w:pPr>
    </w:p>
    <w:p w14:paraId="20086403" w14:textId="3E49FFC1" w:rsidR="002E31CA" w:rsidRDefault="0024395E" w:rsidP="00095834">
      <w:pPr>
        <w:ind w:firstLine="720"/>
        <w:rPr>
          <w:rFonts w:eastAsiaTheme="minorEastAsia"/>
        </w:rPr>
      </w:pPr>
      <w:r>
        <w:rPr>
          <w:rFonts w:eastAsiaTheme="minorEastAsia"/>
        </w:rPr>
        <w:t>This point</w:t>
      </w:r>
      <w:r w:rsidR="008F329B">
        <w:rPr>
          <w:rFonts w:eastAsiaTheme="minorEastAsia"/>
        </w:rPr>
        <w:t xml:space="preserve">--that it is quantum uncertainty that </w:t>
      </w:r>
      <w:r w:rsidR="00756839">
        <w:rPr>
          <w:rFonts w:eastAsiaTheme="minorEastAsia"/>
        </w:rPr>
        <w:t>yields</w:t>
      </w:r>
      <w:r w:rsidR="008F329B">
        <w:rPr>
          <w:rFonts w:eastAsiaTheme="minorEastAsia"/>
        </w:rPr>
        <w:t xml:space="preserve"> </w:t>
      </w:r>
      <w:proofErr w:type="spellStart"/>
      <w:r w:rsidR="008F329B">
        <w:rPr>
          <w:rFonts w:eastAsiaTheme="minorEastAsia"/>
        </w:rPr>
        <w:t>Landauer's</w:t>
      </w:r>
      <w:proofErr w:type="spellEnd"/>
      <w:r w:rsidR="008F329B">
        <w:rPr>
          <w:rFonts w:eastAsiaTheme="minorEastAsia"/>
        </w:rPr>
        <w:t xml:space="preserve"> Principle--</w:t>
      </w:r>
      <w:r>
        <w:rPr>
          <w:rFonts w:eastAsiaTheme="minorEastAsia"/>
        </w:rPr>
        <w:t xml:space="preserve">has been obscured </w:t>
      </w:r>
      <w:r w:rsidR="002E6F27">
        <w:rPr>
          <w:rFonts w:eastAsiaTheme="minorEastAsia"/>
        </w:rPr>
        <w:t xml:space="preserve">in the literature </w:t>
      </w:r>
      <w:r>
        <w:rPr>
          <w:rFonts w:eastAsiaTheme="minorEastAsia"/>
        </w:rPr>
        <w:t>because</w:t>
      </w:r>
      <w:r w:rsidR="00503672">
        <w:rPr>
          <w:rFonts w:eastAsiaTheme="minorEastAsia"/>
        </w:rPr>
        <w:t xml:space="preserve"> the states of quantum systems in thermal equilibrium are </w:t>
      </w:r>
      <w:r>
        <w:rPr>
          <w:rFonts w:eastAsiaTheme="minorEastAsia"/>
        </w:rPr>
        <w:t xml:space="preserve">usually </w:t>
      </w:r>
      <w:r w:rsidR="00503672">
        <w:rPr>
          <w:rFonts w:eastAsiaTheme="minorEastAsia"/>
        </w:rPr>
        <w:t>given only in terms of the energy (momentum) basis</w:t>
      </w:r>
      <w:r w:rsidR="00E76AA6">
        <w:rPr>
          <w:rFonts w:eastAsiaTheme="minorEastAsia"/>
        </w:rPr>
        <w:t>,</w:t>
      </w:r>
      <w:r w:rsidR="00503672">
        <w:rPr>
          <w:rFonts w:eastAsiaTheme="minorEastAsia"/>
        </w:rPr>
        <w:t xml:space="preserve"> and the position basis is neglected; thus, the constraint represented by (1) </w:t>
      </w:r>
      <w:r w:rsidR="00022DA6">
        <w:rPr>
          <w:rFonts w:eastAsiaTheme="minorEastAsia"/>
        </w:rPr>
        <w:t xml:space="preserve">and (2) </w:t>
      </w:r>
      <w:r w:rsidR="00503672">
        <w:rPr>
          <w:rFonts w:eastAsiaTheme="minorEastAsia"/>
        </w:rPr>
        <w:t>is generally not evident</w:t>
      </w:r>
      <w:r w:rsidR="00FE29A6">
        <w:rPr>
          <w:rFonts w:eastAsiaTheme="minorEastAsia"/>
        </w:rPr>
        <w:t xml:space="preserve"> and not taken into account</w:t>
      </w:r>
      <w:r w:rsidR="00503672">
        <w:rPr>
          <w:rFonts w:eastAsiaTheme="minorEastAsia"/>
        </w:rPr>
        <w:t xml:space="preserve">. </w:t>
      </w:r>
      <w:r w:rsidR="00095834">
        <w:rPr>
          <w:rFonts w:eastAsiaTheme="minorEastAsia"/>
        </w:rPr>
        <w:t>Moreover, the typical state description is that of a</w:t>
      </w:r>
      <w:r w:rsidR="006851AB">
        <w:rPr>
          <w:rFonts w:eastAsiaTheme="minorEastAsia"/>
        </w:rPr>
        <w:t>n ostensibly</w:t>
      </w:r>
      <w:r w:rsidR="00095834">
        <w:rPr>
          <w:rFonts w:eastAsiaTheme="minorEastAsia"/>
        </w:rPr>
        <w:t xml:space="preserve"> proper mixed state such as</w:t>
      </w:r>
    </w:p>
    <w:p w14:paraId="7388BE04" w14:textId="77777777" w:rsidR="00AB6038" w:rsidRDefault="00AB6038" w:rsidP="00095834">
      <w:pPr>
        <w:ind w:firstLine="720"/>
        <w:rPr>
          <w:rFonts w:eastAsiaTheme="minorEastAsia"/>
        </w:rPr>
      </w:pPr>
    </w:p>
    <w:p w14:paraId="361FE358" w14:textId="3037AD1F" w:rsidR="00A10B87" w:rsidRPr="00AB6038" w:rsidRDefault="00AB6038" w:rsidP="006E384C">
      <w:pPr>
        <w:ind w:firstLine="720"/>
        <w:jc w:val="center"/>
        <w:rPr>
          <w:rFonts w:eastAsiaTheme="minorEastAsia"/>
        </w:rPr>
      </w:pPr>
      <m:oMath>
        <m:r>
          <w:rPr>
            <w:rFonts w:ascii="Cambria Math" w:eastAsiaTheme="minorEastAsia" w:hAnsi="Cambria Math"/>
          </w:rPr>
          <m:t>ϱ=</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-β</m:t>
            </m:r>
            <m:acc>
              <m:accPr>
                <m:ctrlPr>
                  <w:rPr>
                    <w:rFonts w:ascii="Cambria Math" w:eastAsiaTheme="minorEastAsia" w:hAnsi="Cambria Math"/>
                    <w:i/>
                  </w:rPr>
                </m:ctrlPr>
              </m:accPr>
              <m:e>
                <m:r>
                  <w:rPr>
                    <w:rFonts w:ascii="Cambria Math" w:eastAsiaTheme="minorEastAsia" w:hAnsi="Cambria Math"/>
                  </w:rPr>
                  <m:t>H</m:t>
                </m:r>
              </m:e>
            </m:acc>
          </m:sup>
        </m:sSup>
        <m:r>
          <w:rPr>
            <w:rFonts w:ascii="Cambria Math" w:eastAsiaTheme="minorEastAsia" w:hAnsi="Cambria Math"/>
          </w:rPr>
          <m:t>/Z</m:t>
        </m:r>
      </m:oMath>
      <w:r>
        <w:rPr>
          <w:rFonts w:eastAsiaTheme="minorEastAsia"/>
        </w:rPr>
        <w:t>,</w:t>
      </w:r>
      <w:r w:rsidR="006E384C">
        <w:rPr>
          <w:rFonts w:eastAsiaTheme="minorEastAsia"/>
        </w:rPr>
        <w:tab/>
      </w:r>
      <w:r w:rsidR="006E384C">
        <w:rPr>
          <w:rFonts w:eastAsiaTheme="minorEastAsia"/>
        </w:rPr>
        <w:tab/>
      </w:r>
      <w:r w:rsidR="006E384C">
        <w:rPr>
          <w:rFonts w:eastAsiaTheme="minorEastAsia"/>
        </w:rPr>
        <w:tab/>
        <w:t>(</w:t>
      </w:r>
      <w:r w:rsidR="00C24824">
        <w:rPr>
          <w:rFonts w:eastAsiaTheme="minorEastAsia"/>
        </w:rPr>
        <w:t>3</w:t>
      </w:r>
      <w:r w:rsidR="006E384C">
        <w:rPr>
          <w:rFonts w:eastAsiaTheme="minorEastAsia"/>
        </w:rPr>
        <w:t>)</w:t>
      </w:r>
    </w:p>
    <w:p w14:paraId="413F4F18" w14:textId="77777777" w:rsidR="00AB6038" w:rsidRDefault="00AB6038" w:rsidP="00095834">
      <w:pPr>
        <w:ind w:firstLine="720"/>
        <w:rPr>
          <w:rFonts w:eastAsiaTheme="minorEastAsia"/>
        </w:rPr>
      </w:pPr>
    </w:p>
    <w:p w14:paraId="374C9A3C" w14:textId="77777777" w:rsidR="00A10B87" w:rsidRDefault="00A10B87" w:rsidP="00095834">
      <w:pPr>
        <w:ind w:firstLine="720"/>
      </w:pPr>
    </w:p>
    <w:p w14:paraId="17CFA6E7" w14:textId="4C45BAD3" w:rsidR="00AC632C" w:rsidRDefault="00C716FF">
      <w:r>
        <w:t>w</w:t>
      </w:r>
      <w:r w:rsidR="00AB6038">
        <w:t>hich</w:t>
      </w:r>
      <w:r w:rsidR="003F5D65">
        <w:t xml:space="preserve"> misrepresents</w:t>
      </w:r>
      <w:r w:rsidR="00AB6038">
        <w:t xml:space="preserve"> the </w:t>
      </w:r>
      <w:r w:rsidR="00710C67">
        <w:t>general</w:t>
      </w:r>
      <w:r w:rsidR="003F5D65">
        <w:t xml:space="preserve"> situation in which </w:t>
      </w:r>
      <w:r w:rsidR="00AB6038">
        <w:t xml:space="preserve">a system </w:t>
      </w:r>
      <w:r w:rsidR="003F5D65">
        <w:t>is</w:t>
      </w:r>
      <w:r w:rsidR="00AB6038">
        <w:t xml:space="preserve"> in a pure state of indeterminate energy (as in </w:t>
      </w:r>
      <w:r w:rsidR="00904CA9">
        <w:t>the situation pertaining to (1))</w:t>
      </w:r>
      <w:r w:rsidR="009E5C02">
        <w:t xml:space="preserve">, or in an improper mixed state (as in the case of entanglement with other quantum systems). </w:t>
      </w:r>
      <w:r w:rsidR="00AB58DA">
        <w:t xml:space="preserve">In </w:t>
      </w:r>
      <w:r w:rsidR="00185471">
        <w:t>either</w:t>
      </w:r>
      <w:r w:rsidR="00AB58DA">
        <w:t xml:space="preserve"> case, it is not legitimate to view a subsystem as being in a determinate </w:t>
      </w:r>
      <w:r w:rsidR="00976E15">
        <w:t xml:space="preserve">(pre-existing) </w:t>
      </w:r>
      <w:r w:rsidR="00AB58DA">
        <w:t xml:space="preserve">but </w:t>
      </w:r>
      <w:r w:rsidR="00976E15">
        <w:t xml:space="preserve">merely </w:t>
      </w:r>
      <w:r w:rsidR="00AB58DA">
        <w:t xml:space="preserve">unknown energy </w:t>
      </w:r>
      <w:r w:rsidR="00BD424E">
        <w:t>state</w:t>
      </w:r>
      <w:r w:rsidR="00AC632C">
        <w:t xml:space="preserve">, so that measuring its energy is not a reversible copying procedure. </w:t>
      </w:r>
      <w:r w:rsidR="0057718A">
        <w:t>Instead, measurement is, in general, irreversible</w:t>
      </w:r>
      <w:r w:rsidR="00C75A60">
        <w:t>.</w:t>
      </w:r>
      <w:r w:rsidR="00B23B68">
        <w:rPr>
          <w:rStyle w:val="FootnoteReference"/>
        </w:rPr>
        <w:footnoteReference w:id="6"/>
      </w:r>
    </w:p>
    <w:p w14:paraId="4D670F30" w14:textId="77777777" w:rsidR="00706C48" w:rsidRDefault="00706C48"/>
    <w:p w14:paraId="4C9243E4" w14:textId="1D74A58F" w:rsidR="00AC26A2" w:rsidRDefault="00706C48">
      <w:pPr>
        <w:rPr>
          <w:rFonts w:eastAsiaTheme="minorEastAsia"/>
        </w:rPr>
      </w:pPr>
      <w:r>
        <w:lastRenderedPageBreak/>
        <w:tab/>
        <w:t>As a simple example</w:t>
      </w:r>
      <w:r w:rsidR="00513807">
        <w:t xml:space="preserve"> of the relevance of (1)</w:t>
      </w:r>
      <w:r>
        <w:t xml:space="preserve">, consider a single gas molecule in a </w:t>
      </w:r>
      <w:r w:rsidR="00617582">
        <w:t xml:space="preserve">large </w:t>
      </w:r>
      <w:r>
        <w:t>box</w:t>
      </w:r>
      <w:r w:rsidR="006F131F">
        <w:t xml:space="preserve"> of length </w:t>
      </w:r>
      <w:r w:rsidR="00A31B5D" w:rsidRPr="0047273E">
        <w:rPr>
          <w:rFonts w:ascii="Times New Roman" w:hAnsi="Times New Roman" w:cs="Times New Roman"/>
          <w:i/>
          <w:iCs/>
        </w:rPr>
        <w:t>l</w:t>
      </w:r>
      <w:r>
        <w:t xml:space="preserve">. This is a quantum system described </w:t>
      </w:r>
      <w:r w:rsidR="00617582">
        <w:t xml:space="preserve">to a good approximation </w:t>
      </w:r>
      <w:r>
        <w:t xml:space="preserve">by </w:t>
      </w:r>
      <w:r w:rsidR="00175B7C">
        <w:t xml:space="preserve">a pure state </w:t>
      </w:r>
      <w:r w:rsidR="00096C8D">
        <w:t>G</w:t>
      </w:r>
      <w:r w:rsidR="00175B7C">
        <w:t xml:space="preserve">aussian </w:t>
      </w:r>
      <m:oMath>
        <m:sSub>
          <m:sSubPr>
            <m:ctrlPr>
              <w:rPr>
                <w:rFonts w:ascii="Cambria Math" w:hAnsi="Cambria Math"/>
                <w:i/>
              </w:rPr>
            </m:ctrlPr>
          </m:sSubPr>
          <m:e>
            <m:r>
              <w:rPr>
                <w:rFonts w:ascii="Cambria Math" w:hAnsi="Cambria Math"/>
              </w:rPr>
              <m:t>ψ</m:t>
            </m:r>
          </m:e>
          <m:sub>
            <m:r>
              <w:rPr>
                <w:rFonts w:ascii="Cambria Math" w:hAnsi="Cambria Math"/>
              </w:rPr>
              <m:t>G</m:t>
            </m:r>
          </m:sub>
        </m:sSub>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σ</m:t>
                </m:r>
              </m:e>
              <m:sub>
                <m:r>
                  <w:rPr>
                    <w:rFonts w:ascii="Cambria Math" w:hAnsi="Cambria Math"/>
                  </w:rPr>
                  <m:t>x</m:t>
                </m:r>
              </m:sub>
            </m:sSub>
            <m:r>
              <w:rPr>
                <w:rFonts w:ascii="Cambria Math" w:hAnsi="Cambria Math"/>
              </w:rPr>
              <m:t>=</m:t>
            </m:r>
            <m:r>
              <w:rPr>
                <w:rFonts w:ascii="Cambria Math" w:hAnsi="Cambria Math"/>
              </w:rPr>
              <m:t>l</m:t>
            </m:r>
          </m:e>
        </m:d>
      </m:oMath>
      <w:r w:rsidR="000B1B9F">
        <w:rPr>
          <w:rFonts w:eastAsiaTheme="minorEastAsia"/>
        </w:rPr>
        <w:t xml:space="preserve">, such that its momentum space wave function is </w:t>
      </w:r>
      <m:oMath>
        <m:sSub>
          <m:sSubPr>
            <m:ctrlPr>
              <w:rPr>
                <w:rFonts w:ascii="Cambria Math" w:hAnsi="Cambria Math"/>
                <w:i/>
              </w:rPr>
            </m:ctrlPr>
          </m:sSubPr>
          <m:e>
            <m:r>
              <w:rPr>
                <w:rFonts w:ascii="Cambria Math" w:hAnsi="Cambria Math"/>
              </w:rPr>
              <m:t>φ</m:t>
            </m:r>
          </m:e>
          <m:sub>
            <m:r>
              <w:rPr>
                <w:rFonts w:ascii="Cambria Math" w:hAnsi="Cambria Math"/>
              </w:rPr>
              <m:t>G</m:t>
            </m:r>
          </m:sub>
        </m:sSub>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h</m:t>
                </m:r>
              </m:num>
              <m:den>
                <m:r>
                  <w:rPr>
                    <w:rFonts w:ascii="Cambria Math" w:hAnsi="Cambria Math"/>
                  </w:rPr>
                  <m:t>4π</m:t>
                </m:r>
                <m:r>
                  <w:rPr>
                    <w:rFonts w:ascii="Cambria Math" w:hAnsi="Cambria Math"/>
                  </w:rPr>
                  <m:t>l</m:t>
                </m:r>
              </m:den>
            </m:f>
          </m:e>
        </m:d>
        <m:r>
          <w:rPr>
            <w:rFonts w:ascii="Cambria Math" w:hAnsi="Cambria Math"/>
          </w:rPr>
          <m:t>.</m:t>
        </m:r>
      </m:oMath>
      <w:r w:rsidR="000B1B9F">
        <w:rPr>
          <w:rFonts w:eastAsiaTheme="minorEastAsia"/>
        </w:rPr>
        <w:t xml:space="preserve"> </w:t>
      </w:r>
      <w:r w:rsidR="00A42930">
        <w:rPr>
          <w:rFonts w:eastAsiaTheme="minorEastAsia"/>
        </w:rPr>
        <w:t xml:space="preserve"> </w:t>
      </w:r>
      <w:r w:rsidR="004F092D">
        <w:rPr>
          <w:rFonts w:eastAsiaTheme="minorEastAsia"/>
        </w:rPr>
        <w:t>Using the molecule to do work via a piston would require detecting which side of the box it occupies, an irreversible position measurement</w:t>
      </w:r>
      <w:r w:rsidR="006F131F">
        <w:rPr>
          <w:rFonts w:eastAsiaTheme="minorEastAsia"/>
        </w:rPr>
        <w:t xml:space="preserve"> that reduces the </w:t>
      </w:r>
      <w:r w:rsidR="005B596A">
        <w:rPr>
          <w:rFonts w:eastAsiaTheme="minorEastAsia"/>
        </w:rPr>
        <w:t>x-</w:t>
      </w:r>
      <w:r w:rsidR="006F131F">
        <w:rPr>
          <w:rFonts w:eastAsiaTheme="minorEastAsia"/>
        </w:rPr>
        <w:t xml:space="preserve">uncertainty such that the resulting state is </w:t>
      </w:r>
      <m:oMath>
        <m:sSub>
          <m:sSubPr>
            <m:ctrlPr>
              <w:rPr>
                <w:rFonts w:ascii="Cambria Math" w:hAnsi="Cambria Math"/>
                <w:i/>
              </w:rPr>
            </m:ctrlPr>
          </m:sSubPr>
          <m:e>
            <m:r>
              <w:rPr>
                <w:rFonts w:ascii="Cambria Math" w:hAnsi="Cambria Math"/>
              </w:rPr>
              <m:t>ψ'</m:t>
            </m:r>
          </m:e>
          <m:sub>
            <m:r>
              <w:rPr>
                <w:rFonts w:ascii="Cambria Math" w:hAnsi="Cambria Math"/>
              </w:rPr>
              <m:t>G</m:t>
            </m:r>
          </m:sub>
        </m:sSub>
        <m:d>
          <m:dPr>
            <m:ctrlPr>
              <w:rPr>
                <w:rFonts w:ascii="Cambria Math" w:hAnsi="Cambria Math"/>
                <w:i/>
              </w:rPr>
            </m:ctrlPr>
          </m:dPr>
          <m:e>
            <m:r>
              <w:rPr>
                <w:rFonts w:ascii="Cambria Math" w:hAnsi="Cambria Math"/>
              </w:rPr>
              <m:t>x,σ=</m:t>
            </m:r>
            <m:r>
              <w:rPr>
                <w:rFonts w:ascii="Cambria Math" w:hAnsi="Cambria Math"/>
              </w:rPr>
              <m:t>l</m:t>
            </m:r>
            <m:r>
              <w:rPr>
                <w:rFonts w:ascii="Cambria Math" w:hAnsi="Cambria Math"/>
              </w:rPr>
              <m:t>/2</m:t>
            </m:r>
          </m:e>
        </m:d>
      </m:oMath>
      <w:r w:rsidR="007D18D7">
        <w:rPr>
          <w:rFonts w:eastAsiaTheme="minorEastAsia"/>
        </w:rPr>
        <w:t xml:space="preserve">. </w:t>
      </w:r>
      <w:r w:rsidR="000B1B9F">
        <w:rPr>
          <w:rFonts w:eastAsiaTheme="minorEastAsia"/>
        </w:rPr>
        <w:t>By the uncertainty principle</w:t>
      </w:r>
      <w:r w:rsidR="00AC26A2">
        <w:rPr>
          <w:rFonts w:eastAsiaTheme="minorEastAsia"/>
        </w:rPr>
        <w:t xml:space="preserve">, </w:t>
      </w:r>
      <w:r w:rsidR="000B1B9F">
        <w:rPr>
          <w:rFonts w:eastAsiaTheme="minorEastAsia"/>
        </w:rPr>
        <w:t xml:space="preserve">there is an accompanying increase in the </w:t>
      </w:r>
      <w:r w:rsidR="00592B93">
        <w:rPr>
          <w:rFonts w:eastAsiaTheme="minorEastAsia"/>
        </w:rPr>
        <w:t xml:space="preserve">spread of the </w:t>
      </w:r>
      <w:r w:rsidR="000B1B9F">
        <w:rPr>
          <w:rFonts w:eastAsiaTheme="minorEastAsia"/>
        </w:rPr>
        <w:t>momentum space wave function</w:t>
      </w:r>
      <w:r w:rsidR="00BB0379">
        <w:rPr>
          <w:rFonts w:eastAsiaTheme="minorEastAsia"/>
        </w:rPr>
        <w:t xml:space="preserve"> such that </w:t>
      </w:r>
      <m:oMath>
        <m:sSub>
          <m:sSubPr>
            <m:ctrlPr>
              <w:rPr>
                <w:rFonts w:ascii="Cambria Math" w:hAnsi="Cambria Math"/>
                <w:i/>
              </w:rPr>
            </m:ctrlPr>
          </m:sSubPr>
          <m:e>
            <m:r>
              <w:rPr>
                <w:rFonts w:ascii="Cambria Math" w:hAnsi="Cambria Math"/>
              </w:rPr>
              <m:t>φ'</m:t>
            </m:r>
          </m:e>
          <m:sub>
            <m:r>
              <w:rPr>
                <w:rFonts w:ascii="Cambria Math" w:hAnsi="Cambria Math"/>
              </w:rPr>
              <m:t>G</m:t>
            </m:r>
          </m:sub>
        </m:sSub>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h</m:t>
                </m:r>
              </m:num>
              <m:den>
                <m:r>
                  <w:rPr>
                    <w:rFonts w:ascii="Cambria Math" w:hAnsi="Cambria Math"/>
                  </w:rPr>
                  <m:t>2π</m:t>
                </m:r>
                <m:r>
                  <w:rPr>
                    <w:rFonts w:ascii="Cambria Math" w:hAnsi="Cambria Math"/>
                  </w:rPr>
                  <m:t>l</m:t>
                </m:r>
              </m:den>
            </m:f>
          </m:e>
        </m:d>
      </m:oMath>
      <w:r w:rsidR="000C38A2">
        <w:rPr>
          <w:rFonts w:eastAsiaTheme="minorEastAsia"/>
        </w:rPr>
        <w:t>,</w:t>
      </w:r>
      <w:r w:rsidR="006F73D4">
        <w:rPr>
          <w:rFonts w:eastAsiaTheme="minorEastAsia"/>
        </w:rPr>
        <w:t xml:space="preserve"> and the joint entropy remains </w:t>
      </w:r>
      <w:r w:rsidR="0091563F">
        <w:rPr>
          <w:rFonts w:eastAsiaTheme="minorEastAsia"/>
        </w:rPr>
        <w:t xml:space="preserve">(at least) </w:t>
      </w:r>
      <w:r w:rsidR="006F73D4">
        <w:rPr>
          <w:rFonts w:eastAsiaTheme="minorEastAsia"/>
        </w:rPr>
        <w:t xml:space="preserve">unchanged. </w:t>
      </w:r>
      <w:r w:rsidR="00111E37">
        <w:rPr>
          <w:rFonts w:eastAsiaTheme="minorEastAsia"/>
        </w:rPr>
        <w:t>This situation, rather than any consideration</w:t>
      </w:r>
      <w:r w:rsidR="006A15C7">
        <w:rPr>
          <w:rFonts w:eastAsiaTheme="minorEastAsia"/>
        </w:rPr>
        <w:t>s</w:t>
      </w:r>
      <w:r w:rsidR="00111E37">
        <w:rPr>
          <w:rFonts w:eastAsiaTheme="minorEastAsia"/>
        </w:rPr>
        <w:t xml:space="preserve"> about memory erasure </w:t>
      </w:r>
      <w:r w:rsidR="00C45736">
        <w:rPr>
          <w:rFonts w:eastAsiaTheme="minorEastAsia"/>
        </w:rPr>
        <w:t>(which, as noted earlier</w:t>
      </w:r>
      <w:r w:rsidR="0044217F">
        <w:rPr>
          <w:rFonts w:eastAsiaTheme="minorEastAsia"/>
        </w:rPr>
        <w:t>,</w:t>
      </w:r>
      <w:r w:rsidR="00C45736">
        <w:rPr>
          <w:rFonts w:eastAsiaTheme="minorEastAsia"/>
        </w:rPr>
        <w:t xml:space="preserve"> does not actually affect physical entropy) </w:t>
      </w:r>
      <w:r w:rsidR="00111E37">
        <w:rPr>
          <w:rFonts w:eastAsiaTheme="minorEastAsia"/>
        </w:rPr>
        <w:t>or dissipation</w:t>
      </w:r>
      <w:r w:rsidR="001B3FAB">
        <w:rPr>
          <w:rFonts w:eastAsiaTheme="minorEastAsia"/>
        </w:rPr>
        <w:t xml:space="preserve"> </w:t>
      </w:r>
      <w:r w:rsidR="002C585C">
        <w:rPr>
          <w:rFonts w:eastAsiaTheme="minorEastAsia"/>
        </w:rPr>
        <w:t xml:space="preserve">effects </w:t>
      </w:r>
      <w:r w:rsidR="001B3FAB">
        <w:rPr>
          <w:rFonts w:eastAsiaTheme="minorEastAsia"/>
        </w:rPr>
        <w:t xml:space="preserve">(to which there are arguably always exceptions, cf. </w:t>
      </w:r>
      <w:proofErr w:type="spellStart"/>
      <w:r w:rsidR="0025114C">
        <w:rPr>
          <w:rFonts w:eastAsiaTheme="minorEastAsia"/>
        </w:rPr>
        <w:t>Earman</w:t>
      </w:r>
      <w:proofErr w:type="spellEnd"/>
      <w:r w:rsidR="0025114C">
        <w:rPr>
          <w:rFonts w:eastAsiaTheme="minorEastAsia"/>
        </w:rPr>
        <w:t xml:space="preserve"> and </w:t>
      </w:r>
      <w:r w:rsidR="001B3FAB">
        <w:rPr>
          <w:rFonts w:eastAsiaTheme="minorEastAsia"/>
        </w:rPr>
        <w:t>Norton</w:t>
      </w:r>
      <w:r w:rsidR="00CC739A">
        <w:rPr>
          <w:rFonts w:eastAsiaTheme="minorEastAsia"/>
        </w:rPr>
        <w:t xml:space="preserve"> (1999</w:t>
      </w:r>
      <w:r w:rsidR="001B3FAB">
        <w:rPr>
          <w:rFonts w:eastAsiaTheme="minorEastAsia"/>
        </w:rPr>
        <w:t>)</w:t>
      </w:r>
      <w:r w:rsidR="00CC739A">
        <w:rPr>
          <w:rFonts w:eastAsiaTheme="minorEastAsia"/>
        </w:rPr>
        <w:t>)</w:t>
      </w:r>
      <w:r w:rsidR="00111E37">
        <w:rPr>
          <w:rFonts w:eastAsiaTheme="minorEastAsia"/>
        </w:rPr>
        <w:t xml:space="preserve">, is what enforces </w:t>
      </w:r>
      <w:proofErr w:type="spellStart"/>
      <w:r w:rsidR="00111E37">
        <w:rPr>
          <w:rFonts w:eastAsiaTheme="minorEastAsia"/>
        </w:rPr>
        <w:t>Landauer’s</w:t>
      </w:r>
      <w:proofErr w:type="spellEnd"/>
      <w:r w:rsidR="00111E37">
        <w:rPr>
          <w:rFonts w:eastAsiaTheme="minorEastAsia"/>
        </w:rPr>
        <w:t xml:space="preserve"> Principle.</w:t>
      </w:r>
    </w:p>
    <w:p w14:paraId="4609E4DD" w14:textId="77777777" w:rsidR="007E7089" w:rsidRDefault="007E7089">
      <w:pPr>
        <w:rPr>
          <w:rFonts w:eastAsiaTheme="minorEastAsia"/>
        </w:rPr>
      </w:pPr>
    </w:p>
    <w:p w14:paraId="2833CA70" w14:textId="37F6A8BB" w:rsidR="007E7089" w:rsidRDefault="00412BBD" w:rsidP="007E7089">
      <w:pPr>
        <w:ind w:firstLine="720"/>
        <w:rPr>
          <w:rFonts w:eastAsiaTheme="minorEastAsia"/>
        </w:rPr>
      </w:pPr>
      <w:r>
        <w:rPr>
          <w:rFonts w:eastAsiaTheme="minorEastAsia"/>
        </w:rPr>
        <w:t xml:space="preserve">The </w:t>
      </w:r>
      <w:r w:rsidR="007E7089">
        <w:rPr>
          <w:rFonts w:eastAsiaTheme="minorEastAsia"/>
        </w:rPr>
        <w:t xml:space="preserve">increase in momentum-entropy corresponds to heating up the molecule, and indeed, in order to detect its </w:t>
      </w:r>
      <w:proofErr w:type="gramStart"/>
      <w:r w:rsidR="007E7089">
        <w:rPr>
          <w:rFonts w:eastAsiaTheme="minorEastAsia"/>
        </w:rPr>
        <w:t>position</w:t>
      </w:r>
      <w:proofErr w:type="gramEnd"/>
      <w:r w:rsidR="007E7089">
        <w:rPr>
          <w:rFonts w:eastAsiaTheme="minorEastAsia"/>
        </w:rPr>
        <w:t xml:space="preserve"> we must put provide energy in some form. This is the familiar observation that there is no detection without </w:t>
      </w:r>
      <w:r w:rsidR="002A0DA2">
        <w:rPr>
          <w:rFonts w:eastAsiaTheme="minorEastAsia"/>
        </w:rPr>
        <w:t xml:space="preserve">the involvement of </w:t>
      </w:r>
      <w:r w:rsidR="007E7089">
        <w:rPr>
          <w:rFonts w:eastAsiaTheme="minorEastAsia"/>
        </w:rPr>
        <w:t>photons, and that the more precisely we wish to measure the position, the higher the energy of the photon(s) required.</w:t>
      </w:r>
      <w:r w:rsidR="009474C5">
        <w:rPr>
          <w:rFonts w:eastAsiaTheme="minorEastAsia"/>
        </w:rPr>
        <w:t xml:space="preserve"> </w:t>
      </w:r>
      <w:r>
        <w:rPr>
          <w:rFonts w:eastAsiaTheme="minorEastAsia"/>
        </w:rPr>
        <w:t>In practice, t</w:t>
      </w:r>
      <w:r w:rsidR="00EF6354">
        <w:rPr>
          <w:rFonts w:eastAsiaTheme="minorEastAsia"/>
        </w:rPr>
        <w:t xml:space="preserve">he resulting increase in momentum spread thwarts the </w:t>
      </w:r>
      <w:r w:rsidR="00682763">
        <w:rPr>
          <w:rFonts w:eastAsiaTheme="minorEastAsia"/>
        </w:rPr>
        <w:t xml:space="preserve">appropriate </w:t>
      </w:r>
      <w:r w:rsidR="00EF6354">
        <w:rPr>
          <w:rFonts w:eastAsiaTheme="minorEastAsia"/>
        </w:rPr>
        <w:t>insertion of the piston/partition.</w:t>
      </w:r>
    </w:p>
    <w:p w14:paraId="4F91C944" w14:textId="77777777" w:rsidR="00120145" w:rsidRDefault="00120145">
      <w:pPr>
        <w:rPr>
          <w:rFonts w:eastAsiaTheme="minorEastAsia"/>
        </w:rPr>
      </w:pPr>
    </w:p>
    <w:p w14:paraId="6F5B10DA" w14:textId="72546F66" w:rsidR="00A16FE0" w:rsidRDefault="00120145">
      <w:pPr>
        <w:rPr>
          <w:rFonts w:eastAsiaTheme="minorEastAsia"/>
        </w:rPr>
      </w:pPr>
      <w:r>
        <w:rPr>
          <w:rFonts w:eastAsiaTheme="minorEastAsia"/>
        </w:rPr>
        <w:tab/>
        <w:t xml:space="preserve">The case of </w:t>
      </w:r>
      <w:r w:rsidR="00902DE0">
        <w:rPr>
          <w:rFonts w:eastAsiaTheme="minorEastAsia"/>
        </w:rPr>
        <w:t>momentum</w:t>
      </w:r>
      <w:r>
        <w:rPr>
          <w:rFonts w:eastAsiaTheme="minorEastAsia"/>
        </w:rPr>
        <w:t xml:space="preserve"> measurement corresponds to that of Maxwell’s Demon, who is conceived as sorting faster and slower molecules into each half of the box</w:t>
      </w:r>
      <w:r w:rsidR="0064586D">
        <w:rPr>
          <w:rFonts w:eastAsiaTheme="minorEastAsia"/>
        </w:rPr>
        <w:t xml:space="preserve"> in order to violate the Second Law</w:t>
      </w:r>
      <w:r>
        <w:rPr>
          <w:rFonts w:eastAsiaTheme="minorEastAsia"/>
        </w:rPr>
        <w:t>.</w:t>
      </w:r>
      <w:r w:rsidR="00DE27E2">
        <w:rPr>
          <w:rFonts w:eastAsiaTheme="minorEastAsia"/>
        </w:rPr>
        <w:t xml:space="preserve"> </w:t>
      </w:r>
      <w:r w:rsidR="005334CA">
        <w:rPr>
          <w:rFonts w:eastAsiaTheme="minorEastAsia"/>
        </w:rPr>
        <w:t>I</w:t>
      </w:r>
      <w:r w:rsidR="00DE27E2">
        <w:rPr>
          <w:rFonts w:eastAsiaTheme="minorEastAsia"/>
        </w:rPr>
        <w:t xml:space="preserve">t is </w:t>
      </w:r>
      <w:r w:rsidR="005334CA">
        <w:rPr>
          <w:rFonts w:eastAsiaTheme="minorEastAsia"/>
        </w:rPr>
        <w:t>traditionally</w:t>
      </w:r>
      <w:r w:rsidR="00DE27E2">
        <w:rPr>
          <w:rFonts w:eastAsiaTheme="minorEastAsia"/>
        </w:rPr>
        <w:t xml:space="preserve"> assumed that the molecules have a well-defined but </w:t>
      </w:r>
      <w:r w:rsidR="003E00DA">
        <w:rPr>
          <w:rFonts w:eastAsiaTheme="minorEastAsia"/>
        </w:rPr>
        <w:t>un</w:t>
      </w:r>
      <w:r w:rsidR="00DE27E2">
        <w:rPr>
          <w:rFonts w:eastAsiaTheme="minorEastAsia"/>
        </w:rPr>
        <w:t>known momentum</w:t>
      </w:r>
      <w:r w:rsidR="003E1EC8">
        <w:rPr>
          <w:rFonts w:eastAsiaTheme="minorEastAsia"/>
        </w:rPr>
        <w:t>, but</w:t>
      </w:r>
      <w:r w:rsidR="00DE27E2">
        <w:rPr>
          <w:rFonts w:eastAsiaTheme="minorEastAsia"/>
        </w:rPr>
        <w:t xml:space="preserve"> this is not the case at the quantum level</w:t>
      </w:r>
      <w:r w:rsidR="00A16FE0">
        <w:rPr>
          <w:rFonts w:eastAsiaTheme="minorEastAsia"/>
        </w:rPr>
        <w:t>; there is never a real "Maxwell's Demon" as Maxwell originally envisioned</w:t>
      </w:r>
      <w:r w:rsidR="00F16461">
        <w:rPr>
          <w:rFonts w:eastAsiaTheme="minorEastAsia"/>
        </w:rPr>
        <w:t>.</w:t>
      </w:r>
      <w:r w:rsidR="00A16FE0">
        <w:rPr>
          <w:rFonts w:eastAsiaTheme="minorEastAsia"/>
        </w:rPr>
        <w:t xml:space="preserve"> </w:t>
      </w:r>
      <w:r w:rsidR="00F16461">
        <w:rPr>
          <w:rFonts w:eastAsiaTheme="minorEastAsia"/>
        </w:rPr>
        <w:t>Thus,</w:t>
      </w:r>
      <w:r w:rsidR="00A16FE0">
        <w:rPr>
          <w:rFonts w:eastAsiaTheme="minorEastAsia"/>
        </w:rPr>
        <w:t xml:space="preserve"> treatments that presuppose this classical picture must inevitably fall short of the relevant physics.</w:t>
      </w:r>
    </w:p>
    <w:p w14:paraId="025095A5" w14:textId="77777777" w:rsidR="00A16FE0" w:rsidRDefault="00A16FE0">
      <w:pPr>
        <w:rPr>
          <w:rFonts w:eastAsiaTheme="minorEastAsia"/>
        </w:rPr>
      </w:pPr>
    </w:p>
    <w:p w14:paraId="06E998D5" w14:textId="24DB2B75" w:rsidR="00120145" w:rsidRDefault="00BA17F1">
      <w:pPr>
        <w:rPr>
          <w:rFonts w:eastAsiaTheme="minorEastAsia"/>
        </w:rPr>
      </w:pPr>
      <w:r>
        <w:rPr>
          <w:rFonts w:eastAsiaTheme="minorEastAsia"/>
        </w:rPr>
        <w:tab/>
      </w:r>
      <w:r w:rsidR="00A16FE0">
        <w:rPr>
          <w:rFonts w:eastAsiaTheme="minorEastAsia"/>
        </w:rPr>
        <w:t>Any real</w:t>
      </w:r>
      <w:r w:rsidR="0054267E">
        <w:rPr>
          <w:rFonts w:eastAsiaTheme="minorEastAsia"/>
        </w:rPr>
        <w:t xml:space="preserve"> </w:t>
      </w:r>
      <w:r w:rsidR="00BD669D">
        <w:rPr>
          <w:rFonts w:eastAsiaTheme="minorEastAsia"/>
        </w:rPr>
        <w:t>"</w:t>
      </w:r>
      <w:r w:rsidR="0054267E">
        <w:rPr>
          <w:rFonts w:eastAsiaTheme="minorEastAsia"/>
        </w:rPr>
        <w:t>Demon</w:t>
      </w:r>
      <w:r w:rsidR="00BD669D">
        <w:rPr>
          <w:rFonts w:eastAsiaTheme="minorEastAsia"/>
        </w:rPr>
        <w:t>"</w:t>
      </w:r>
      <w:r w:rsidR="0054267E">
        <w:rPr>
          <w:rFonts w:eastAsiaTheme="minorEastAsia"/>
        </w:rPr>
        <w:t xml:space="preserve"> must</w:t>
      </w:r>
      <w:r w:rsidR="00A16FE0">
        <w:rPr>
          <w:rFonts w:eastAsiaTheme="minorEastAsia"/>
        </w:rPr>
        <w:t xml:space="preserve"> deal with the quantum nature of the gas molecules. This means that</w:t>
      </w:r>
      <w:r w:rsidR="0054267E">
        <w:rPr>
          <w:rFonts w:eastAsiaTheme="minorEastAsia"/>
        </w:rPr>
        <w:t xml:space="preserve"> his measurement project</w:t>
      </w:r>
      <w:r w:rsidR="00A16FE0">
        <w:rPr>
          <w:rFonts w:eastAsiaTheme="minorEastAsia"/>
        </w:rPr>
        <w:t>s</w:t>
      </w:r>
      <w:r w:rsidR="0054267E">
        <w:rPr>
          <w:rFonts w:eastAsiaTheme="minorEastAsia"/>
        </w:rPr>
        <w:t xml:space="preserve"> their indeterminate momentum state of </w:t>
      </w:r>
      <m:oMath>
        <m:sSub>
          <m:sSubPr>
            <m:ctrlPr>
              <w:rPr>
                <w:rFonts w:ascii="Cambria Math" w:hAnsi="Cambria Math"/>
                <w:i/>
              </w:rPr>
            </m:ctrlPr>
          </m:sSubPr>
          <m:e>
            <m:r>
              <w:rPr>
                <w:rFonts w:ascii="Cambria Math" w:hAnsi="Cambria Math"/>
              </w:rPr>
              <m:t>φ</m:t>
            </m:r>
          </m:e>
          <m:sub>
            <m:r>
              <w:rPr>
                <w:rFonts w:ascii="Cambria Math" w:hAnsi="Cambria Math"/>
              </w:rPr>
              <m:t>G</m:t>
            </m:r>
          </m:sub>
        </m:sSub>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σ</m:t>
                </m:r>
              </m:e>
              <m:sub>
                <m:r>
                  <w:rPr>
                    <w:rFonts w:ascii="Cambria Math" w:hAnsi="Cambria Math"/>
                  </w:rPr>
                  <m:t>p</m:t>
                </m:r>
              </m:sub>
            </m:sSub>
          </m:e>
        </m:d>
      </m:oMath>
      <w:r w:rsidR="0054267E">
        <w:rPr>
          <w:rFonts w:eastAsiaTheme="minorEastAsia"/>
        </w:rPr>
        <w:t xml:space="preserve"> into some more-determinate state</w:t>
      </w:r>
      <w:r w:rsidR="00366EA0">
        <w:rPr>
          <w:rFonts w:eastAsiaTheme="minorEastAsia"/>
        </w:rPr>
        <w:t xml:space="preserve"> </w:t>
      </w:r>
      <m:oMath>
        <m:sSub>
          <m:sSubPr>
            <m:ctrlPr>
              <w:rPr>
                <w:rFonts w:ascii="Cambria Math" w:hAnsi="Cambria Math"/>
                <w:i/>
              </w:rPr>
            </m:ctrlPr>
          </m:sSubPr>
          <m:e>
            <m:r>
              <w:rPr>
                <w:rFonts w:ascii="Cambria Math" w:hAnsi="Cambria Math"/>
              </w:rPr>
              <m:t>φ'</m:t>
            </m:r>
          </m:e>
          <m:sub>
            <m:r>
              <w:rPr>
                <w:rFonts w:ascii="Cambria Math" w:hAnsi="Cambria Math"/>
              </w:rPr>
              <m:t>G</m:t>
            </m:r>
          </m:sub>
        </m:sSub>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σ'</m:t>
                </m:r>
              </m:e>
              <m:sub>
                <m:r>
                  <w:rPr>
                    <w:rFonts w:ascii="Cambria Math" w:hAnsi="Cambria Math"/>
                  </w:rPr>
                  <m:t>p</m:t>
                </m:r>
              </m:sub>
            </m:sSub>
          </m:e>
        </m:d>
      </m:oMath>
      <w:r w:rsidR="00FE4C4D">
        <w:rPr>
          <w:rFonts w:eastAsiaTheme="minorEastAsia"/>
        </w:rPr>
        <w:t>, where</w:t>
      </w:r>
      <w:r w:rsidR="005B1748">
        <w:rPr>
          <w:rFonts w:eastAsiaTheme="minorEastAsia"/>
        </w:rPr>
        <w:t xml:space="preserve"> </w:t>
      </w:r>
      <m:oMath>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σ</m:t>
            </m:r>
          </m:e>
          <m:sub>
            <m:r>
              <w:rPr>
                <w:rFonts w:ascii="Cambria Math" w:hAnsi="Cambria Math"/>
              </w:rPr>
              <m:t>p</m:t>
            </m:r>
          </m:sub>
        </m:sSub>
      </m:oMath>
      <w:r w:rsidR="00FE4C4D">
        <w:rPr>
          <w:rFonts w:eastAsiaTheme="minorEastAsia"/>
        </w:rPr>
        <w:t xml:space="preserve"> </w:t>
      </w:r>
      <w:r w:rsidR="00BC4A91">
        <w:rPr>
          <w:rFonts w:eastAsiaTheme="minorEastAsia"/>
        </w:rPr>
        <w:t xml:space="preserve">. </w:t>
      </w:r>
      <w:r w:rsidR="0054267E">
        <w:rPr>
          <w:rFonts w:eastAsiaTheme="minorEastAsia"/>
        </w:rPr>
        <w:t xml:space="preserve"> </w:t>
      </w:r>
      <w:r w:rsidR="00041F28">
        <w:rPr>
          <w:rFonts w:eastAsiaTheme="minorEastAsia"/>
        </w:rPr>
        <w:t>For thermal states described by Gaussians, t</w:t>
      </w:r>
      <w:r w:rsidR="0064586D">
        <w:rPr>
          <w:rFonts w:eastAsiaTheme="minorEastAsia"/>
        </w:rPr>
        <w:t xml:space="preserve">he joint entropy expression (1) tells us that any reduction in the </w:t>
      </w:r>
      <w:r w:rsidR="008D3132">
        <w:rPr>
          <w:rFonts w:eastAsiaTheme="minorEastAsia"/>
        </w:rPr>
        <w:t>momentum-entropy effected by the Demon</w:t>
      </w:r>
      <w:r w:rsidR="005B74A0">
        <w:rPr>
          <w:rFonts w:eastAsiaTheme="minorEastAsia"/>
        </w:rPr>
        <w:t>’s measurement of momentum</w:t>
      </w:r>
      <w:r w:rsidR="008D3132">
        <w:rPr>
          <w:rFonts w:eastAsiaTheme="minorEastAsia"/>
        </w:rPr>
        <w:t xml:space="preserve"> is physically compensated by a corresponding increase in the position-entropy. In practice this means that </w:t>
      </w:r>
      <w:r w:rsidR="007E7089">
        <w:rPr>
          <w:rFonts w:eastAsiaTheme="minorEastAsia"/>
        </w:rPr>
        <w:t xml:space="preserve">any success the Demon has in measuring the momentum of a molecule must </w:t>
      </w:r>
      <w:r w:rsidR="005C118B">
        <w:rPr>
          <w:rFonts w:eastAsiaTheme="minorEastAsia"/>
        </w:rPr>
        <w:t>leave</w:t>
      </w:r>
      <w:r w:rsidR="007E7089">
        <w:rPr>
          <w:rFonts w:eastAsiaTheme="minorEastAsia"/>
        </w:rPr>
        <w:t xml:space="preserve"> its position so indeterminate as to prevent him from getting it through the trap door. In other words, he now knows whe</w:t>
      </w:r>
      <w:r w:rsidR="005944B1">
        <w:rPr>
          <w:rFonts w:eastAsiaTheme="minorEastAsia"/>
        </w:rPr>
        <w:t xml:space="preserve">re </w:t>
      </w:r>
      <w:r w:rsidR="007E7089">
        <w:rPr>
          <w:rFonts w:eastAsiaTheme="minorEastAsia"/>
        </w:rPr>
        <w:t>to put it</w:t>
      </w:r>
      <w:r w:rsidR="00375940">
        <w:rPr>
          <w:rFonts w:eastAsiaTheme="minorEastAsia"/>
        </w:rPr>
        <w:t xml:space="preserve">, </w:t>
      </w:r>
      <w:r w:rsidR="007E7089">
        <w:rPr>
          <w:rFonts w:eastAsiaTheme="minorEastAsia"/>
        </w:rPr>
        <w:t>but</w:t>
      </w:r>
      <w:r w:rsidR="00A54C89">
        <w:rPr>
          <w:rFonts w:eastAsiaTheme="minorEastAsia"/>
        </w:rPr>
        <w:t xml:space="preserve"> it has been </w:t>
      </w:r>
      <w:r w:rsidR="000816CE">
        <w:rPr>
          <w:rFonts w:eastAsiaTheme="minorEastAsia"/>
        </w:rPr>
        <w:t xml:space="preserve">so </w:t>
      </w:r>
      <w:r w:rsidR="00A54C89">
        <w:rPr>
          <w:rFonts w:eastAsiaTheme="minorEastAsia"/>
        </w:rPr>
        <w:t xml:space="preserve">delocalized as to prevent </w:t>
      </w:r>
      <w:r w:rsidR="00E9652E">
        <w:rPr>
          <w:rFonts w:eastAsiaTheme="minorEastAsia"/>
        </w:rPr>
        <w:t>actual physical</w:t>
      </w:r>
      <w:r w:rsidR="00A54C89">
        <w:rPr>
          <w:rFonts w:eastAsiaTheme="minorEastAsia"/>
        </w:rPr>
        <w:t xml:space="preserve"> sorting</w:t>
      </w:r>
      <w:r w:rsidR="007E7089">
        <w:rPr>
          <w:rFonts w:eastAsiaTheme="minorEastAsia"/>
        </w:rPr>
        <w:t>.</w:t>
      </w:r>
      <w:r w:rsidR="00D56D41">
        <w:rPr>
          <w:rFonts w:eastAsiaTheme="minorEastAsia"/>
        </w:rPr>
        <w:t xml:space="preserve"> </w:t>
      </w:r>
    </w:p>
    <w:p w14:paraId="52477311" w14:textId="77777777" w:rsidR="00D56D41" w:rsidRDefault="00D56D41">
      <w:pPr>
        <w:rPr>
          <w:rFonts w:eastAsiaTheme="minorEastAsia"/>
        </w:rPr>
      </w:pPr>
    </w:p>
    <w:p w14:paraId="62DD60B0" w14:textId="6284645B" w:rsidR="00D56D41" w:rsidRDefault="00D56D41">
      <w:pPr>
        <w:rPr>
          <w:rFonts w:eastAsiaTheme="minorEastAsia"/>
        </w:rPr>
      </w:pPr>
      <w:r>
        <w:rPr>
          <w:rFonts w:eastAsiaTheme="minorEastAsia"/>
        </w:rPr>
        <w:tab/>
        <w:t xml:space="preserve">It should be noted, however, that the Second Law is </w:t>
      </w:r>
      <w:r w:rsidR="002B7A3C">
        <w:rPr>
          <w:rFonts w:eastAsiaTheme="minorEastAsia"/>
        </w:rPr>
        <w:t>defend</w:t>
      </w:r>
      <w:r>
        <w:rPr>
          <w:rFonts w:eastAsiaTheme="minorEastAsia"/>
        </w:rPr>
        <w:t>ed</w:t>
      </w:r>
      <w:r w:rsidR="00925B96">
        <w:rPr>
          <w:rFonts w:eastAsiaTheme="minorEastAsia"/>
        </w:rPr>
        <w:t xml:space="preserve"> from these sorts of challenges</w:t>
      </w:r>
      <w:r>
        <w:rPr>
          <w:rFonts w:eastAsiaTheme="minorEastAsia"/>
        </w:rPr>
        <w:t xml:space="preserve"> not by any argument about the </w:t>
      </w:r>
      <w:r w:rsidR="00782F6F">
        <w:rPr>
          <w:rFonts w:eastAsiaTheme="minorEastAsia"/>
        </w:rPr>
        <w:t xml:space="preserve">specific </w:t>
      </w:r>
      <w:r>
        <w:rPr>
          <w:rFonts w:eastAsiaTheme="minorEastAsia"/>
        </w:rPr>
        <w:t xml:space="preserve">pragmatics of thwarting the various mechanical manipulations involved in any </w:t>
      </w:r>
      <w:proofErr w:type="gramStart"/>
      <w:r>
        <w:rPr>
          <w:rFonts w:eastAsiaTheme="minorEastAsia"/>
        </w:rPr>
        <w:t>particular scenario</w:t>
      </w:r>
      <w:proofErr w:type="gramEnd"/>
      <w:r>
        <w:rPr>
          <w:rFonts w:eastAsiaTheme="minorEastAsia"/>
        </w:rPr>
        <w:t xml:space="preserve">, but by the fact that </w:t>
      </w:r>
      <w:proofErr w:type="spellStart"/>
      <w:r>
        <w:rPr>
          <w:rFonts w:eastAsiaTheme="minorEastAsia"/>
        </w:rPr>
        <w:t>Landauer’s</w:t>
      </w:r>
      <w:proofErr w:type="spellEnd"/>
      <w:r>
        <w:rPr>
          <w:rFonts w:eastAsiaTheme="minorEastAsia"/>
        </w:rPr>
        <w:t xml:space="preserve"> Principle is upheld by the </w:t>
      </w:r>
      <w:r w:rsidR="005B10E0">
        <w:rPr>
          <w:rFonts w:eastAsiaTheme="minorEastAsia"/>
        </w:rPr>
        <w:t xml:space="preserve">joint entropy constraint </w:t>
      </w:r>
      <w:r w:rsidR="003A6CA5">
        <w:rPr>
          <w:rFonts w:eastAsiaTheme="minorEastAsia"/>
        </w:rPr>
        <w:t>(1)</w:t>
      </w:r>
      <w:r>
        <w:rPr>
          <w:rFonts w:eastAsiaTheme="minorEastAsia"/>
        </w:rPr>
        <w:t xml:space="preserve">, which </w:t>
      </w:r>
      <w:r w:rsidR="00201279">
        <w:rPr>
          <w:rFonts w:eastAsiaTheme="minorEastAsia"/>
        </w:rPr>
        <w:t>is a</w:t>
      </w:r>
      <w:r w:rsidR="00ED0B23">
        <w:rPr>
          <w:rFonts w:eastAsiaTheme="minorEastAsia"/>
        </w:rPr>
        <w:t>n inviolable</w:t>
      </w:r>
      <w:r w:rsidR="00201279">
        <w:rPr>
          <w:rFonts w:eastAsiaTheme="minorEastAsia"/>
        </w:rPr>
        <w:t xml:space="preserve"> property of any Fourier transform pair</w:t>
      </w:r>
      <w:r w:rsidR="00C529EB">
        <w:rPr>
          <w:rFonts w:eastAsiaTheme="minorEastAsia"/>
        </w:rPr>
        <w:t>.</w:t>
      </w:r>
      <w:r w:rsidR="009B2A18">
        <w:rPr>
          <w:rFonts w:eastAsiaTheme="minorEastAsia"/>
        </w:rPr>
        <w:t xml:space="preserve"> This prevents, in principle, violation of the Second Law</w:t>
      </w:r>
      <w:r w:rsidR="00100A24">
        <w:rPr>
          <w:rFonts w:eastAsiaTheme="minorEastAsia"/>
        </w:rPr>
        <w:t xml:space="preserve">, and constitutes an "exorcism of the Demon" that does not depend on </w:t>
      </w:r>
      <w:r w:rsidR="00364065">
        <w:rPr>
          <w:rFonts w:eastAsiaTheme="minorEastAsia"/>
        </w:rPr>
        <w:t xml:space="preserve">illicit </w:t>
      </w:r>
      <w:r w:rsidR="00100A24">
        <w:rPr>
          <w:rFonts w:eastAsiaTheme="minorEastAsia"/>
        </w:rPr>
        <w:t>circular reference to the Second Law.</w:t>
      </w:r>
    </w:p>
    <w:p w14:paraId="2F352721" w14:textId="77777777" w:rsidR="002C056E" w:rsidRDefault="002C056E" w:rsidP="007E7089">
      <w:pPr>
        <w:rPr>
          <w:rFonts w:eastAsiaTheme="minorEastAsia"/>
        </w:rPr>
      </w:pPr>
    </w:p>
    <w:p w14:paraId="2C64BB2F" w14:textId="55B50760" w:rsidR="004D3A5C" w:rsidRPr="000D29A3" w:rsidRDefault="004D3A5C" w:rsidP="007E7089">
      <w:pPr>
        <w:rPr>
          <w:rFonts w:eastAsiaTheme="minorEastAsia"/>
        </w:rPr>
      </w:pPr>
      <w:r>
        <w:rPr>
          <w:rFonts w:eastAsiaTheme="minorEastAsia"/>
        </w:rPr>
        <w:tab/>
      </w:r>
      <w:r w:rsidR="005D38D4">
        <w:rPr>
          <w:rFonts w:eastAsiaTheme="minorEastAsia"/>
        </w:rPr>
        <w:t>Finally, let us summarize the</w:t>
      </w:r>
      <w:r>
        <w:rPr>
          <w:rFonts w:eastAsiaTheme="minorEastAsia"/>
        </w:rPr>
        <w:t xml:space="preserve"> fundamental nature of </w:t>
      </w:r>
      <w:proofErr w:type="spellStart"/>
      <w:r>
        <w:rPr>
          <w:rFonts w:eastAsiaTheme="minorEastAsia"/>
        </w:rPr>
        <w:t>Landauer's</w:t>
      </w:r>
      <w:proofErr w:type="spellEnd"/>
      <w:r>
        <w:rPr>
          <w:rFonts w:eastAsiaTheme="minorEastAsia"/>
        </w:rPr>
        <w:t xml:space="preserve"> Principle</w:t>
      </w:r>
      <w:r w:rsidR="006D4CC1">
        <w:rPr>
          <w:rFonts w:eastAsiaTheme="minorEastAsia"/>
        </w:rPr>
        <w:t>, appropriately generalized to the quantum case</w:t>
      </w:r>
      <w:r>
        <w:rPr>
          <w:rFonts w:eastAsiaTheme="minorEastAsia"/>
        </w:rPr>
        <w:t>. It can be formulated as comprising two basic principles</w:t>
      </w:r>
      <w:r w:rsidR="00CD68A4">
        <w:rPr>
          <w:rFonts w:eastAsiaTheme="minorEastAsia"/>
        </w:rPr>
        <w:t xml:space="preserve"> in terms of </w:t>
      </w:r>
      <w:r w:rsidR="001A7864">
        <w:rPr>
          <w:rFonts w:eastAsiaTheme="minorEastAsia"/>
        </w:rPr>
        <w:t xml:space="preserve">(objective) </w:t>
      </w:r>
      <w:r w:rsidR="00CD68A4">
        <w:rPr>
          <w:rFonts w:eastAsiaTheme="minorEastAsia"/>
        </w:rPr>
        <w:t xml:space="preserve">quantum information </w:t>
      </w:r>
      <w:proofErr w:type="gramStart"/>
      <w:r w:rsidR="00CD68A4" w:rsidRPr="00CD68A4">
        <w:rPr>
          <w:rFonts w:ascii="Times New Roman" w:eastAsiaTheme="minorEastAsia" w:hAnsi="Times New Roman" w:cs="Times New Roman"/>
          <w:i/>
          <w:iCs/>
        </w:rPr>
        <w:t>I</w:t>
      </w:r>
      <w:r w:rsidR="00CD68A4">
        <w:rPr>
          <w:rFonts w:ascii="Times New Roman" w:eastAsiaTheme="minorEastAsia" w:hAnsi="Times New Roman" w:cs="Times New Roman"/>
          <w:i/>
          <w:iCs/>
          <w:vertAlign w:val="subscript"/>
        </w:rPr>
        <w:t>O</w:t>
      </w:r>
      <w:r w:rsidR="00602209">
        <w:rPr>
          <w:rFonts w:ascii="Times New Roman" w:eastAsiaTheme="minorEastAsia" w:hAnsi="Times New Roman" w:cs="Times New Roman"/>
          <w:i/>
          <w:iCs/>
          <w:vertAlign w:val="subscript"/>
        </w:rPr>
        <w:t>,X</w:t>
      </w:r>
      <w:proofErr w:type="gramEnd"/>
      <w:r w:rsidR="00916CFD">
        <w:rPr>
          <w:rFonts w:ascii="Times New Roman" w:eastAsiaTheme="minorEastAsia" w:hAnsi="Times New Roman" w:cs="Times New Roman"/>
          <w:i/>
          <w:iCs/>
          <w:vertAlign w:val="subscript"/>
        </w:rPr>
        <w:t xml:space="preserve"> </w:t>
      </w:r>
      <w:r w:rsidR="00916CFD">
        <w:rPr>
          <w:rFonts w:eastAsiaTheme="minorEastAsia"/>
        </w:rPr>
        <w:t xml:space="preserve"> </w:t>
      </w:r>
      <w:r w:rsidR="00602209">
        <w:rPr>
          <w:rFonts w:eastAsiaTheme="minorEastAsia"/>
        </w:rPr>
        <w:t xml:space="preserve">pertaining to a particular observable </w:t>
      </w:r>
      <w:r w:rsidR="00602209" w:rsidRPr="00C05A13">
        <w:rPr>
          <w:rFonts w:ascii="Times New Roman" w:eastAsiaTheme="minorEastAsia" w:hAnsi="Times New Roman" w:cs="Times New Roman"/>
          <w:i/>
          <w:iCs/>
        </w:rPr>
        <w:t>X</w:t>
      </w:r>
      <w:r w:rsidR="00602209">
        <w:rPr>
          <w:rFonts w:eastAsiaTheme="minorEastAsia"/>
        </w:rPr>
        <w:t xml:space="preserve"> </w:t>
      </w:r>
      <w:r w:rsidR="00916CFD">
        <w:rPr>
          <w:rFonts w:eastAsiaTheme="minorEastAsia"/>
        </w:rPr>
        <w:t xml:space="preserve">and entropy </w:t>
      </w:r>
      <w:r w:rsidR="00916CFD" w:rsidRPr="00C05A13">
        <w:rPr>
          <w:rFonts w:ascii="Times New Roman" w:eastAsiaTheme="minorEastAsia" w:hAnsi="Times New Roman" w:cs="Times New Roman"/>
          <w:i/>
          <w:iCs/>
        </w:rPr>
        <w:t>S</w:t>
      </w:r>
      <w:r w:rsidR="00916CFD" w:rsidRPr="000D29A3">
        <w:rPr>
          <w:rFonts w:eastAsiaTheme="minorEastAsia"/>
        </w:rPr>
        <w:t>:</w:t>
      </w:r>
    </w:p>
    <w:p w14:paraId="0E4A9098" w14:textId="77777777" w:rsidR="004D3A5C" w:rsidRDefault="004D3A5C" w:rsidP="007E7089">
      <w:pPr>
        <w:rPr>
          <w:rFonts w:eastAsiaTheme="minorEastAsia"/>
        </w:rPr>
      </w:pPr>
    </w:p>
    <w:p w14:paraId="1D3DE52E" w14:textId="5940F638" w:rsidR="0084724B" w:rsidRDefault="00880DA3" w:rsidP="00CD68A4">
      <w:pPr>
        <w:rPr>
          <w:rFonts w:eastAsiaTheme="minorEastAsia"/>
          <w:i/>
          <w:iCs/>
        </w:rPr>
      </w:pPr>
      <w:r>
        <w:rPr>
          <w:rFonts w:eastAsiaTheme="minorEastAsia"/>
        </w:rPr>
        <w:t xml:space="preserve"> a) </w:t>
      </w:r>
      <m:oMath>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sSub>
          <m:sSubPr>
            <m:ctrlPr>
              <w:rPr>
                <w:rFonts w:ascii="Cambria Math" w:hAnsi="Cambria Math"/>
                <w:i/>
              </w:rPr>
            </m:ctrlPr>
          </m:sSubPr>
          <m:e>
            <m:r>
              <w:rPr>
                <w:rFonts w:ascii="Cambria Math" w:hAnsi="Cambria Math"/>
              </w:rPr>
              <m:t>I</m:t>
            </m:r>
          </m:e>
          <m:sub>
            <m:r>
              <w:rPr>
                <w:rFonts w:ascii="Cambria Math" w:hAnsi="Cambria Math"/>
              </w:rPr>
              <m:t>O,X</m:t>
            </m:r>
          </m:sub>
        </m:sSub>
      </m:oMath>
      <w:r w:rsidR="00CD68A4" w:rsidRPr="006147AA">
        <w:rPr>
          <w:rFonts w:eastAsiaTheme="minorEastAsia"/>
        </w:rPr>
        <w:t xml:space="preserve"> </w:t>
      </w:r>
      <w:r w:rsidR="00A87734">
        <w:rPr>
          <w:rFonts w:eastAsiaTheme="minorEastAsia"/>
        </w:rPr>
        <w:t>, where</w:t>
      </w:r>
      <w:r w:rsidR="00A87734" w:rsidRPr="00A87734">
        <w:rPr>
          <w:rFonts w:eastAsiaTheme="minorEastAsia"/>
          <w:i/>
          <w:iCs/>
        </w:rPr>
        <w:t xml:space="preserve"> </w:t>
      </w:r>
      <w:r w:rsidR="00A87734" w:rsidRPr="00DE5940">
        <w:rPr>
          <w:rFonts w:ascii="Times New Roman" w:eastAsiaTheme="minorEastAsia" w:hAnsi="Times New Roman" w:cs="Times New Roman"/>
          <w:i/>
          <w:iCs/>
        </w:rPr>
        <w:t>X</w:t>
      </w:r>
      <w:r w:rsidR="00A87734">
        <w:rPr>
          <w:rFonts w:eastAsiaTheme="minorEastAsia"/>
        </w:rPr>
        <w:t xml:space="preserve"> is a particular observable of a conjugate pair </w:t>
      </w:r>
      <w:r w:rsidR="00A87734" w:rsidRPr="00DE5940">
        <w:rPr>
          <w:rFonts w:ascii="Times New Roman" w:eastAsiaTheme="minorEastAsia" w:hAnsi="Times New Roman" w:cs="Times New Roman"/>
          <w:i/>
          <w:iCs/>
        </w:rPr>
        <w:t>(</w:t>
      </w:r>
      <w:proofErr w:type="gramStart"/>
      <w:r w:rsidR="00A87734" w:rsidRPr="00DE5940">
        <w:rPr>
          <w:rFonts w:ascii="Times New Roman" w:eastAsiaTheme="minorEastAsia" w:hAnsi="Times New Roman" w:cs="Times New Roman"/>
          <w:i/>
          <w:iCs/>
        </w:rPr>
        <w:t>X,Y</w:t>
      </w:r>
      <w:proofErr w:type="gramEnd"/>
      <w:r w:rsidR="00A87734" w:rsidRPr="00E9126F">
        <w:rPr>
          <w:rFonts w:eastAsiaTheme="minorEastAsia"/>
          <w:i/>
          <w:iCs/>
        </w:rPr>
        <w:t>)</w:t>
      </w:r>
    </w:p>
    <w:p w14:paraId="65B2C306" w14:textId="77777777" w:rsidR="00880DA3" w:rsidRDefault="00880DA3" w:rsidP="00CD68A4">
      <w:pPr>
        <w:rPr>
          <w:rFonts w:eastAsiaTheme="minorEastAsia"/>
          <w:i/>
          <w:iCs/>
        </w:rPr>
      </w:pPr>
    </w:p>
    <w:p w14:paraId="4A19F303" w14:textId="77777777" w:rsidR="00A5065C" w:rsidRDefault="00CD68A4" w:rsidP="00CD68A4">
      <w:pPr>
        <w:rPr>
          <w:rFonts w:eastAsiaTheme="minorEastAsia"/>
        </w:rPr>
      </w:pPr>
      <w:r w:rsidRPr="006147AA">
        <w:rPr>
          <w:rFonts w:eastAsiaTheme="minorEastAsia"/>
        </w:rPr>
        <w:t xml:space="preserve"> </w:t>
      </w:r>
      <w:r w:rsidR="00BC68D6">
        <w:t>b</w:t>
      </w:r>
      <w:r>
        <w:t xml:space="preserve">)  </w:t>
      </w:r>
      <w:r w:rsidRPr="006147AA">
        <w:t>A reduction</w:t>
      </w:r>
      <w:r>
        <w:t xml:space="preserve"> </w:t>
      </w:r>
      <w:r w:rsidRPr="006147AA">
        <w:t xml:space="preserve">of </w:t>
      </w:r>
      <m:oMath>
        <m:sSub>
          <m:sSubPr>
            <m:ctrlPr>
              <w:rPr>
                <w:rFonts w:ascii="Cambria Math" w:hAnsi="Cambria Math"/>
                <w:i/>
              </w:rPr>
            </m:ctrlPr>
          </m:sSubPr>
          <m:e>
            <m:r>
              <w:rPr>
                <w:rFonts w:ascii="Cambria Math" w:hAnsi="Cambria Math"/>
              </w:rPr>
              <m:t>I</m:t>
            </m:r>
          </m:e>
          <m:sub>
            <m:r>
              <w:rPr>
                <w:rFonts w:ascii="Cambria Math" w:hAnsi="Cambria Math"/>
              </w:rPr>
              <m:t>O,X</m:t>
            </m:r>
          </m:sub>
        </m:sSub>
      </m:oMath>
      <w:r w:rsidR="006D4CC1">
        <w:rPr>
          <w:rFonts w:eastAsiaTheme="minorEastAsia"/>
        </w:rPr>
        <w:t xml:space="preserve"> </w:t>
      </w:r>
      <w:r w:rsidRPr="006147AA">
        <w:rPr>
          <w:rFonts w:eastAsiaTheme="minorEastAsia"/>
        </w:rPr>
        <w:t xml:space="preserve">is necessarily compensated by minimally an equal increase </w:t>
      </w:r>
      <w:r>
        <w:rPr>
          <w:rFonts w:eastAsiaTheme="minorEastAsia"/>
        </w:rPr>
        <w:t>of</w:t>
      </w:r>
      <w:r w:rsidRPr="006147AA">
        <w:rPr>
          <w:rFonts w:eastAsiaTheme="minorEastAsia"/>
        </w:rPr>
        <w:t xml:space="preserve"> </w:t>
      </w:r>
    </w:p>
    <w:p w14:paraId="4ABA4592" w14:textId="118C32B3" w:rsidR="00A87734" w:rsidRDefault="007C0AF1" w:rsidP="00CD68A4">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 xml:space="preserve">B </m:t>
            </m:r>
          </m:sub>
        </m:s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O,Y</m:t>
            </m:r>
          </m:sub>
        </m:sSub>
        <m:r>
          <w:rPr>
            <w:rFonts w:ascii="Cambria Math" w:eastAsiaTheme="minorEastAsia" w:hAnsi="Cambria Math"/>
          </w:rPr>
          <m:t xml:space="preserve">,  </m:t>
        </m:r>
      </m:oMath>
      <w:r w:rsidR="00290C36">
        <w:rPr>
          <w:rFonts w:eastAsiaTheme="minorEastAsia"/>
        </w:rPr>
        <w:t xml:space="preserve">so that the total entropy </w:t>
      </w:r>
      <w:r w:rsidR="00290C36" w:rsidRPr="00DE5940">
        <w:rPr>
          <w:rFonts w:ascii="Times New Roman" w:eastAsiaTheme="minorEastAsia" w:hAnsi="Times New Roman" w:cs="Times New Roman"/>
          <w:i/>
          <w:iCs/>
        </w:rPr>
        <w:t>S</w:t>
      </w:r>
      <w:r w:rsidR="00505E01">
        <w:rPr>
          <w:rFonts w:eastAsiaTheme="minorEastAsia"/>
          <w:i/>
          <w:iCs/>
        </w:rPr>
        <w:t xml:space="preserve">, </w:t>
      </w:r>
      <w:r w:rsidR="00505E01">
        <w:rPr>
          <w:rFonts w:eastAsiaTheme="minorEastAsia"/>
        </w:rPr>
        <w:t>defined by</w:t>
      </w:r>
      <w:r w:rsidR="00E92EDC">
        <w:rPr>
          <w:rFonts w:eastAsiaTheme="minorEastAsia"/>
        </w:rPr>
        <w:t xml:space="preserve"> </w:t>
      </w:r>
      <m:oMath>
        <m:r>
          <w:rPr>
            <w:rFonts w:ascii="Cambria Math" w:hAnsi="Cambria Math"/>
          </w:rPr>
          <m:t>S=</m:t>
        </m:r>
        <m:sSub>
          <m:sSubPr>
            <m:ctrlPr>
              <w:rPr>
                <w:rFonts w:ascii="Cambria Math" w:hAnsi="Cambria Math"/>
                <w:i/>
              </w:rPr>
            </m:ctrlPr>
          </m:sSubPr>
          <m:e>
            <m:r>
              <w:rPr>
                <w:rFonts w:ascii="Cambria Math" w:hAnsi="Cambria Math"/>
              </w:rPr>
              <m:t>k</m:t>
            </m:r>
          </m:e>
          <m:sub>
            <m:r>
              <w:rPr>
                <w:rFonts w:ascii="Cambria Math" w:hAnsi="Cambria Math"/>
              </w:rPr>
              <m:t>B</m:t>
            </m:r>
          </m:sub>
        </m:sSub>
        <m:sSub>
          <m:sSubPr>
            <m:ctrlPr>
              <w:rPr>
                <w:rFonts w:ascii="Cambria Math" w:hAnsi="Cambria Math"/>
                <w:i/>
              </w:rPr>
            </m:ctrlPr>
          </m:sSubPr>
          <m:e>
            <m:r>
              <w:rPr>
                <w:rFonts w:ascii="Cambria Math" w:hAnsi="Cambria Math"/>
              </w:rPr>
              <m:t>I</m:t>
            </m:r>
          </m:e>
          <m:sub>
            <m:r>
              <w:rPr>
                <w:rFonts w:ascii="Cambria Math" w:hAnsi="Cambria Math"/>
              </w:rPr>
              <m:t>Q</m:t>
            </m:r>
          </m:sub>
        </m:sSub>
      </m:oMath>
      <w:r w:rsidR="00C00A11">
        <w:rPr>
          <w:rFonts w:eastAsiaTheme="minorEastAsia"/>
        </w:rPr>
        <w:t>,</w:t>
      </w:r>
      <w:r w:rsidR="00505E01">
        <w:rPr>
          <w:rFonts w:eastAsiaTheme="minorEastAsia"/>
        </w:rPr>
        <w:t xml:space="preserve"> </w:t>
      </w:r>
      <w:r w:rsidR="00290C36">
        <w:rPr>
          <w:rFonts w:eastAsiaTheme="minorEastAsia"/>
        </w:rPr>
        <w:t>does not decrease.</w:t>
      </w:r>
      <w:r w:rsidR="007949A1">
        <w:rPr>
          <w:rFonts w:eastAsiaTheme="minorEastAsia"/>
        </w:rPr>
        <w:t xml:space="preserve"> </w:t>
      </w:r>
    </w:p>
    <w:p w14:paraId="4C8CB964" w14:textId="77777777" w:rsidR="00BE0D98" w:rsidRDefault="00BE0D98" w:rsidP="007E7089">
      <w:pPr>
        <w:rPr>
          <w:rFonts w:eastAsiaTheme="minorEastAsia"/>
        </w:rPr>
      </w:pPr>
    </w:p>
    <w:p w14:paraId="7777EC4B" w14:textId="406E1F90" w:rsidR="002C056E" w:rsidRDefault="002C056E" w:rsidP="0086566D">
      <w:pPr>
        <w:ind w:firstLine="720"/>
      </w:pPr>
      <w:r>
        <w:rPr>
          <w:rFonts w:eastAsiaTheme="minorEastAsia"/>
        </w:rPr>
        <w:t xml:space="preserve">In conclusion, </w:t>
      </w:r>
      <w:r w:rsidR="0038695B">
        <w:rPr>
          <w:rFonts w:eastAsiaTheme="minorEastAsia"/>
        </w:rPr>
        <w:t>it has been</w:t>
      </w:r>
      <w:r>
        <w:rPr>
          <w:rFonts w:eastAsiaTheme="minorEastAsia"/>
        </w:rPr>
        <w:t xml:space="preserve"> shown that </w:t>
      </w:r>
      <w:r w:rsidR="00EB636E">
        <w:rPr>
          <w:rFonts w:eastAsiaTheme="minorEastAsia"/>
        </w:rPr>
        <w:t xml:space="preserve">a form of </w:t>
      </w:r>
      <w:proofErr w:type="spellStart"/>
      <w:r>
        <w:rPr>
          <w:rFonts w:eastAsiaTheme="minorEastAsia"/>
        </w:rPr>
        <w:t>Landauer’s</w:t>
      </w:r>
      <w:proofErr w:type="spellEnd"/>
      <w:r>
        <w:rPr>
          <w:rFonts w:eastAsiaTheme="minorEastAsia"/>
        </w:rPr>
        <w:t xml:space="preserve"> Principle</w:t>
      </w:r>
      <w:r w:rsidR="00E42547">
        <w:rPr>
          <w:rFonts w:eastAsiaTheme="minorEastAsia"/>
        </w:rPr>
        <w:t xml:space="preserve"> corresponding to ontological </w:t>
      </w:r>
      <w:r w:rsidR="00BB5F15">
        <w:rPr>
          <w:rFonts w:eastAsiaTheme="minorEastAsia"/>
        </w:rPr>
        <w:t xml:space="preserve">(as opposed to epistemic) </w:t>
      </w:r>
      <w:r w:rsidR="00E42547">
        <w:rPr>
          <w:rFonts w:eastAsiaTheme="minorEastAsia"/>
        </w:rPr>
        <w:t>information</w:t>
      </w:r>
      <w:r>
        <w:rPr>
          <w:rFonts w:eastAsiaTheme="minorEastAsia"/>
        </w:rPr>
        <w:t xml:space="preserve"> is implied for a thermal system by the joint entropy</w:t>
      </w:r>
      <w:r w:rsidR="00FA2DCE">
        <w:rPr>
          <w:rFonts w:eastAsiaTheme="minorEastAsia"/>
        </w:rPr>
        <w:t xml:space="preserve"> corresponding to the </w:t>
      </w:r>
      <w:r w:rsidR="002E2706">
        <w:rPr>
          <w:rFonts w:eastAsiaTheme="minorEastAsia"/>
        </w:rPr>
        <w:t xml:space="preserve">quantum </w:t>
      </w:r>
      <w:r w:rsidR="00FA2DCE">
        <w:rPr>
          <w:rFonts w:eastAsiaTheme="minorEastAsia"/>
        </w:rPr>
        <w:t>uncertainty principle</w:t>
      </w:r>
      <w:r w:rsidR="00390B2C">
        <w:rPr>
          <w:rFonts w:eastAsiaTheme="minorEastAsia"/>
        </w:rPr>
        <w:t>, independently of the Second Law</w:t>
      </w:r>
      <w:r>
        <w:rPr>
          <w:rFonts w:eastAsiaTheme="minorEastAsia"/>
        </w:rPr>
        <w:t xml:space="preserve">. </w:t>
      </w:r>
      <w:r w:rsidR="0011639C">
        <w:rPr>
          <w:rFonts w:eastAsiaTheme="minorEastAsia"/>
        </w:rPr>
        <w:t xml:space="preserve">This remedies the current situation, in which </w:t>
      </w:r>
      <w:proofErr w:type="spellStart"/>
      <w:r w:rsidR="0011639C">
        <w:rPr>
          <w:rFonts w:eastAsiaTheme="minorEastAsia"/>
        </w:rPr>
        <w:t>Landauer’s</w:t>
      </w:r>
      <w:proofErr w:type="spellEnd"/>
      <w:r w:rsidR="0011639C">
        <w:rPr>
          <w:rFonts w:eastAsiaTheme="minorEastAsia"/>
        </w:rPr>
        <w:t xml:space="preserve"> Principle has often been invoked as a surrogate for the Second Law when it is the Second Law itself that is being challenged. </w:t>
      </w:r>
      <w:r w:rsidR="0073503B">
        <w:rPr>
          <w:rFonts w:eastAsiaTheme="minorEastAsia"/>
        </w:rPr>
        <w:t>It also arguably provides the true physical basis for the Second Law</w:t>
      </w:r>
      <w:r w:rsidR="00651E93">
        <w:rPr>
          <w:rFonts w:eastAsiaTheme="minorEastAsia"/>
        </w:rPr>
        <w:t>.</w:t>
      </w:r>
    </w:p>
    <w:p w14:paraId="3FDE9329" w14:textId="77777777" w:rsidR="001D42E4" w:rsidRDefault="001D42E4"/>
    <w:p w14:paraId="44C7B539" w14:textId="77777777" w:rsidR="00BC02B4" w:rsidRDefault="00BC02B4"/>
    <w:p w14:paraId="3C95F023" w14:textId="77777777" w:rsidR="00ED6BFE" w:rsidRDefault="00ED6BFE"/>
    <w:p w14:paraId="31B579D1" w14:textId="77777777" w:rsidR="00ED6BFE" w:rsidRDefault="00ED6BFE"/>
    <w:p w14:paraId="0F4DCB86" w14:textId="77777777" w:rsidR="00ED6BFE" w:rsidRDefault="00ED6BFE"/>
    <w:p w14:paraId="5E9D6D2B" w14:textId="77777777" w:rsidR="00ED6BFE" w:rsidRDefault="00ED6BFE"/>
    <w:p w14:paraId="26953AAD" w14:textId="77777777" w:rsidR="00ED6BFE" w:rsidRDefault="00ED6BFE"/>
    <w:p w14:paraId="30AB639C" w14:textId="77777777" w:rsidR="00ED6BFE" w:rsidRDefault="00ED6BFE"/>
    <w:p w14:paraId="744DD798" w14:textId="77777777" w:rsidR="00ED6BFE" w:rsidRDefault="00ED6BFE"/>
    <w:p w14:paraId="03D8822B" w14:textId="77777777" w:rsidR="00ED6BFE" w:rsidRDefault="00ED6BFE"/>
    <w:p w14:paraId="226FBFC9" w14:textId="77777777" w:rsidR="00ED6BFE" w:rsidRDefault="00ED6BFE"/>
    <w:p w14:paraId="13F00CDA" w14:textId="77777777" w:rsidR="00ED6BFE" w:rsidRDefault="00ED6BFE"/>
    <w:p w14:paraId="0E9FBF7B" w14:textId="77777777" w:rsidR="00ED6BFE" w:rsidRDefault="00ED6BFE"/>
    <w:p w14:paraId="68CE555D" w14:textId="77777777" w:rsidR="00ED6BFE" w:rsidRDefault="00ED6BFE"/>
    <w:p w14:paraId="792C7A23" w14:textId="77777777" w:rsidR="00ED6BFE" w:rsidRDefault="00ED6BFE"/>
    <w:p w14:paraId="412E8ECD" w14:textId="77777777" w:rsidR="00ED6BFE" w:rsidRDefault="00ED6BFE"/>
    <w:p w14:paraId="6DC61036" w14:textId="77777777" w:rsidR="00ED6BFE" w:rsidRDefault="00ED6BFE"/>
    <w:p w14:paraId="06BF8A81" w14:textId="77777777" w:rsidR="00ED6BFE" w:rsidRDefault="00ED6BFE"/>
    <w:p w14:paraId="4B7509F4" w14:textId="77777777" w:rsidR="00ED6BFE" w:rsidRDefault="00ED6BFE"/>
    <w:p w14:paraId="4B482099" w14:textId="77777777" w:rsidR="00ED6BFE" w:rsidRDefault="00ED6BFE"/>
    <w:p w14:paraId="0B05CE0F" w14:textId="77777777" w:rsidR="00ED6BFE" w:rsidRDefault="00ED6BFE"/>
    <w:p w14:paraId="4C5B06C2" w14:textId="77777777" w:rsidR="00ED6BFE" w:rsidRDefault="00ED6BFE"/>
    <w:p w14:paraId="531928E8" w14:textId="77777777" w:rsidR="00ED6BFE" w:rsidRDefault="00ED6BFE"/>
    <w:p w14:paraId="0EF1254E" w14:textId="77777777" w:rsidR="00ED6BFE" w:rsidRDefault="00ED6BFE"/>
    <w:p w14:paraId="152417A6" w14:textId="77777777" w:rsidR="00ED6BFE" w:rsidRDefault="00ED6BFE"/>
    <w:p w14:paraId="74C30B81" w14:textId="77777777" w:rsidR="00ED6BFE" w:rsidRDefault="00ED6BFE"/>
    <w:p w14:paraId="72678DB5" w14:textId="77777777" w:rsidR="00ED6BFE" w:rsidRDefault="00ED6BFE"/>
    <w:p w14:paraId="63961A92" w14:textId="77777777" w:rsidR="00E172E7" w:rsidRDefault="00E172E7"/>
    <w:p w14:paraId="604B82DA" w14:textId="77777777" w:rsidR="00A77113" w:rsidRDefault="00E172E7" w:rsidP="00A77113">
      <w:r>
        <w:t xml:space="preserve">References </w:t>
      </w:r>
    </w:p>
    <w:p w14:paraId="18AEDEDF" w14:textId="77777777" w:rsidR="00A77113" w:rsidRDefault="00A77113" w:rsidP="00A77113"/>
    <w:p w14:paraId="6D6DAC6A" w14:textId="1A6E81CC" w:rsidR="00A77113" w:rsidRPr="00A77113" w:rsidRDefault="006B070F" w:rsidP="00A77113">
      <w:r>
        <w:rPr>
          <w:rFonts w:cstheme="minorHAnsi"/>
        </w:rPr>
        <w:t xml:space="preserve">Bennett, C. </w:t>
      </w:r>
      <w:r w:rsidR="0067004D">
        <w:rPr>
          <w:rFonts w:cstheme="minorHAnsi"/>
        </w:rPr>
        <w:t>(198</w:t>
      </w:r>
      <w:r w:rsidR="00A77113">
        <w:rPr>
          <w:rFonts w:cstheme="minorHAnsi"/>
        </w:rPr>
        <w:t>2</w:t>
      </w:r>
      <w:r w:rsidR="0067004D">
        <w:rPr>
          <w:rFonts w:cstheme="minorHAnsi"/>
        </w:rPr>
        <w:t>)</w:t>
      </w:r>
      <w:r w:rsidR="00A77113">
        <w:rPr>
          <w:rFonts w:ascii="Arial" w:hAnsi="Arial" w:cs="Arial"/>
          <w:color w:val="222222"/>
          <w:sz w:val="20"/>
          <w:szCs w:val="20"/>
        </w:rPr>
        <w:t xml:space="preserve"> </w:t>
      </w:r>
      <w:r w:rsidR="005F20AC">
        <w:rPr>
          <w:rFonts w:ascii="Arial" w:hAnsi="Arial" w:cs="Arial"/>
          <w:color w:val="222222"/>
          <w:sz w:val="20"/>
          <w:szCs w:val="20"/>
        </w:rPr>
        <w:t>"</w:t>
      </w:r>
      <w:r w:rsidR="00A77113">
        <w:rPr>
          <w:rFonts w:ascii="Arial" w:hAnsi="Arial" w:cs="Arial"/>
          <w:color w:val="222222"/>
          <w:sz w:val="20"/>
          <w:szCs w:val="20"/>
        </w:rPr>
        <w:t>The thermodynamics of computation—A review</w:t>
      </w:r>
      <w:r w:rsidR="005F20AC">
        <w:rPr>
          <w:rFonts w:ascii="Arial" w:hAnsi="Arial" w:cs="Arial"/>
          <w:color w:val="222222"/>
          <w:sz w:val="20"/>
          <w:szCs w:val="20"/>
        </w:rPr>
        <w:t>,"</w:t>
      </w:r>
      <w:r w:rsidR="00A77113">
        <w:rPr>
          <w:rStyle w:val="apple-converted-space"/>
          <w:rFonts w:ascii="Arial" w:hAnsi="Arial" w:cs="Arial"/>
          <w:color w:val="222222"/>
        </w:rPr>
        <w:t> </w:t>
      </w:r>
      <w:r w:rsidR="00A77113">
        <w:rPr>
          <w:rStyle w:val="html-italic"/>
          <w:rFonts w:ascii="Arial" w:hAnsi="Arial" w:cs="Arial"/>
          <w:i/>
          <w:iCs/>
          <w:color w:val="222222"/>
          <w:sz w:val="20"/>
          <w:szCs w:val="20"/>
        </w:rPr>
        <w:t xml:space="preserve">Int. J. </w:t>
      </w:r>
      <w:proofErr w:type="spellStart"/>
      <w:r w:rsidR="00A77113">
        <w:rPr>
          <w:rStyle w:val="html-italic"/>
          <w:rFonts w:ascii="Arial" w:hAnsi="Arial" w:cs="Arial"/>
          <w:i/>
          <w:iCs/>
          <w:color w:val="222222"/>
          <w:sz w:val="20"/>
          <w:szCs w:val="20"/>
        </w:rPr>
        <w:t>Theor</w:t>
      </w:r>
      <w:proofErr w:type="spellEnd"/>
      <w:r w:rsidR="00A77113">
        <w:rPr>
          <w:rStyle w:val="html-italic"/>
          <w:rFonts w:ascii="Arial" w:hAnsi="Arial" w:cs="Arial"/>
          <w:i/>
          <w:iCs/>
          <w:color w:val="222222"/>
          <w:sz w:val="20"/>
          <w:szCs w:val="20"/>
        </w:rPr>
        <w:t>. Phys.</w:t>
      </w:r>
      <w:r w:rsidR="00A77113">
        <w:rPr>
          <w:rStyle w:val="apple-converted-space"/>
          <w:rFonts w:ascii="Arial" w:hAnsi="Arial" w:cs="Arial"/>
          <w:color w:val="222222"/>
        </w:rPr>
        <w:t> </w:t>
      </w:r>
      <w:r w:rsidR="00A77113">
        <w:rPr>
          <w:rStyle w:val="html-italic"/>
          <w:rFonts w:ascii="Arial" w:hAnsi="Arial" w:cs="Arial"/>
          <w:i/>
          <w:iCs/>
          <w:color w:val="222222"/>
          <w:sz w:val="20"/>
          <w:szCs w:val="20"/>
        </w:rPr>
        <w:t>21</w:t>
      </w:r>
      <w:r w:rsidR="00A77113">
        <w:rPr>
          <w:rFonts w:ascii="Arial" w:hAnsi="Arial" w:cs="Arial"/>
          <w:color w:val="222222"/>
          <w:sz w:val="20"/>
          <w:szCs w:val="20"/>
        </w:rPr>
        <w:t xml:space="preserve">, 905–940. </w:t>
      </w:r>
    </w:p>
    <w:p w14:paraId="457C7A67" w14:textId="057DC981" w:rsidR="006B070F" w:rsidRDefault="00F45975" w:rsidP="00C90461">
      <w:pPr>
        <w:pStyle w:val="NormalWeb"/>
        <w:rPr>
          <w:rFonts w:asciiTheme="minorHAnsi" w:hAnsiTheme="minorHAnsi" w:cstheme="minorHAnsi"/>
        </w:rPr>
      </w:pPr>
      <w:proofErr w:type="spellStart"/>
      <w:r>
        <w:rPr>
          <w:rFonts w:ascii="Arial" w:hAnsi="Arial" w:cs="Arial"/>
          <w:color w:val="222222"/>
          <w:sz w:val="20"/>
          <w:szCs w:val="20"/>
          <w:shd w:val="clear" w:color="auto" w:fill="FFFFFF"/>
        </w:rPr>
        <w:t>Bérut</w:t>
      </w:r>
      <w:proofErr w:type="spellEnd"/>
      <w:r>
        <w:rPr>
          <w:rFonts w:ascii="Arial" w:hAnsi="Arial" w:cs="Arial"/>
          <w:color w:val="222222"/>
          <w:sz w:val="20"/>
          <w:szCs w:val="20"/>
          <w:shd w:val="clear" w:color="auto" w:fill="FFFFFF"/>
        </w:rPr>
        <w:t xml:space="preserve">, A.; Arakelyan, A.; </w:t>
      </w:r>
      <w:proofErr w:type="spellStart"/>
      <w:r>
        <w:rPr>
          <w:rFonts w:ascii="Arial" w:hAnsi="Arial" w:cs="Arial"/>
          <w:color w:val="222222"/>
          <w:sz w:val="20"/>
          <w:szCs w:val="20"/>
          <w:shd w:val="clear" w:color="auto" w:fill="FFFFFF"/>
        </w:rPr>
        <w:t>Petrosyan</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Ciliberto</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Dillenschneider</w:t>
      </w:r>
      <w:proofErr w:type="spellEnd"/>
      <w:r>
        <w:rPr>
          <w:rFonts w:ascii="Arial" w:hAnsi="Arial" w:cs="Arial"/>
          <w:color w:val="222222"/>
          <w:sz w:val="20"/>
          <w:szCs w:val="20"/>
          <w:shd w:val="clear" w:color="auto" w:fill="FFFFFF"/>
        </w:rPr>
        <w:t xml:space="preserve">, R.; Eric, L.E. (2012). Experimental verification of </w:t>
      </w:r>
      <w:proofErr w:type="spellStart"/>
      <w:r>
        <w:rPr>
          <w:rFonts w:ascii="Arial" w:hAnsi="Arial" w:cs="Arial"/>
          <w:color w:val="222222"/>
          <w:sz w:val="20"/>
          <w:szCs w:val="20"/>
          <w:shd w:val="clear" w:color="auto" w:fill="FFFFFF"/>
        </w:rPr>
        <w:t>Landauer’s</w:t>
      </w:r>
      <w:proofErr w:type="spellEnd"/>
      <w:r>
        <w:rPr>
          <w:rFonts w:ascii="Arial" w:hAnsi="Arial" w:cs="Arial"/>
          <w:color w:val="222222"/>
          <w:sz w:val="20"/>
          <w:szCs w:val="20"/>
          <w:shd w:val="clear" w:color="auto" w:fill="FFFFFF"/>
        </w:rPr>
        <w:t xml:space="preserve"> principle linking information and thermodynamics.</w:t>
      </w:r>
      <w:r>
        <w:rPr>
          <w:rStyle w:val="apple-converted-space"/>
          <w:rFonts w:ascii="Arial" w:hAnsi="Arial" w:cs="Arial"/>
          <w:color w:val="222222"/>
          <w:sz w:val="20"/>
          <w:szCs w:val="20"/>
          <w:shd w:val="clear" w:color="auto" w:fill="FFFFFF"/>
        </w:rPr>
        <w:t> </w:t>
      </w:r>
      <w:r>
        <w:rPr>
          <w:rStyle w:val="html-italic"/>
          <w:rFonts w:ascii="Arial" w:hAnsi="Arial" w:cs="Arial"/>
          <w:i/>
          <w:iCs/>
          <w:color w:val="222222"/>
        </w:rPr>
        <w:t>Nature</w:t>
      </w:r>
      <w:r w:rsidR="002D2A8C">
        <w:rPr>
          <w:rStyle w:val="html-italic"/>
          <w:rFonts w:ascii="Arial" w:hAnsi="Arial" w:cs="Arial"/>
          <w:i/>
          <w:iCs/>
          <w:color w:val="222222"/>
        </w:rPr>
        <w:t xml:space="preserve"> </w:t>
      </w:r>
      <w:r w:rsidR="002D2A8C">
        <w:rPr>
          <w:rFonts w:ascii="Segoe UI" w:hAnsi="Segoe UI" w:cs="Segoe UI"/>
          <w:b/>
          <w:bCs/>
          <w:color w:val="222222"/>
        </w:rPr>
        <w:t>483</w:t>
      </w:r>
      <w:r w:rsidR="002D2A8C">
        <w:rPr>
          <w:rFonts w:ascii="Segoe UI" w:hAnsi="Segoe UI" w:cs="Segoe UI"/>
          <w:color w:val="222222"/>
          <w:shd w:val="clear" w:color="auto" w:fill="FFFFFF"/>
        </w:rPr>
        <w:t>,</w:t>
      </w:r>
      <w:r w:rsidR="002D2A8C">
        <w:rPr>
          <w:rStyle w:val="apple-converted-space"/>
          <w:rFonts w:ascii="Segoe UI" w:hAnsi="Segoe UI" w:cs="Segoe UI"/>
          <w:color w:val="222222"/>
          <w:bdr w:val="none" w:sz="0" w:space="0" w:color="auto" w:frame="1"/>
        </w:rPr>
        <w:t> </w:t>
      </w:r>
      <w:r w:rsidR="002D2A8C">
        <w:rPr>
          <w:rFonts w:ascii="Segoe UI" w:hAnsi="Segoe UI" w:cs="Segoe UI"/>
          <w:color w:val="222222"/>
          <w:shd w:val="clear" w:color="auto" w:fill="FFFFFF"/>
        </w:rPr>
        <w:t>187–189.</w:t>
      </w:r>
    </w:p>
    <w:p w14:paraId="6B35D5FE" w14:textId="2CCF38B1" w:rsidR="002D6D77" w:rsidRDefault="002D6D77" w:rsidP="002D6D77">
      <w:r>
        <w:t xml:space="preserve">Brillouin, L. (1951) "Maxwell’s Demon Cannot Operate: Information and Entropy. I," </w:t>
      </w:r>
      <w:r w:rsidRPr="002E1648">
        <w:rPr>
          <w:i/>
          <w:iCs/>
        </w:rPr>
        <w:t>Journal of Applied Physics 22</w:t>
      </w:r>
      <w:r>
        <w:t xml:space="preserve">, 334–337. Reprinted in </w:t>
      </w:r>
      <w:proofErr w:type="spellStart"/>
      <w:r>
        <w:t>Leff</w:t>
      </w:r>
      <w:proofErr w:type="spellEnd"/>
      <w:r>
        <w:t xml:space="preserve"> and Rex (1990), pp. 134–137. </w:t>
      </w:r>
    </w:p>
    <w:p w14:paraId="2D3AF3A1" w14:textId="205CC5BF" w:rsidR="00EA3D23" w:rsidRPr="00EA3D23" w:rsidRDefault="00A845EE" w:rsidP="00EA3D23">
      <w:pPr>
        <w:pStyle w:val="NormalWeb"/>
        <w:rPr>
          <w:rFonts w:ascii="Arial" w:hAnsi="Arial" w:cs="Arial"/>
          <w:color w:val="222222"/>
          <w:sz w:val="20"/>
          <w:szCs w:val="20"/>
        </w:rPr>
      </w:pPr>
      <w:proofErr w:type="spellStart"/>
      <w:r>
        <w:rPr>
          <w:rFonts w:ascii="Arial" w:hAnsi="Arial" w:cs="Arial"/>
          <w:color w:val="222222"/>
          <w:sz w:val="20"/>
          <w:szCs w:val="20"/>
        </w:rPr>
        <w:t>Earman</w:t>
      </w:r>
      <w:proofErr w:type="spellEnd"/>
      <w:r>
        <w:rPr>
          <w:rFonts w:ascii="Arial" w:hAnsi="Arial" w:cs="Arial"/>
          <w:color w:val="222222"/>
          <w:sz w:val="20"/>
          <w:szCs w:val="20"/>
        </w:rPr>
        <w:t xml:space="preserve">, J.; Norton, J.D. (1999). Exorcist XIV: The wrath of Maxwell’s demon. Part II: From Szilard to </w:t>
      </w:r>
      <w:proofErr w:type="spellStart"/>
      <w:r>
        <w:rPr>
          <w:rFonts w:ascii="Arial" w:hAnsi="Arial" w:cs="Arial"/>
          <w:color w:val="222222"/>
          <w:sz w:val="20"/>
          <w:szCs w:val="20"/>
        </w:rPr>
        <w:t>Landauer</w:t>
      </w:r>
      <w:proofErr w:type="spellEnd"/>
      <w:r>
        <w:rPr>
          <w:rFonts w:ascii="Arial" w:hAnsi="Arial" w:cs="Arial"/>
          <w:color w:val="222222"/>
          <w:sz w:val="20"/>
          <w:szCs w:val="20"/>
        </w:rPr>
        <w:t xml:space="preserve"> and beyond.</w:t>
      </w:r>
      <w:r>
        <w:rPr>
          <w:rStyle w:val="apple-converted-space"/>
          <w:rFonts w:ascii="Arial" w:hAnsi="Arial" w:cs="Arial"/>
          <w:color w:val="222222"/>
        </w:rPr>
        <w:t> </w:t>
      </w:r>
      <w:r>
        <w:rPr>
          <w:rStyle w:val="html-italic"/>
          <w:rFonts w:ascii="Arial" w:hAnsi="Arial" w:cs="Arial"/>
          <w:i/>
          <w:iCs/>
          <w:color w:val="222222"/>
          <w:sz w:val="20"/>
          <w:szCs w:val="20"/>
        </w:rPr>
        <w:t>Stud. Hist. Philos. M. P.</w:t>
      </w:r>
      <w:r>
        <w:rPr>
          <w:rStyle w:val="apple-converted-space"/>
          <w:rFonts w:ascii="Arial" w:hAnsi="Arial" w:cs="Arial"/>
          <w:color w:val="222222"/>
        </w:rPr>
        <w:t> </w:t>
      </w:r>
      <w:r>
        <w:rPr>
          <w:rStyle w:val="html-italic"/>
          <w:rFonts w:ascii="Arial" w:hAnsi="Arial" w:cs="Arial"/>
          <w:i/>
          <w:iCs/>
          <w:color w:val="222222"/>
          <w:sz w:val="20"/>
          <w:szCs w:val="20"/>
        </w:rPr>
        <w:t>30</w:t>
      </w:r>
      <w:r>
        <w:rPr>
          <w:rFonts w:ascii="Arial" w:hAnsi="Arial" w:cs="Arial"/>
          <w:color w:val="222222"/>
          <w:sz w:val="20"/>
          <w:szCs w:val="20"/>
        </w:rPr>
        <w:t>, 1–40.</w:t>
      </w:r>
    </w:p>
    <w:p w14:paraId="5AEC1052" w14:textId="221AFC24" w:rsidR="00EA3D23" w:rsidRDefault="00EA3D23" w:rsidP="00EA3D23">
      <w:r>
        <w:t xml:space="preserve">Hirschman, I. I. (1957). “A Note on Entropy,” </w:t>
      </w:r>
      <w:r w:rsidRPr="008E0996">
        <w:rPr>
          <w:i/>
          <w:iCs/>
        </w:rPr>
        <w:t>American Journal of Mathematics</w:t>
      </w:r>
      <w:r>
        <w:t xml:space="preserve"> 79:1, 152-156.</w:t>
      </w:r>
    </w:p>
    <w:p w14:paraId="5061C975" w14:textId="77777777" w:rsidR="00EA3D23" w:rsidRDefault="00EA3D23" w:rsidP="00EA3D23"/>
    <w:p w14:paraId="5A3FE7C1" w14:textId="77777777" w:rsidR="00EA3D23" w:rsidRDefault="00EA3D23" w:rsidP="00EA3D23">
      <w:r>
        <w:t xml:space="preserve">Kastner, R. E. (2017). </w:t>
      </w:r>
      <w:r w:rsidRPr="003466C4">
        <w:t>"On Quantum Collapse as a Basis for the Second Law of Thermodynamics</w:t>
      </w:r>
      <w:r>
        <w:t>,</w:t>
      </w:r>
      <w:r w:rsidRPr="003466C4">
        <w:t>" </w:t>
      </w:r>
      <w:r w:rsidRPr="003466C4">
        <w:rPr>
          <w:i/>
          <w:iCs/>
        </w:rPr>
        <w:t>Entropy 19</w:t>
      </w:r>
      <w:r>
        <w:t>(</w:t>
      </w:r>
      <w:r w:rsidRPr="003466C4">
        <w:t>3</w:t>
      </w:r>
      <w:r>
        <w:t>)</w:t>
      </w:r>
      <w:r w:rsidRPr="003466C4">
        <w:t>: 106. https://doi.org/10.3390/e19030106</w:t>
      </w:r>
    </w:p>
    <w:p w14:paraId="5B2CA2F8" w14:textId="77777777" w:rsidR="00EA3D23" w:rsidRPr="00EA3D23" w:rsidRDefault="00EA3D23" w:rsidP="00EA3D23"/>
    <w:p w14:paraId="73631A5C" w14:textId="2EF8EC72" w:rsidR="00C41D1E" w:rsidRDefault="00C90461" w:rsidP="00A66501">
      <w:pPr>
        <w:rPr>
          <w:rFonts w:cstheme="minorHAnsi"/>
        </w:rPr>
      </w:pPr>
      <w:proofErr w:type="spellStart"/>
      <w:r w:rsidRPr="00C90461">
        <w:rPr>
          <w:rFonts w:cstheme="minorHAnsi"/>
        </w:rPr>
        <w:t>Landauer</w:t>
      </w:r>
      <w:proofErr w:type="spellEnd"/>
      <w:r w:rsidRPr="00C90461">
        <w:rPr>
          <w:rFonts w:cstheme="minorHAnsi"/>
        </w:rPr>
        <w:t xml:space="preserve">, R. </w:t>
      </w:r>
      <w:r w:rsidR="00143F65">
        <w:rPr>
          <w:rFonts w:cstheme="minorHAnsi"/>
        </w:rPr>
        <w:t xml:space="preserve">(1961). </w:t>
      </w:r>
      <w:r w:rsidR="00A66501">
        <w:rPr>
          <w:rFonts w:cstheme="minorHAnsi"/>
        </w:rPr>
        <w:t>"</w:t>
      </w:r>
      <w:r w:rsidR="00A66501">
        <w:t xml:space="preserve">Irreversibility and </w:t>
      </w:r>
      <w:r w:rsidR="00A66501" w:rsidRPr="00A66501">
        <w:t>Heat</w:t>
      </w:r>
      <w:r w:rsidR="00A66501">
        <w:rPr>
          <w:sz w:val="40"/>
          <w:szCs w:val="40"/>
        </w:rPr>
        <w:t xml:space="preserve"> </w:t>
      </w:r>
      <w:r w:rsidR="00A66501">
        <w:t xml:space="preserve">Generation in the Computing Process," </w:t>
      </w:r>
      <w:r w:rsidRPr="002E0901">
        <w:rPr>
          <w:rFonts w:cstheme="minorHAnsi"/>
          <w:i/>
          <w:iCs/>
        </w:rPr>
        <w:t>IBM</w:t>
      </w:r>
      <w:r w:rsidRPr="00C90461">
        <w:rPr>
          <w:rFonts w:cstheme="minorHAnsi"/>
        </w:rPr>
        <w:t xml:space="preserve"> </w:t>
      </w:r>
      <w:r w:rsidRPr="00143F65">
        <w:rPr>
          <w:rFonts w:cstheme="minorHAnsi"/>
          <w:i/>
          <w:iCs/>
        </w:rPr>
        <w:t>J. Res. Dev. 5</w:t>
      </w:r>
      <w:r w:rsidR="002D6F0C">
        <w:rPr>
          <w:rFonts w:cstheme="minorHAnsi"/>
          <w:i/>
          <w:iCs/>
        </w:rPr>
        <w:t>,</w:t>
      </w:r>
      <w:r w:rsidRPr="00C90461">
        <w:rPr>
          <w:rFonts w:cstheme="minorHAnsi"/>
        </w:rPr>
        <w:t xml:space="preserve"> 183. </w:t>
      </w:r>
    </w:p>
    <w:p w14:paraId="023F6619" w14:textId="77777777" w:rsidR="00A66501" w:rsidRPr="00A66501" w:rsidRDefault="00A66501" w:rsidP="00A66501"/>
    <w:p w14:paraId="1C64900C" w14:textId="0532CF21" w:rsidR="00E172E7" w:rsidRDefault="00E172E7">
      <w:proofErr w:type="spellStart"/>
      <w:r>
        <w:t>Leipnik</w:t>
      </w:r>
      <w:proofErr w:type="spellEnd"/>
      <w:r>
        <w:t xml:space="preserve">, Roy (1959). </w:t>
      </w:r>
      <w:r w:rsidR="004857F3">
        <w:t xml:space="preserve">“Entropy and the Uncertainty Principle,” </w:t>
      </w:r>
      <w:r w:rsidR="004857F3" w:rsidRPr="006709C1">
        <w:rPr>
          <w:i/>
          <w:iCs/>
        </w:rPr>
        <w:t xml:space="preserve">Information and Control </w:t>
      </w:r>
      <w:r w:rsidR="006709C1" w:rsidRPr="006709C1">
        <w:rPr>
          <w:i/>
          <w:iCs/>
        </w:rPr>
        <w:t>2</w:t>
      </w:r>
      <w:r w:rsidR="006709C1">
        <w:t>, 64-79.</w:t>
      </w:r>
    </w:p>
    <w:p w14:paraId="00AEB3F2" w14:textId="77777777" w:rsidR="003861CA" w:rsidRDefault="003861CA"/>
    <w:p w14:paraId="4CE17B69" w14:textId="77777777" w:rsidR="008C776A" w:rsidRDefault="003861CA" w:rsidP="008C776A">
      <w:pPr>
        <w:rPr>
          <w:rStyle w:val="Hyperlink"/>
          <w:rFonts w:ascii="Arial" w:hAnsi="Arial" w:cs="Arial"/>
          <w:b/>
          <w:bCs/>
          <w:color w:val="4F5671"/>
          <w:sz w:val="20"/>
          <w:szCs w:val="20"/>
        </w:rPr>
      </w:pPr>
      <w:r>
        <w:t>Norton, J</w:t>
      </w:r>
      <w:r w:rsidR="00B87431">
        <w:t xml:space="preserve">. (2013). "All Shook Up: </w:t>
      </w:r>
      <w:r w:rsidR="00B87431" w:rsidRPr="00B87431">
        <w:t>Fluctuations, Maxwell’s Demon and the Thermodynamics of Computation</w:t>
      </w:r>
      <w:r w:rsidR="00B87431">
        <w:t xml:space="preserve">," </w:t>
      </w:r>
      <w:r w:rsidR="00B87431">
        <w:rPr>
          <w:rStyle w:val="Emphasis"/>
          <w:rFonts w:ascii="Arial" w:hAnsi="Arial" w:cs="Arial"/>
          <w:color w:val="222222"/>
          <w:sz w:val="20"/>
          <w:szCs w:val="20"/>
        </w:rPr>
        <w:t>Entropy</w:t>
      </w:r>
      <w:r w:rsidR="00B87431">
        <w:rPr>
          <w:rStyle w:val="apple-converted-space"/>
          <w:rFonts w:ascii="Arial" w:hAnsi="Arial" w:cs="Arial"/>
          <w:color w:val="222222"/>
          <w:shd w:val="clear" w:color="auto" w:fill="FFFFFF"/>
        </w:rPr>
        <w:t> </w:t>
      </w:r>
      <w:r w:rsidR="00B87431">
        <w:rPr>
          <w:b/>
          <w:bCs/>
          <w:color w:val="222222"/>
          <w:sz w:val="20"/>
          <w:szCs w:val="20"/>
        </w:rPr>
        <w:t>2013</w:t>
      </w:r>
      <w:r w:rsidR="00B87431">
        <w:rPr>
          <w:color w:val="222222"/>
          <w:sz w:val="20"/>
          <w:szCs w:val="20"/>
          <w:shd w:val="clear" w:color="auto" w:fill="FFFFFF"/>
        </w:rPr>
        <w:t>,</w:t>
      </w:r>
      <w:r w:rsidR="00B87431">
        <w:rPr>
          <w:rStyle w:val="apple-converted-space"/>
          <w:rFonts w:ascii="Arial" w:hAnsi="Arial" w:cs="Arial"/>
          <w:color w:val="222222"/>
          <w:shd w:val="clear" w:color="auto" w:fill="FFFFFF"/>
        </w:rPr>
        <w:t> </w:t>
      </w:r>
      <w:r w:rsidR="00B87431">
        <w:rPr>
          <w:rStyle w:val="Emphasis"/>
          <w:rFonts w:ascii="Arial" w:hAnsi="Arial" w:cs="Arial"/>
          <w:color w:val="222222"/>
          <w:sz w:val="20"/>
          <w:szCs w:val="20"/>
        </w:rPr>
        <w:t>15</w:t>
      </w:r>
      <w:r w:rsidR="00B87431">
        <w:rPr>
          <w:color w:val="222222"/>
          <w:sz w:val="20"/>
          <w:szCs w:val="20"/>
          <w:shd w:val="clear" w:color="auto" w:fill="FFFFFF"/>
        </w:rPr>
        <w:t>(10), 4432-4483;</w:t>
      </w:r>
      <w:r w:rsidR="00B87431">
        <w:rPr>
          <w:rStyle w:val="apple-converted-space"/>
          <w:rFonts w:ascii="Arial" w:hAnsi="Arial" w:cs="Arial"/>
          <w:color w:val="222222"/>
          <w:shd w:val="clear" w:color="auto" w:fill="FFFFFF"/>
        </w:rPr>
        <w:t> </w:t>
      </w:r>
      <w:hyperlink r:id="rId7" w:history="1">
        <w:r w:rsidR="00B87431">
          <w:rPr>
            <w:rStyle w:val="Hyperlink"/>
            <w:rFonts w:ascii="Arial" w:hAnsi="Arial" w:cs="Arial"/>
            <w:b/>
            <w:bCs/>
            <w:color w:val="4F5671"/>
            <w:sz w:val="20"/>
            <w:szCs w:val="20"/>
          </w:rPr>
          <w:t>https://doi.org/10.3390/e15104432</w:t>
        </w:r>
      </w:hyperlink>
    </w:p>
    <w:p w14:paraId="778A5248" w14:textId="77777777" w:rsidR="008C776A" w:rsidRDefault="008C776A" w:rsidP="008C776A">
      <w:pPr>
        <w:rPr>
          <w:rStyle w:val="Hyperlink"/>
          <w:rFonts w:ascii="Arial" w:hAnsi="Arial" w:cs="Arial"/>
          <w:b/>
          <w:bCs/>
          <w:color w:val="4F5671"/>
          <w:sz w:val="20"/>
          <w:szCs w:val="20"/>
        </w:rPr>
      </w:pPr>
    </w:p>
    <w:p w14:paraId="7DE10D27" w14:textId="581727B1" w:rsidR="008C776A" w:rsidRPr="008C776A" w:rsidRDefault="008C776A" w:rsidP="008C776A">
      <w:pPr>
        <w:rPr>
          <w:rFonts w:ascii="Arial" w:hAnsi="Arial" w:cs="Arial"/>
          <w:b/>
          <w:bCs/>
          <w:color w:val="4F5671"/>
          <w:sz w:val="20"/>
          <w:szCs w:val="20"/>
          <w:u w:val="single"/>
        </w:rPr>
      </w:pPr>
      <w:r w:rsidRPr="008C776A">
        <w:rPr>
          <w:rFonts w:ascii="Arial" w:eastAsia="Times New Roman" w:hAnsi="Arial" w:cs="Arial"/>
          <w:color w:val="222222"/>
          <w:sz w:val="20"/>
          <w:szCs w:val="20"/>
        </w:rPr>
        <w:t xml:space="preserve">Norton, J.D. </w:t>
      </w:r>
      <w:r>
        <w:rPr>
          <w:rFonts w:ascii="Arial" w:eastAsia="Times New Roman" w:hAnsi="Arial" w:cs="Arial"/>
          <w:color w:val="222222"/>
          <w:sz w:val="20"/>
          <w:szCs w:val="20"/>
        </w:rPr>
        <w:t>(2005). "</w:t>
      </w:r>
      <w:r w:rsidRPr="008C776A">
        <w:rPr>
          <w:rFonts w:ascii="Arial" w:eastAsia="Times New Roman" w:hAnsi="Arial" w:cs="Arial"/>
          <w:color w:val="222222"/>
          <w:sz w:val="20"/>
          <w:szCs w:val="20"/>
        </w:rPr>
        <w:t xml:space="preserve">Eaters of the lotus: </w:t>
      </w:r>
      <w:proofErr w:type="spellStart"/>
      <w:r w:rsidRPr="008C776A">
        <w:rPr>
          <w:rFonts w:ascii="Arial" w:eastAsia="Times New Roman" w:hAnsi="Arial" w:cs="Arial"/>
          <w:color w:val="222222"/>
          <w:sz w:val="20"/>
          <w:szCs w:val="20"/>
        </w:rPr>
        <w:t>Landauer’s</w:t>
      </w:r>
      <w:proofErr w:type="spellEnd"/>
      <w:r w:rsidRPr="008C776A">
        <w:rPr>
          <w:rFonts w:ascii="Arial" w:eastAsia="Times New Roman" w:hAnsi="Arial" w:cs="Arial"/>
          <w:color w:val="222222"/>
          <w:sz w:val="20"/>
          <w:szCs w:val="20"/>
        </w:rPr>
        <w:t xml:space="preserve"> principle and the return of Maxwell’s demon.</w:t>
      </w:r>
      <w:r>
        <w:rPr>
          <w:rFonts w:ascii="Arial" w:eastAsia="Times New Roman" w:hAnsi="Arial" w:cs="Arial"/>
          <w:color w:val="222222"/>
          <w:sz w:val="20"/>
          <w:szCs w:val="20"/>
        </w:rPr>
        <w:t>"</w:t>
      </w:r>
      <w:r w:rsidRPr="008C776A">
        <w:rPr>
          <w:rFonts w:ascii="Arial" w:eastAsia="Times New Roman" w:hAnsi="Arial" w:cs="Arial"/>
          <w:color w:val="222222"/>
          <w:sz w:val="20"/>
          <w:szCs w:val="20"/>
        </w:rPr>
        <w:t> </w:t>
      </w:r>
      <w:r w:rsidRPr="008C776A">
        <w:rPr>
          <w:rFonts w:ascii="Arial" w:eastAsia="Times New Roman" w:hAnsi="Arial" w:cs="Arial"/>
          <w:i/>
          <w:iCs/>
          <w:color w:val="222222"/>
          <w:sz w:val="20"/>
          <w:szCs w:val="20"/>
        </w:rPr>
        <w:t>Stud. Hist. Philos. M. P.</w:t>
      </w:r>
      <w:r w:rsidRPr="008C776A">
        <w:rPr>
          <w:rFonts w:ascii="Arial" w:eastAsia="Times New Roman" w:hAnsi="Arial" w:cs="Arial"/>
          <w:color w:val="222222"/>
          <w:sz w:val="20"/>
          <w:szCs w:val="20"/>
        </w:rPr>
        <w:t> </w:t>
      </w:r>
      <w:r w:rsidRPr="008C776A">
        <w:rPr>
          <w:rFonts w:ascii="Arial" w:eastAsia="Times New Roman" w:hAnsi="Arial" w:cs="Arial"/>
          <w:i/>
          <w:iCs/>
          <w:color w:val="222222"/>
          <w:sz w:val="20"/>
          <w:szCs w:val="20"/>
        </w:rPr>
        <w:t>36</w:t>
      </w:r>
      <w:r w:rsidRPr="008C776A">
        <w:rPr>
          <w:rFonts w:ascii="Arial" w:eastAsia="Times New Roman" w:hAnsi="Arial" w:cs="Arial"/>
          <w:color w:val="222222"/>
          <w:sz w:val="20"/>
          <w:szCs w:val="20"/>
        </w:rPr>
        <w:t xml:space="preserve">, 375–411. </w:t>
      </w:r>
    </w:p>
    <w:p w14:paraId="26C083CF" w14:textId="77777777" w:rsidR="00782347" w:rsidRDefault="00782347" w:rsidP="00B87431"/>
    <w:p w14:paraId="4492165C" w14:textId="7DE06AEC" w:rsidR="00782347" w:rsidRDefault="00782347" w:rsidP="00B87431">
      <w:r w:rsidRPr="00BF4F4B">
        <w:rPr>
          <w:lang w:val="de-CH"/>
          <w:rPrChange w:id="0" w:author="Andreas Schlatter" w:date="2023-07-04T16:31:00Z">
            <w:rPr/>
          </w:rPrChange>
        </w:rPr>
        <w:t xml:space="preserve">Schlatter, A. and Kastner, R. E. (2023). </w:t>
      </w:r>
      <w:r>
        <w:t xml:space="preserve">"Gravity from Transactions: Fulfilling the Entropic Gravity Program," </w:t>
      </w:r>
      <w:r w:rsidR="00221CA9">
        <w:rPr>
          <w:rStyle w:val="Emphasis"/>
        </w:rPr>
        <w:t xml:space="preserve">J. Phys. </w:t>
      </w:r>
      <w:proofErr w:type="spellStart"/>
      <w:r w:rsidR="00221CA9">
        <w:rPr>
          <w:rStyle w:val="Emphasis"/>
        </w:rPr>
        <w:t>Commun</w:t>
      </w:r>
      <w:proofErr w:type="spellEnd"/>
      <w:r w:rsidR="00221CA9">
        <w:rPr>
          <w:rStyle w:val="Emphasis"/>
        </w:rPr>
        <w:t>.</w:t>
      </w:r>
      <w:r w:rsidR="00221CA9">
        <w:t xml:space="preserve"> </w:t>
      </w:r>
      <w:r w:rsidR="00221CA9">
        <w:rPr>
          <w:b/>
          <w:bCs/>
        </w:rPr>
        <w:t>7</w:t>
      </w:r>
      <w:r w:rsidR="00221CA9">
        <w:t xml:space="preserve"> 065009.</w:t>
      </w:r>
      <w:r w:rsidR="00C23299">
        <w:t xml:space="preserve"> </w:t>
      </w:r>
      <w:r w:rsidRPr="00782347">
        <w:t>https://iopscience.iop.org/article/10.1088/2399-6528/acd6d7</w:t>
      </w:r>
      <w:r>
        <w:t>.</w:t>
      </w:r>
    </w:p>
    <w:p w14:paraId="26336787" w14:textId="77777777" w:rsidR="0086632A" w:rsidRDefault="0086632A"/>
    <w:p w14:paraId="24816D1A" w14:textId="26E8C89D" w:rsidR="0086632A" w:rsidRDefault="0086632A">
      <w:r>
        <w:t>Weyl, H. (1928)</w:t>
      </w:r>
      <w:r w:rsidR="0024487F">
        <w:t xml:space="preserve"> </w:t>
      </w:r>
      <w:r w:rsidR="0024487F" w:rsidRPr="002B4253">
        <w:rPr>
          <w:i/>
          <w:iCs/>
        </w:rPr>
        <w:t>Theory of Groups and Quantum Mechanics</w:t>
      </w:r>
      <w:r w:rsidR="0024487F">
        <w:t>. New York: Dutton. (</w:t>
      </w:r>
      <w:r w:rsidR="00CA6998">
        <w:t>77, 393-4)</w:t>
      </w:r>
    </w:p>
    <w:p w14:paraId="1E099B63" w14:textId="77777777" w:rsidR="00BC02B4" w:rsidRDefault="00BC02B4"/>
    <w:p w14:paraId="60D50606" w14:textId="77777777" w:rsidR="00BC02B4" w:rsidRDefault="00BC02B4"/>
    <w:p w14:paraId="454F4D08" w14:textId="77777777" w:rsidR="00BC02B4" w:rsidRDefault="00BC02B4"/>
    <w:sectPr w:rsidR="00BC02B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93EF" w14:textId="77777777" w:rsidR="004D5DD2" w:rsidRDefault="004D5DD2" w:rsidP="008312D8">
      <w:r>
        <w:separator/>
      </w:r>
    </w:p>
  </w:endnote>
  <w:endnote w:type="continuationSeparator" w:id="0">
    <w:p w14:paraId="51539778" w14:textId="77777777" w:rsidR="004D5DD2" w:rsidRDefault="004D5DD2" w:rsidP="0083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8235388"/>
      <w:docPartObj>
        <w:docPartGallery w:val="Page Numbers (Bottom of Page)"/>
        <w:docPartUnique/>
      </w:docPartObj>
    </w:sdtPr>
    <w:sdtContent>
      <w:p w14:paraId="5C92427B" w14:textId="051959B0" w:rsidR="00ED75B6" w:rsidRDefault="00ED75B6" w:rsidP="00BE36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FEB5D4" w14:textId="77777777" w:rsidR="00ED75B6" w:rsidRDefault="00ED75B6" w:rsidP="00ED75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179297"/>
      <w:docPartObj>
        <w:docPartGallery w:val="Page Numbers (Bottom of Page)"/>
        <w:docPartUnique/>
      </w:docPartObj>
    </w:sdtPr>
    <w:sdtContent>
      <w:p w14:paraId="34A6ACE2" w14:textId="2F6DB7F6" w:rsidR="00ED75B6" w:rsidRDefault="00ED75B6" w:rsidP="00BE36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4D684B" w14:textId="77777777" w:rsidR="00ED75B6" w:rsidRDefault="00ED75B6" w:rsidP="00ED75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6144" w14:textId="77777777" w:rsidR="004D5DD2" w:rsidRDefault="004D5DD2" w:rsidP="008312D8">
      <w:r>
        <w:separator/>
      </w:r>
    </w:p>
  </w:footnote>
  <w:footnote w:type="continuationSeparator" w:id="0">
    <w:p w14:paraId="2BD431D5" w14:textId="77777777" w:rsidR="004D5DD2" w:rsidRDefault="004D5DD2" w:rsidP="008312D8">
      <w:r>
        <w:continuationSeparator/>
      </w:r>
    </w:p>
  </w:footnote>
  <w:footnote w:id="1">
    <w:p w14:paraId="41F54529" w14:textId="5FA82AD9" w:rsidR="00225999" w:rsidRDefault="00225999">
      <w:pPr>
        <w:pStyle w:val="FootnoteText"/>
      </w:pPr>
      <w:r>
        <w:rPr>
          <w:rStyle w:val="FootnoteReference"/>
        </w:rPr>
        <w:footnoteRef/>
      </w:r>
      <w:r>
        <w:t xml:space="preserve"> One might consider this a form of Szilard's Principle</w:t>
      </w:r>
      <w:r w:rsidR="005101C5">
        <w:t xml:space="preserve"> if measurement is a</w:t>
      </w:r>
      <w:r w:rsidR="00F632C2">
        <w:t xml:space="preserve"> physically</w:t>
      </w:r>
      <w:r w:rsidR="005101C5">
        <w:t xml:space="preserve"> irreversible process; the present work argues that it is.</w:t>
      </w:r>
      <w:r>
        <w:t xml:space="preserve"> </w:t>
      </w:r>
      <w:r w:rsidR="005101C5">
        <w:t xml:space="preserve"> </w:t>
      </w:r>
    </w:p>
  </w:footnote>
  <w:footnote w:id="2">
    <w:p w14:paraId="33FE891E" w14:textId="179E33E9" w:rsidR="009301BA" w:rsidRDefault="009301BA">
      <w:pPr>
        <w:pStyle w:val="FootnoteText"/>
      </w:pPr>
      <w:r>
        <w:rPr>
          <w:rStyle w:val="FootnoteReference"/>
        </w:rPr>
        <w:footnoteRef/>
      </w:r>
      <w:r>
        <w:t xml:space="preserve"> Th</w:t>
      </w:r>
      <w:r w:rsidR="00A66102">
        <w:t>e information-theoretic tradition</w:t>
      </w:r>
      <w:r>
        <w:t xml:space="preserve"> invokes a stronger version of </w:t>
      </w:r>
      <w:proofErr w:type="spellStart"/>
      <w:r>
        <w:t>Landauer's</w:t>
      </w:r>
      <w:proofErr w:type="spellEnd"/>
      <w:r>
        <w:t xml:space="preserve"> Principle than has been stated here, in which the logical structure of the computation is taken as dictating the entropy cost</w:t>
      </w:r>
      <w:r w:rsidR="00280EE2">
        <w:t>,</w:t>
      </w:r>
      <w:r>
        <w:t xml:space="preserve"> rather than its </w:t>
      </w:r>
      <w:r w:rsidR="00637000">
        <w:t xml:space="preserve">actual </w:t>
      </w:r>
      <w:r>
        <w:t>physical implementation.</w:t>
      </w:r>
    </w:p>
  </w:footnote>
  <w:footnote w:id="3">
    <w:p w14:paraId="224BBD39" w14:textId="74D75E0B" w:rsidR="00A578F3" w:rsidRDefault="00BD7431" w:rsidP="00BD7431">
      <w:pPr>
        <w:pStyle w:val="FootnoteText"/>
        <w:rPr>
          <w:rFonts w:cstheme="minorHAnsi"/>
          <w:color w:val="222222"/>
          <w:shd w:val="clear" w:color="auto" w:fill="FFFFFF"/>
        </w:rPr>
      </w:pPr>
      <w:r>
        <w:rPr>
          <w:rStyle w:val="FootnoteReference"/>
        </w:rPr>
        <w:footnoteRef/>
      </w:r>
      <w:r>
        <w:t xml:space="preserve"> This is why erasure of a </w:t>
      </w:r>
      <w:proofErr w:type="gramStart"/>
      <w:r w:rsidR="002C4E3E">
        <w:t>classically-modeled</w:t>
      </w:r>
      <w:proofErr w:type="gramEnd"/>
      <w:r w:rsidR="002C4E3E">
        <w:t xml:space="preserve"> </w:t>
      </w:r>
      <w:r>
        <w:t>memory device does not correspond to a true phase space compression, as Norton notes (2013, 3.6)</w:t>
      </w:r>
      <w:r w:rsidR="00764DFD">
        <w:t xml:space="preserve">: </w:t>
      </w:r>
      <w:r w:rsidR="00764DFD" w:rsidRPr="008D3654">
        <w:rPr>
          <w:rFonts w:cstheme="minorHAnsi"/>
        </w:rPr>
        <w:t>"</w:t>
      </w:r>
      <w:r w:rsidR="00D07FB7" w:rsidRPr="008D3654">
        <w:rPr>
          <w:rFonts w:cstheme="minorHAnsi"/>
          <w:color w:val="222222"/>
          <w:shd w:val="clear" w:color="auto" w:fill="FFFFFF"/>
        </w:rPr>
        <w:t>E</w:t>
      </w:r>
      <w:r w:rsidR="00764DFD" w:rsidRPr="008D3654">
        <w:rPr>
          <w:rFonts w:cstheme="minorHAnsi"/>
          <w:color w:val="222222"/>
          <w:shd w:val="clear" w:color="auto" w:fill="FFFFFF"/>
        </w:rPr>
        <w:t>rasure reduces logical space but not physical phase space.''</w:t>
      </w:r>
    </w:p>
    <w:p w14:paraId="02A1533F" w14:textId="7D7DAE9B" w:rsidR="00822097" w:rsidRPr="00A578F3" w:rsidRDefault="00822097" w:rsidP="00BD7431">
      <w:pPr>
        <w:pStyle w:val="FootnoteText"/>
        <w:rPr>
          <w:rFonts w:cstheme="minorHAnsi"/>
          <w:color w:val="222222"/>
          <w:shd w:val="clear" w:color="auto" w:fill="FFFFFF"/>
        </w:rPr>
      </w:pPr>
      <w:r>
        <w:rPr>
          <w:rFonts w:cstheme="minorHAnsi"/>
          <w:color w:val="222222"/>
          <w:shd w:val="clear" w:color="auto" w:fill="FFFFFF"/>
        </w:rPr>
        <w:t>See also Norton (2005).</w:t>
      </w:r>
    </w:p>
  </w:footnote>
  <w:footnote w:id="4">
    <w:p w14:paraId="37FBC7BD" w14:textId="0051F7C0" w:rsidR="002035F4" w:rsidRDefault="002035F4">
      <w:pPr>
        <w:pStyle w:val="FootnoteText"/>
      </w:pPr>
      <w:r>
        <w:rPr>
          <w:rStyle w:val="FootnoteReference"/>
        </w:rPr>
        <w:footnoteRef/>
      </w:r>
      <w:r>
        <w:t xml:space="preserve"> </w:t>
      </w:r>
      <w:r w:rsidR="00A94D99">
        <w:t>E</w:t>
      </w:r>
      <w:r>
        <w:t>ven under an assumption of hidden variables</w:t>
      </w:r>
      <w:r w:rsidR="002335A4">
        <w:t xml:space="preserve"> {</w:t>
      </w:r>
      <w:r w:rsidR="002335A4" w:rsidRPr="002335A4">
        <w:rPr>
          <w:rFonts w:ascii="Symbol" w:hAnsi="Symbol"/>
          <w:i/>
          <w:iCs/>
        </w:rPr>
        <w:t>l</w:t>
      </w:r>
      <w:r w:rsidR="002335A4">
        <w:t>}</w:t>
      </w:r>
      <w:r>
        <w:t xml:space="preserve">, </w:t>
      </w:r>
      <w:r w:rsidR="00F61F7F" w:rsidRPr="00DF6F27">
        <w:rPr>
          <w:i/>
          <w:iCs/>
        </w:rPr>
        <w:t>I</w:t>
      </w:r>
      <w:r w:rsidR="00F61F7F" w:rsidRPr="00DF6F27">
        <w:rPr>
          <w:i/>
          <w:iCs/>
          <w:vertAlign w:val="subscript"/>
        </w:rPr>
        <w:t>O</w:t>
      </w:r>
      <w:r w:rsidR="00F61F7F">
        <w:rPr>
          <w:i/>
          <w:iCs/>
          <w:vertAlign w:val="subscript"/>
        </w:rPr>
        <w:t xml:space="preserve">   </w:t>
      </w:r>
      <w:r w:rsidR="00F61F7F" w:rsidRPr="00F61F7F">
        <w:t>applies to a</w:t>
      </w:r>
      <w:r w:rsidR="00F61F7F">
        <w:rPr>
          <w:i/>
          <w:iCs/>
          <w:vertAlign w:val="subscript"/>
        </w:rPr>
        <w:t xml:space="preserve"> </w:t>
      </w:r>
      <w:r>
        <w:t xml:space="preserve">quantum system </w:t>
      </w:r>
      <w:r w:rsidR="00F61F7F">
        <w:t xml:space="preserve">in state </w:t>
      </w:r>
      <m:oMath>
        <m:d>
          <m:dPr>
            <m:begChr m:val=""/>
            <m:endChr m:val="⟩"/>
            <m:ctrlPr>
              <w:rPr>
                <w:rFonts w:ascii="Cambria Math" w:hAnsi="Cambria Math"/>
                <w:i/>
              </w:rPr>
            </m:ctrlPr>
          </m:dPr>
          <m:e>
            <m:r>
              <w:rPr>
                <w:rFonts w:ascii="Cambria Math" w:hAnsi="Cambria Math"/>
              </w:rPr>
              <m:t>|ψ</m:t>
            </m:r>
          </m:e>
        </m:d>
      </m:oMath>
      <w:r w:rsidR="00F61F7F">
        <w:rPr>
          <w:rFonts w:eastAsiaTheme="minorEastAsia"/>
        </w:rPr>
        <w:t>,</w:t>
      </w:r>
      <w:r w:rsidR="00F61F7F">
        <w:t xml:space="preserve"> </w:t>
      </w:r>
      <w:r w:rsidR="00FB290B">
        <w:t>since</w:t>
      </w:r>
      <w:r w:rsidR="006140EE">
        <w:t xml:space="preserve"> </w:t>
      </w:r>
      <w:r w:rsidR="00FB290B">
        <w:t xml:space="preserve">a putative property-possession </w:t>
      </w:r>
      <w:r w:rsidR="002335A4" w:rsidRPr="002335A4">
        <w:rPr>
          <w:rFonts w:ascii="Symbol" w:hAnsi="Symbol"/>
          <w:i/>
          <w:iCs/>
        </w:rPr>
        <w:t>l</w:t>
      </w:r>
      <w:r w:rsidR="002335A4">
        <w:rPr>
          <w:rFonts w:ascii="Symbol" w:hAnsi="Symbol"/>
        </w:rPr>
        <w:t xml:space="preserve"> </w:t>
      </w:r>
      <w:r w:rsidR="006140EE">
        <w:t xml:space="preserve">does not </w:t>
      </w:r>
      <w:r w:rsidR="00CD163A">
        <w:t>define</w:t>
      </w:r>
      <w:r w:rsidR="006140EE">
        <w:t xml:space="preserve"> a</w:t>
      </w:r>
      <w:r w:rsidR="00746B16">
        <w:t xml:space="preserve"> </w:t>
      </w:r>
      <w:r w:rsidR="006140EE">
        <w:t>state</w:t>
      </w:r>
      <w:r w:rsidR="002335A4">
        <w:t xml:space="preserve"> </w:t>
      </w:r>
      <m:oMath>
        <m:d>
          <m:dPr>
            <m:begChr m:val=""/>
            <m:endChr m:val="⟩"/>
            <m:ctrlPr>
              <w:rPr>
                <w:rFonts w:ascii="Cambria Math" w:hAnsi="Cambria Math"/>
                <w:i/>
              </w:rPr>
            </m:ctrlPr>
          </m:dPr>
          <m:e>
            <m:r>
              <w:rPr>
                <w:rFonts w:ascii="Cambria Math" w:hAnsi="Cambria Math"/>
              </w:rPr>
              <m:t>|ψ</m:t>
            </m:r>
          </m:e>
        </m:d>
      </m:oMath>
      <w:r w:rsidR="006140EE">
        <w:t>.</w:t>
      </w:r>
    </w:p>
  </w:footnote>
  <w:footnote w:id="5">
    <w:p w14:paraId="47E382BD" w14:textId="2AE3350F" w:rsidR="006F39C4" w:rsidRDefault="006F39C4">
      <w:pPr>
        <w:pStyle w:val="FootnoteText"/>
      </w:pPr>
      <w:r>
        <w:rPr>
          <w:rStyle w:val="FootnoteReference"/>
        </w:rPr>
        <w:footnoteRef/>
      </w:r>
      <w:r>
        <w:t xml:space="preserve"> The differential form can in principle </w:t>
      </w:r>
      <w:r w:rsidR="00081306">
        <w:t>yield</w:t>
      </w:r>
      <w:r>
        <w:t xml:space="preserve"> negative entropy values, but may be viewed as an idealization</w:t>
      </w:r>
      <w:r w:rsidR="00F40038">
        <w:t>,</w:t>
      </w:r>
      <w:r>
        <w:t xml:space="preserve"> since the notion of a position and momentum continuum can also be viewed as idealizations.</w:t>
      </w:r>
      <w:r w:rsidR="00081306">
        <w:t xml:space="preserve"> In additional, there is no true position observable at the fully relativistic level, so that localization is likely limited to a Planck volume (cf. Schlatter and Kastner, 2023).</w:t>
      </w:r>
      <w:r w:rsidR="00A460F7">
        <w:t xml:space="preserve"> Thus, (1) may be viewed as an excellent approximation for </w:t>
      </w:r>
      <w:r w:rsidR="00C728D8">
        <w:t>the macroscopic level.</w:t>
      </w:r>
    </w:p>
  </w:footnote>
  <w:footnote w:id="6">
    <w:p w14:paraId="302F4B6A" w14:textId="58F4946B" w:rsidR="00B23B68" w:rsidRDefault="00B23B68">
      <w:pPr>
        <w:pStyle w:val="FootnoteText"/>
      </w:pPr>
      <w:r>
        <w:rPr>
          <w:rStyle w:val="FootnoteReference"/>
        </w:rPr>
        <w:footnoteRef/>
      </w:r>
      <w:r>
        <w:t xml:space="preserve"> </w:t>
      </w:r>
      <w:r w:rsidR="00236566">
        <w:t>Q</w:t>
      </w:r>
      <w:r>
        <w:t>uantum measurement</w:t>
      </w:r>
      <w:r w:rsidR="000873C5">
        <w:t xml:space="preserve"> and its relation to entropy increase</w:t>
      </w:r>
      <w:r w:rsidR="00236566">
        <w:t xml:space="preserve"> is discussed in detail in</w:t>
      </w:r>
      <w:r>
        <w:t xml:space="preserve"> Kastner (2017).</w:t>
      </w:r>
      <w:r w:rsidR="00540CF5">
        <w:t xml:space="preserve"> Of course, accounts insisting that quantum theory is always unitary are subject to the </w:t>
      </w:r>
      <w:r w:rsidR="00F65C1F">
        <w:t xml:space="preserve">same irreversibility objections and lack of true state space compression as the classical theory, as well as the </w:t>
      </w:r>
      <w:r w:rsidR="00540CF5">
        <w:t>measurement problem</w:t>
      </w:r>
      <w:r w:rsidR="00F65C1F">
        <w:t>,</w:t>
      </w:r>
      <w:r w:rsidR="00540CF5">
        <w:t xml:space="preserve"> which may be why the results offered herein have </w:t>
      </w:r>
      <w:r w:rsidR="00F65C1F">
        <w:t xml:space="preserve">thus far </w:t>
      </w:r>
      <w:r w:rsidR="00540CF5">
        <w:t>been overlooked.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0BF"/>
    <w:multiLevelType w:val="multilevel"/>
    <w:tmpl w:val="31CA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95249"/>
    <w:multiLevelType w:val="multilevel"/>
    <w:tmpl w:val="08B0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1062A"/>
    <w:multiLevelType w:val="multilevel"/>
    <w:tmpl w:val="5CB8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1064C3"/>
    <w:multiLevelType w:val="multilevel"/>
    <w:tmpl w:val="B8EA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741255">
    <w:abstractNumId w:val="3"/>
  </w:num>
  <w:num w:numId="2" w16cid:durableId="259879404">
    <w:abstractNumId w:val="0"/>
  </w:num>
  <w:num w:numId="3" w16cid:durableId="1133525931">
    <w:abstractNumId w:val="1"/>
  </w:num>
  <w:num w:numId="4" w16cid:durableId="9399957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Schlatter">
    <w15:presenceInfo w15:providerId="None" w15:userId="Andreas Schla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activeWritingStyle w:appName="MSWord" w:lang="en-US"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de-CH"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B4"/>
    <w:rsid w:val="000045B3"/>
    <w:rsid w:val="00020239"/>
    <w:rsid w:val="00022DA6"/>
    <w:rsid w:val="00023C49"/>
    <w:rsid w:val="00036F24"/>
    <w:rsid w:val="000414E9"/>
    <w:rsid w:val="00041F28"/>
    <w:rsid w:val="00042538"/>
    <w:rsid w:val="0004473A"/>
    <w:rsid w:val="00045D74"/>
    <w:rsid w:val="00052649"/>
    <w:rsid w:val="00053579"/>
    <w:rsid w:val="00054A1E"/>
    <w:rsid w:val="00056F4E"/>
    <w:rsid w:val="00057D6A"/>
    <w:rsid w:val="00061108"/>
    <w:rsid w:val="00064E24"/>
    <w:rsid w:val="000670EE"/>
    <w:rsid w:val="00070111"/>
    <w:rsid w:val="00071F69"/>
    <w:rsid w:val="00072046"/>
    <w:rsid w:val="0007415D"/>
    <w:rsid w:val="00075390"/>
    <w:rsid w:val="000755FC"/>
    <w:rsid w:val="00081306"/>
    <w:rsid w:val="000816CE"/>
    <w:rsid w:val="000873C5"/>
    <w:rsid w:val="00087634"/>
    <w:rsid w:val="00092020"/>
    <w:rsid w:val="0009542E"/>
    <w:rsid w:val="00095834"/>
    <w:rsid w:val="00096C8D"/>
    <w:rsid w:val="000A114C"/>
    <w:rsid w:val="000B1B9F"/>
    <w:rsid w:val="000C2CED"/>
    <w:rsid w:val="000C2F46"/>
    <w:rsid w:val="000C38A2"/>
    <w:rsid w:val="000C6F16"/>
    <w:rsid w:val="000D1321"/>
    <w:rsid w:val="000D29A3"/>
    <w:rsid w:val="000D51D7"/>
    <w:rsid w:val="000E28A2"/>
    <w:rsid w:val="000E587A"/>
    <w:rsid w:val="000E6D08"/>
    <w:rsid w:val="000E7CCA"/>
    <w:rsid w:val="000F3855"/>
    <w:rsid w:val="000F77C8"/>
    <w:rsid w:val="00100A24"/>
    <w:rsid w:val="0010115E"/>
    <w:rsid w:val="00103CD0"/>
    <w:rsid w:val="001111AF"/>
    <w:rsid w:val="00111E37"/>
    <w:rsid w:val="00111F7D"/>
    <w:rsid w:val="00115DFC"/>
    <w:rsid w:val="0011639C"/>
    <w:rsid w:val="00117CD1"/>
    <w:rsid w:val="00120145"/>
    <w:rsid w:val="00127D21"/>
    <w:rsid w:val="001355EF"/>
    <w:rsid w:val="001364C6"/>
    <w:rsid w:val="00140F88"/>
    <w:rsid w:val="00143F65"/>
    <w:rsid w:val="0015583D"/>
    <w:rsid w:val="00156B0E"/>
    <w:rsid w:val="001628E2"/>
    <w:rsid w:val="00164AEB"/>
    <w:rsid w:val="00175B7C"/>
    <w:rsid w:val="00177096"/>
    <w:rsid w:val="00185471"/>
    <w:rsid w:val="0018635A"/>
    <w:rsid w:val="00190135"/>
    <w:rsid w:val="0019478D"/>
    <w:rsid w:val="00196B60"/>
    <w:rsid w:val="00196EE9"/>
    <w:rsid w:val="001A1F39"/>
    <w:rsid w:val="001A7864"/>
    <w:rsid w:val="001B3558"/>
    <w:rsid w:val="001B3FAB"/>
    <w:rsid w:val="001B44A0"/>
    <w:rsid w:val="001C1BF6"/>
    <w:rsid w:val="001C40FA"/>
    <w:rsid w:val="001C79B0"/>
    <w:rsid w:val="001D1F83"/>
    <w:rsid w:val="001D42E4"/>
    <w:rsid w:val="001D49E0"/>
    <w:rsid w:val="001D4D21"/>
    <w:rsid w:val="001E3CF0"/>
    <w:rsid w:val="001E4153"/>
    <w:rsid w:val="001E585C"/>
    <w:rsid w:val="001F4B4F"/>
    <w:rsid w:val="00201279"/>
    <w:rsid w:val="002035F4"/>
    <w:rsid w:val="00206B66"/>
    <w:rsid w:val="00207A2D"/>
    <w:rsid w:val="00212772"/>
    <w:rsid w:val="002148AC"/>
    <w:rsid w:val="00221CA9"/>
    <w:rsid w:val="00225999"/>
    <w:rsid w:val="00225AA4"/>
    <w:rsid w:val="00226A58"/>
    <w:rsid w:val="002308F9"/>
    <w:rsid w:val="00230C1B"/>
    <w:rsid w:val="002335A4"/>
    <w:rsid w:val="00236566"/>
    <w:rsid w:val="00237CFB"/>
    <w:rsid w:val="00237ECD"/>
    <w:rsid w:val="0024395E"/>
    <w:rsid w:val="0024487F"/>
    <w:rsid w:val="0025114C"/>
    <w:rsid w:val="002562DB"/>
    <w:rsid w:val="002577E1"/>
    <w:rsid w:val="0026105E"/>
    <w:rsid w:val="00261EC0"/>
    <w:rsid w:val="0026769E"/>
    <w:rsid w:val="002809C2"/>
    <w:rsid w:val="00280EE2"/>
    <w:rsid w:val="002838E7"/>
    <w:rsid w:val="002844EA"/>
    <w:rsid w:val="00290C36"/>
    <w:rsid w:val="002971CB"/>
    <w:rsid w:val="00297B1B"/>
    <w:rsid w:val="002A0DA2"/>
    <w:rsid w:val="002A207A"/>
    <w:rsid w:val="002B3C5B"/>
    <w:rsid w:val="002B4253"/>
    <w:rsid w:val="002B7A3C"/>
    <w:rsid w:val="002C056E"/>
    <w:rsid w:val="002C4E3E"/>
    <w:rsid w:val="002C585C"/>
    <w:rsid w:val="002D2A8C"/>
    <w:rsid w:val="002D6D77"/>
    <w:rsid w:val="002D6F0C"/>
    <w:rsid w:val="002E0901"/>
    <w:rsid w:val="002E1648"/>
    <w:rsid w:val="002E2706"/>
    <w:rsid w:val="002E31CA"/>
    <w:rsid w:val="002E6F27"/>
    <w:rsid w:val="002F70E2"/>
    <w:rsid w:val="0030056B"/>
    <w:rsid w:val="003016FD"/>
    <w:rsid w:val="003024B9"/>
    <w:rsid w:val="00304AA6"/>
    <w:rsid w:val="00306574"/>
    <w:rsid w:val="00310DA2"/>
    <w:rsid w:val="003127AA"/>
    <w:rsid w:val="00314D14"/>
    <w:rsid w:val="003167C0"/>
    <w:rsid w:val="003267E2"/>
    <w:rsid w:val="00334F26"/>
    <w:rsid w:val="00336D70"/>
    <w:rsid w:val="00340639"/>
    <w:rsid w:val="00340C38"/>
    <w:rsid w:val="00342019"/>
    <w:rsid w:val="003466C4"/>
    <w:rsid w:val="00354B34"/>
    <w:rsid w:val="00355FE7"/>
    <w:rsid w:val="00363C54"/>
    <w:rsid w:val="00364065"/>
    <w:rsid w:val="00366E81"/>
    <w:rsid w:val="00366EA0"/>
    <w:rsid w:val="0037093D"/>
    <w:rsid w:val="00375940"/>
    <w:rsid w:val="003861CA"/>
    <w:rsid w:val="0038695B"/>
    <w:rsid w:val="00387000"/>
    <w:rsid w:val="00390B2C"/>
    <w:rsid w:val="00394B75"/>
    <w:rsid w:val="003A2196"/>
    <w:rsid w:val="003A2FF9"/>
    <w:rsid w:val="003A6CA5"/>
    <w:rsid w:val="003A7803"/>
    <w:rsid w:val="003B7585"/>
    <w:rsid w:val="003C0C63"/>
    <w:rsid w:val="003C6DB8"/>
    <w:rsid w:val="003D03B7"/>
    <w:rsid w:val="003D1D40"/>
    <w:rsid w:val="003D302E"/>
    <w:rsid w:val="003E004F"/>
    <w:rsid w:val="003E00DA"/>
    <w:rsid w:val="003E0E64"/>
    <w:rsid w:val="003E1EC8"/>
    <w:rsid w:val="003E2257"/>
    <w:rsid w:val="003E35C1"/>
    <w:rsid w:val="003F016D"/>
    <w:rsid w:val="003F42D8"/>
    <w:rsid w:val="003F5D65"/>
    <w:rsid w:val="003F6684"/>
    <w:rsid w:val="003F79B4"/>
    <w:rsid w:val="0040054A"/>
    <w:rsid w:val="0040567B"/>
    <w:rsid w:val="00412BBD"/>
    <w:rsid w:val="00414719"/>
    <w:rsid w:val="00423FDF"/>
    <w:rsid w:val="004240B7"/>
    <w:rsid w:val="004264A2"/>
    <w:rsid w:val="0043015B"/>
    <w:rsid w:val="0043341C"/>
    <w:rsid w:val="00434128"/>
    <w:rsid w:val="00434431"/>
    <w:rsid w:val="0043567D"/>
    <w:rsid w:val="00436648"/>
    <w:rsid w:val="0044217F"/>
    <w:rsid w:val="00443429"/>
    <w:rsid w:val="00445B74"/>
    <w:rsid w:val="0045435A"/>
    <w:rsid w:val="00454F28"/>
    <w:rsid w:val="004570A4"/>
    <w:rsid w:val="00461761"/>
    <w:rsid w:val="004724C6"/>
    <w:rsid w:val="0047273E"/>
    <w:rsid w:val="00474D35"/>
    <w:rsid w:val="004768CB"/>
    <w:rsid w:val="00480D95"/>
    <w:rsid w:val="00484CCE"/>
    <w:rsid w:val="004857F3"/>
    <w:rsid w:val="004918FC"/>
    <w:rsid w:val="0049554C"/>
    <w:rsid w:val="004A0460"/>
    <w:rsid w:val="004B39B6"/>
    <w:rsid w:val="004B4FA6"/>
    <w:rsid w:val="004D372E"/>
    <w:rsid w:val="004D3A5C"/>
    <w:rsid w:val="004D5DD2"/>
    <w:rsid w:val="004D7BE5"/>
    <w:rsid w:val="004E6016"/>
    <w:rsid w:val="004F092D"/>
    <w:rsid w:val="004F0C43"/>
    <w:rsid w:val="004F122E"/>
    <w:rsid w:val="004F58D3"/>
    <w:rsid w:val="00503672"/>
    <w:rsid w:val="00504124"/>
    <w:rsid w:val="00505E01"/>
    <w:rsid w:val="00507BC8"/>
    <w:rsid w:val="005101C5"/>
    <w:rsid w:val="00511EF6"/>
    <w:rsid w:val="00513807"/>
    <w:rsid w:val="005155FC"/>
    <w:rsid w:val="005156C2"/>
    <w:rsid w:val="00515FE1"/>
    <w:rsid w:val="0053096A"/>
    <w:rsid w:val="00530CB1"/>
    <w:rsid w:val="0053146F"/>
    <w:rsid w:val="00531A94"/>
    <w:rsid w:val="005334CA"/>
    <w:rsid w:val="00533728"/>
    <w:rsid w:val="00535F4E"/>
    <w:rsid w:val="00540CF5"/>
    <w:rsid w:val="00541354"/>
    <w:rsid w:val="005420D8"/>
    <w:rsid w:val="0054267E"/>
    <w:rsid w:val="005443BF"/>
    <w:rsid w:val="00545533"/>
    <w:rsid w:val="005470A4"/>
    <w:rsid w:val="0054756C"/>
    <w:rsid w:val="0055484C"/>
    <w:rsid w:val="00570664"/>
    <w:rsid w:val="00571A86"/>
    <w:rsid w:val="00571B32"/>
    <w:rsid w:val="00575AA3"/>
    <w:rsid w:val="0057718A"/>
    <w:rsid w:val="0058612A"/>
    <w:rsid w:val="00586F45"/>
    <w:rsid w:val="00590028"/>
    <w:rsid w:val="00592B93"/>
    <w:rsid w:val="0059358C"/>
    <w:rsid w:val="005944B1"/>
    <w:rsid w:val="00595B9D"/>
    <w:rsid w:val="005A2B34"/>
    <w:rsid w:val="005A3F55"/>
    <w:rsid w:val="005A7221"/>
    <w:rsid w:val="005A7691"/>
    <w:rsid w:val="005B10E0"/>
    <w:rsid w:val="005B14D0"/>
    <w:rsid w:val="005B1748"/>
    <w:rsid w:val="005B553F"/>
    <w:rsid w:val="005B596A"/>
    <w:rsid w:val="005B74A0"/>
    <w:rsid w:val="005B74A5"/>
    <w:rsid w:val="005C118B"/>
    <w:rsid w:val="005C46E0"/>
    <w:rsid w:val="005C562B"/>
    <w:rsid w:val="005D0882"/>
    <w:rsid w:val="005D38D4"/>
    <w:rsid w:val="005D3B5C"/>
    <w:rsid w:val="005D6C19"/>
    <w:rsid w:val="005E0B8A"/>
    <w:rsid w:val="005E4C9C"/>
    <w:rsid w:val="005E635B"/>
    <w:rsid w:val="005F20AC"/>
    <w:rsid w:val="005F31AB"/>
    <w:rsid w:val="005F670D"/>
    <w:rsid w:val="00601F9B"/>
    <w:rsid w:val="00602209"/>
    <w:rsid w:val="00602E27"/>
    <w:rsid w:val="00603C6E"/>
    <w:rsid w:val="00612F96"/>
    <w:rsid w:val="006130BE"/>
    <w:rsid w:val="006140EE"/>
    <w:rsid w:val="00617582"/>
    <w:rsid w:val="00623D43"/>
    <w:rsid w:val="00625CBF"/>
    <w:rsid w:val="00627DE8"/>
    <w:rsid w:val="00637000"/>
    <w:rsid w:val="00641177"/>
    <w:rsid w:val="00641E2D"/>
    <w:rsid w:val="0064586D"/>
    <w:rsid w:val="0064766B"/>
    <w:rsid w:val="00650A38"/>
    <w:rsid w:val="00651E93"/>
    <w:rsid w:val="00653142"/>
    <w:rsid w:val="00653AB0"/>
    <w:rsid w:val="00653B36"/>
    <w:rsid w:val="00656810"/>
    <w:rsid w:val="00662104"/>
    <w:rsid w:val="006634B1"/>
    <w:rsid w:val="0067004D"/>
    <w:rsid w:val="006709C1"/>
    <w:rsid w:val="00682763"/>
    <w:rsid w:val="006829A6"/>
    <w:rsid w:val="006851AB"/>
    <w:rsid w:val="00691901"/>
    <w:rsid w:val="00692BF9"/>
    <w:rsid w:val="00697779"/>
    <w:rsid w:val="00697E17"/>
    <w:rsid w:val="006A0492"/>
    <w:rsid w:val="006A15C7"/>
    <w:rsid w:val="006A4807"/>
    <w:rsid w:val="006A546B"/>
    <w:rsid w:val="006B070F"/>
    <w:rsid w:val="006B0849"/>
    <w:rsid w:val="006C00FE"/>
    <w:rsid w:val="006C2192"/>
    <w:rsid w:val="006C6A45"/>
    <w:rsid w:val="006D4467"/>
    <w:rsid w:val="006D4CC1"/>
    <w:rsid w:val="006E0C21"/>
    <w:rsid w:val="006E384C"/>
    <w:rsid w:val="006E70EA"/>
    <w:rsid w:val="006E7A17"/>
    <w:rsid w:val="006F131F"/>
    <w:rsid w:val="006F39C4"/>
    <w:rsid w:val="006F73D4"/>
    <w:rsid w:val="00706C48"/>
    <w:rsid w:val="007075E7"/>
    <w:rsid w:val="00710C67"/>
    <w:rsid w:val="00712C83"/>
    <w:rsid w:val="0072073D"/>
    <w:rsid w:val="00732232"/>
    <w:rsid w:val="0073503B"/>
    <w:rsid w:val="0073557F"/>
    <w:rsid w:val="00735EDD"/>
    <w:rsid w:val="00743892"/>
    <w:rsid w:val="00746B16"/>
    <w:rsid w:val="007519DF"/>
    <w:rsid w:val="00756839"/>
    <w:rsid w:val="00761F91"/>
    <w:rsid w:val="007634AE"/>
    <w:rsid w:val="00764DFD"/>
    <w:rsid w:val="00765602"/>
    <w:rsid w:val="00766DA3"/>
    <w:rsid w:val="00774290"/>
    <w:rsid w:val="00780D08"/>
    <w:rsid w:val="00782347"/>
    <w:rsid w:val="00782F6F"/>
    <w:rsid w:val="00783BF9"/>
    <w:rsid w:val="00790CCB"/>
    <w:rsid w:val="007949A1"/>
    <w:rsid w:val="007A36E6"/>
    <w:rsid w:val="007A5565"/>
    <w:rsid w:val="007B2A77"/>
    <w:rsid w:val="007B37E4"/>
    <w:rsid w:val="007B6D44"/>
    <w:rsid w:val="007C0AF1"/>
    <w:rsid w:val="007D1669"/>
    <w:rsid w:val="007D18D7"/>
    <w:rsid w:val="007D1D16"/>
    <w:rsid w:val="007D2779"/>
    <w:rsid w:val="007D4D60"/>
    <w:rsid w:val="007E0F3E"/>
    <w:rsid w:val="007E318A"/>
    <w:rsid w:val="007E3A93"/>
    <w:rsid w:val="007E3FD0"/>
    <w:rsid w:val="007E7089"/>
    <w:rsid w:val="007F0502"/>
    <w:rsid w:val="007F1BF3"/>
    <w:rsid w:val="0080042D"/>
    <w:rsid w:val="008006A1"/>
    <w:rsid w:val="00801100"/>
    <w:rsid w:val="00801BC4"/>
    <w:rsid w:val="00806BA5"/>
    <w:rsid w:val="00812A4D"/>
    <w:rsid w:val="00814AF3"/>
    <w:rsid w:val="00817943"/>
    <w:rsid w:val="00822097"/>
    <w:rsid w:val="00822530"/>
    <w:rsid w:val="00824AAF"/>
    <w:rsid w:val="00826572"/>
    <w:rsid w:val="00827764"/>
    <w:rsid w:val="00830E27"/>
    <w:rsid w:val="008312D8"/>
    <w:rsid w:val="008320D0"/>
    <w:rsid w:val="008337F5"/>
    <w:rsid w:val="00837BF1"/>
    <w:rsid w:val="008408C9"/>
    <w:rsid w:val="0084724B"/>
    <w:rsid w:val="0085569C"/>
    <w:rsid w:val="00857E31"/>
    <w:rsid w:val="0086566D"/>
    <w:rsid w:val="0086632A"/>
    <w:rsid w:val="0087035D"/>
    <w:rsid w:val="00880DA3"/>
    <w:rsid w:val="00881E44"/>
    <w:rsid w:val="008833BE"/>
    <w:rsid w:val="00885BC1"/>
    <w:rsid w:val="00886304"/>
    <w:rsid w:val="008924A5"/>
    <w:rsid w:val="008A50ED"/>
    <w:rsid w:val="008A651E"/>
    <w:rsid w:val="008B32DA"/>
    <w:rsid w:val="008C2248"/>
    <w:rsid w:val="008C37B2"/>
    <w:rsid w:val="008C776A"/>
    <w:rsid w:val="008D3132"/>
    <w:rsid w:val="008D3654"/>
    <w:rsid w:val="008D5AD9"/>
    <w:rsid w:val="008E0996"/>
    <w:rsid w:val="008E17B6"/>
    <w:rsid w:val="008E24E5"/>
    <w:rsid w:val="008F3150"/>
    <w:rsid w:val="008F329B"/>
    <w:rsid w:val="008F4744"/>
    <w:rsid w:val="008F4CD9"/>
    <w:rsid w:val="008F4DC3"/>
    <w:rsid w:val="009027CA"/>
    <w:rsid w:val="00902DE0"/>
    <w:rsid w:val="00902E63"/>
    <w:rsid w:val="00904CA9"/>
    <w:rsid w:val="00904E9B"/>
    <w:rsid w:val="00905078"/>
    <w:rsid w:val="0091563F"/>
    <w:rsid w:val="00916CFD"/>
    <w:rsid w:val="00920536"/>
    <w:rsid w:val="00925B96"/>
    <w:rsid w:val="009301BA"/>
    <w:rsid w:val="0093345B"/>
    <w:rsid w:val="009474C5"/>
    <w:rsid w:val="00960218"/>
    <w:rsid w:val="009621F1"/>
    <w:rsid w:val="00965DA1"/>
    <w:rsid w:val="00967BDC"/>
    <w:rsid w:val="0097317B"/>
    <w:rsid w:val="0097525D"/>
    <w:rsid w:val="00975394"/>
    <w:rsid w:val="00976E15"/>
    <w:rsid w:val="00995FBB"/>
    <w:rsid w:val="00996E6D"/>
    <w:rsid w:val="009B2A18"/>
    <w:rsid w:val="009B44B2"/>
    <w:rsid w:val="009B7F79"/>
    <w:rsid w:val="009C36D7"/>
    <w:rsid w:val="009C6120"/>
    <w:rsid w:val="009E1270"/>
    <w:rsid w:val="009E5C02"/>
    <w:rsid w:val="009F0C8A"/>
    <w:rsid w:val="00A00ED9"/>
    <w:rsid w:val="00A012D8"/>
    <w:rsid w:val="00A07E97"/>
    <w:rsid w:val="00A10B87"/>
    <w:rsid w:val="00A11707"/>
    <w:rsid w:val="00A1250C"/>
    <w:rsid w:val="00A138DD"/>
    <w:rsid w:val="00A16FE0"/>
    <w:rsid w:val="00A170F1"/>
    <w:rsid w:val="00A23CB0"/>
    <w:rsid w:val="00A2553F"/>
    <w:rsid w:val="00A31B5D"/>
    <w:rsid w:val="00A42930"/>
    <w:rsid w:val="00A45806"/>
    <w:rsid w:val="00A460F7"/>
    <w:rsid w:val="00A47C6D"/>
    <w:rsid w:val="00A5065C"/>
    <w:rsid w:val="00A51BF7"/>
    <w:rsid w:val="00A51CAC"/>
    <w:rsid w:val="00A54A5A"/>
    <w:rsid w:val="00A54C89"/>
    <w:rsid w:val="00A559DD"/>
    <w:rsid w:val="00A578F3"/>
    <w:rsid w:val="00A64751"/>
    <w:rsid w:val="00A66102"/>
    <w:rsid w:val="00A661CB"/>
    <w:rsid w:val="00A66501"/>
    <w:rsid w:val="00A66C2D"/>
    <w:rsid w:val="00A71394"/>
    <w:rsid w:val="00A77113"/>
    <w:rsid w:val="00A845EE"/>
    <w:rsid w:val="00A87734"/>
    <w:rsid w:val="00A91AFC"/>
    <w:rsid w:val="00A94CFF"/>
    <w:rsid w:val="00A94D99"/>
    <w:rsid w:val="00A95789"/>
    <w:rsid w:val="00A97EAF"/>
    <w:rsid w:val="00AA5A67"/>
    <w:rsid w:val="00AB2EEB"/>
    <w:rsid w:val="00AB58DA"/>
    <w:rsid w:val="00AB6038"/>
    <w:rsid w:val="00AB7B12"/>
    <w:rsid w:val="00AC1381"/>
    <w:rsid w:val="00AC14EB"/>
    <w:rsid w:val="00AC26A2"/>
    <w:rsid w:val="00AC291A"/>
    <w:rsid w:val="00AC3A72"/>
    <w:rsid w:val="00AC4228"/>
    <w:rsid w:val="00AC632C"/>
    <w:rsid w:val="00AD17CD"/>
    <w:rsid w:val="00AD1886"/>
    <w:rsid w:val="00AD3BAE"/>
    <w:rsid w:val="00AE05B4"/>
    <w:rsid w:val="00AE2362"/>
    <w:rsid w:val="00AE3B62"/>
    <w:rsid w:val="00AE78F3"/>
    <w:rsid w:val="00AF38CB"/>
    <w:rsid w:val="00AF4A2D"/>
    <w:rsid w:val="00B13FDE"/>
    <w:rsid w:val="00B20300"/>
    <w:rsid w:val="00B21ADB"/>
    <w:rsid w:val="00B21CC8"/>
    <w:rsid w:val="00B23B68"/>
    <w:rsid w:val="00B30813"/>
    <w:rsid w:val="00B30CAB"/>
    <w:rsid w:val="00B334EF"/>
    <w:rsid w:val="00B35AB3"/>
    <w:rsid w:val="00B56C27"/>
    <w:rsid w:val="00B57244"/>
    <w:rsid w:val="00B644D9"/>
    <w:rsid w:val="00B66CE1"/>
    <w:rsid w:val="00B67251"/>
    <w:rsid w:val="00B74B46"/>
    <w:rsid w:val="00B77DF1"/>
    <w:rsid w:val="00B86874"/>
    <w:rsid w:val="00B87431"/>
    <w:rsid w:val="00B87873"/>
    <w:rsid w:val="00B92153"/>
    <w:rsid w:val="00BA17F1"/>
    <w:rsid w:val="00BA734D"/>
    <w:rsid w:val="00BA7AD9"/>
    <w:rsid w:val="00BB0379"/>
    <w:rsid w:val="00BB5079"/>
    <w:rsid w:val="00BB5F15"/>
    <w:rsid w:val="00BC02B4"/>
    <w:rsid w:val="00BC3765"/>
    <w:rsid w:val="00BC4A91"/>
    <w:rsid w:val="00BC68D6"/>
    <w:rsid w:val="00BD0962"/>
    <w:rsid w:val="00BD424E"/>
    <w:rsid w:val="00BD4F77"/>
    <w:rsid w:val="00BD669D"/>
    <w:rsid w:val="00BD7431"/>
    <w:rsid w:val="00BE0D98"/>
    <w:rsid w:val="00BE274A"/>
    <w:rsid w:val="00BE4C70"/>
    <w:rsid w:val="00BF4F4B"/>
    <w:rsid w:val="00C00A11"/>
    <w:rsid w:val="00C016D6"/>
    <w:rsid w:val="00C05A13"/>
    <w:rsid w:val="00C12818"/>
    <w:rsid w:val="00C139F8"/>
    <w:rsid w:val="00C1436C"/>
    <w:rsid w:val="00C23299"/>
    <w:rsid w:val="00C24824"/>
    <w:rsid w:val="00C278BD"/>
    <w:rsid w:val="00C41D1E"/>
    <w:rsid w:val="00C42D7B"/>
    <w:rsid w:val="00C45593"/>
    <w:rsid w:val="00C45736"/>
    <w:rsid w:val="00C523D8"/>
    <w:rsid w:val="00C529EB"/>
    <w:rsid w:val="00C52A2A"/>
    <w:rsid w:val="00C57859"/>
    <w:rsid w:val="00C65F72"/>
    <w:rsid w:val="00C66C10"/>
    <w:rsid w:val="00C716FF"/>
    <w:rsid w:val="00C71874"/>
    <w:rsid w:val="00C728D8"/>
    <w:rsid w:val="00C7595A"/>
    <w:rsid w:val="00C75A60"/>
    <w:rsid w:val="00C76432"/>
    <w:rsid w:val="00C8377A"/>
    <w:rsid w:val="00C84EB5"/>
    <w:rsid w:val="00C90461"/>
    <w:rsid w:val="00C9362F"/>
    <w:rsid w:val="00CA6549"/>
    <w:rsid w:val="00CA6998"/>
    <w:rsid w:val="00CB287F"/>
    <w:rsid w:val="00CB4E46"/>
    <w:rsid w:val="00CC721D"/>
    <w:rsid w:val="00CC739A"/>
    <w:rsid w:val="00CD05BE"/>
    <w:rsid w:val="00CD163A"/>
    <w:rsid w:val="00CD68A4"/>
    <w:rsid w:val="00CE34EF"/>
    <w:rsid w:val="00CF0250"/>
    <w:rsid w:val="00CF301C"/>
    <w:rsid w:val="00CF6FBC"/>
    <w:rsid w:val="00D07FB7"/>
    <w:rsid w:val="00D200E4"/>
    <w:rsid w:val="00D24B98"/>
    <w:rsid w:val="00D56D41"/>
    <w:rsid w:val="00D66F4E"/>
    <w:rsid w:val="00D67319"/>
    <w:rsid w:val="00D71932"/>
    <w:rsid w:val="00D72FEB"/>
    <w:rsid w:val="00D73FE7"/>
    <w:rsid w:val="00D801C3"/>
    <w:rsid w:val="00D80248"/>
    <w:rsid w:val="00D8118A"/>
    <w:rsid w:val="00D81C29"/>
    <w:rsid w:val="00D85195"/>
    <w:rsid w:val="00D86E2C"/>
    <w:rsid w:val="00D92954"/>
    <w:rsid w:val="00DA7D11"/>
    <w:rsid w:val="00DB640F"/>
    <w:rsid w:val="00DC07BB"/>
    <w:rsid w:val="00DE27E2"/>
    <w:rsid w:val="00DE2F85"/>
    <w:rsid w:val="00DE5940"/>
    <w:rsid w:val="00DF15DD"/>
    <w:rsid w:val="00DF491A"/>
    <w:rsid w:val="00DF4B2E"/>
    <w:rsid w:val="00DF6F27"/>
    <w:rsid w:val="00E03B6C"/>
    <w:rsid w:val="00E13CC9"/>
    <w:rsid w:val="00E172E7"/>
    <w:rsid w:val="00E308B5"/>
    <w:rsid w:val="00E30B3E"/>
    <w:rsid w:val="00E32A51"/>
    <w:rsid w:val="00E34864"/>
    <w:rsid w:val="00E42547"/>
    <w:rsid w:val="00E51DDE"/>
    <w:rsid w:val="00E61C10"/>
    <w:rsid w:val="00E63CC6"/>
    <w:rsid w:val="00E65F7B"/>
    <w:rsid w:val="00E70891"/>
    <w:rsid w:val="00E76AA6"/>
    <w:rsid w:val="00E819F1"/>
    <w:rsid w:val="00E81B41"/>
    <w:rsid w:val="00E8547B"/>
    <w:rsid w:val="00E9126F"/>
    <w:rsid w:val="00E92EDC"/>
    <w:rsid w:val="00E934A7"/>
    <w:rsid w:val="00E940E5"/>
    <w:rsid w:val="00E9652E"/>
    <w:rsid w:val="00EA3D23"/>
    <w:rsid w:val="00EA4E4F"/>
    <w:rsid w:val="00EB636E"/>
    <w:rsid w:val="00EC3D92"/>
    <w:rsid w:val="00EC3FBD"/>
    <w:rsid w:val="00ED0B23"/>
    <w:rsid w:val="00ED44C6"/>
    <w:rsid w:val="00ED4683"/>
    <w:rsid w:val="00ED6BFE"/>
    <w:rsid w:val="00ED75B6"/>
    <w:rsid w:val="00EE2418"/>
    <w:rsid w:val="00EF21A4"/>
    <w:rsid w:val="00EF2EE0"/>
    <w:rsid w:val="00EF3813"/>
    <w:rsid w:val="00EF414A"/>
    <w:rsid w:val="00EF62D0"/>
    <w:rsid w:val="00EF6354"/>
    <w:rsid w:val="00EF7F85"/>
    <w:rsid w:val="00F07C28"/>
    <w:rsid w:val="00F137C5"/>
    <w:rsid w:val="00F16461"/>
    <w:rsid w:val="00F23BD2"/>
    <w:rsid w:val="00F25188"/>
    <w:rsid w:val="00F30CD6"/>
    <w:rsid w:val="00F34A5A"/>
    <w:rsid w:val="00F35C4F"/>
    <w:rsid w:val="00F40038"/>
    <w:rsid w:val="00F401A9"/>
    <w:rsid w:val="00F45975"/>
    <w:rsid w:val="00F50999"/>
    <w:rsid w:val="00F535EB"/>
    <w:rsid w:val="00F53898"/>
    <w:rsid w:val="00F56917"/>
    <w:rsid w:val="00F61F7F"/>
    <w:rsid w:val="00F631E9"/>
    <w:rsid w:val="00F632C2"/>
    <w:rsid w:val="00F65C1F"/>
    <w:rsid w:val="00F6686B"/>
    <w:rsid w:val="00F67060"/>
    <w:rsid w:val="00F70DF8"/>
    <w:rsid w:val="00F71101"/>
    <w:rsid w:val="00F71D3E"/>
    <w:rsid w:val="00F7299C"/>
    <w:rsid w:val="00F81F1C"/>
    <w:rsid w:val="00F828FE"/>
    <w:rsid w:val="00F8551C"/>
    <w:rsid w:val="00F913ED"/>
    <w:rsid w:val="00F92B4C"/>
    <w:rsid w:val="00FA1B12"/>
    <w:rsid w:val="00FA2DCE"/>
    <w:rsid w:val="00FA3198"/>
    <w:rsid w:val="00FB290B"/>
    <w:rsid w:val="00FB7CD8"/>
    <w:rsid w:val="00FC0224"/>
    <w:rsid w:val="00FC1AFB"/>
    <w:rsid w:val="00FD1E2C"/>
    <w:rsid w:val="00FD5CCE"/>
    <w:rsid w:val="00FE290B"/>
    <w:rsid w:val="00FE29A6"/>
    <w:rsid w:val="00FE4C4D"/>
    <w:rsid w:val="00FE6A39"/>
    <w:rsid w:val="00FF1BF7"/>
    <w:rsid w:val="00FF4EBA"/>
    <w:rsid w:val="00FF5C85"/>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95BA"/>
  <w15:chartTrackingRefBased/>
  <w15:docId w15:val="{09108F84-F116-9741-9B09-F4B1AFCE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743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F77"/>
    <w:rPr>
      <w:color w:val="808080"/>
    </w:rPr>
  </w:style>
  <w:style w:type="paragraph" w:styleId="FootnoteText">
    <w:name w:val="footnote text"/>
    <w:basedOn w:val="Normal"/>
    <w:link w:val="FootnoteTextChar"/>
    <w:uiPriority w:val="99"/>
    <w:semiHidden/>
    <w:unhideWhenUsed/>
    <w:rsid w:val="008312D8"/>
    <w:rPr>
      <w:sz w:val="20"/>
      <w:szCs w:val="20"/>
    </w:rPr>
  </w:style>
  <w:style w:type="character" w:customStyle="1" w:styleId="FootnoteTextChar">
    <w:name w:val="Footnote Text Char"/>
    <w:basedOn w:val="DefaultParagraphFont"/>
    <w:link w:val="FootnoteText"/>
    <w:uiPriority w:val="99"/>
    <w:semiHidden/>
    <w:rsid w:val="008312D8"/>
    <w:rPr>
      <w:sz w:val="20"/>
      <w:szCs w:val="20"/>
    </w:rPr>
  </w:style>
  <w:style w:type="character" w:styleId="FootnoteReference">
    <w:name w:val="footnote reference"/>
    <w:basedOn w:val="DefaultParagraphFont"/>
    <w:uiPriority w:val="99"/>
    <w:semiHidden/>
    <w:unhideWhenUsed/>
    <w:rsid w:val="008312D8"/>
    <w:rPr>
      <w:vertAlign w:val="superscript"/>
    </w:rPr>
  </w:style>
  <w:style w:type="paragraph" w:styleId="NormalWeb">
    <w:name w:val="Normal (Web)"/>
    <w:basedOn w:val="Normal"/>
    <w:uiPriority w:val="99"/>
    <w:unhideWhenUsed/>
    <w:rsid w:val="00C9046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87431"/>
    <w:rPr>
      <w:i/>
      <w:iCs/>
    </w:rPr>
  </w:style>
  <w:style w:type="character" w:customStyle="1" w:styleId="apple-converted-space">
    <w:name w:val="apple-converted-space"/>
    <w:basedOn w:val="DefaultParagraphFont"/>
    <w:rsid w:val="00B87431"/>
  </w:style>
  <w:style w:type="character" w:styleId="Hyperlink">
    <w:name w:val="Hyperlink"/>
    <w:basedOn w:val="DefaultParagraphFont"/>
    <w:uiPriority w:val="99"/>
    <w:semiHidden/>
    <w:unhideWhenUsed/>
    <w:rsid w:val="00B87431"/>
    <w:rPr>
      <w:color w:val="0000FF"/>
      <w:u w:val="single"/>
    </w:rPr>
  </w:style>
  <w:style w:type="character" w:customStyle="1" w:styleId="Heading1Char">
    <w:name w:val="Heading 1 Char"/>
    <w:basedOn w:val="DefaultParagraphFont"/>
    <w:link w:val="Heading1"/>
    <w:uiPriority w:val="9"/>
    <w:rsid w:val="00B87431"/>
    <w:rPr>
      <w:rFonts w:ascii="Times New Roman" w:eastAsia="Times New Roman" w:hAnsi="Times New Roman" w:cs="Times New Roman"/>
      <w:b/>
      <w:bCs/>
      <w:kern w:val="36"/>
      <w:sz w:val="48"/>
      <w:szCs w:val="48"/>
    </w:rPr>
  </w:style>
  <w:style w:type="paragraph" w:customStyle="1" w:styleId="html-xx">
    <w:name w:val="html-xx"/>
    <w:basedOn w:val="Normal"/>
    <w:rsid w:val="00A845EE"/>
    <w:pPr>
      <w:spacing w:before="100" w:beforeAutospacing="1" w:after="100" w:afterAutospacing="1"/>
    </w:pPr>
    <w:rPr>
      <w:rFonts w:ascii="Times New Roman" w:eastAsia="Times New Roman" w:hAnsi="Times New Roman" w:cs="Times New Roman"/>
    </w:rPr>
  </w:style>
  <w:style w:type="character" w:customStyle="1" w:styleId="html-italic">
    <w:name w:val="html-italic"/>
    <w:basedOn w:val="DefaultParagraphFont"/>
    <w:rsid w:val="00A845EE"/>
  </w:style>
  <w:style w:type="character" w:customStyle="1" w:styleId="u-visually-hidden">
    <w:name w:val="u-visually-hidden"/>
    <w:basedOn w:val="DefaultParagraphFont"/>
    <w:rsid w:val="002D2A8C"/>
  </w:style>
  <w:style w:type="paragraph" w:styleId="Footer">
    <w:name w:val="footer"/>
    <w:basedOn w:val="Normal"/>
    <w:link w:val="FooterChar"/>
    <w:uiPriority w:val="99"/>
    <w:unhideWhenUsed/>
    <w:rsid w:val="00ED75B6"/>
    <w:pPr>
      <w:tabs>
        <w:tab w:val="center" w:pos="4680"/>
        <w:tab w:val="right" w:pos="9360"/>
      </w:tabs>
    </w:pPr>
  </w:style>
  <w:style w:type="character" w:customStyle="1" w:styleId="FooterChar">
    <w:name w:val="Footer Char"/>
    <w:basedOn w:val="DefaultParagraphFont"/>
    <w:link w:val="Footer"/>
    <w:uiPriority w:val="99"/>
    <w:rsid w:val="00ED75B6"/>
  </w:style>
  <w:style w:type="character" w:styleId="PageNumber">
    <w:name w:val="page number"/>
    <w:basedOn w:val="DefaultParagraphFont"/>
    <w:uiPriority w:val="99"/>
    <w:semiHidden/>
    <w:unhideWhenUsed/>
    <w:rsid w:val="00ED75B6"/>
  </w:style>
  <w:style w:type="paragraph" w:styleId="Revision">
    <w:name w:val="Revision"/>
    <w:hidden/>
    <w:uiPriority w:val="99"/>
    <w:semiHidden/>
    <w:rsid w:val="00BF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4130">
      <w:bodyDiv w:val="1"/>
      <w:marLeft w:val="0"/>
      <w:marRight w:val="0"/>
      <w:marTop w:val="0"/>
      <w:marBottom w:val="0"/>
      <w:divBdr>
        <w:top w:val="none" w:sz="0" w:space="0" w:color="auto"/>
        <w:left w:val="none" w:sz="0" w:space="0" w:color="auto"/>
        <w:bottom w:val="none" w:sz="0" w:space="0" w:color="auto"/>
        <w:right w:val="none" w:sz="0" w:space="0" w:color="auto"/>
      </w:divBdr>
    </w:div>
    <w:div w:id="928319125">
      <w:bodyDiv w:val="1"/>
      <w:marLeft w:val="0"/>
      <w:marRight w:val="0"/>
      <w:marTop w:val="0"/>
      <w:marBottom w:val="0"/>
      <w:divBdr>
        <w:top w:val="none" w:sz="0" w:space="0" w:color="auto"/>
        <w:left w:val="none" w:sz="0" w:space="0" w:color="auto"/>
        <w:bottom w:val="none" w:sz="0" w:space="0" w:color="auto"/>
        <w:right w:val="none" w:sz="0" w:space="0" w:color="auto"/>
      </w:divBdr>
      <w:divsChild>
        <w:div w:id="1150173583">
          <w:marLeft w:val="0"/>
          <w:marRight w:val="0"/>
          <w:marTop w:val="0"/>
          <w:marBottom w:val="0"/>
          <w:divBdr>
            <w:top w:val="none" w:sz="0" w:space="0" w:color="auto"/>
            <w:left w:val="none" w:sz="0" w:space="0" w:color="auto"/>
            <w:bottom w:val="none" w:sz="0" w:space="0" w:color="auto"/>
            <w:right w:val="none" w:sz="0" w:space="0" w:color="auto"/>
          </w:divBdr>
          <w:divsChild>
            <w:div w:id="1428774316">
              <w:marLeft w:val="0"/>
              <w:marRight w:val="0"/>
              <w:marTop w:val="0"/>
              <w:marBottom w:val="0"/>
              <w:divBdr>
                <w:top w:val="none" w:sz="0" w:space="0" w:color="auto"/>
                <w:left w:val="none" w:sz="0" w:space="0" w:color="auto"/>
                <w:bottom w:val="none" w:sz="0" w:space="0" w:color="auto"/>
                <w:right w:val="none" w:sz="0" w:space="0" w:color="auto"/>
              </w:divBdr>
              <w:divsChild>
                <w:div w:id="12836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49375">
      <w:bodyDiv w:val="1"/>
      <w:marLeft w:val="0"/>
      <w:marRight w:val="0"/>
      <w:marTop w:val="0"/>
      <w:marBottom w:val="0"/>
      <w:divBdr>
        <w:top w:val="none" w:sz="0" w:space="0" w:color="auto"/>
        <w:left w:val="none" w:sz="0" w:space="0" w:color="auto"/>
        <w:bottom w:val="none" w:sz="0" w:space="0" w:color="auto"/>
        <w:right w:val="none" w:sz="0" w:space="0" w:color="auto"/>
      </w:divBdr>
    </w:div>
    <w:div w:id="1347093314">
      <w:bodyDiv w:val="1"/>
      <w:marLeft w:val="0"/>
      <w:marRight w:val="0"/>
      <w:marTop w:val="0"/>
      <w:marBottom w:val="0"/>
      <w:divBdr>
        <w:top w:val="none" w:sz="0" w:space="0" w:color="auto"/>
        <w:left w:val="none" w:sz="0" w:space="0" w:color="auto"/>
        <w:bottom w:val="none" w:sz="0" w:space="0" w:color="auto"/>
        <w:right w:val="none" w:sz="0" w:space="0" w:color="auto"/>
      </w:divBdr>
      <w:divsChild>
        <w:div w:id="1691880110">
          <w:marLeft w:val="0"/>
          <w:marRight w:val="0"/>
          <w:marTop w:val="0"/>
          <w:marBottom w:val="0"/>
          <w:divBdr>
            <w:top w:val="none" w:sz="0" w:space="0" w:color="auto"/>
            <w:left w:val="none" w:sz="0" w:space="0" w:color="auto"/>
            <w:bottom w:val="none" w:sz="0" w:space="0" w:color="auto"/>
            <w:right w:val="none" w:sz="0" w:space="0" w:color="auto"/>
          </w:divBdr>
          <w:divsChild>
            <w:div w:id="486047552">
              <w:marLeft w:val="0"/>
              <w:marRight w:val="0"/>
              <w:marTop w:val="0"/>
              <w:marBottom w:val="0"/>
              <w:divBdr>
                <w:top w:val="none" w:sz="0" w:space="0" w:color="auto"/>
                <w:left w:val="none" w:sz="0" w:space="0" w:color="auto"/>
                <w:bottom w:val="none" w:sz="0" w:space="0" w:color="auto"/>
                <w:right w:val="none" w:sz="0" w:space="0" w:color="auto"/>
              </w:divBdr>
              <w:divsChild>
                <w:div w:id="6174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7276">
      <w:bodyDiv w:val="1"/>
      <w:marLeft w:val="0"/>
      <w:marRight w:val="0"/>
      <w:marTop w:val="0"/>
      <w:marBottom w:val="0"/>
      <w:divBdr>
        <w:top w:val="none" w:sz="0" w:space="0" w:color="auto"/>
        <w:left w:val="none" w:sz="0" w:space="0" w:color="auto"/>
        <w:bottom w:val="none" w:sz="0" w:space="0" w:color="auto"/>
        <w:right w:val="none" w:sz="0" w:space="0" w:color="auto"/>
      </w:divBdr>
      <w:divsChild>
        <w:div w:id="1276249497">
          <w:marLeft w:val="0"/>
          <w:marRight w:val="0"/>
          <w:marTop w:val="0"/>
          <w:marBottom w:val="0"/>
          <w:divBdr>
            <w:top w:val="none" w:sz="0" w:space="0" w:color="auto"/>
            <w:left w:val="none" w:sz="0" w:space="0" w:color="auto"/>
            <w:bottom w:val="none" w:sz="0" w:space="0" w:color="auto"/>
            <w:right w:val="none" w:sz="0" w:space="0" w:color="auto"/>
          </w:divBdr>
          <w:divsChild>
            <w:div w:id="1760322222">
              <w:marLeft w:val="0"/>
              <w:marRight w:val="0"/>
              <w:marTop w:val="0"/>
              <w:marBottom w:val="0"/>
              <w:divBdr>
                <w:top w:val="none" w:sz="0" w:space="0" w:color="auto"/>
                <w:left w:val="none" w:sz="0" w:space="0" w:color="auto"/>
                <w:bottom w:val="none" w:sz="0" w:space="0" w:color="auto"/>
                <w:right w:val="none" w:sz="0" w:space="0" w:color="auto"/>
              </w:divBdr>
              <w:divsChild>
                <w:div w:id="1024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726">
      <w:bodyDiv w:val="1"/>
      <w:marLeft w:val="0"/>
      <w:marRight w:val="0"/>
      <w:marTop w:val="0"/>
      <w:marBottom w:val="0"/>
      <w:divBdr>
        <w:top w:val="none" w:sz="0" w:space="0" w:color="auto"/>
        <w:left w:val="none" w:sz="0" w:space="0" w:color="auto"/>
        <w:bottom w:val="none" w:sz="0" w:space="0" w:color="auto"/>
        <w:right w:val="none" w:sz="0" w:space="0" w:color="auto"/>
      </w:divBdr>
    </w:div>
    <w:div w:id="1683360519">
      <w:bodyDiv w:val="1"/>
      <w:marLeft w:val="0"/>
      <w:marRight w:val="0"/>
      <w:marTop w:val="0"/>
      <w:marBottom w:val="0"/>
      <w:divBdr>
        <w:top w:val="none" w:sz="0" w:space="0" w:color="auto"/>
        <w:left w:val="none" w:sz="0" w:space="0" w:color="auto"/>
        <w:bottom w:val="none" w:sz="0" w:space="0" w:color="auto"/>
        <w:right w:val="none" w:sz="0" w:space="0" w:color="auto"/>
      </w:divBdr>
      <w:divsChild>
        <w:div w:id="956136683">
          <w:marLeft w:val="0"/>
          <w:marRight w:val="0"/>
          <w:marTop w:val="0"/>
          <w:marBottom w:val="0"/>
          <w:divBdr>
            <w:top w:val="none" w:sz="0" w:space="0" w:color="auto"/>
            <w:left w:val="none" w:sz="0" w:space="0" w:color="auto"/>
            <w:bottom w:val="none" w:sz="0" w:space="0" w:color="auto"/>
            <w:right w:val="none" w:sz="0" w:space="0" w:color="auto"/>
          </w:divBdr>
          <w:divsChild>
            <w:div w:id="1184055956">
              <w:marLeft w:val="0"/>
              <w:marRight w:val="0"/>
              <w:marTop w:val="0"/>
              <w:marBottom w:val="0"/>
              <w:divBdr>
                <w:top w:val="none" w:sz="0" w:space="0" w:color="auto"/>
                <w:left w:val="none" w:sz="0" w:space="0" w:color="auto"/>
                <w:bottom w:val="none" w:sz="0" w:space="0" w:color="auto"/>
                <w:right w:val="none" w:sz="0" w:space="0" w:color="auto"/>
              </w:divBdr>
              <w:divsChild>
                <w:div w:id="2985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99863">
      <w:bodyDiv w:val="1"/>
      <w:marLeft w:val="0"/>
      <w:marRight w:val="0"/>
      <w:marTop w:val="0"/>
      <w:marBottom w:val="0"/>
      <w:divBdr>
        <w:top w:val="none" w:sz="0" w:space="0" w:color="auto"/>
        <w:left w:val="none" w:sz="0" w:space="0" w:color="auto"/>
        <w:bottom w:val="none" w:sz="0" w:space="0" w:color="auto"/>
        <w:right w:val="none" w:sz="0" w:space="0" w:color="auto"/>
      </w:divBdr>
    </w:div>
    <w:div w:id="2045053614">
      <w:bodyDiv w:val="1"/>
      <w:marLeft w:val="0"/>
      <w:marRight w:val="0"/>
      <w:marTop w:val="0"/>
      <w:marBottom w:val="0"/>
      <w:divBdr>
        <w:top w:val="none" w:sz="0" w:space="0" w:color="auto"/>
        <w:left w:val="none" w:sz="0" w:space="0" w:color="auto"/>
        <w:bottom w:val="none" w:sz="0" w:space="0" w:color="auto"/>
        <w:right w:val="none" w:sz="0" w:space="0" w:color="auto"/>
      </w:divBdr>
      <w:divsChild>
        <w:div w:id="2094400095">
          <w:marLeft w:val="0"/>
          <w:marRight w:val="0"/>
          <w:marTop w:val="0"/>
          <w:marBottom w:val="0"/>
          <w:divBdr>
            <w:top w:val="none" w:sz="0" w:space="0" w:color="auto"/>
            <w:left w:val="none" w:sz="0" w:space="0" w:color="auto"/>
            <w:bottom w:val="none" w:sz="0" w:space="0" w:color="auto"/>
            <w:right w:val="none" w:sz="0" w:space="0" w:color="auto"/>
          </w:divBdr>
          <w:divsChild>
            <w:div w:id="469397335">
              <w:marLeft w:val="0"/>
              <w:marRight w:val="0"/>
              <w:marTop w:val="0"/>
              <w:marBottom w:val="0"/>
              <w:divBdr>
                <w:top w:val="none" w:sz="0" w:space="0" w:color="auto"/>
                <w:left w:val="none" w:sz="0" w:space="0" w:color="auto"/>
                <w:bottom w:val="none" w:sz="0" w:space="0" w:color="auto"/>
                <w:right w:val="none" w:sz="0" w:space="0" w:color="auto"/>
              </w:divBdr>
              <w:divsChild>
                <w:div w:id="31151000">
                  <w:marLeft w:val="0"/>
                  <w:marRight w:val="0"/>
                  <w:marTop w:val="0"/>
                  <w:marBottom w:val="0"/>
                  <w:divBdr>
                    <w:top w:val="none" w:sz="0" w:space="0" w:color="auto"/>
                    <w:left w:val="none" w:sz="0" w:space="0" w:color="auto"/>
                    <w:bottom w:val="none" w:sz="0" w:space="0" w:color="auto"/>
                    <w:right w:val="none" w:sz="0" w:space="0" w:color="auto"/>
                  </w:divBdr>
                  <w:divsChild>
                    <w:div w:id="14115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390/e151044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2045</Words>
  <Characters>11657</Characters>
  <Application>Microsoft Office Word</Application>
  <DocSecurity>0</DocSecurity>
  <Lines>97</Lines>
  <Paragraphs>27</Paragraphs>
  <ScaleCrop>false</ScaleCrop>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Kastner</dc:creator>
  <cp:keywords/>
  <dc:description/>
  <cp:lastModifiedBy>Ruth Kastner</cp:lastModifiedBy>
  <cp:revision>187</cp:revision>
  <cp:lastPrinted>2023-07-05T20:15:00Z</cp:lastPrinted>
  <dcterms:created xsi:type="dcterms:W3CDTF">2023-07-05T16:51:00Z</dcterms:created>
  <dcterms:modified xsi:type="dcterms:W3CDTF">2023-07-05T21:03:00Z</dcterms:modified>
</cp:coreProperties>
</file>