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27F6" w14:textId="34F27D4C" w:rsidR="00DF42BF" w:rsidRDefault="00A65FC8" w:rsidP="004D3AFF">
      <w:pPr>
        <w:spacing w:line="240" w:lineRule="auto"/>
        <w:jc w:val="center"/>
        <w:rPr>
          <w:b/>
          <w:bCs/>
        </w:rPr>
      </w:pPr>
      <w:r>
        <w:rPr>
          <w:b/>
          <w:bCs/>
        </w:rPr>
        <w:t>Navigati</w:t>
      </w:r>
      <w:r w:rsidR="00D60D0F">
        <w:rPr>
          <w:b/>
          <w:bCs/>
        </w:rPr>
        <w:t>ng Dissent by Managing Value Judgments: The Case of Lyme Disease</w:t>
      </w:r>
    </w:p>
    <w:p w14:paraId="532113FF" w14:textId="401BBD82" w:rsidR="004D3AFF" w:rsidRDefault="004D3AFF" w:rsidP="004D3AFF">
      <w:pPr>
        <w:spacing w:line="240" w:lineRule="auto"/>
        <w:jc w:val="center"/>
        <w:rPr>
          <w:b/>
          <w:bCs/>
        </w:rPr>
      </w:pPr>
      <w:r>
        <w:rPr>
          <w:b/>
          <w:bCs/>
        </w:rPr>
        <w:t>Kevin C. Elliott</w:t>
      </w:r>
    </w:p>
    <w:p w14:paraId="5F5C9DC1" w14:textId="05E88AA7" w:rsidR="004D3AFF" w:rsidRDefault="004D3AFF" w:rsidP="004D3AFF">
      <w:pPr>
        <w:spacing w:line="240" w:lineRule="auto"/>
        <w:jc w:val="center"/>
        <w:rPr>
          <w:b/>
          <w:bCs/>
        </w:rPr>
      </w:pPr>
      <w:r>
        <w:rPr>
          <w:b/>
          <w:bCs/>
        </w:rPr>
        <w:t>Michigan State University</w:t>
      </w:r>
    </w:p>
    <w:p w14:paraId="57D9749F" w14:textId="42C79D93" w:rsidR="004D3AFF" w:rsidRDefault="004D3AFF" w:rsidP="004D3AFF">
      <w:pPr>
        <w:spacing w:line="240" w:lineRule="auto"/>
        <w:jc w:val="center"/>
        <w:rPr>
          <w:b/>
          <w:bCs/>
        </w:rPr>
      </w:pPr>
      <w:hyperlink r:id="rId8" w:history="1">
        <w:r w:rsidRPr="00282B08">
          <w:rPr>
            <w:rStyle w:val="Hyperlink"/>
            <w:b/>
            <w:bCs/>
          </w:rPr>
          <w:t>kce@msu.edu</w:t>
        </w:r>
      </w:hyperlink>
      <w:r>
        <w:rPr>
          <w:b/>
          <w:bCs/>
        </w:rPr>
        <w:t xml:space="preserve"> </w:t>
      </w:r>
    </w:p>
    <w:p w14:paraId="58B5FF6A" w14:textId="0794A1DC" w:rsidR="008C1040" w:rsidRDefault="008C1040" w:rsidP="004D3AFF">
      <w:pPr>
        <w:spacing w:line="240" w:lineRule="auto"/>
        <w:rPr>
          <w:b/>
          <w:bCs/>
        </w:rPr>
      </w:pPr>
      <w:r>
        <w:rPr>
          <w:b/>
          <w:bCs/>
        </w:rPr>
        <w:t>Abstract</w:t>
      </w:r>
    </w:p>
    <w:p w14:paraId="113430C1" w14:textId="32BF3943" w:rsidR="008C1040" w:rsidRPr="00E940E7" w:rsidRDefault="00054EC6" w:rsidP="008C1040">
      <w:r>
        <w:tab/>
      </w:r>
      <w:r w:rsidR="00F86BD7">
        <w:t xml:space="preserve">Recent </w:t>
      </w:r>
      <w:r>
        <w:t>philosophical literature</w:t>
      </w:r>
      <w:r w:rsidR="00F86BD7">
        <w:t xml:space="preserve"> has highlighted the complexities of </w:t>
      </w:r>
      <w:r w:rsidR="00FE7D11">
        <w:t>handling dissent in science</w:t>
      </w:r>
      <w:r w:rsidR="00AD3AB7">
        <w:t xml:space="preserve">. On one hand, </w:t>
      </w:r>
      <w:r w:rsidR="00F115B5">
        <w:t>scientific dissent can be very harmful, as when</w:t>
      </w:r>
      <w:r w:rsidR="00AD3AB7">
        <w:t xml:space="preserve"> “merchants of doubt</w:t>
      </w:r>
      <w:r w:rsidR="00F115B5">
        <w:t>”</w:t>
      </w:r>
      <w:r w:rsidR="009D57A9">
        <w:t xml:space="preserve"> strategically appeal to dissent </w:t>
      </w:r>
      <w:proofErr w:type="gramStart"/>
      <w:r w:rsidR="0089450E">
        <w:t xml:space="preserve">in order </w:t>
      </w:r>
      <w:r w:rsidR="00AD3AB7">
        <w:t>to</w:t>
      </w:r>
      <w:proofErr w:type="gramEnd"/>
      <w:r w:rsidR="00AD3AB7">
        <w:t xml:space="preserve"> undermine important </w:t>
      </w:r>
      <w:r w:rsidR="00CA106D">
        <w:t xml:space="preserve">environmental and public-health initiatives. On the other hand, scientific dissent </w:t>
      </w:r>
      <w:r w:rsidR="0089450E">
        <w:t xml:space="preserve">can </w:t>
      </w:r>
      <w:r w:rsidR="00586671">
        <w:t xml:space="preserve">also be beneficial </w:t>
      </w:r>
      <w:r w:rsidR="002916A7">
        <w:t>when it helps</w:t>
      </w:r>
      <w:r w:rsidR="0089450E">
        <w:t xml:space="preserve"> to</w:t>
      </w:r>
      <w:r w:rsidR="00967A57">
        <w:t xml:space="preserve"> </w:t>
      </w:r>
      <w:r w:rsidR="00CA106D">
        <w:t>promot</w:t>
      </w:r>
      <w:r w:rsidR="0089450E">
        <w:t>e</w:t>
      </w:r>
      <w:r w:rsidR="00CA106D">
        <w:t xml:space="preserve"> scientific objectivity, progress, and </w:t>
      </w:r>
      <w:r w:rsidR="00967A57">
        <w:t>publi</w:t>
      </w:r>
      <w:r w:rsidR="002916A7">
        <w:t>c engagement</w:t>
      </w:r>
      <w:r w:rsidR="00967A57">
        <w:t>. S</w:t>
      </w:r>
      <w:r>
        <w:t xml:space="preserve">ome authors </w:t>
      </w:r>
      <w:r w:rsidR="00967A57">
        <w:t xml:space="preserve">have responded to this </w:t>
      </w:r>
      <w:r w:rsidR="00927480">
        <w:t>tension</w:t>
      </w:r>
      <w:r w:rsidR="00967A57">
        <w:t xml:space="preserve"> by </w:t>
      </w:r>
      <w:r>
        <w:t>suggesting criteria for distinguishing normatively appropriate and inappropriate dissent</w:t>
      </w:r>
      <w:r w:rsidR="00354163">
        <w:t>, while other</w:t>
      </w:r>
      <w:r>
        <w:t xml:space="preserve"> authors </w:t>
      </w:r>
      <w:r w:rsidR="00354163">
        <w:t>have</w:t>
      </w:r>
      <w:r w:rsidR="00927480">
        <w:t xml:space="preserve"> suggested that it is more fruitful</w:t>
      </w:r>
      <w:r w:rsidR="00C9617B">
        <w:t xml:space="preserve"> to a</w:t>
      </w:r>
      <w:r w:rsidR="00DB26FC">
        <w:t xml:space="preserve">lter the social context in which science operates </w:t>
      </w:r>
      <w:proofErr w:type="gramStart"/>
      <w:r w:rsidR="003A524E">
        <w:t xml:space="preserve">in order </w:t>
      </w:r>
      <w:r w:rsidR="00DB26FC">
        <w:t>to</w:t>
      </w:r>
      <w:proofErr w:type="gramEnd"/>
      <w:r w:rsidR="00DB26FC">
        <w:t xml:space="preserve"> alleviate</w:t>
      </w:r>
      <w:r w:rsidR="00C9617B">
        <w:t xml:space="preserve"> </w:t>
      </w:r>
      <w:r w:rsidR="00354163">
        <w:t>the</w:t>
      </w:r>
      <w:r w:rsidR="00C9617B">
        <w:t xml:space="preserve"> negative effects </w:t>
      </w:r>
      <w:r w:rsidR="00354163">
        <w:t xml:space="preserve">of dissent </w:t>
      </w:r>
      <w:r w:rsidR="00C9617B">
        <w:t xml:space="preserve">over the long term. </w:t>
      </w:r>
      <w:r w:rsidR="003675C7">
        <w:t>This paper proposes a</w:t>
      </w:r>
      <w:r w:rsidR="003A524E">
        <w:t>nother</w:t>
      </w:r>
      <w:r w:rsidR="003675C7">
        <w:t xml:space="preserve"> </w:t>
      </w:r>
      <w:r w:rsidR="00354163">
        <w:t xml:space="preserve">approach </w:t>
      </w:r>
      <w:r w:rsidR="002F55B3">
        <w:t>that may be helpful for</w:t>
      </w:r>
      <w:r w:rsidR="00DB4A07">
        <w:t xml:space="preserve"> managing</w:t>
      </w:r>
      <w:r w:rsidR="00354163">
        <w:t xml:space="preserve"> </w:t>
      </w:r>
      <w:r w:rsidR="002F55B3">
        <w:t xml:space="preserve">particularly </w:t>
      </w:r>
      <w:r w:rsidR="00354163">
        <w:t xml:space="preserve">challenging cases of scientific dissent. It </w:t>
      </w:r>
      <w:r w:rsidR="003A524E">
        <w:t>argu</w:t>
      </w:r>
      <w:r w:rsidR="00354163">
        <w:t xml:space="preserve">es that instances of scientific dissent </w:t>
      </w:r>
      <w:r w:rsidR="000F1DD1">
        <w:t>often incorporate</w:t>
      </w:r>
      <w:r w:rsidR="00354163">
        <w:t xml:space="preserve"> debates over value judgments</w:t>
      </w:r>
      <w:r w:rsidR="000F1DD1">
        <w:t xml:space="preserve">, so </w:t>
      </w:r>
      <w:r w:rsidR="004B6904">
        <w:t xml:space="preserve">many difficult cases of </w:t>
      </w:r>
      <w:r w:rsidR="000F1DD1">
        <w:t xml:space="preserve">dissent </w:t>
      </w:r>
      <w:r w:rsidR="00815D70">
        <w:t xml:space="preserve">can be navigated by: (1) identifying and highlighting those value judgments; and (2) </w:t>
      </w:r>
      <w:r w:rsidR="00510B45">
        <w:t xml:space="preserve">managing those value judgments by drawing </w:t>
      </w:r>
      <w:r w:rsidR="000A0A6D">
        <w:t xml:space="preserve">strategies </w:t>
      </w:r>
      <w:r w:rsidR="00510B45">
        <w:t xml:space="preserve">from the extensive </w:t>
      </w:r>
      <w:r w:rsidR="003A524E">
        <w:t xml:space="preserve">literature on </w:t>
      </w:r>
      <w:r w:rsidR="00A120E6">
        <w:t xml:space="preserve">values and science. </w:t>
      </w:r>
      <w:r w:rsidR="00BE685A">
        <w:t>The paper illustrates this approach</w:t>
      </w:r>
      <w:r w:rsidR="006D34AA">
        <w:t xml:space="preserve"> by examining a case study of dissent over the treatment of long-term symptoms associated with Lyme disease.</w:t>
      </w:r>
      <w:r w:rsidR="00354163">
        <w:t xml:space="preserve"> </w:t>
      </w:r>
    </w:p>
    <w:p w14:paraId="009C21A7" w14:textId="0144ABBB" w:rsidR="008C1040" w:rsidRDefault="00331F75" w:rsidP="008C1040">
      <w:pPr>
        <w:rPr>
          <w:b/>
          <w:bCs/>
        </w:rPr>
      </w:pPr>
      <w:r>
        <w:rPr>
          <w:b/>
          <w:bCs/>
        </w:rPr>
        <w:t xml:space="preserve">1. </w:t>
      </w:r>
      <w:r w:rsidR="008C1040">
        <w:rPr>
          <w:b/>
          <w:bCs/>
        </w:rPr>
        <w:t>Introduction</w:t>
      </w:r>
    </w:p>
    <w:p w14:paraId="13407B51" w14:textId="1964D9E1" w:rsidR="003E20EA" w:rsidRDefault="00C971C0" w:rsidP="008C1040">
      <w:r>
        <w:rPr>
          <w:b/>
          <w:bCs/>
        </w:rPr>
        <w:tab/>
      </w:r>
      <w:r>
        <w:t xml:space="preserve">The phenomenon of scientific dissent (i.e., </w:t>
      </w:r>
      <w:r w:rsidR="00A30B1D">
        <w:t xml:space="preserve">the </w:t>
      </w:r>
      <w:r w:rsidR="00434DCE">
        <w:t xml:space="preserve">challenging </w:t>
      </w:r>
      <w:r w:rsidR="00A30B1D">
        <w:t xml:space="preserve">of </w:t>
      </w:r>
      <w:r w:rsidR="00434DCE">
        <w:t>widely held scientific positions</w:t>
      </w:r>
      <w:r w:rsidR="00B8135B">
        <w:t>)</w:t>
      </w:r>
      <w:r w:rsidR="00AD1A96">
        <w:t xml:space="preserve"> has </w:t>
      </w:r>
      <w:r w:rsidR="005909ED">
        <w:t>recently</w:t>
      </w:r>
      <w:r w:rsidR="00AD1A96">
        <w:t xml:space="preserve"> receiv</w:t>
      </w:r>
      <w:r w:rsidR="005909ED">
        <w:t>ed</w:t>
      </w:r>
      <w:r w:rsidR="00AD1A96">
        <w:t xml:space="preserve"> extensive attention </w:t>
      </w:r>
      <w:r w:rsidR="005909ED">
        <w:t xml:space="preserve">among scientists, science-studies scholars, and society at large (see e.g., </w:t>
      </w:r>
      <w:r w:rsidR="00B8135B">
        <w:t>de Melo-Mart</w:t>
      </w:r>
      <w:r w:rsidR="00B8135B" w:rsidRPr="00FE3D05">
        <w:rPr>
          <w:rFonts w:ascii="Calibri" w:hAnsi="Calibri" w:cs="Calibri"/>
          <w:color w:val="222222"/>
          <w:shd w:val="clear" w:color="auto" w:fill="FFFFFF"/>
        </w:rPr>
        <w:t>í</w:t>
      </w:r>
      <w:r w:rsidR="00B8135B">
        <w:t xml:space="preserve">n and </w:t>
      </w:r>
      <w:proofErr w:type="spellStart"/>
      <w:r w:rsidR="00B8135B">
        <w:t>Intemann</w:t>
      </w:r>
      <w:proofErr w:type="spellEnd"/>
      <w:r w:rsidR="00B8135B">
        <w:t xml:space="preserve"> 2018; </w:t>
      </w:r>
      <w:r w:rsidR="00A63BC9">
        <w:t xml:space="preserve">Fleming 2020; </w:t>
      </w:r>
      <w:r w:rsidR="00FC758D">
        <w:t>McIlroy-Young et al. 2021</w:t>
      </w:r>
      <w:r w:rsidR="00A63BC9">
        <w:t>).</w:t>
      </w:r>
      <w:r w:rsidR="0089074F">
        <w:t xml:space="preserve"> Philosophers of science have long recognized that </w:t>
      </w:r>
      <w:r w:rsidR="00197171">
        <w:t xml:space="preserve">the critical evaluation of scientific claims is central to scientific progress and objectivity (e.g., </w:t>
      </w:r>
      <w:r w:rsidR="0007601E">
        <w:t>de Melo-Mart</w:t>
      </w:r>
      <w:r w:rsidR="0007601E" w:rsidRPr="00FE3D05">
        <w:rPr>
          <w:rFonts w:ascii="Calibri" w:hAnsi="Calibri" w:cs="Calibri"/>
          <w:color w:val="222222"/>
          <w:shd w:val="clear" w:color="auto" w:fill="FFFFFF"/>
        </w:rPr>
        <w:t>í</w:t>
      </w:r>
      <w:r w:rsidR="0007601E">
        <w:t xml:space="preserve">n and </w:t>
      </w:r>
      <w:proofErr w:type="spellStart"/>
      <w:r w:rsidR="0007601E">
        <w:t>Intemann</w:t>
      </w:r>
      <w:proofErr w:type="spellEnd"/>
      <w:r w:rsidR="0007601E">
        <w:t xml:space="preserve"> </w:t>
      </w:r>
      <w:r w:rsidR="0037398A">
        <w:t>2014</w:t>
      </w:r>
      <w:r w:rsidR="0007601E">
        <w:t xml:space="preserve">; </w:t>
      </w:r>
      <w:proofErr w:type="spellStart"/>
      <w:r w:rsidR="00197171">
        <w:t>Longino</w:t>
      </w:r>
      <w:proofErr w:type="spellEnd"/>
      <w:r w:rsidR="00197171">
        <w:t xml:space="preserve"> 1990; Popper </w:t>
      </w:r>
      <w:r w:rsidR="009C4F6A">
        <w:t>1963</w:t>
      </w:r>
      <w:r w:rsidR="00197171">
        <w:t xml:space="preserve">). </w:t>
      </w:r>
      <w:r w:rsidR="001D4BAC">
        <w:t xml:space="preserve">However, </w:t>
      </w:r>
      <w:r w:rsidR="000B64A8">
        <w:t xml:space="preserve">dissent can also </w:t>
      </w:r>
      <w:r w:rsidR="002627CF">
        <w:t xml:space="preserve">be misused by interest groups to challenge well-supported scientific claims and generate confusion for </w:t>
      </w:r>
      <w:r w:rsidR="006305E9">
        <w:t xml:space="preserve">policy makers and publics. </w:t>
      </w:r>
      <w:r w:rsidR="002B1EEB">
        <w:t>For example, it</w:t>
      </w:r>
      <w:r w:rsidR="006305E9">
        <w:t xml:space="preserve"> is now commonly recognized that the tobacco, chemical, and fossil fuel industries </w:t>
      </w:r>
      <w:r w:rsidR="002B1EEB">
        <w:t xml:space="preserve">have </w:t>
      </w:r>
      <w:r w:rsidR="004F022E">
        <w:t xml:space="preserve">deliberately tried to “manufacture doubt” </w:t>
      </w:r>
      <w:r w:rsidR="002B1EEB">
        <w:t xml:space="preserve">about the harmful effects of their products (see e.g., Michaels </w:t>
      </w:r>
      <w:r w:rsidR="001C21CE">
        <w:t xml:space="preserve">2008; Oreskes and Conway 2010). </w:t>
      </w:r>
      <w:r w:rsidR="00BC77EC">
        <w:t>Thus, scientists, journalists, policy members, and publics face the difficult task</w:t>
      </w:r>
      <w:r w:rsidR="005B308C">
        <w:t>s</w:t>
      </w:r>
      <w:r w:rsidR="00BC77EC">
        <w:t xml:space="preserve"> of </w:t>
      </w:r>
      <w:r w:rsidR="00FF57A8">
        <w:t xml:space="preserve">deciding how </w:t>
      </w:r>
      <w:r w:rsidR="00411813">
        <w:t xml:space="preserve">much weight to give dissenting scientific claims and when (if ever) to dismiss dissent as </w:t>
      </w:r>
      <w:r w:rsidR="005B308C">
        <w:t>illegitimate and harmful.</w:t>
      </w:r>
    </w:p>
    <w:p w14:paraId="71DEA710" w14:textId="77E4DCA7" w:rsidR="008C1040" w:rsidRDefault="003E20EA" w:rsidP="008C1040">
      <w:r>
        <w:tab/>
        <w:t xml:space="preserve">Philosophers of science have proposed </w:t>
      </w:r>
      <w:r w:rsidR="00A65FC8">
        <w:t>strategies for</w:t>
      </w:r>
      <w:r w:rsidR="005B308C">
        <w:t xml:space="preserve"> navigating this difficult terrain. </w:t>
      </w:r>
      <w:r w:rsidR="00B8348E">
        <w:t xml:space="preserve">One of the influential strategies </w:t>
      </w:r>
      <w:r w:rsidR="00FB3CC3">
        <w:t>is to develop criteria for distinguishing b</w:t>
      </w:r>
      <w:r w:rsidR="008129C3">
        <w:t xml:space="preserve">etween dissent that is and that is not problematic (see e.g., Biddle and Leuschner 2015; Le </w:t>
      </w:r>
      <w:proofErr w:type="spellStart"/>
      <w:r w:rsidR="008129C3">
        <w:t>Bihan</w:t>
      </w:r>
      <w:proofErr w:type="spellEnd"/>
      <w:r w:rsidR="008129C3">
        <w:t xml:space="preserve"> and </w:t>
      </w:r>
      <w:proofErr w:type="spellStart"/>
      <w:r w:rsidR="008129C3">
        <w:t>Amadi</w:t>
      </w:r>
      <w:proofErr w:type="spellEnd"/>
      <w:r w:rsidR="008129C3">
        <w:t xml:space="preserve"> 2017; </w:t>
      </w:r>
      <w:r w:rsidR="00F65CAB">
        <w:t xml:space="preserve">Leuschner and Fernández Pinto 2021; </w:t>
      </w:r>
      <w:r w:rsidR="005A1D72">
        <w:t xml:space="preserve">Miller 2021). </w:t>
      </w:r>
      <w:r w:rsidR="006777ED">
        <w:t xml:space="preserve">This strategy </w:t>
      </w:r>
      <w:r w:rsidR="00AD5944">
        <w:t>is very helpful in</w:t>
      </w:r>
      <w:r w:rsidR="002A3A1F">
        <w:t xml:space="preserve"> egregious cases where dissenters clearly violate </w:t>
      </w:r>
      <w:r w:rsidR="00C553EE">
        <w:t xml:space="preserve">criteria for acceptable dissent. </w:t>
      </w:r>
      <w:r w:rsidR="005A1D72">
        <w:t xml:space="preserve">However, </w:t>
      </w:r>
      <w:r w:rsidR="00927EAC">
        <w:t xml:space="preserve">this approach can run into difficulties when it is unclear whether </w:t>
      </w:r>
      <w:proofErr w:type="gramStart"/>
      <w:r w:rsidR="00927EAC">
        <w:t>particular instances</w:t>
      </w:r>
      <w:proofErr w:type="gramEnd"/>
      <w:r w:rsidR="00927EAC">
        <w:t xml:space="preserve"> of dissent actually violate those criteria</w:t>
      </w:r>
      <w:r w:rsidR="00675973">
        <w:t>, and it does</w:t>
      </w:r>
      <w:r w:rsidR="00C43287">
        <w:t xml:space="preserve"> </w:t>
      </w:r>
      <w:r w:rsidR="00675973">
        <w:t>n</w:t>
      </w:r>
      <w:r w:rsidR="00C43287">
        <w:t>o</w:t>
      </w:r>
      <w:r w:rsidR="00675973">
        <w:t xml:space="preserve">t specify what to do once problematic </w:t>
      </w:r>
      <w:r w:rsidR="00DA3ECA">
        <w:t>forms of dissent have been identified (de Melo-Mart</w:t>
      </w:r>
      <w:r w:rsidR="00DA3ECA" w:rsidRPr="00FE3D05">
        <w:rPr>
          <w:rFonts w:ascii="Calibri" w:hAnsi="Calibri" w:cs="Calibri"/>
          <w:color w:val="222222"/>
          <w:shd w:val="clear" w:color="auto" w:fill="FFFFFF"/>
        </w:rPr>
        <w:t>í</w:t>
      </w:r>
      <w:r w:rsidR="00DA3ECA">
        <w:t xml:space="preserve">n and </w:t>
      </w:r>
      <w:proofErr w:type="spellStart"/>
      <w:r w:rsidR="00DA3ECA">
        <w:t>Intemann</w:t>
      </w:r>
      <w:proofErr w:type="spellEnd"/>
      <w:r w:rsidR="00DA3ECA">
        <w:t xml:space="preserve"> 2018)</w:t>
      </w:r>
      <w:r w:rsidR="00927EAC">
        <w:t>. An</w:t>
      </w:r>
      <w:r w:rsidR="00032753">
        <w:t>other</w:t>
      </w:r>
      <w:r w:rsidR="00927EAC">
        <w:t xml:space="preserve"> approach is to </w:t>
      </w:r>
      <w:r w:rsidR="00271FA7">
        <w:t>address</w:t>
      </w:r>
      <w:r w:rsidR="00564736">
        <w:t xml:space="preserve"> the</w:t>
      </w:r>
      <w:r w:rsidR="00271FA7">
        <w:t xml:space="preserve"> </w:t>
      </w:r>
      <w:r w:rsidR="001A033D">
        <w:t xml:space="preserve">root causes </w:t>
      </w:r>
      <w:r w:rsidR="00271FA7">
        <w:t xml:space="preserve">that </w:t>
      </w:r>
      <w:r w:rsidR="00564736">
        <w:t>foster problematic dissent and that make it particularly harmful to society</w:t>
      </w:r>
      <w:r w:rsidR="00D62E23">
        <w:t>; one of the most important suggestions along these lines is to a</w:t>
      </w:r>
      <w:r w:rsidR="00A57E6E">
        <w:t>lleviate public</w:t>
      </w:r>
      <w:r w:rsidR="00D62E23">
        <w:t xml:space="preserve"> </w:t>
      </w:r>
      <w:r w:rsidR="00A57E6E">
        <w:t xml:space="preserve">distrust </w:t>
      </w:r>
      <w:r w:rsidR="00A57E6E">
        <w:lastRenderedPageBreak/>
        <w:t>in scientific institutions</w:t>
      </w:r>
      <w:r w:rsidR="00564736">
        <w:t xml:space="preserve"> (</w:t>
      </w:r>
      <w:r w:rsidR="001A033D">
        <w:t>de Melo-</w:t>
      </w:r>
      <w:r w:rsidR="001A033D" w:rsidRPr="00927EAC">
        <w:t xml:space="preserve"> </w:t>
      </w:r>
      <w:r w:rsidR="001A033D">
        <w:t>Mart</w:t>
      </w:r>
      <w:r w:rsidR="001A033D" w:rsidRPr="00FE3D05">
        <w:rPr>
          <w:rFonts w:ascii="Calibri" w:hAnsi="Calibri" w:cs="Calibri"/>
          <w:color w:val="222222"/>
          <w:shd w:val="clear" w:color="auto" w:fill="FFFFFF"/>
        </w:rPr>
        <w:t>í</w:t>
      </w:r>
      <w:r w:rsidR="001A033D">
        <w:t xml:space="preserve">n and Intemann 2018; Goldenberg </w:t>
      </w:r>
      <w:r w:rsidR="00C55400">
        <w:t>2021).</w:t>
      </w:r>
      <w:r w:rsidR="00A63BC9">
        <w:t xml:space="preserve"> </w:t>
      </w:r>
      <w:r w:rsidR="00032753">
        <w:t xml:space="preserve">Unfortunately, a challenge </w:t>
      </w:r>
      <w:r w:rsidR="00963524">
        <w:t>associated with this strategy is that it is a long-term approach that does not provide clear guidance for handling scientific dissent in the short-term.</w:t>
      </w:r>
      <w:r w:rsidR="00062F4C">
        <w:t xml:space="preserve"> </w:t>
      </w:r>
    </w:p>
    <w:p w14:paraId="566DECB8" w14:textId="6D049A73" w:rsidR="00BE1271" w:rsidRDefault="00963524" w:rsidP="008C1040">
      <w:r>
        <w:tab/>
      </w:r>
      <w:r w:rsidR="004B7BC5">
        <w:t xml:space="preserve">This paper argues for </w:t>
      </w:r>
      <w:r w:rsidR="00EA405E">
        <w:t>a new way of thinking about how to</w:t>
      </w:r>
      <w:r w:rsidR="00DA3ECA">
        <w:t xml:space="preserve"> respond to</w:t>
      </w:r>
      <w:r w:rsidR="004B7BC5">
        <w:t xml:space="preserve"> scientific dissent. </w:t>
      </w:r>
      <w:r w:rsidR="00C42565">
        <w:t xml:space="preserve">Specifically, it proposes that </w:t>
      </w:r>
      <w:r w:rsidR="00DB303C">
        <w:t>many</w:t>
      </w:r>
      <w:r w:rsidR="00F91538">
        <w:t xml:space="preserve"> difficult</w:t>
      </w:r>
      <w:r w:rsidR="00DB303C">
        <w:t xml:space="preserve"> </w:t>
      </w:r>
      <w:r w:rsidR="00A73164">
        <w:t>cases</w:t>
      </w:r>
      <w:r w:rsidR="00DB303C">
        <w:t xml:space="preserve"> of scientific dissent can be analyzed as disputes over value judgments</w:t>
      </w:r>
      <w:r w:rsidR="003A649D">
        <w:t xml:space="preserve"> and that strategies for managing value judgments can therefore be used to help manage those instances of dissent. </w:t>
      </w:r>
      <w:r w:rsidR="00FC0F56">
        <w:t xml:space="preserve">This </w:t>
      </w:r>
      <w:r w:rsidR="004975A7">
        <w:t>way of approaching scientific dissent</w:t>
      </w:r>
      <w:r w:rsidR="00FC0F56">
        <w:t xml:space="preserve"> has the virtue of drawing on an </w:t>
      </w:r>
      <w:r w:rsidR="003B6328">
        <w:t>extensive recent literature</w:t>
      </w:r>
      <w:r w:rsidR="00406D28">
        <w:t xml:space="preserve"> in the philosophy of science</w:t>
      </w:r>
      <w:r w:rsidR="003B6328">
        <w:t xml:space="preserve"> </w:t>
      </w:r>
      <w:r w:rsidR="00B33786">
        <w:t xml:space="preserve">that </w:t>
      </w:r>
      <w:r w:rsidR="00FE0C7B">
        <w:t>discusses</w:t>
      </w:r>
      <w:r w:rsidR="00B33786">
        <w:t xml:space="preserve"> strategies for</w:t>
      </w:r>
      <w:r w:rsidR="003B6328">
        <w:t xml:space="preserve"> </w:t>
      </w:r>
      <w:r w:rsidR="0019166A">
        <w:t>managing value judgments in scientific research</w:t>
      </w:r>
      <w:r w:rsidR="00406D28">
        <w:t xml:space="preserve"> (see e.g., Elliott 2022</w:t>
      </w:r>
      <w:r w:rsidR="00D04A54">
        <w:t>b</w:t>
      </w:r>
      <w:r w:rsidR="00406D28">
        <w:t xml:space="preserve">; Holman and </w:t>
      </w:r>
      <w:proofErr w:type="spellStart"/>
      <w:r w:rsidR="00406D28">
        <w:t>Wilholt</w:t>
      </w:r>
      <w:proofErr w:type="spellEnd"/>
      <w:r w:rsidR="00406D28">
        <w:t xml:space="preserve"> 2022)</w:t>
      </w:r>
      <w:r w:rsidR="0019166A">
        <w:t xml:space="preserve">. </w:t>
      </w:r>
      <w:r w:rsidR="00952D9A">
        <w:t xml:space="preserve">Indeed, </w:t>
      </w:r>
      <w:r w:rsidR="001816AF">
        <w:t>at least some</w:t>
      </w:r>
      <w:r w:rsidR="00D56EB7">
        <w:t xml:space="preserve"> previous </w:t>
      </w:r>
      <w:r w:rsidR="001816AF">
        <w:t xml:space="preserve">efforts to </w:t>
      </w:r>
      <w:r w:rsidR="00952D9A">
        <w:t xml:space="preserve">manage dissent (such as those </w:t>
      </w:r>
      <w:r w:rsidR="006573A2">
        <w:t xml:space="preserve">that attempt to distinguish appropriate and inappropriate forms of dissent based on the ways they </w:t>
      </w:r>
      <w:r w:rsidR="00546931">
        <w:t>handle</w:t>
      </w:r>
      <w:r w:rsidR="006573A2">
        <w:t xml:space="preserve"> inductive risk) </w:t>
      </w:r>
      <w:r w:rsidR="00B1531D">
        <w:t xml:space="preserve">can be regarded as examples of </w:t>
      </w:r>
      <w:r w:rsidR="00546931">
        <w:t xml:space="preserve">how one can </w:t>
      </w:r>
      <w:r w:rsidR="00B1531D">
        <w:t>draw on strategies for managing</w:t>
      </w:r>
      <w:r w:rsidR="00AE6E4D">
        <w:t xml:space="preserve"> value judgments.</w:t>
      </w:r>
      <w:r w:rsidR="001816AF">
        <w:t xml:space="preserve"> </w:t>
      </w:r>
      <w:r w:rsidR="00B1531D">
        <w:t xml:space="preserve">This paper </w:t>
      </w:r>
      <w:r w:rsidR="00AD385F">
        <w:t>argues that it is important to recognize the full array of different strategies for managing dissent that can be drawn from th</w:t>
      </w:r>
      <w:r w:rsidR="00420FC0">
        <w:t>e</w:t>
      </w:r>
      <w:r w:rsidR="00AD385F">
        <w:t xml:space="preserve"> literature</w:t>
      </w:r>
      <w:r w:rsidR="00420FC0">
        <w:t xml:space="preserve"> on value</w:t>
      </w:r>
      <w:r w:rsidR="003F6BA9">
        <w:t>s and science</w:t>
      </w:r>
      <w:r w:rsidR="00AD385F">
        <w:t xml:space="preserve">. </w:t>
      </w:r>
      <w:r w:rsidR="007C5FF0">
        <w:t xml:space="preserve">To illustrate </w:t>
      </w:r>
      <w:r w:rsidR="00420FC0">
        <w:t>how</w:t>
      </w:r>
      <w:r w:rsidR="00DE3154">
        <w:t xml:space="preserve"> th</w:t>
      </w:r>
      <w:r w:rsidR="00546931">
        <w:t>ese strategies</w:t>
      </w:r>
      <w:r w:rsidR="00DE3154">
        <w:t xml:space="preserve"> </w:t>
      </w:r>
      <w:r w:rsidR="00420FC0">
        <w:t xml:space="preserve">can be applied </w:t>
      </w:r>
      <w:r w:rsidR="00DE3154">
        <w:t>in a specific case study</w:t>
      </w:r>
      <w:r w:rsidR="004E24BA">
        <w:t>, th</w:t>
      </w:r>
      <w:r w:rsidR="005903AA">
        <w:t xml:space="preserve">e </w:t>
      </w:r>
      <w:r w:rsidR="004E24BA">
        <w:t xml:space="preserve">paper </w:t>
      </w:r>
      <w:r w:rsidR="00E35EC3">
        <w:t xml:space="preserve">examines scientific dissent over the treatment of long-term symptoms associated with Lyme disease. It </w:t>
      </w:r>
      <w:r w:rsidR="00E60A2C">
        <w:t xml:space="preserve">identifies three ways in which the identification and management of value judgments can help to </w:t>
      </w:r>
      <w:r w:rsidR="00BE1271">
        <w:t>navigate scientific dissent in this case study.</w:t>
      </w:r>
    </w:p>
    <w:p w14:paraId="0A8CE9B1" w14:textId="33E6050B" w:rsidR="00BE1271" w:rsidRPr="00BE1271" w:rsidRDefault="00BE1271" w:rsidP="008C1040">
      <w:r>
        <w:rPr>
          <w:b/>
          <w:bCs/>
        </w:rPr>
        <w:tab/>
      </w:r>
      <w:r w:rsidR="00331F75">
        <w:t xml:space="preserve">The next section of the paper </w:t>
      </w:r>
      <w:r w:rsidR="00E2228E">
        <w:t xml:space="preserve">introduces the concept of scientific </w:t>
      </w:r>
      <w:r w:rsidR="00003B16">
        <w:t xml:space="preserve">dissent </w:t>
      </w:r>
      <w:r w:rsidR="00E2228E">
        <w:t xml:space="preserve">and </w:t>
      </w:r>
      <w:r w:rsidR="00331F75">
        <w:t xml:space="preserve">provides a brief overview of </w:t>
      </w:r>
      <w:r w:rsidR="00B01139">
        <w:t>th</w:t>
      </w:r>
      <w:r w:rsidR="00E2228E">
        <w:t>e</w:t>
      </w:r>
      <w:r w:rsidR="00B01139">
        <w:t xml:space="preserve"> </w:t>
      </w:r>
      <w:r w:rsidR="00506C4A">
        <w:t>difficulties associated with</w:t>
      </w:r>
      <w:r w:rsidR="00B01139">
        <w:t xml:space="preserve"> responding to it. Section 3 then </w:t>
      </w:r>
      <w:r w:rsidR="00C51206">
        <w:t xml:space="preserve">highlights previous philosophical work on this topic and </w:t>
      </w:r>
      <w:r w:rsidR="00BF4A16">
        <w:t>discusses why</w:t>
      </w:r>
      <w:r w:rsidR="007D1E32">
        <w:t xml:space="preserve"> it is important to continue looking for </w:t>
      </w:r>
      <w:r w:rsidR="003B004A">
        <w:t xml:space="preserve">creative </w:t>
      </w:r>
      <w:r w:rsidR="007D1E32">
        <w:t>approaches to handling it</w:t>
      </w:r>
      <w:r w:rsidR="00506C4A">
        <w:t>.</w:t>
      </w:r>
      <w:r w:rsidR="00BF4A16">
        <w:t xml:space="preserve"> Section 4 describes the </w:t>
      </w:r>
      <w:r w:rsidR="009B639C">
        <w:t xml:space="preserve">approach proposed in this paper </w:t>
      </w:r>
      <w:r w:rsidR="008E4A35">
        <w:t xml:space="preserve">(namely, identifying and managing the value judgments associated with scientific dissent) </w:t>
      </w:r>
      <w:r w:rsidR="009B639C">
        <w:t xml:space="preserve">and </w:t>
      </w:r>
      <w:r w:rsidR="00EB1974">
        <w:t xml:space="preserve">argues that it has significant potential for </w:t>
      </w:r>
      <w:r w:rsidR="0006210F">
        <w:t>helping to navigate scientific dissent productively</w:t>
      </w:r>
      <w:r w:rsidR="0038043F">
        <w:t xml:space="preserve">. </w:t>
      </w:r>
      <w:r w:rsidR="00173F74">
        <w:t xml:space="preserve">Section 5 </w:t>
      </w:r>
      <w:r w:rsidR="0083799A">
        <w:t xml:space="preserve">extends this argument </w:t>
      </w:r>
      <w:r w:rsidR="00872A1C">
        <w:t xml:space="preserve">by </w:t>
      </w:r>
      <w:r w:rsidR="00173F74">
        <w:t>illustrat</w:t>
      </w:r>
      <w:r w:rsidR="00872A1C">
        <w:t>ing</w:t>
      </w:r>
      <w:r w:rsidR="0006210F">
        <w:t xml:space="preserve"> </w:t>
      </w:r>
      <w:r w:rsidR="00566A17">
        <w:t xml:space="preserve">in a concrete fashion </w:t>
      </w:r>
      <w:r w:rsidR="0006210F">
        <w:t>how this approach can help to work through</w:t>
      </w:r>
      <w:r w:rsidR="001472A0">
        <w:t xml:space="preserve"> scientific dissent over Lyme disease.</w:t>
      </w:r>
      <w:r w:rsidR="00173F74">
        <w:t xml:space="preserve"> </w:t>
      </w:r>
    </w:p>
    <w:p w14:paraId="17DD7B1F" w14:textId="5DE3A923" w:rsidR="008C1040" w:rsidRDefault="00331F75" w:rsidP="008C1040">
      <w:pPr>
        <w:rPr>
          <w:b/>
          <w:bCs/>
        </w:rPr>
      </w:pPr>
      <w:r>
        <w:rPr>
          <w:b/>
          <w:bCs/>
        </w:rPr>
        <w:t xml:space="preserve">2. </w:t>
      </w:r>
      <w:r w:rsidR="004903F4">
        <w:rPr>
          <w:b/>
          <w:bCs/>
        </w:rPr>
        <w:t>Tensions around Scientific Dissent</w:t>
      </w:r>
    </w:p>
    <w:p w14:paraId="526DB2B3" w14:textId="77777777" w:rsidR="00963F67" w:rsidRDefault="004903F4" w:rsidP="008C1040">
      <w:r>
        <w:tab/>
      </w:r>
      <w:r w:rsidR="00E2228E">
        <w:t>This paper d</w:t>
      </w:r>
      <w:r w:rsidR="00AE0AB8">
        <w:t>raws on the definition of scientific dissent provided by</w:t>
      </w:r>
      <w:r w:rsidR="00E2228E">
        <w:t xml:space="preserve"> Inmaculada de Melo-Mart</w:t>
      </w:r>
      <w:r w:rsidR="00E2228E" w:rsidRPr="00FE3D05">
        <w:rPr>
          <w:rFonts w:ascii="Calibri" w:hAnsi="Calibri" w:cs="Calibri"/>
          <w:color w:val="222222"/>
          <w:shd w:val="clear" w:color="auto" w:fill="FFFFFF"/>
        </w:rPr>
        <w:t>í</w:t>
      </w:r>
      <w:r w:rsidR="00E2228E">
        <w:t xml:space="preserve">n and </w:t>
      </w:r>
      <w:r w:rsidR="00F66708">
        <w:t xml:space="preserve">Kristen </w:t>
      </w:r>
      <w:r w:rsidR="00E2228E">
        <w:t xml:space="preserve">Intemann </w:t>
      </w:r>
      <w:r w:rsidR="00F66708">
        <w:t>(2018)</w:t>
      </w:r>
      <w:r w:rsidR="00E2228E">
        <w:t xml:space="preserve"> in their book, </w:t>
      </w:r>
      <w:r w:rsidR="00E2228E">
        <w:rPr>
          <w:i/>
          <w:iCs/>
        </w:rPr>
        <w:t>The Fight Against Doubt</w:t>
      </w:r>
      <w:r w:rsidR="00924472">
        <w:t xml:space="preserve">. </w:t>
      </w:r>
      <w:r w:rsidR="00F66708">
        <w:t>They describe scientific</w:t>
      </w:r>
      <w:r w:rsidR="00924472">
        <w:t xml:space="preserve"> dissent </w:t>
      </w:r>
      <w:r w:rsidR="000C5078">
        <w:t xml:space="preserve">as disagreement or criticism </w:t>
      </w:r>
      <w:r w:rsidR="00AE0AB8">
        <w:t>directed</w:t>
      </w:r>
      <w:r w:rsidR="000C5078">
        <w:t xml:space="preserve"> toward scientific claims that </w:t>
      </w:r>
      <w:r w:rsidR="0032525C">
        <w:t xml:space="preserve">are widely accepted (2018, 5-6). They </w:t>
      </w:r>
      <w:r w:rsidR="00AE0AB8">
        <w:t xml:space="preserve">emphasize that </w:t>
      </w:r>
      <w:r w:rsidR="00D163A3">
        <w:t>employing the term ‘scientific dissent’ is no</w:t>
      </w:r>
      <w:r w:rsidR="00D325D1">
        <w:t xml:space="preserve">t intended </w:t>
      </w:r>
      <w:r w:rsidR="00652451">
        <w:t xml:space="preserve">to express the normative idea that the dissent is </w:t>
      </w:r>
      <w:r w:rsidR="009165BD">
        <w:t xml:space="preserve">scientifically </w:t>
      </w:r>
      <w:r w:rsidR="00652451">
        <w:t xml:space="preserve">legitimate but is rather intended to </w:t>
      </w:r>
      <w:r w:rsidR="004E6421">
        <w:t xml:space="preserve">express the </w:t>
      </w:r>
      <w:r w:rsidR="009165BD">
        <w:t xml:space="preserve">descriptive </w:t>
      </w:r>
      <w:r w:rsidR="004E6421">
        <w:t>fact that it involves dissent about scientific claims (rather than, say, political claims).</w:t>
      </w:r>
    </w:p>
    <w:p w14:paraId="421FE296" w14:textId="4B28AF14" w:rsidR="00234181" w:rsidRDefault="002B7569" w:rsidP="002B7569">
      <w:pPr>
        <w:ind w:firstLine="720"/>
      </w:pPr>
      <w:r>
        <w:t xml:space="preserve">Scientific dissent has recently garnered widespread attention for at least two reasons. First, as mentioned in the Introduction, </w:t>
      </w:r>
      <w:r w:rsidR="002714D5">
        <w:t xml:space="preserve">it has become clear that </w:t>
      </w:r>
      <w:r w:rsidR="005E778B">
        <w:t xml:space="preserve">some </w:t>
      </w:r>
      <w:r w:rsidR="0004243A">
        <w:t xml:space="preserve">industry groups have latched onto scientific dissent as a </w:t>
      </w:r>
      <w:r w:rsidR="001D048C">
        <w:t xml:space="preserve">tool that can be used to </w:t>
      </w:r>
      <w:r w:rsidR="005E778B">
        <w:t>advance their financial interests</w:t>
      </w:r>
      <w:r w:rsidR="001D048C">
        <w:t xml:space="preserve">. </w:t>
      </w:r>
      <w:r w:rsidR="005E778B">
        <w:t>As t</w:t>
      </w:r>
      <w:r w:rsidR="001D048C">
        <w:t>he tobacco industry</w:t>
      </w:r>
      <w:r w:rsidR="005E778B">
        <w:t xml:space="preserve"> worked with p</w:t>
      </w:r>
      <w:r w:rsidR="00020BE8">
        <w:t>rominent public relations</w:t>
      </w:r>
      <w:r w:rsidR="001302E6">
        <w:t xml:space="preserve"> </w:t>
      </w:r>
      <w:r w:rsidR="00020BE8">
        <w:t>firms to slow down government regulation of their products, they</w:t>
      </w:r>
      <w:r w:rsidR="001D048C">
        <w:t xml:space="preserve"> famously declared in an internal memo that “doubt is our product”</w:t>
      </w:r>
      <w:r w:rsidR="00F66708">
        <w:t xml:space="preserve"> </w:t>
      </w:r>
      <w:r w:rsidR="00020BE8">
        <w:t>(Michaels 2008; Oreskes and Conway 2010</w:t>
      </w:r>
      <w:r w:rsidR="00E635BD">
        <w:t>)</w:t>
      </w:r>
      <w:r w:rsidR="00020BE8">
        <w:t xml:space="preserve">. </w:t>
      </w:r>
      <w:proofErr w:type="gramStart"/>
      <w:r w:rsidR="00E50B65">
        <w:t>In order to</w:t>
      </w:r>
      <w:proofErr w:type="gramEnd"/>
      <w:r w:rsidR="00E50B65">
        <w:t xml:space="preserve"> foster doubt among policy makers and members of the public about the harmfulness of tobacco, they</w:t>
      </w:r>
      <w:r w:rsidR="00E635BD">
        <w:t xml:space="preserve"> </w:t>
      </w:r>
      <w:r w:rsidR="00E50B65">
        <w:t>developed a</w:t>
      </w:r>
      <w:r w:rsidR="00570E02">
        <w:t xml:space="preserve"> wide</w:t>
      </w:r>
      <w:r w:rsidR="00E50B65">
        <w:t xml:space="preserve"> </w:t>
      </w:r>
      <w:r w:rsidR="005261C3">
        <w:t xml:space="preserve">array of strategies designed to </w:t>
      </w:r>
      <w:r w:rsidR="005503E5">
        <w:t xml:space="preserve">challenge scientific findings that threatened </w:t>
      </w:r>
      <w:r w:rsidR="00C64299">
        <w:t xml:space="preserve">their profits while </w:t>
      </w:r>
      <w:r w:rsidR="005261C3">
        <w:t>produc</w:t>
      </w:r>
      <w:r w:rsidR="00C64299">
        <w:t>ing</w:t>
      </w:r>
      <w:r w:rsidR="005261C3">
        <w:t xml:space="preserve"> </w:t>
      </w:r>
      <w:r w:rsidR="00570E02">
        <w:t>and disseminat</w:t>
      </w:r>
      <w:r w:rsidR="00C64299">
        <w:t>ing</w:t>
      </w:r>
      <w:r w:rsidR="00570E02">
        <w:t xml:space="preserve"> </w:t>
      </w:r>
      <w:r w:rsidR="005261C3">
        <w:t>their own preferred scientific findings</w:t>
      </w:r>
      <w:r w:rsidR="00E635BD">
        <w:t xml:space="preserve"> </w:t>
      </w:r>
      <w:r w:rsidR="00E50B65">
        <w:t xml:space="preserve">(Elliott 2016; Proctor </w:t>
      </w:r>
      <w:r w:rsidR="00513349">
        <w:t>2011).</w:t>
      </w:r>
      <w:r w:rsidR="00E50B65">
        <w:t xml:space="preserve"> </w:t>
      </w:r>
      <w:r w:rsidR="00570E02">
        <w:t xml:space="preserve">In their influential book, </w:t>
      </w:r>
      <w:r w:rsidR="001302E6" w:rsidRPr="001302E6">
        <w:rPr>
          <w:i/>
          <w:iCs/>
        </w:rPr>
        <w:t>Merchants of Doubt</w:t>
      </w:r>
      <w:r w:rsidR="001302E6">
        <w:t xml:space="preserve">, </w:t>
      </w:r>
      <w:r w:rsidR="00E635BD">
        <w:t>Naomi Oreskes and Eric Conway</w:t>
      </w:r>
      <w:r w:rsidR="00570E02">
        <w:t xml:space="preserve"> (2010) </w:t>
      </w:r>
      <w:r w:rsidR="001302E6">
        <w:t xml:space="preserve">showed how many of the same strategies </w:t>
      </w:r>
      <w:r w:rsidR="00D477E3">
        <w:t xml:space="preserve">adopted by the tobacco industry were </w:t>
      </w:r>
      <w:r w:rsidR="00D477E3">
        <w:lastRenderedPageBreak/>
        <w:t xml:space="preserve">later adopted by companies </w:t>
      </w:r>
      <w:r w:rsidR="00D70115">
        <w:t>seeking to slow down actions in response to acid rain, the ozone hole, and climate change</w:t>
      </w:r>
      <w:r w:rsidR="001302E6">
        <w:t xml:space="preserve">. </w:t>
      </w:r>
      <w:r w:rsidR="00763164">
        <w:t>Similar strategies have also been adopted by p</w:t>
      </w:r>
      <w:r w:rsidR="001302E6">
        <w:t xml:space="preserve">harmaceutical companies </w:t>
      </w:r>
      <w:r w:rsidR="00763164">
        <w:t xml:space="preserve">in their efforts to </w:t>
      </w:r>
      <w:r w:rsidR="00745A46">
        <w:t>challenge claims about harmful side-effects associated with their products (</w:t>
      </w:r>
      <w:r w:rsidR="00083889">
        <w:t xml:space="preserve">Holman and Elliott 2018; </w:t>
      </w:r>
      <w:r w:rsidR="00745A46">
        <w:t xml:space="preserve">McGarity and Wagner </w:t>
      </w:r>
      <w:r w:rsidR="00CC730C">
        <w:t>2008)</w:t>
      </w:r>
      <w:r w:rsidR="001302E6">
        <w:t>.</w:t>
      </w:r>
    </w:p>
    <w:p w14:paraId="348AF7BD" w14:textId="3F6F9DAA" w:rsidR="00DB7C75" w:rsidRDefault="00DB7C75" w:rsidP="002B7569">
      <w:pPr>
        <w:ind w:firstLine="720"/>
      </w:pPr>
      <w:r>
        <w:t xml:space="preserve">A second reason for contemporary concerns about scientific dissent is that misinformation and disinformation </w:t>
      </w:r>
      <w:r w:rsidR="00910FE0">
        <w:t xml:space="preserve">about many topics, including science, have become increasingly widespread. For example, </w:t>
      </w:r>
      <w:r w:rsidR="004D27C4">
        <w:t>Cailin O’Connor and James Weatherall (</w:t>
      </w:r>
      <w:r w:rsidR="006E4917">
        <w:t>2019</w:t>
      </w:r>
      <w:r w:rsidR="004D27C4">
        <w:t xml:space="preserve">) </w:t>
      </w:r>
      <w:r w:rsidR="00F17101">
        <w:t xml:space="preserve">have </w:t>
      </w:r>
      <w:r w:rsidR="004D27C4">
        <w:t>discuss</w:t>
      </w:r>
      <w:r w:rsidR="00F17101">
        <w:t>ed</w:t>
      </w:r>
      <w:r w:rsidR="004D27C4">
        <w:t xml:space="preserve"> </w:t>
      </w:r>
      <w:r w:rsidR="003F6B05">
        <w:t>the ways in which</w:t>
      </w:r>
      <w:r w:rsidR="0055360F">
        <w:t xml:space="preserve"> contemporary </w:t>
      </w:r>
      <w:r w:rsidR="003F6B05">
        <w:t xml:space="preserve">social media networks can facilitate the generation and dissemination of </w:t>
      </w:r>
      <w:r w:rsidR="004D27C4">
        <w:t>misinformation</w:t>
      </w:r>
      <w:r w:rsidR="00F17101">
        <w:t>.</w:t>
      </w:r>
      <w:r w:rsidR="003F6B05">
        <w:t xml:space="preserve"> The COVID pandemic</w:t>
      </w:r>
      <w:r w:rsidR="00036A21">
        <w:t xml:space="preserve"> highlighted both the prevalence of scientific misinformation and the significant</w:t>
      </w:r>
      <w:r w:rsidR="00A94E64">
        <w:t xml:space="preserve"> dangers </w:t>
      </w:r>
      <w:r w:rsidR="00036A21">
        <w:t xml:space="preserve">associated with it. </w:t>
      </w:r>
      <w:r w:rsidR="00BD1F6B">
        <w:t xml:space="preserve">Over the course of the pandemic, misinformation spread about the </w:t>
      </w:r>
      <w:r w:rsidR="00557C2D">
        <w:t>effectiveness of different treatments, the</w:t>
      </w:r>
      <w:r w:rsidR="00BD1F6B">
        <w:t xml:space="preserve"> safety and effectiveness of vaccines</w:t>
      </w:r>
      <w:r w:rsidR="00557C2D">
        <w:t>, the severity of the disease, and even its very existence (</w:t>
      </w:r>
      <w:r w:rsidR="006E4917">
        <w:t>Fleming 2020</w:t>
      </w:r>
      <w:r w:rsidR="00557C2D">
        <w:t xml:space="preserve">). </w:t>
      </w:r>
      <w:r w:rsidR="00EC51D1">
        <w:t xml:space="preserve">Many scientists took efforts to </w:t>
      </w:r>
      <w:r w:rsidR="00E603A9">
        <w:t>combat this misinformation, and major organizations like the World Health Organization and the American Association for the Advancement of Science also took steps to address it (</w:t>
      </w:r>
      <w:r w:rsidR="002E3FFF">
        <w:t xml:space="preserve">Orman 2021; </w:t>
      </w:r>
      <w:r w:rsidR="005B7AF7">
        <w:t>World Health Organization 2021</w:t>
      </w:r>
      <w:r w:rsidR="00E603A9">
        <w:t>).</w:t>
      </w:r>
      <w:r w:rsidR="00A94E64">
        <w:t xml:space="preserve"> </w:t>
      </w:r>
      <w:r w:rsidR="0055360F">
        <w:t>Thus, even though</w:t>
      </w:r>
      <w:r w:rsidR="001F0406">
        <w:t xml:space="preserve"> not all scientific dissent is </w:t>
      </w:r>
      <w:r w:rsidR="0055360F">
        <w:t>caused by</w:t>
      </w:r>
      <w:r w:rsidR="001F0406">
        <w:t xml:space="preserve"> misinformation, </w:t>
      </w:r>
      <w:r w:rsidR="00333F9E">
        <w:t xml:space="preserve">contemporary concerns about misinformation have </w:t>
      </w:r>
      <w:r w:rsidR="00D80E11">
        <w:t>given even more urgency to</w:t>
      </w:r>
      <w:r w:rsidR="00333F9E">
        <w:t xml:space="preserve"> the related concerns about scientific dissent.</w:t>
      </w:r>
      <w:r w:rsidR="00F17101">
        <w:t xml:space="preserve"> </w:t>
      </w:r>
    </w:p>
    <w:p w14:paraId="670903D1" w14:textId="127CC8BB" w:rsidR="009D5493" w:rsidRDefault="00B06D01" w:rsidP="008C1040">
      <w:r>
        <w:tab/>
        <w:t xml:space="preserve">Nevertheless, </w:t>
      </w:r>
      <w:r w:rsidR="002A2F78">
        <w:t>it is not an easy matter to combat scientific dissent in a responsible fashion</w:t>
      </w:r>
      <w:r w:rsidR="009B49BE">
        <w:t xml:space="preserve">. </w:t>
      </w:r>
      <w:r w:rsidR="004841E0">
        <w:t xml:space="preserve">One cannot merely squelch </w:t>
      </w:r>
      <w:r w:rsidR="0028440E">
        <w:t>all efforts to challenge widely held scientific views</w:t>
      </w:r>
      <w:r w:rsidR="00ED53BD">
        <w:t>;</w:t>
      </w:r>
      <w:r w:rsidR="002A2F78">
        <w:t xml:space="preserve"> there is a danger of </w:t>
      </w:r>
      <w:r w:rsidR="007A38B8">
        <w:t xml:space="preserve">becoming overly dogmatic and shutting down legitimate differences of opinion. </w:t>
      </w:r>
      <w:r w:rsidR="00974570">
        <w:t>After all, openness to</w:t>
      </w:r>
      <w:r w:rsidR="008B1C51">
        <w:t xml:space="preserve"> criticism is a hallmark of</w:t>
      </w:r>
      <w:r w:rsidR="00872D63">
        <w:t xml:space="preserve"> some conceptions of </w:t>
      </w:r>
      <w:r w:rsidR="008B1C51">
        <w:t xml:space="preserve">scientific objectivity; as </w:t>
      </w:r>
      <w:r w:rsidR="00872D63">
        <w:t>Helen Longino</w:t>
      </w:r>
      <w:r w:rsidR="008B1C51">
        <w:t xml:space="preserve"> puts it, “</w:t>
      </w:r>
      <w:r w:rsidR="007E49D1">
        <w:t xml:space="preserve">Not only must dissenting scientific voices not be discounted; they must be cultivated” (Longino 2002, </w:t>
      </w:r>
      <w:r w:rsidR="005874FB">
        <w:t>132).</w:t>
      </w:r>
      <w:r w:rsidR="004F085D">
        <w:t xml:space="preserve"> </w:t>
      </w:r>
      <w:r w:rsidR="00590091">
        <w:t xml:space="preserve">Along similar lines, neuroscientist Stuart Firestein </w:t>
      </w:r>
      <w:r w:rsidR="00FB4534">
        <w:t xml:space="preserve">(2012) </w:t>
      </w:r>
      <w:r w:rsidR="00E726FD">
        <w:t>warns that</w:t>
      </w:r>
      <w:r w:rsidR="0097784D">
        <w:t xml:space="preserve"> inquiry </w:t>
      </w:r>
      <w:r w:rsidR="00E726FD">
        <w:t xml:space="preserve">should always be treated </w:t>
      </w:r>
      <w:r w:rsidR="0097784D">
        <w:t>as unfinished</w:t>
      </w:r>
      <w:r w:rsidR="006D7126">
        <w:t>, lest potentially valuable questions be shut down</w:t>
      </w:r>
      <w:r w:rsidR="00E726FD">
        <w:t xml:space="preserve">. </w:t>
      </w:r>
      <w:r w:rsidR="004F085D">
        <w:t xml:space="preserve">Some scholars working in the field of environmental policy have even coined a new term, ‘manufactured consensus’, </w:t>
      </w:r>
      <w:r w:rsidR="000A45E6">
        <w:t>to describe</w:t>
      </w:r>
      <w:r w:rsidR="004F085D">
        <w:t xml:space="preserve"> the </w:t>
      </w:r>
      <w:r w:rsidR="000A45E6">
        <w:t>phenomenon</w:t>
      </w:r>
      <w:r w:rsidR="004F085D">
        <w:t xml:space="preserve"> of </w:t>
      </w:r>
      <w:r w:rsidR="00E90612">
        <w:t xml:space="preserve">claiming that there is a scientific consensus </w:t>
      </w:r>
      <w:r w:rsidR="007B0A26">
        <w:t>even though there are</w:t>
      </w:r>
      <w:r w:rsidR="00E90612">
        <w:t xml:space="preserve"> reasonable opposing views</w:t>
      </w:r>
      <w:r w:rsidR="003F593A">
        <w:t xml:space="preserve"> (</w:t>
      </w:r>
      <w:r w:rsidR="009C4189">
        <w:t>McIlroy-Young et al. 2021</w:t>
      </w:r>
      <w:r w:rsidR="003F593A">
        <w:t xml:space="preserve">). </w:t>
      </w:r>
      <w:r w:rsidR="00CA794E">
        <w:t>This activity can</w:t>
      </w:r>
      <w:r w:rsidR="00337B9E">
        <w:t xml:space="preserve"> be detrimental because it shuts out </w:t>
      </w:r>
      <w:r w:rsidR="00AD4F74">
        <w:t xml:space="preserve">legitimate perspectives that could </w:t>
      </w:r>
      <w:r w:rsidR="009D5493">
        <w:t>contribute to more robust, thoughtful scientific research programs and policy decisions.</w:t>
      </w:r>
    </w:p>
    <w:p w14:paraId="004E056E" w14:textId="4851D290" w:rsidR="00F63595" w:rsidRDefault="009D5493" w:rsidP="00767016">
      <w:r>
        <w:tab/>
      </w:r>
      <w:r w:rsidR="007079C8">
        <w:t xml:space="preserve">Responding to scientific dissent in an overly aggressive fashion can also damage relationships between the scientific community </w:t>
      </w:r>
      <w:r w:rsidR="002F35D2">
        <w:t xml:space="preserve">and the broader society. </w:t>
      </w:r>
      <w:r w:rsidR="00E35B29">
        <w:t xml:space="preserve">When scientists are constantly focused on the public’s vulnerability to misinformation, they </w:t>
      </w:r>
      <w:r w:rsidR="002D0006">
        <w:t xml:space="preserve">may be less likely to </w:t>
      </w:r>
      <w:r w:rsidR="00E92D88">
        <w:t xml:space="preserve">listen to the perspectives of non-specialists and to </w:t>
      </w:r>
      <w:r w:rsidR="002D0006">
        <w:t>engage in community-</w:t>
      </w:r>
      <w:r w:rsidR="00E92D88">
        <w:t>based</w:t>
      </w:r>
      <w:r w:rsidR="002D0006">
        <w:t xml:space="preserve"> research projects</w:t>
      </w:r>
      <w:r w:rsidR="002947A3">
        <w:t xml:space="preserve">. This would be a significant loss because community-based research can help </w:t>
      </w:r>
      <w:r w:rsidR="00FF0415">
        <w:t>generate science that is</w:t>
      </w:r>
      <w:r w:rsidR="00F95390">
        <w:t xml:space="preserve"> </w:t>
      </w:r>
      <w:r w:rsidR="00E92D88">
        <w:t xml:space="preserve">of </w:t>
      </w:r>
      <w:r w:rsidR="00F95390">
        <w:t>higher quality, more responsive to public needs, and more likely to be accepted by community members (</w:t>
      </w:r>
      <w:proofErr w:type="spellStart"/>
      <w:r w:rsidR="007D6232">
        <w:t>Corburn</w:t>
      </w:r>
      <w:proofErr w:type="spellEnd"/>
      <w:r w:rsidR="007D6232">
        <w:t xml:space="preserve"> </w:t>
      </w:r>
      <w:r w:rsidR="00015F06">
        <w:t>2005</w:t>
      </w:r>
      <w:r w:rsidR="007D6232">
        <w:t xml:space="preserve">; </w:t>
      </w:r>
      <w:r w:rsidR="00F95390">
        <w:t>Elliott 201</w:t>
      </w:r>
      <w:r w:rsidR="00EA5342">
        <w:t>7</w:t>
      </w:r>
      <w:r w:rsidR="00D9078C">
        <w:t xml:space="preserve">; </w:t>
      </w:r>
      <w:proofErr w:type="spellStart"/>
      <w:r w:rsidR="00D9078C">
        <w:t>Ottinger</w:t>
      </w:r>
      <w:proofErr w:type="spellEnd"/>
      <w:r w:rsidR="00D9078C">
        <w:t xml:space="preserve"> and Cohen</w:t>
      </w:r>
      <w:r w:rsidR="007D6232">
        <w:t xml:space="preserve"> </w:t>
      </w:r>
      <w:r w:rsidR="001B0C59">
        <w:t>2011</w:t>
      </w:r>
      <w:r w:rsidR="007D6232">
        <w:t>).</w:t>
      </w:r>
      <w:r w:rsidR="00EA5342">
        <w:t xml:space="preserve"> </w:t>
      </w:r>
      <w:r w:rsidR="00505950">
        <w:t>Another problem is that</w:t>
      </w:r>
      <w:r w:rsidR="004A082B">
        <w:t xml:space="preserve"> when complex policy disputes involving science are treat</w:t>
      </w:r>
      <w:r w:rsidR="00D13972">
        <w:t xml:space="preserve">ed as if they are caused </w:t>
      </w:r>
      <w:r w:rsidR="00B710FE">
        <w:t>primari</w:t>
      </w:r>
      <w:r w:rsidR="00D13972">
        <w:t>ly by</w:t>
      </w:r>
      <w:r w:rsidR="003B7C3E">
        <w:t xml:space="preserve"> </w:t>
      </w:r>
      <w:r w:rsidR="00CB3FB9">
        <w:t xml:space="preserve">misinformation and </w:t>
      </w:r>
      <w:r w:rsidR="003B7C3E">
        <w:t>inappropriate forms of scientific dissent</w:t>
      </w:r>
      <w:r w:rsidR="00A8585B">
        <w:t xml:space="preserve">, this </w:t>
      </w:r>
      <w:r w:rsidR="00234DFE">
        <w:t xml:space="preserve">can </w:t>
      </w:r>
      <w:r w:rsidR="00D4734E">
        <w:t>generate an impoverished</w:t>
      </w:r>
      <w:r w:rsidR="000D0638">
        <w:t>, simplistic</w:t>
      </w:r>
      <w:r w:rsidR="00D4734E">
        <w:t xml:space="preserve"> understanding of the disputes and reduce the opportunities for developing creative solutions </w:t>
      </w:r>
      <w:r w:rsidR="00FF4C2F">
        <w:t xml:space="preserve">to them </w:t>
      </w:r>
      <w:r w:rsidR="00D4734E">
        <w:t xml:space="preserve">(Goldenberg 2021; Hicks </w:t>
      </w:r>
      <w:r w:rsidR="00056FB6">
        <w:t>2017</w:t>
      </w:r>
      <w:r w:rsidR="00D4734E">
        <w:t>).</w:t>
      </w:r>
      <w:r w:rsidR="00B710FE">
        <w:t xml:space="preserve"> Finally, </w:t>
      </w:r>
      <w:r w:rsidR="00234DFE">
        <w:t xml:space="preserve">science journalism can also be damaged by </w:t>
      </w:r>
      <w:r w:rsidR="00A74782">
        <w:t>dogmatic responses to scientific dissent</w:t>
      </w:r>
      <w:r w:rsidR="00B5266C">
        <w:t xml:space="preserve">, insofar as journalists may be less likely to report </w:t>
      </w:r>
      <w:r w:rsidR="004D254C">
        <w:t>on legitimate minority viewpoints that merit consideration</w:t>
      </w:r>
      <w:r w:rsidR="00A74782">
        <w:t>.</w:t>
      </w:r>
      <w:r w:rsidR="00E17639">
        <w:t xml:space="preserve"> </w:t>
      </w:r>
      <w:r w:rsidR="004D254C">
        <w:t xml:space="preserve">For example, some commentators contend that </w:t>
      </w:r>
      <w:r w:rsidR="00E17639">
        <w:t xml:space="preserve">journalists were </w:t>
      </w:r>
      <w:r w:rsidR="004D254C">
        <w:t xml:space="preserve">initially </w:t>
      </w:r>
      <w:r w:rsidR="00E17639">
        <w:t xml:space="preserve">too focused on </w:t>
      </w:r>
      <w:r w:rsidR="0022019B">
        <w:t>trying to report</w:t>
      </w:r>
      <w:r w:rsidR="00E17639">
        <w:t xml:space="preserve"> a consensus </w:t>
      </w:r>
      <w:r w:rsidR="0022019B">
        <w:t xml:space="preserve">scientific position </w:t>
      </w:r>
      <w:r w:rsidR="00E17639">
        <w:t>about the origins of COVID</w:t>
      </w:r>
      <w:r w:rsidR="00653207">
        <w:t>,</w:t>
      </w:r>
      <w:r w:rsidR="00E17639">
        <w:t xml:space="preserve"> and </w:t>
      </w:r>
      <w:r w:rsidR="00653207">
        <w:t xml:space="preserve">as a result they </w:t>
      </w:r>
      <w:r w:rsidR="00E17639">
        <w:t>failed to</w:t>
      </w:r>
      <w:r w:rsidR="003F2418">
        <w:t xml:space="preserve"> identify the weaknesses of that </w:t>
      </w:r>
      <w:r w:rsidR="00653207">
        <w:t>“</w:t>
      </w:r>
      <w:r w:rsidR="003F2418">
        <w:t>consensus</w:t>
      </w:r>
      <w:r w:rsidR="00A95A11">
        <w:t>”</w:t>
      </w:r>
      <w:r w:rsidR="00653207">
        <w:t xml:space="preserve"> position</w:t>
      </w:r>
      <w:r w:rsidR="003F2418">
        <w:t xml:space="preserve"> and the presence of</w:t>
      </w:r>
      <w:r w:rsidR="00E17639">
        <w:t xml:space="preserve"> opposing scientific views (</w:t>
      </w:r>
      <w:r w:rsidR="00214116">
        <w:t>Thacker 2021</w:t>
      </w:r>
      <w:r w:rsidR="003F2418">
        <w:t>).</w:t>
      </w:r>
      <w:r w:rsidR="00E17639">
        <w:t xml:space="preserve"> </w:t>
      </w:r>
      <w:r w:rsidR="00DA6CDA">
        <w:t>Interestingly</w:t>
      </w:r>
      <w:r w:rsidR="00EC384A">
        <w:t xml:space="preserve">, this </w:t>
      </w:r>
      <w:r w:rsidR="00896A1C">
        <w:t xml:space="preserve">situation </w:t>
      </w:r>
      <w:r w:rsidR="00DA6CDA">
        <w:lastRenderedPageBreak/>
        <w:t>further</w:t>
      </w:r>
      <w:r w:rsidR="00522983">
        <w:t xml:space="preserve"> highlight</w:t>
      </w:r>
      <w:r w:rsidR="00DA6CDA">
        <w:t>s</w:t>
      </w:r>
      <w:r w:rsidR="00522983">
        <w:t xml:space="preserve"> </w:t>
      </w:r>
      <w:r w:rsidR="00DA6CDA">
        <w:t>the difficulties of handling</w:t>
      </w:r>
      <w:r w:rsidR="00522983">
        <w:t xml:space="preserve"> scientific dissent </w:t>
      </w:r>
      <w:proofErr w:type="gramStart"/>
      <w:r w:rsidR="00522983">
        <w:t>responsibly</w:t>
      </w:r>
      <w:r w:rsidR="00DA6CDA">
        <w:t>,</w:t>
      </w:r>
      <w:r w:rsidR="00522983">
        <w:t xml:space="preserve"> because</w:t>
      </w:r>
      <w:proofErr w:type="gramEnd"/>
      <w:r w:rsidR="00522983">
        <w:t xml:space="preserve"> </w:t>
      </w:r>
      <w:r w:rsidR="003308F6">
        <w:t xml:space="preserve">science </w:t>
      </w:r>
      <w:r w:rsidR="00DA6CDA">
        <w:t>journalis</w:t>
      </w:r>
      <w:r w:rsidR="00CD33F7">
        <w:t>ts’</w:t>
      </w:r>
      <w:r w:rsidR="00DA6CDA">
        <w:t xml:space="preserve"> </w:t>
      </w:r>
      <w:r w:rsidR="00522983">
        <w:t xml:space="preserve">efforts </w:t>
      </w:r>
      <w:r w:rsidR="00896A1C">
        <w:t xml:space="preserve">to focus on a consensus position </w:t>
      </w:r>
      <w:r w:rsidR="00CD33F7">
        <w:t xml:space="preserve">were probably </w:t>
      </w:r>
      <w:r w:rsidR="000E383F">
        <w:t>stimulated</w:t>
      </w:r>
      <w:r w:rsidR="00CD33F7">
        <w:t xml:space="preserve"> at least in part by</w:t>
      </w:r>
      <w:r w:rsidR="005C22F4">
        <w:t xml:space="preserve"> </w:t>
      </w:r>
      <w:r w:rsidR="000E383F">
        <w:t>the criticisms they received previously for</w:t>
      </w:r>
      <w:r w:rsidR="00CD05D1">
        <w:t xml:space="preserve"> </w:t>
      </w:r>
      <w:r w:rsidR="00EC384A">
        <w:t>being too open to illegitimate dissent</w:t>
      </w:r>
      <w:r w:rsidR="00FF4C2F">
        <w:t xml:space="preserve"> </w:t>
      </w:r>
      <w:r w:rsidR="003308F6">
        <w:t>when reporting on</w:t>
      </w:r>
      <w:r w:rsidR="00767016">
        <w:t xml:space="preserve"> </w:t>
      </w:r>
      <w:r w:rsidR="00FF4C2F">
        <w:t>climate change</w:t>
      </w:r>
      <w:r w:rsidR="00A74782">
        <w:t xml:space="preserve"> </w:t>
      </w:r>
      <w:r w:rsidR="00D5597B">
        <w:t xml:space="preserve">(see e.g., Boykoff and Boykoff </w:t>
      </w:r>
      <w:r w:rsidR="002233EE">
        <w:t>2004</w:t>
      </w:r>
      <w:r w:rsidR="00D5597B">
        <w:t>).</w:t>
      </w:r>
      <w:r w:rsidR="003E4CC6">
        <w:t xml:space="preserve"> </w:t>
      </w:r>
      <w:r w:rsidR="007E3184">
        <w:t xml:space="preserve">Journalists can take steps to assess the reliability of </w:t>
      </w:r>
      <w:r w:rsidR="00C312EB">
        <w:t>dueling sources of testimony</w:t>
      </w:r>
      <w:r w:rsidR="00590616">
        <w:t xml:space="preserve"> (see e.g., </w:t>
      </w:r>
      <w:proofErr w:type="spellStart"/>
      <w:r w:rsidR="00590616">
        <w:t>Godler</w:t>
      </w:r>
      <w:proofErr w:type="spellEnd"/>
      <w:r w:rsidR="00590616">
        <w:t xml:space="preserve"> et al.</w:t>
      </w:r>
      <w:r w:rsidR="00B13441">
        <w:t xml:space="preserve"> 2020), but </w:t>
      </w:r>
      <w:r w:rsidR="00F53352">
        <w:t xml:space="preserve">it is </w:t>
      </w:r>
      <w:r w:rsidR="00336EFA">
        <w:t xml:space="preserve">still </w:t>
      </w:r>
      <w:r w:rsidR="00F53352">
        <w:t>not always easy to decide which dissenting views to discuss and how to frame them.</w:t>
      </w:r>
      <w:r w:rsidR="00590616">
        <w:t xml:space="preserve"> </w:t>
      </w:r>
    </w:p>
    <w:p w14:paraId="53ADAFC9" w14:textId="27171DC2" w:rsidR="00234181" w:rsidRPr="004903F4" w:rsidRDefault="00234181" w:rsidP="008C1040">
      <w:r>
        <w:tab/>
      </w:r>
      <w:r w:rsidR="00FC29A3">
        <w:t xml:space="preserve">In sum, scientists, journalists, policy makers, and publics face serious challenges when responding to scientific dissent. </w:t>
      </w:r>
      <w:proofErr w:type="gramStart"/>
      <w:r w:rsidR="00A40C5D">
        <w:t>It is clear that powerful</w:t>
      </w:r>
      <w:proofErr w:type="gramEnd"/>
      <w:r w:rsidR="00A40C5D">
        <w:t xml:space="preserve"> interest groups have </w:t>
      </w:r>
      <w:r w:rsidR="001C6FDD">
        <w:t>used</w:t>
      </w:r>
      <w:r w:rsidR="00A40C5D">
        <w:t xml:space="preserve"> scientific dissent </w:t>
      </w:r>
      <w:r w:rsidR="001C6FDD">
        <w:t xml:space="preserve">as a strategic tool </w:t>
      </w:r>
      <w:r w:rsidR="00A40C5D">
        <w:t>to delay important public polic</w:t>
      </w:r>
      <w:r w:rsidR="003766EB">
        <w:t>y decisions</w:t>
      </w:r>
      <w:r w:rsidR="001C6FDD">
        <w:t xml:space="preserve">, and </w:t>
      </w:r>
      <w:r w:rsidR="003766EB">
        <w:t xml:space="preserve">at least some </w:t>
      </w:r>
      <w:r w:rsidR="001C6FDD">
        <w:t xml:space="preserve">scientific dissent </w:t>
      </w:r>
      <w:r w:rsidR="008C3E2A">
        <w:t>i</w:t>
      </w:r>
      <w:r w:rsidR="003766EB">
        <w:t>s a result of</w:t>
      </w:r>
      <w:r w:rsidR="008C3E2A">
        <w:t xml:space="preserve"> misinformation and disinformation </w:t>
      </w:r>
      <w:r w:rsidR="003766EB">
        <w:t>campaigns</w:t>
      </w:r>
      <w:r w:rsidR="008C3E2A">
        <w:t xml:space="preserve">. </w:t>
      </w:r>
      <w:r w:rsidR="001A276F">
        <w:t xml:space="preserve">However, there are dangers </w:t>
      </w:r>
      <w:r w:rsidR="003766EB">
        <w:t>associated with</w:t>
      </w:r>
      <w:r w:rsidR="001A276F">
        <w:t xml:space="preserve"> </w:t>
      </w:r>
      <w:r w:rsidR="00227530">
        <w:t>clamping down too aggressively on scientific dissent</w:t>
      </w:r>
      <w:r w:rsidR="00587209">
        <w:t xml:space="preserve">: it can foster an unwillingness to consider opposing views, a lack of respect for community members, </w:t>
      </w:r>
      <w:r w:rsidR="00CE07AE">
        <w:t xml:space="preserve">a narrow-minded approach to public policy decisions, and an impoverished approach to scientific journalism. The next section </w:t>
      </w:r>
      <w:r w:rsidR="00891205">
        <w:t xml:space="preserve">briefly </w:t>
      </w:r>
      <w:r w:rsidR="00CE07AE">
        <w:t>considers some of the strategies that philosophers have proposed for responding to these difficul</w:t>
      </w:r>
      <w:r w:rsidR="001343D9">
        <w:t>ties.</w:t>
      </w:r>
    </w:p>
    <w:p w14:paraId="09B18DDD" w14:textId="7FFC967F" w:rsidR="00234181" w:rsidRDefault="003C08C9" w:rsidP="008C1040">
      <w:pPr>
        <w:rPr>
          <w:b/>
          <w:bCs/>
        </w:rPr>
      </w:pPr>
      <w:r>
        <w:rPr>
          <w:b/>
          <w:bCs/>
        </w:rPr>
        <w:t xml:space="preserve">3. </w:t>
      </w:r>
      <w:r w:rsidR="00234181">
        <w:rPr>
          <w:b/>
          <w:bCs/>
        </w:rPr>
        <w:t xml:space="preserve">Two </w:t>
      </w:r>
      <w:r w:rsidR="00DA354C">
        <w:rPr>
          <w:b/>
          <w:bCs/>
        </w:rPr>
        <w:t xml:space="preserve">Previous </w:t>
      </w:r>
      <w:r w:rsidR="00234181">
        <w:rPr>
          <w:b/>
          <w:bCs/>
        </w:rPr>
        <w:t>Approaches</w:t>
      </w:r>
      <w:r w:rsidR="00DA354C">
        <w:rPr>
          <w:b/>
          <w:bCs/>
        </w:rPr>
        <w:t xml:space="preserve"> to Navigating Scientific Dissent</w:t>
      </w:r>
    </w:p>
    <w:p w14:paraId="5568EA8E" w14:textId="0D5096D8" w:rsidR="00195AFC" w:rsidRDefault="00234181" w:rsidP="00234181">
      <w:r>
        <w:tab/>
      </w:r>
      <w:r w:rsidR="001343D9">
        <w:t xml:space="preserve">One of the most common philosophical strategies for responding to scientific dissent is to </w:t>
      </w:r>
      <w:r w:rsidR="006E41DF">
        <w:t xml:space="preserve">develop criteria for distinguishing between dissent that is appropriate and dissent that is inappropriate. </w:t>
      </w:r>
      <w:r w:rsidR="009A17E4">
        <w:t>Justin Biddle and Anna Leuschner (2015) developed a particularly influential version of this strategy</w:t>
      </w:r>
      <w:r w:rsidR="00891205">
        <w:t xml:space="preserve"> (see also </w:t>
      </w:r>
      <w:r w:rsidR="00D3559A">
        <w:t>Leuschner and Fernández Pinto 2021</w:t>
      </w:r>
      <w:r w:rsidR="00891205">
        <w:t xml:space="preserve">; Leuschner </w:t>
      </w:r>
      <w:r w:rsidR="0001511B">
        <w:t xml:space="preserve">and Fernández Pinto </w:t>
      </w:r>
      <w:r w:rsidR="00EE413A">
        <w:t>2022</w:t>
      </w:r>
      <w:r w:rsidR="00891205">
        <w:t>)</w:t>
      </w:r>
      <w:r w:rsidR="009A17E4">
        <w:t xml:space="preserve">. They </w:t>
      </w:r>
      <w:r w:rsidR="002C01B5">
        <w:t xml:space="preserve">introduced the concept of “epistemically detrimental dissent” (EDD), which refers to dissent that impedes </w:t>
      </w:r>
      <w:r w:rsidR="00143432">
        <w:t>knowledge production</w:t>
      </w:r>
      <w:r w:rsidR="000A3D34">
        <w:t xml:space="preserve">, in contrast to </w:t>
      </w:r>
      <w:r w:rsidR="005D55E2">
        <w:t>other</w:t>
      </w:r>
      <w:r w:rsidR="000A3D34">
        <w:t xml:space="preserve"> forms of dissent that can enhance knowledge production</w:t>
      </w:r>
      <w:r w:rsidR="00143432">
        <w:t>.</w:t>
      </w:r>
      <w:r w:rsidR="00EA1539">
        <w:rPr>
          <w:rStyle w:val="FootnoteReference"/>
        </w:rPr>
        <w:footnoteReference w:id="1"/>
      </w:r>
      <w:r w:rsidR="00143432">
        <w:t xml:space="preserve"> </w:t>
      </w:r>
      <w:r w:rsidR="00FA7B39">
        <w:t>They ultimately propose</w:t>
      </w:r>
      <w:r w:rsidR="00B1248D">
        <w:t>d</w:t>
      </w:r>
      <w:r w:rsidR="00FA7B39">
        <w:t xml:space="preserve"> </w:t>
      </w:r>
      <w:r w:rsidR="00F00D69">
        <w:t xml:space="preserve">four conditions </w:t>
      </w:r>
      <w:r w:rsidR="0096248D">
        <w:t xml:space="preserve">that are jointly sufficient for dissent </w:t>
      </w:r>
      <w:r w:rsidR="00947900">
        <w:t xml:space="preserve">about a hypothesis, H, </w:t>
      </w:r>
      <w:r w:rsidR="0096248D">
        <w:t xml:space="preserve">to be epistemically detrimental: </w:t>
      </w:r>
    </w:p>
    <w:p w14:paraId="4D7EF5CD" w14:textId="71742575" w:rsidR="00195AFC" w:rsidRPr="00195AFC" w:rsidRDefault="00195AFC" w:rsidP="00195AFC">
      <w:pPr>
        <w:pStyle w:val="ListParagraph"/>
        <w:numPr>
          <w:ilvl w:val="0"/>
          <w:numId w:val="4"/>
        </w:numPr>
        <w:autoSpaceDE w:val="0"/>
        <w:autoSpaceDN w:val="0"/>
        <w:adjustRightInd w:val="0"/>
        <w:spacing w:after="0" w:line="240" w:lineRule="auto"/>
        <w:ind w:left="1080"/>
        <w:rPr>
          <w:rFonts w:cstheme="minorHAnsi"/>
        </w:rPr>
      </w:pPr>
      <w:r w:rsidRPr="00195AFC">
        <w:rPr>
          <w:rFonts w:cstheme="minorHAnsi"/>
        </w:rPr>
        <w:t xml:space="preserve">The </w:t>
      </w:r>
      <w:proofErr w:type="spellStart"/>
      <w:r w:rsidRPr="00195AFC">
        <w:rPr>
          <w:rFonts w:cstheme="minorHAnsi"/>
        </w:rPr>
        <w:t>nonepistemic</w:t>
      </w:r>
      <w:proofErr w:type="spellEnd"/>
      <w:r w:rsidRPr="00195AFC">
        <w:rPr>
          <w:rFonts w:cstheme="minorHAnsi"/>
        </w:rPr>
        <w:t xml:space="preserve"> consequences of wrongly rejecting H are likely to be severe.</w:t>
      </w:r>
    </w:p>
    <w:p w14:paraId="4E1FED24" w14:textId="0CCB8EC7" w:rsidR="00195AFC" w:rsidRPr="00195AFC" w:rsidRDefault="00195AFC" w:rsidP="00195AFC">
      <w:pPr>
        <w:autoSpaceDE w:val="0"/>
        <w:autoSpaceDN w:val="0"/>
        <w:adjustRightInd w:val="0"/>
        <w:spacing w:after="0" w:line="240" w:lineRule="auto"/>
        <w:ind w:left="1080" w:hanging="360"/>
        <w:rPr>
          <w:rFonts w:cstheme="minorHAnsi"/>
        </w:rPr>
      </w:pPr>
      <w:r w:rsidRPr="00195AFC">
        <w:rPr>
          <w:rFonts w:cstheme="minorHAnsi"/>
        </w:rPr>
        <w:t xml:space="preserve">2. </w:t>
      </w:r>
      <w:r>
        <w:rPr>
          <w:rFonts w:cstheme="minorHAnsi"/>
        </w:rPr>
        <w:tab/>
      </w:r>
      <w:r w:rsidRPr="00195AFC">
        <w:rPr>
          <w:rFonts w:cstheme="minorHAnsi"/>
        </w:rPr>
        <w:t>The dissenting research that constitutes the objection violates established conventional standards.</w:t>
      </w:r>
    </w:p>
    <w:p w14:paraId="6489E776" w14:textId="78311E63" w:rsidR="00195AFC" w:rsidRPr="00195AFC" w:rsidRDefault="00195AFC" w:rsidP="00195AFC">
      <w:pPr>
        <w:autoSpaceDE w:val="0"/>
        <w:autoSpaceDN w:val="0"/>
        <w:adjustRightInd w:val="0"/>
        <w:spacing w:after="0" w:line="240" w:lineRule="auto"/>
        <w:ind w:left="1080" w:hanging="360"/>
        <w:rPr>
          <w:rFonts w:cstheme="minorHAnsi"/>
        </w:rPr>
      </w:pPr>
      <w:r w:rsidRPr="00195AFC">
        <w:rPr>
          <w:rFonts w:cstheme="minorHAnsi"/>
        </w:rPr>
        <w:t xml:space="preserve">3. </w:t>
      </w:r>
      <w:r>
        <w:rPr>
          <w:rFonts w:cstheme="minorHAnsi"/>
        </w:rPr>
        <w:tab/>
      </w:r>
      <w:r w:rsidRPr="00195AFC">
        <w:rPr>
          <w:rFonts w:cstheme="minorHAnsi"/>
        </w:rPr>
        <w:t>The dissenting research involves intolerance for producer risks at the expense of public risks.</w:t>
      </w:r>
    </w:p>
    <w:p w14:paraId="5C40E423" w14:textId="0F67C1B7" w:rsidR="00195AFC" w:rsidRDefault="00195AFC" w:rsidP="00195AFC">
      <w:pPr>
        <w:autoSpaceDE w:val="0"/>
        <w:autoSpaceDN w:val="0"/>
        <w:adjustRightInd w:val="0"/>
        <w:spacing w:after="0" w:line="240" w:lineRule="auto"/>
        <w:ind w:left="1080" w:hanging="360"/>
        <w:rPr>
          <w:rFonts w:cstheme="minorHAnsi"/>
        </w:rPr>
      </w:pPr>
      <w:r w:rsidRPr="00195AFC">
        <w:rPr>
          <w:rFonts w:cstheme="minorHAnsi"/>
        </w:rPr>
        <w:t xml:space="preserve">4. </w:t>
      </w:r>
      <w:r>
        <w:rPr>
          <w:rFonts w:cstheme="minorHAnsi"/>
        </w:rPr>
        <w:tab/>
      </w:r>
      <w:r w:rsidRPr="00195AFC">
        <w:rPr>
          <w:rFonts w:cstheme="minorHAnsi"/>
        </w:rPr>
        <w:t>Producer risks and public risks fall largely upon different parties. (Biddle and Leuschner 2015, 273)</w:t>
      </w:r>
    </w:p>
    <w:p w14:paraId="35F1A762" w14:textId="2D95B536" w:rsidR="00E90CB1" w:rsidRDefault="000719E7" w:rsidP="00E90CB1">
      <w:pPr>
        <w:autoSpaceDE w:val="0"/>
        <w:autoSpaceDN w:val="0"/>
        <w:adjustRightInd w:val="0"/>
        <w:spacing w:after="0" w:line="240" w:lineRule="auto"/>
        <w:rPr>
          <w:rFonts w:cstheme="minorHAnsi"/>
        </w:rPr>
      </w:pPr>
      <w:r>
        <w:rPr>
          <w:rFonts w:cstheme="minorHAnsi"/>
        </w:rPr>
        <w:t xml:space="preserve">They call this an “inductive risk” account of EDD because </w:t>
      </w:r>
      <w:r w:rsidR="00691806">
        <w:rPr>
          <w:rFonts w:cstheme="minorHAnsi"/>
        </w:rPr>
        <w:t xml:space="preserve">some of the conditions focus on the risks associated with accepting </w:t>
      </w:r>
      <w:r w:rsidR="00B870C9">
        <w:rPr>
          <w:rFonts w:cstheme="minorHAnsi"/>
        </w:rPr>
        <w:t>dissenting views that ultimately turn out to be wrong.</w:t>
      </w:r>
    </w:p>
    <w:p w14:paraId="70FA4D1C" w14:textId="77777777" w:rsidR="00A512C2" w:rsidRDefault="00A512C2" w:rsidP="00E90CB1">
      <w:pPr>
        <w:autoSpaceDE w:val="0"/>
        <w:autoSpaceDN w:val="0"/>
        <w:adjustRightInd w:val="0"/>
        <w:spacing w:after="0" w:line="240" w:lineRule="auto"/>
        <w:rPr>
          <w:rFonts w:cstheme="minorHAnsi"/>
        </w:rPr>
      </w:pPr>
    </w:p>
    <w:p w14:paraId="0D43AED4" w14:textId="26D8CE63" w:rsidR="00B25707" w:rsidRPr="00195AFC" w:rsidRDefault="00A512C2" w:rsidP="00B25707">
      <w:pPr>
        <w:autoSpaceDE w:val="0"/>
        <w:autoSpaceDN w:val="0"/>
        <w:adjustRightInd w:val="0"/>
        <w:spacing w:after="0" w:line="240" w:lineRule="auto"/>
        <w:rPr>
          <w:rFonts w:cstheme="minorHAnsi"/>
        </w:rPr>
      </w:pPr>
      <w:r>
        <w:rPr>
          <w:rFonts w:cstheme="minorHAnsi"/>
        </w:rPr>
        <w:tab/>
        <w:t>Other</w:t>
      </w:r>
      <w:r w:rsidR="00A258D2">
        <w:rPr>
          <w:rFonts w:cstheme="minorHAnsi"/>
        </w:rPr>
        <w:t>s</w:t>
      </w:r>
      <w:r>
        <w:rPr>
          <w:rFonts w:cstheme="minorHAnsi"/>
        </w:rPr>
        <w:t xml:space="preserve"> have developed </w:t>
      </w:r>
      <w:r w:rsidR="00960579">
        <w:rPr>
          <w:rFonts w:cstheme="minorHAnsi"/>
        </w:rPr>
        <w:t xml:space="preserve">a variety of </w:t>
      </w:r>
      <w:r w:rsidR="00A258D2">
        <w:rPr>
          <w:rFonts w:cstheme="minorHAnsi"/>
        </w:rPr>
        <w:t>different</w:t>
      </w:r>
      <w:r w:rsidR="00960579">
        <w:rPr>
          <w:rFonts w:cstheme="minorHAnsi"/>
        </w:rPr>
        <w:t xml:space="preserve"> accounts of</w:t>
      </w:r>
      <w:r w:rsidR="000A3D34">
        <w:rPr>
          <w:rFonts w:cstheme="minorHAnsi"/>
        </w:rPr>
        <w:t xml:space="preserve"> problematic dissent</w:t>
      </w:r>
      <w:r w:rsidR="00960579">
        <w:rPr>
          <w:rFonts w:cstheme="minorHAnsi"/>
        </w:rPr>
        <w:t xml:space="preserve"> that either build on Biddle and Leuschner’s </w:t>
      </w:r>
      <w:r w:rsidR="00A258D2">
        <w:rPr>
          <w:rFonts w:cstheme="minorHAnsi"/>
        </w:rPr>
        <w:t>conditions</w:t>
      </w:r>
      <w:r w:rsidR="00960579">
        <w:rPr>
          <w:rFonts w:cstheme="minorHAnsi"/>
        </w:rPr>
        <w:t xml:space="preserve"> or</w:t>
      </w:r>
      <w:r w:rsidR="00A258D2">
        <w:rPr>
          <w:rFonts w:cstheme="minorHAnsi"/>
        </w:rPr>
        <w:t xml:space="preserve"> that suggest other conditions.</w:t>
      </w:r>
      <w:r w:rsidR="0090036C">
        <w:rPr>
          <w:rFonts w:cstheme="minorHAnsi"/>
        </w:rPr>
        <w:t xml:space="preserve"> For example, Le Bihan and Amadi (2017) </w:t>
      </w:r>
      <w:r w:rsidR="00514975">
        <w:rPr>
          <w:rFonts w:cstheme="minorHAnsi"/>
        </w:rPr>
        <w:t>distinguish</w:t>
      </w:r>
      <w:r w:rsidR="00402171">
        <w:rPr>
          <w:rFonts w:cstheme="minorHAnsi"/>
        </w:rPr>
        <w:t xml:space="preserve"> between “contingent enabling factors,” which can contribute to EDD </w:t>
      </w:r>
      <w:r w:rsidR="009969F7">
        <w:rPr>
          <w:rFonts w:cstheme="minorHAnsi"/>
        </w:rPr>
        <w:t xml:space="preserve">only </w:t>
      </w:r>
      <w:r w:rsidR="00402171">
        <w:rPr>
          <w:rFonts w:cstheme="minorHAnsi"/>
        </w:rPr>
        <w:t>under specific conditions, from “</w:t>
      </w:r>
      <w:r w:rsidR="00A942D6">
        <w:rPr>
          <w:rFonts w:cstheme="minorHAnsi"/>
        </w:rPr>
        <w:t xml:space="preserve">stable difference makers,” which </w:t>
      </w:r>
      <w:r w:rsidR="009969F7">
        <w:rPr>
          <w:rFonts w:cstheme="minorHAnsi"/>
        </w:rPr>
        <w:t xml:space="preserve">cause EDD under a very wide variety of conditions (see Woodward </w:t>
      </w:r>
      <w:r w:rsidR="00E319A1">
        <w:rPr>
          <w:rFonts w:cstheme="minorHAnsi"/>
        </w:rPr>
        <w:t>2010 for a discussion of this distinction)</w:t>
      </w:r>
      <w:r w:rsidR="009969F7">
        <w:rPr>
          <w:rFonts w:cstheme="minorHAnsi"/>
        </w:rPr>
        <w:t>.</w:t>
      </w:r>
      <w:r w:rsidR="00E319A1">
        <w:rPr>
          <w:rFonts w:cstheme="minorHAnsi"/>
        </w:rPr>
        <w:t xml:space="preserve"> </w:t>
      </w:r>
      <w:r w:rsidR="00CD77A8">
        <w:rPr>
          <w:rFonts w:cstheme="minorHAnsi"/>
        </w:rPr>
        <w:t xml:space="preserve">They argue that only Biddle and Leuschner’s second condition is a stable difference maker, whereas the other three conditions are </w:t>
      </w:r>
      <w:r w:rsidR="00CD77A8">
        <w:rPr>
          <w:rFonts w:cstheme="minorHAnsi"/>
        </w:rPr>
        <w:lastRenderedPageBreak/>
        <w:t>contingent enabling factors.</w:t>
      </w:r>
      <w:r w:rsidR="009C0CFA">
        <w:rPr>
          <w:rFonts w:cstheme="minorHAnsi"/>
        </w:rPr>
        <w:t xml:space="preserve"> </w:t>
      </w:r>
      <w:r w:rsidR="00F41194">
        <w:rPr>
          <w:rFonts w:cstheme="minorHAnsi"/>
        </w:rPr>
        <w:t>Miller (202</w:t>
      </w:r>
      <w:r w:rsidR="00B25707">
        <w:rPr>
          <w:rFonts w:cstheme="minorHAnsi"/>
        </w:rPr>
        <w:t>1)</w:t>
      </w:r>
      <w:r w:rsidR="00F41194">
        <w:rPr>
          <w:rFonts w:cstheme="minorHAnsi"/>
        </w:rPr>
        <w:t xml:space="preserve"> </w:t>
      </w:r>
      <w:r w:rsidR="00921AF2">
        <w:rPr>
          <w:rFonts w:cstheme="minorHAnsi"/>
        </w:rPr>
        <w:t xml:space="preserve">also builds on </w:t>
      </w:r>
      <w:r w:rsidR="00340461">
        <w:rPr>
          <w:rFonts w:cstheme="minorHAnsi"/>
        </w:rPr>
        <w:t xml:space="preserve">Biddle and Leuschner’s account </w:t>
      </w:r>
      <w:r w:rsidR="00921AF2">
        <w:rPr>
          <w:rFonts w:cstheme="minorHAnsi"/>
        </w:rPr>
        <w:t>and suggests three conditions</w:t>
      </w:r>
      <w:r w:rsidR="000E28BD">
        <w:rPr>
          <w:rFonts w:cstheme="minorHAnsi"/>
        </w:rPr>
        <w:t xml:space="preserve">, each of which is sufficient for dissent to be </w:t>
      </w:r>
      <w:r w:rsidR="000A3D34">
        <w:rPr>
          <w:rFonts w:cstheme="minorHAnsi"/>
        </w:rPr>
        <w:t>problematic</w:t>
      </w:r>
      <w:r w:rsidR="00C16B05">
        <w:rPr>
          <w:rFonts w:cstheme="minorHAnsi"/>
        </w:rPr>
        <w:t>: “(1) its generation process is politically illegitimate; (2) it imposes an unjust distribution of inductive risks; (3) it adopts evidential thresholds outside an accepted range</w:t>
      </w:r>
      <w:r w:rsidR="00B25707">
        <w:rPr>
          <w:rFonts w:cstheme="minorHAnsi"/>
        </w:rPr>
        <w:t>” (Miller 2021, 920).</w:t>
      </w:r>
      <w:r w:rsidR="00A20B3E">
        <w:rPr>
          <w:rFonts w:cstheme="minorHAnsi"/>
        </w:rPr>
        <w:t xml:space="preserve"> Other potential criteria </w:t>
      </w:r>
      <w:r w:rsidR="003C5936">
        <w:rPr>
          <w:rFonts w:cstheme="minorHAnsi"/>
        </w:rPr>
        <w:t xml:space="preserve">for </w:t>
      </w:r>
      <w:r w:rsidR="00AD7ACF">
        <w:rPr>
          <w:rFonts w:cstheme="minorHAnsi"/>
        </w:rPr>
        <w:t>problematic</w:t>
      </w:r>
      <w:r w:rsidR="003C5936">
        <w:rPr>
          <w:rFonts w:cstheme="minorHAnsi"/>
        </w:rPr>
        <w:t xml:space="preserve"> dissent </w:t>
      </w:r>
      <w:r w:rsidR="00A20B3E">
        <w:rPr>
          <w:rFonts w:cstheme="minorHAnsi"/>
        </w:rPr>
        <w:t>focus on whether</w:t>
      </w:r>
      <w:r w:rsidR="005843D2">
        <w:t xml:space="preserve"> </w:t>
      </w:r>
      <w:r w:rsidR="00AD7ACF">
        <w:t>it</w:t>
      </w:r>
      <w:r w:rsidR="0095771E">
        <w:t xml:space="preserve"> </w:t>
      </w:r>
      <w:r w:rsidR="00A20B3E">
        <w:t xml:space="preserve">was </w:t>
      </w:r>
      <w:r w:rsidR="0095771E">
        <w:t xml:space="preserve">generated in bad faith (e.g., Oreskes and Conway 2010), </w:t>
      </w:r>
      <w:r w:rsidR="00A20B3E">
        <w:t>whether it abides</w:t>
      </w:r>
      <w:r w:rsidR="002D4D6A">
        <w:rPr>
          <w:rFonts w:cstheme="minorHAnsi"/>
        </w:rPr>
        <w:t xml:space="preserve"> by rules for productive criticism (e.g., Longino 1990, 2002), </w:t>
      </w:r>
      <w:r w:rsidR="00A20B3E">
        <w:rPr>
          <w:rFonts w:cstheme="minorHAnsi"/>
        </w:rPr>
        <w:t xml:space="preserve">and whether it </w:t>
      </w:r>
      <w:r w:rsidR="00FB4896">
        <w:rPr>
          <w:rFonts w:cstheme="minorHAnsi"/>
        </w:rPr>
        <w:t xml:space="preserve">reflects appropriate expertise or background knowledge (e.g., Oreskes </w:t>
      </w:r>
      <w:r w:rsidR="00EA1539">
        <w:rPr>
          <w:rFonts w:cstheme="minorHAnsi"/>
        </w:rPr>
        <w:t>2019</w:t>
      </w:r>
      <w:r w:rsidR="00FB4896">
        <w:rPr>
          <w:rFonts w:cstheme="minorHAnsi"/>
        </w:rPr>
        <w:t xml:space="preserve">). </w:t>
      </w:r>
      <w:r w:rsidR="005F3D92">
        <w:rPr>
          <w:rFonts w:cstheme="minorHAnsi"/>
        </w:rPr>
        <w:t xml:space="preserve"> </w:t>
      </w:r>
    </w:p>
    <w:p w14:paraId="6DB32FD0" w14:textId="670F8453" w:rsidR="00A512C2" w:rsidRPr="00195AFC" w:rsidRDefault="00A512C2" w:rsidP="000E28BD">
      <w:pPr>
        <w:autoSpaceDE w:val="0"/>
        <w:autoSpaceDN w:val="0"/>
        <w:adjustRightInd w:val="0"/>
        <w:spacing w:after="0" w:line="240" w:lineRule="auto"/>
        <w:rPr>
          <w:rFonts w:cstheme="minorHAnsi"/>
        </w:rPr>
      </w:pPr>
    </w:p>
    <w:p w14:paraId="5BB762D4" w14:textId="64A1A9A5" w:rsidR="00231257" w:rsidRDefault="003C5936" w:rsidP="00234181">
      <w:r>
        <w:rPr>
          <w:rFonts w:cstheme="minorHAnsi"/>
        </w:rPr>
        <w:tab/>
      </w:r>
      <w:r w:rsidR="000B417E">
        <w:rPr>
          <w:rFonts w:cstheme="minorHAnsi"/>
        </w:rPr>
        <w:t xml:space="preserve">Despite the </w:t>
      </w:r>
      <w:r w:rsidR="000A3D34">
        <w:rPr>
          <w:rFonts w:cstheme="minorHAnsi"/>
        </w:rPr>
        <w:t>apparent benefit</w:t>
      </w:r>
      <w:r w:rsidR="00A35228">
        <w:rPr>
          <w:rFonts w:cstheme="minorHAnsi"/>
        </w:rPr>
        <w:t>s</w:t>
      </w:r>
      <w:r w:rsidR="000A3D34">
        <w:rPr>
          <w:rFonts w:cstheme="minorHAnsi"/>
        </w:rPr>
        <w:t xml:space="preserve"> of developing criteria for distinguishing between appropriate and inappropriate forms of scientific dissent, d</w:t>
      </w:r>
      <w:r>
        <w:t>e Melo-Mart</w:t>
      </w:r>
      <w:r w:rsidRPr="00FE3D05">
        <w:rPr>
          <w:rFonts w:ascii="Calibri" w:hAnsi="Calibri" w:cs="Calibri"/>
          <w:color w:val="222222"/>
          <w:shd w:val="clear" w:color="auto" w:fill="FFFFFF"/>
        </w:rPr>
        <w:t>í</w:t>
      </w:r>
      <w:r>
        <w:t xml:space="preserve">n and Intemann </w:t>
      </w:r>
      <w:r w:rsidR="009E5A15">
        <w:t>(</w:t>
      </w:r>
      <w:r>
        <w:t>2018</w:t>
      </w:r>
      <w:r w:rsidR="009E5A15">
        <w:t>)</w:t>
      </w:r>
      <w:r w:rsidR="00693D0A">
        <w:t xml:space="preserve"> suggest</w:t>
      </w:r>
      <w:r w:rsidR="009907B0">
        <w:t xml:space="preserve"> two reasons</w:t>
      </w:r>
      <w:r w:rsidR="000A3D34">
        <w:t xml:space="preserve"> </w:t>
      </w:r>
      <w:r w:rsidR="00C263D1">
        <w:t>for thinking that this approach</w:t>
      </w:r>
      <w:r w:rsidR="009B5546">
        <w:t xml:space="preserve"> will not always be adequate</w:t>
      </w:r>
      <w:r w:rsidR="00C263D1">
        <w:t xml:space="preserve">. </w:t>
      </w:r>
      <w:r w:rsidR="007154E8">
        <w:t xml:space="preserve">First, they </w:t>
      </w:r>
      <w:r w:rsidR="003D4FD1">
        <w:t>contend</w:t>
      </w:r>
      <w:r w:rsidR="007154E8">
        <w:t xml:space="preserve"> that </w:t>
      </w:r>
      <w:r w:rsidR="00190213">
        <w:t>it</w:t>
      </w:r>
      <w:r w:rsidR="00267BC8">
        <w:t xml:space="preserve"> can be </w:t>
      </w:r>
      <w:r w:rsidR="009B5546">
        <w:t>very</w:t>
      </w:r>
      <w:r w:rsidR="00190213">
        <w:t xml:space="preserve"> difficult to distinguish </w:t>
      </w:r>
      <w:r w:rsidR="00F83069">
        <w:t xml:space="preserve">between </w:t>
      </w:r>
      <w:r w:rsidR="00190213">
        <w:t>appropriate and inappropriate forms of scientific dissent</w:t>
      </w:r>
      <w:r w:rsidR="002304A3">
        <w:t>. In their book (2018), they</w:t>
      </w:r>
      <w:r w:rsidR="003D4FD1">
        <w:t xml:space="preserve"> </w:t>
      </w:r>
      <w:r w:rsidR="00961B4F">
        <w:t>argue that none of the available criteria</w:t>
      </w:r>
      <w:r w:rsidR="007B3BCF">
        <w:t xml:space="preserve"> are </w:t>
      </w:r>
      <w:r w:rsidR="00267BC8">
        <w:t xml:space="preserve">entirely </w:t>
      </w:r>
      <w:r w:rsidR="007B3BCF">
        <w:t>successful; in practice, the</w:t>
      </w:r>
      <w:r w:rsidR="00531721">
        <w:t xml:space="preserve"> criteria </w:t>
      </w:r>
      <w:r w:rsidR="007B3BCF">
        <w:t xml:space="preserve">invariably end up </w:t>
      </w:r>
      <w:r w:rsidR="00283545">
        <w:t>allowing</w:t>
      </w:r>
      <w:r w:rsidR="00F83069">
        <w:t xml:space="preserve"> some inappropriate forms of dissent or excluding some appropriate forms of dissent. </w:t>
      </w:r>
      <w:r w:rsidR="00F51115">
        <w:t xml:space="preserve">Second, </w:t>
      </w:r>
      <w:r w:rsidR="00F51115">
        <w:rPr>
          <w:rFonts w:cstheme="minorHAnsi"/>
        </w:rPr>
        <w:t>d</w:t>
      </w:r>
      <w:r w:rsidR="00F51115">
        <w:t>e Melo-Mart</w:t>
      </w:r>
      <w:r w:rsidR="00F51115" w:rsidRPr="00FE3D05">
        <w:rPr>
          <w:rFonts w:ascii="Calibri" w:hAnsi="Calibri" w:cs="Calibri"/>
          <w:color w:val="222222"/>
          <w:shd w:val="clear" w:color="auto" w:fill="FFFFFF"/>
        </w:rPr>
        <w:t>í</w:t>
      </w:r>
      <w:r w:rsidR="00F51115">
        <w:t xml:space="preserve">n and Intemann (2018) argue that even if one could </w:t>
      </w:r>
      <w:r w:rsidR="005B4245">
        <w:t xml:space="preserve">reliably identify inappropriate forms of scientific dissent, </w:t>
      </w:r>
      <w:r w:rsidR="00DA354C">
        <w:t xml:space="preserve">it would not </w:t>
      </w:r>
      <w:r w:rsidR="00267BC8">
        <w:t xml:space="preserve">always </w:t>
      </w:r>
      <w:r w:rsidR="00DA354C">
        <w:t>be very helpful for addressing the scientific and social problems caused by problematic scientific dissent.</w:t>
      </w:r>
      <w:r w:rsidR="007B3BCF">
        <w:t xml:space="preserve"> </w:t>
      </w:r>
      <w:r w:rsidR="00A35228">
        <w:t>One</w:t>
      </w:r>
      <w:r w:rsidR="006F7E13">
        <w:t xml:space="preserve"> might</w:t>
      </w:r>
      <w:r w:rsidR="00A35228">
        <w:t xml:space="preserve"> still face very difficult decisions about what to do </w:t>
      </w:r>
      <w:r w:rsidR="006066BC">
        <w:t>with problematic forms of dissent—</w:t>
      </w:r>
      <w:r w:rsidR="004548A6">
        <w:t xml:space="preserve">for example, </w:t>
      </w:r>
      <w:r w:rsidR="006066BC">
        <w:t xml:space="preserve">would one ban </w:t>
      </w:r>
      <w:r w:rsidR="003A01DB">
        <w:t>them</w:t>
      </w:r>
      <w:r w:rsidR="006066BC">
        <w:t xml:space="preserve">, or </w:t>
      </w:r>
      <w:r w:rsidR="004548A6">
        <w:t xml:space="preserve">challenge </w:t>
      </w:r>
      <w:r w:rsidR="003A01DB">
        <w:t>them</w:t>
      </w:r>
      <w:r w:rsidR="004548A6">
        <w:t xml:space="preserve">, or </w:t>
      </w:r>
      <w:r w:rsidR="006066BC">
        <w:t>try to discredit those</w:t>
      </w:r>
      <w:r w:rsidR="004548A6">
        <w:t xml:space="preserve"> spreading</w:t>
      </w:r>
      <w:r w:rsidR="006066BC">
        <w:t xml:space="preserve"> the dissent</w:t>
      </w:r>
      <w:r w:rsidR="004548A6">
        <w:t>ing views?</w:t>
      </w:r>
      <w:r w:rsidR="000860E1">
        <w:t xml:space="preserve"> De Melo-Mart</w:t>
      </w:r>
      <w:r w:rsidR="000860E1" w:rsidRPr="00FE3D05">
        <w:rPr>
          <w:rFonts w:ascii="Calibri" w:hAnsi="Calibri" w:cs="Calibri"/>
          <w:color w:val="222222"/>
          <w:shd w:val="clear" w:color="auto" w:fill="FFFFFF"/>
        </w:rPr>
        <w:t>í</w:t>
      </w:r>
      <w:r w:rsidR="000860E1">
        <w:t>n and Intemann</w:t>
      </w:r>
      <w:r w:rsidR="006066BC">
        <w:t xml:space="preserve"> </w:t>
      </w:r>
      <w:r w:rsidR="000860E1">
        <w:t>(2018) suggest that none of these solutions are particularly promising.</w:t>
      </w:r>
      <w:r w:rsidR="002304A3">
        <w:t xml:space="preserve"> </w:t>
      </w:r>
    </w:p>
    <w:p w14:paraId="22655471" w14:textId="58FC39E3" w:rsidR="00195AFC" w:rsidRPr="00195AFC" w:rsidRDefault="00231257" w:rsidP="00234181">
      <w:pPr>
        <w:rPr>
          <w:rFonts w:cstheme="minorHAnsi"/>
        </w:rPr>
      </w:pPr>
      <w:r>
        <w:tab/>
      </w:r>
      <w:r w:rsidR="00215260">
        <w:t xml:space="preserve">Of course, </w:t>
      </w:r>
      <w:r w:rsidR="00E410F3">
        <w:t xml:space="preserve">one </w:t>
      </w:r>
      <w:r w:rsidR="00E60D68">
        <w:t>could</w:t>
      </w:r>
      <w:r w:rsidR="00E410F3">
        <w:t xml:space="preserve"> </w:t>
      </w:r>
      <w:r w:rsidR="00E84170">
        <w:t>argue that de Melo-Mart</w:t>
      </w:r>
      <w:r w:rsidR="000E07FD">
        <w:t xml:space="preserve">ín and </w:t>
      </w:r>
      <w:proofErr w:type="spellStart"/>
      <w:r w:rsidR="000E07FD">
        <w:t>Intemann</w:t>
      </w:r>
      <w:proofErr w:type="spellEnd"/>
      <w:r w:rsidR="000E07FD">
        <w:t xml:space="preserve"> have </w:t>
      </w:r>
      <w:r w:rsidR="00E410F3">
        <w:t xml:space="preserve">overestimated the difficulties involved in </w:t>
      </w:r>
      <w:r w:rsidR="00986114">
        <w:t xml:space="preserve">developing </w:t>
      </w:r>
      <w:r w:rsidR="00EE7A30">
        <w:t>criteria</w:t>
      </w:r>
      <w:r w:rsidR="00986114">
        <w:t xml:space="preserve"> for distinguishing between appropriate and inappropriate dissent</w:t>
      </w:r>
      <w:r w:rsidR="00EE7A30">
        <w:t xml:space="preserve">. For example, Miller (2021) specifically developed his three criteria </w:t>
      </w:r>
      <w:proofErr w:type="gramStart"/>
      <w:r w:rsidR="00EE7A30">
        <w:t>in an effort to</w:t>
      </w:r>
      <w:proofErr w:type="gramEnd"/>
      <w:r w:rsidR="00EE7A30">
        <w:t xml:space="preserve"> address de Melo-Martín and </w:t>
      </w:r>
      <w:proofErr w:type="spellStart"/>
      <w:r w:rsidR="00EE7A30">
        <w:t>Intemann’s</w:t>
      </w:r>
      <w:proofErr w:type="spellEnd"/>
      <w:r w:rsidR="00EE7A30">
        <w:t xml:space="preserve"> (2021) concerns</w:t>
      </w:r>
      <w:r w:rsidR="00367FC1">
        <w:t xml:space="preserve"> with previous</w:t>
      </w:r>
      <w:r w:rsidR="000C0D44">
        <w:t xml:space="preserve"> criteria. </w:t>
      </w:r>
      <w:r w:rsidR="001714AA">
        <w:t>However, although i</w:t>
      </w:r>
      <w:r w:rsidR="000C0D44">
        <w:t xml:space="preserve">t may in fact be possible to </w:t>
      </w:r>
      <w:r w:rsidR="00805CEB">
        <w:t>use criteria like Miller’s to</w:t>
      </w:r>
      <w:r w:rsidR="000C0D44">
        <w:t xml:space="preserve"> identify </w:t>
      </w:r>
      <w:r w:rsidR="00805CEB">
        <w:t>egregious forms of dissent</w:t>
      </w:r>
      <w:r w:rsidR="00F7475B">
        <w:t xml:space="preserve"> that </w:t>
      </w:r>
      <w:r w:rsidR="004566D0">
        <w:t>are clearly problematic</w:t>
      </w:r>
      <w:r w:rsidR="00805CEB">
        <w:t xml:space="preserve">, there are </w:t>
      </w:r>
      <w:r w:rsidR="00A025A3">
        <w:t xml:space="preserve">still </w:t>
      </w:r>
      <w:r w:rsidR="004566D0">
        <w:t xml:space="preserve">likely to be </w:t>
      </w:r>
      <w:r w:rsidR="00DB2E7D">
        <w:t xml:space="preserve">numerous </w:t>
      </w:r>
      <w:r w:rsidR="00F7475B">
        <w:t>cases that are</w:t>
      </w:r>
      <w:r w:rsidR="00EB4905">
        <w:t xml:space="preserve"> difficult to classify.</w:t>
      </w:r>
      <w:r w:rsidR="005626E6">
        <w:t xml:space="preserve"> For example,</w:t>
      </w:r>
      <w:r w:rsidR="003A4896">
        <w:t xml:space="preserve"> there have been fierce debates about whether endocrine disrupting chemicals like bisphenol A (BPA) </w:t>
      </w:r>
      <w:r w:rsidR="00F96F3B">
        <w:t>are harmful at the lev</w:t>
      </w:r>
      <w:r w:rsidR="00854C92">
        <w:t xml:space="preserve">els to which most people are currently exposed to them. </w:t>
      </w:r>
      <w:r w:rsidR="007725E7">
        <w:t xml:space="preserve">Some </w:t>
      </w:r>
      <w:r w:rsidR="009B4C18">
        <w:t>commentators</w:t>
      </w:r>
      <w:r w:rsidR="007725E7">
        <w:t xml:space="preserve"> have </w:t>
      </w:r>
      <w:r w:rsidR="004F2EC1">
        <w:t>worri</w:t>
      </w:r>
      <w:r w:rsidR="007725E7">
        <w:t xml:space="preserve">ed that those who adopt dissenting views about the harmfulness of endocrine disruptors </w:t>
      </w:r>
      <w:r w:rsidR="009B4C18">
        <w:t xml:space="preserve">are </w:t>
      </w:r>
      <w:r w:rsidR="001B7C0E">
        <w:t>heavily</w:t>
      </w:r>
      <w:r w:rsidR="009B4C18">
        <w:t xml:space="preserve"> influenced by </w:t>
      </w:r>
      <w:r w:rsidR="000B53E3">
        <w:t xml:space="preserve">the chemical </w:t>
      </w:r>
      <w:r w:rsidR="001B7C0E">
        <w:t xml:space="preserve">industry and that they ignore compelling evidence from independent sources (e.g., </w:t>
      </w:r>
      <w:proofErr w:type="spellStart"/>
      <w:r w:rsidR="00C80999">
        <w:t>Horel</w:t>
      </w:r>
      <w:proofErr w:type="spellEnd"/>
      <w:r w:rsidR="00C80999">
        <w:t xml:space="preserve"> and Foucart 2020</w:t>
      </w:r>
      <w:r w:rsidR="001B7C0E">
        <w:t xml:space="preserve">). Thus, one might regard this as a case </w:t>
      </w:r>
      <w:proofErr w:type="gramStart"/>
      <w:r w:rsidR="001B7C0E">
        <w:t>similar to</w:t>
      </w:r>
      <w:proofErr w:type="gramEnd"/>
      <w:r w:rsidR="001B7C0E">
        <w:t xml:space="preserve"> that of tobacco or climate change, where </w:t>
      </w:r>
      <w:r w:rsidR="00D87A05">
        <w:t xml:space="preserve">dissenting views are illegitimate. However, others have argued that the </w:t>
      </w:r>
      <w:r w:rsidR="006E5B27">
        <w:t xml:space="preserve">situation is more complex </w:t>
      </w:r>
      <w:r w:rsidR="00D87A05">
        <w:t xml:space="preserve">than it seems and that dissenting views </w:t>
      </w:r>
      <w:r w:rsidR="006E5B27">
        <w:t xml:space="preserve">about endocrine disruptors </w:t>
      </w:r>
      <w:r w:rsidR="00D87A05">
        <w:t xml:space="preserve">should not be dismissed out of hand (see e.g., </w:t>
      </w:r>
      <w:r w:rsidR="00EA6556">
        <w:t>McIlroy-Young et al. 2021</w:t>
      </w:r>
      <w:r w:rsidR="00D87A05">
        <w:t>).</w:t>
      </w:r>
      <w:r w:rsidR="00DB2E7D">
        <w:t xml:space="preserve"> </w:t>
      </w:r>
      <w:r w:rsidR="005626E6">
        <w:t>In cases</w:t>
      </w:r>
      <w:r w:rsidR="00683860">
        <w:t xml:space="preserve"> like this</w:t>
      </w:r>
      <w:r w:rsidR="005626E6">
        <w:t>,</w:t>
      </w:r>
      <w:r w:rsidR="00683860">
        <w:t xml:space="preserve"> people are likely to</w:t>
      </w:r>
      <w:r w:rsidR="00EB4905">
        <w:t xml:space="preserve"> disagree about </w:t>
      </w:r>
      <w:r w:rsidR="002045E6">
        <w:t xml:space="preserve">whether Miller’s </w:t>
      </w:r>
      <w:r w:rsidR="00081548">
        <w:t>criteria are met</w:t>
      </w:r>
      <w:r w:rsidR="00EB4905">
        <w:t>.</w:t>
      </w:r>
      <w:r w:rsidR="006E739D">
        <w:t xml:space="preserve"> This paper is focused particularly on these “difficult</w:t>
      </w:r>
      <w:r w:rsidR="00C75693">
        <w:t>” or “challenging”</w:t>
      </w:r>
      <w:r w:rsidR="006E739D">
        <w:t xml:space="preserve"> cases of dissent where it is somewhat unclear </w:t>
      </w:r>
      <w:proofErr w:type="gramStart"/>
      <w:r w:rsidR="006E739D">
        <w:t>whether or not</w:t>
      </w:r>
      <w:proofErr w:type="gramEnd"/>
      <w:r w:rsidR="006E739D">
        <w:t xml:space="preserve"> they cross the line </w:t>
      </w:r>
      <w:r w:rsidR="000560A4">
        <w:t xml:space="preserve">and meet </w:t>
      </w:r>
      <w:r w:rsidR="00C75693">
        <w:t xml:space="preserve">the </w:t>
      </w:r>
      <w:r w:rsidR="000560A4">
        <w:t>criteria for being inappropriate.</w:t>
      </w:r>
      <w:r w:rsidR="00657A09">
        <w:t xml:space="preserve"> </w:t>
      </w:r>
      <w:r w:rsidR="00EB4905">
        <w:t xml:space="preserve">   </w:t>
      </w:r>
      <w:r w:rsidR="00F7475B">
        <w:t xml:space="preserve"> </w:t>
      </w:r>
      <w:r w:rsidR="00693D0A">
        <w:t xml:space="preserve"> </w:t>
      </w:r>
    </w:p>
    <w:p w14:paraId="5468FC45" w14:textId="666B966A" w:rsidR="00A7733C" w:rsidRDefault="000860E1" w:rsidP="00234181">
      <w:r>
        <w:tab/>
      </w:r>
      <w:r w:rsidR="00683860">
        <w:t>Given the difficulties that can arise when distinguishing</w:t>
      </w:r>
      <w:r w:rsidR="002E532B">
        <w:t xml:space="preserve"> between appropriate and inappropriate forms of scientific dissent, </w:t>
      </w:r>
      <w:r w:rsidR="002E532B">
        <w:rPr>
          <w:rFonts w:cstheme="minorHAnsi"/>
        </w:rPr>
        <w:t>d</w:t>
      </w:r>
      <w:r w:rsidR="002E532B">
        <w:t>e Melo-Mart</w:t>
      </w:r>
      <w:r w:rsidR="002E532B" w:rsidRPr="00FE3D05">
        <w:rPr>
          <w:rFonts w:ascii="Calibri" w:hAnsi="Calibri" w:cs="Calibri"/>
          <w:color w:val="222222"/>
          <w:shd w:val="clear" w:color="auto" w:fill="FFFFFF"/>
        </w:rPr>
        <w:t>í</w:t>
      </w:r>
      <w:r w:rsidR="002E532B">
        <w:t xml:space="preserve">n and Intemann (2018) suggest </w:t>
      </w:r>
      <w:r w:rsidR="00D836BF">
        <w:t xml:space="preserve">a very different strategy for responding. They argue </w:t>
      </w:r>
      <w:r w:rsidR="000860DF">
        <w:t xml:space="preserve">that it is better to shift focus from scientific dissent itself to the root causes that make dissent </w:t>
      </w:r>
      <w:r w:rsidR="004B1AFA">
        <w:t>problematic</w:t>
      </w:r>
      <w:r w:rsidR="00413D31">
        <w:t>, and t</w:t>
      </w:r>
      <w:r w:rsidR="00C36856">
        <w:t xml:space="preserve">he root cause </w:t>
      </w:r>
      <w:r w:rsidR="00EC0615">
        <w:t>on which</w:t>
      </w:r>
      <w:r w:rsidR="00C36856">
        <w:t xml:space="preserve"> they focus</w:t>
      </w:r>
      <w:r w:rsidR="00413D31">
        <w:t xml:space="preserve"> is</w:t>
      </w:r>
      <w:r w:rsidR="00C36856">
        <w:t xml:space="preserve"> distrust. They contend that </w:t>
      </w:r>
      <w:r w:rsidR="00BA0F28">
        <w:t xml:space="preserve">when the public believes that scientific institutions are trustworthy, then </w:t>
      </w:r>
      <w:r w:rsidR="00AB6794">
        <w:t xml:space="preserve">dissenting scientific views are much less likely to gain traction and cause social problems. Thus, they contend that </w:t>
      </w:r>
      <w:r w:rsidR="005454B5">
        <w:t xml:space="preserve">those who are concerned about scientific dissent should </w:t>
      </w:r>
      <w:r w:rsidR="002F226A">
        <w:t>focus their attention on promoting</w:t>
      </w:r>
      <w:r w:rsidR="005454B5">
        <w:t xml:space="preserve"> efforts to </w:t>
      </w:r>
      <w:r w:rsidR="002F226A">
        <w:t>alleviate</w:t>
      </w:r>
      <w:r w:rsidR="005454B5">
        <w:t xml:space="preserve"> distrust in science, </w:t>
      </w:r>
      <w:r w:rsidR="005454B5">
        <w:lastRenderedPageBreak/>
        <w:t xml:space="preserve">such </w:t>
      </w:r>
      <w:r w:rsidR="002F226A">
        <w:t xml:space="preserve">as </w:t>
      </w:r>
      <w:r w:rsidR="00044833">
        <w:t xml:space="preserve">by addressing </w:t>
      </w:r>
      <w:r w:rsidR="00A7733C">
        <w:t>the commercialization of academic research</w:t>
      </w:r>
      <w:r w:rsidR="005454B5">
        <w:t xml:space="preserve">, </w:t>
      </w:r>
      <w:r w:rsidR="00181AE3">
        <w:t>scientific misconduct, and problematic value influences on scien</w:t>
      </w:r>
      <w:r w:rsidR="00E60C8F">
        <w:t>ce</w:t>
      </w:r>
      <w:r w:rsidR="00181AE3">
        <w:t xml:space="preserve">. </w:t>
      </w:r>
    </w:p>
    <w:p w14:paraId="60700E45" w14:textId="6A50D854" w:rsidR="00A7733C" w:rsidRDefault="00A7733C" w:rsidP="00A7733C">
      <w:pPr>
        <w:ind w:firstLine="720"/>
      </w:pPr>
      <w:r>
        <w:t xml:space="preserve">Others have proposed similar approaches to handling scientific dissent. For example, </w:t>
      </w:r>
      <w:r w:rsidR="00FB680C">
        <w:t xml:space="preserve">in her analysis of vaccine hesitancy, </w:t>
      </w:r>
      <w:r>
        <w:t xml:space="preserve">Maya Goldenberg </w:t>
      </w:r>
      <w:r w:rsidR="00FB680C">
        <w:t xml:space="preserve">(2021) </w:t>
      </w:r>
      <w:r>
        <w:t xml:space="preserve">argues that </w:t>
      </w:r>
      <w:r w:rsidR="00FB680C">
        <w:t xml:space="preserve">it is a mistake to approach this phenomenon </w:t>
      </w:r>
      <w:r w:rsidR="00133812">
        <w:t xml:space="preserve">as a “war on science” characterized by scientific misinformation that needs to be combated. </w:t>
      </w:r>
      <w:r w:rsidR="00914D75">
        <w:t>Instead,</w:t>
      </w:r>
      <w:r w:rsidR="00843DAC">
        <w:t xml:space="preserve"> like </w:t>
      </w:r>
      <w:r w:rsidR="00843DAC">
        <w:rPr>
          <w:rFonts w:cstheme="minorHAnsi"/>
        </w:rPr>
        <w:t>d</w:t>
      </w:r>
      <w:r w:rsidR="00843DAC">
        <w:t>e Melo-Mart</w:t>
      </w:r>
      <w:r w:rsidR="00843DAC" w:rsidRPr="00FE3D05">
        <w:rPr>
          <w:rFonts w:ascii="Calibri" w:hAnsi="Calibri" w:cs="Calibri"/>
          <w:color w:val="222222"/>
          <w:shd w:val="clear" w:color="auto" w:fill="FFFFFF"/>
        </w:rPr>
        <w:t>í</w:t>
      </w:r>
      <w:r w:rsidR="00843DAC">
        <w:t>n and Intemann, she argues that it reflects a lack of trust in scientific institutions</w:t>
      </w:r>
      <w:r w:rsidR="00D772C1">
        <w:t xml:space="preserve"> and that the solutions lie in forging more </w:t>
      </w:r>
      <w:r w:rsidR="0004341D">
        <w:t xml:space="preserve">healthy relationships between scientists and publics. In a similar vein, </w:t>
      </w:r>
      <w:r w:rsidR="009D5956">
        <w:t xml:space="preserve">Megan Halpern and I </w:t>
      </w:r>
      <w:r w:rsidR="00005D56">
        <w:t xml:space="preserve">argue that the key to </w:t>
      </w:r>
      <w:r w:rsidR="0032711B">
        <w:t xml:space="preserve">fostering more effective scientific communication about controversial topics like vaccination is not </w:t>
      </w:r>
      <w:r w:rsidR="003977F5">
        <w:t xml:space="preserve">to focus on </w:t>
      </w:r>
      <w:r w:rsidR="00FF36BF">
        <w:t xml:space="preserve">correcting </w:t>
      </w:r>
      <w:r w:rsidR="003977F5">
        <w:t xml:space="preserve">erroneous scientific claims but rather </w:t>
      </w:r>
      <w:r w:rsidR="00FD7045">
        <w:t xml:space="preserve">to attend to the </w:t>
      </w:r>
      <w:r w:rsidR="00D5345B">
        <w:t xml:space="preserve">underlying meanings </w:t>
      </w:r>
      <w:r w:rsidR="000F120E">
        <w:t xml:space="preserve">and experiences </w:t>
      </w:r>
      <w:r w:rsidR="00D5345B">
        <w:t>that different groups associate with the controversial scientific issues</w:t>
      </w:r>
      <w:r w:rsidR="0055473E">
        <w:t xml:space="preserve"> (Halpern and Elliott 2022)</w:t>
      </w:r>
      <w:r w:rsidR="00D5345B">
        <w:t xml:space="preserve">. </w:t>
      </w:r>
      <w:r w:rsidR="000F120E">
        <w:t xml:space="preserve">By fostering opportunities </w:t>
      </w:r>
      <w:r w:rsidR="00D62384">
        <w:t xml:space="preserve">for </w:t>
      </w:r>
      <w:r w:rsidR="007230D5">
        <w:t>developing</w:t>
      </w:r>
      <w:r w:rsidR="000F120E">
        <w:t xml:space="preserve"> shared meanings </w:t>
      </w:r>
      <w:r w:rsidR="00D62384">
        <w:t xml:space="preserve">and experiences, </w:t>
      </w:r>
      <w:r w:rsidR="0055473E">
        <w:t>we</w:t>
      </w:r>
      <w:r w:rsidR="00D62384">
        <w:t xml:space="preserve"> suggest that </w:t>
      </w:r>
      <w:r w:rsidR="007230D5">
        <w:t xml:space="preserve">opposing groups can </w:t>
      </w:r>
      <w:r w:rsidR="00EA0EEA">
        <w:t>eventually move forward more productively and alleviate the social conditions that make scientific dissent so problematic.</w:t>
      </w:r>
    </w:p>
    <w:p w14:paraId="590FAEA1" w14:textId="34C0E4B8" w:rsidR="00333B19" w:rsidRDefault="00333B19" w:rsidP="00234181">
      <w:r>
        <w:tab/>
        <w:t xml:space="preserve">Although there is much to be said for this </w:t>
      </w:r>
      <w:r w:rsidR="005547AA">
        <w:t>second category of approaches for navigating dissent</w:t>
      </w:r>
      <w:r w:rsidR="00EE2372">
        <w:t xml:space="preserve"> (i.e., those that attempt to address the root causes of social problems associated with dissent), they face </w:t>
      </w:r>
      <w:r w:rsidR="00D561C2">
        <w:t xml:space="preserve">an important limitation. Fostering trust and </w:t>
      </w:r>
      <w:r w:rsidR="00BF6ED4">
        <w:t xml:space="preserve">creating opportunities for shared meaning making </w:t>
      </w:r>
      <w:r w:rsidR="0057219A">
        <w:t xml:space="preserve">typically </w:t>
      </w:r>
      <w:r w:rsidR="00A17FE4">
        <w:t xml:space="preserve">require a great deal of time, effort, and institutional change. </w:t>
      </w:r>
      <w:r w:rsidR="0057219A">
        <w:t>Th</w:t>
      </w:r>
      <w:r w:rsidR="00C45C55">
        <w:t xml:space="preserve">us, even though these efforts might ultimately be worthwhile, they do not address the </w:t>
      </w:r>
      <w:r w:rsidR="001E108B">
        <w:t xml:space="preserve">difficult decisions that frequently need to be made about </w:t>
      </w:r>
      <w:r w:rsidR="00AC1FCA">
        <w:t xml:space="preserve">how to </w:t>
      </w:r>
      <w:r w:rsidR="001E108B">
        <w:t>manag</w:t>
      </w:r>
      <w:r w:rsidR="00AC1FCA">
        <w:t>e</w:t>
      </w:r>
      <w:r w:rsidR="00C45C55">
        <w:t xml:space="preserve"> scientific dissent in the short term.</w:t>
      </w:r>
      <w:r w:rsidR="001E108B">
        <w:t xml:space="preserve"> </w:t>
      </w:r>
      <w:proofErr w:type="gramStart"/>
      <w:r w:rsidR="00153516">
        <w:t>In the midst of</w:t>
      </w:r>
      <w:proofErr w:type="gramEnd"/>
      <w:r w:rsidR="00153516">
        <w:t xml:space="preserve"> disputes over scientific dissent</w:t>
      </w:r>
      <w:r w:rsidR="001E108B">
        <w:t xml:space="preserve">, scientists need guidance </w:t>
      </w:r>
      <w:r w:rsidR="00153516">
        <w:t>about when to</w:t>
      </w:r>
      <w:r w:rsidR="001E108B">
        <w:t xml:space="preserve"> challenge dissenting views, p</w:t>
      </w:r>
      <w:r w:rsidR="00C45C55">
        <w:t xml:space="preserve">olicy makers </w:t>
      </w:r>
      <w:r w:rsidR="00153516">
        <w:t xml:space="preserve">need help figuring out which views </w:t>
      </w:r>
      <w:r w:rsidR="00B03F6F">
        <w:t>to consider when making decisions</w:t>
      </w:r>
      <w:r w:rsidR="00807B74">
        <w:t>, journalists</w:t>
      </w:r>
      <w:r w:rsidR="00B03F6F">
        <w:t xml:space="preserve"> need guidance about how to discuss dissenting views responsibly, and publics need </w:t>
      </w:r>
      <w:r w:rsidR="00267DBD">
        <w:t>guidance for deciding who to trust and what to do</w:t>
      </w:r>
      <w:r w:rsidR="00807B74">
        <w:t>.</w:t>
      </w:r>
      <w:r w:rsidR="00267DBD">
        <w:t xml:space="preserve"> Although </w:t>
      </w:r>
      <w:r w:rsidR="009C721A">
        <w:t>approaches that focus on</w:t>
      </w:r>
      <w:r w:rsidR="00845089">
        <w:t xml:space="preserve"> long-term changes to the scientific community can </w:t>
      </w:r>
      <w:r w:rsidR="00CA0AFB">
        <w:t>occasionally</w:t>
      </w:r>
      <w:r w:rsidR="00845089">
        <w:t xml:space="preserve"> </w:t>
      </w:r>
      <w:r w:rsidR="00BE2DD1">
        <w:t xml:space="preserve">offer short-term suggestions as well, </w:t>
      </w:r>
      <w:r w:rsidR="00CA0AFB">
        <w:t>such</w:t>
      </w:r>
      <w:r w:rsidR="00BE2DD1">
        <w:t xml:space="preserve"> approaches are not ideally placed to provide that </w:t>
      </w:r>
      <w:r w:rsidR="00CA0AFB">
        <w:t>kind</w:t>
      </w:r>
      <w:r w:rsidR="00BE2DD1">
        <w:t xml:space="preserve"> of advice.</w:t>
      </w:r>
      <w:r w:rsidR="00C45C55">
        <w:t xml:space="preserve"> </w:t>
      </w:r>
    </w:p>
    <w:p w14:paraId="2350A532" w14:textId="029D07AE" w:rsidR="00232A3D" w:rsidRPr="00234181" w:rsidRDefault="00232A3D" w:rsidP="00234181">
      <w:r>
        <w:tab/>
        <w:t xml:space="preserve">In sum, existing philosophical approaches for navigating scientific dissent offer valuable </w:t>
      </w:r>
      <w:r w:rsidR="005539BD">
        <w:t>insights</w:t>
      </w:r>
      <w:r>
        <w:t xml:space="preserve"> for </w:t>
      </w:r>
      <w:r w:rsidR="005539BD">
        <w:t xml:space="preserve">addressing </w:t>
      </w:r>
      <w:r>
        <w:t xml:space="preserve">some </w:t>
      </w:r>
      <w:r w:rsidR="005539BD">
        <w:t>situations</w:t>
      </w:r>
      <w:r>
        <w:t xml:space="preserve">, but </w:t>
      </w:r>
      <w:r w:rsidR="005E5AA9">
        <w:t xml:space="preserve">further work is needed to address </w:t>
      </w:r>
      <w:r w:rsidR="00C63588">
        <w:t>the full array of challenges posed by scientific dissent</w:t>
      </w:r>
      <w:r w:rsidR="005E5AA9">
        <w:t>.</w:t>
      </w:r>
      <w:r w:rsidR="00801AC0">
        <w:t xml:space="preserve"> In </w:t>
      </w:r>
      <w:r w:rsidR="00910758">
        <w:t>some</w:t>
      </w:r>
      <w:r w:rsidR="00801AC0">
        <w:t xml:space="preserve"> cases, it may be </w:t>
      </w:r>
      <w:r w:rsidR="00CB0065">
        <w:t>feasible</w:t>
      </w:r>
      <w:r w:rsidR="00801AC0">
        <w:t xml:space="preserve"> to use criteria like those of Biddle and Leuschner (2015) or Miller (2021) </w:t>
      </w:r>
      <w:r w:rsidR="00CB0065">
        <w:t xml:space="preserve">to </w:t>
      </w:r>
      <w:r w:rsidR="00910758">
        <w:t>identify</w:t>
      </w:r>
      <w:r w:rsidR="00CB0065">
        <w:t xml:space="preserve"> dissenting views </w:t>
      </w:r>
      <w:r w:rsidR="00910758">
        <w:t>that are clearly</w:t>
      </w:r>
      <w:r w:rsidR="00CB0065">
        <w:t xml:space="preserve"> </w:t>
      </w:r>
      <w:r w:rsidR="00DB4F38">
        <w:t xml:space="preserve">inappropriate or detrimental. In other cases, it may be possible to </w:t>
      </w:r>
      <w:r w:rsidR="00910758">
        <w:t xml:space="preserve">alleviate the harmful social effects of dissenting views by fostering trust and </w:t>
      </w:r>
      <w:r w:rsidR="002F4726">
        <w:t xml:space="preserve">forging </w:t>
      </w:r>
      <w:r w:rsidR="00C05B2D">
        <w:t>better</w:t>
      </w:r>
      <w:r w:rsidR="002F4726">
        <w:t xml:space="preserve"> relationships between scientists and publics</w:t>
      </w:r>
      <w:r w:rsidR="00A05484">
        <w:t>.</w:t>
      </w:r>
      <w:r w:rsidR="00C05B2D">
        <w:t xml:space="preserve"> However, </w:t>
      </w:r>
      <w:r w:rsidR="0060732A">
        <w:t xml:space="preserve">there are also difficult cases where </w:t>
      </w:r>
      <w:r w:rsidR="00E37995">
        <w:t>decisions need to be made in the short term about how to navigate dissenting views</w:t>
      </w:r>
      <w:r w:rsidR="00167BF7">
        <w:t xml:space="preserve">, and there is considerable room for disagreement about whether the dissenting views are inappropriate or not. The goal of this paper is to offer </w:t>
      </w:r>
      <w:r w:rsidR="00827B49">
        <w:t>additional strategies that may prove helpful in these particularly difficult cases.</w:t>
      </w:r>
      <w:r w:rsidR="005C27BF">
        <w:t xml:space="preserve"> </w:t>
      </w:r>
      <w:r w:rsidR="0071585D">
        <w:t xml:space="preserve"> </w:t>
      </w:r>
      <w:r>
        <w:t xml:space="preserve"> </w:t>
      </w:r>
    </w:p>
    <w:p w14:paraId="2718C9C7" w14:textId="7EA6FF6C" w:rsidR="00977E6B" w:rsidRDefault="003C08C9" w:rsidP="008C1040">
      <w:pPr>
        <w:rPr>
          <w:b/>
          <w:bCs/>
        </w:rPr>
      </w:pPr>
      <w:r>
        <w:rPr>
          <w:b/>
          <w:bCs/>
        </w:rPr>
        <w:t xml:space="preserve">4. </w:t>
      </w:r>
      <w:r w:rsidR="009C721A">
        <w:rPr>
          <w:b/>
          <w:bCs/>
        </w:rPr>
        <w:t xml:space="preserve">A </w:t>
      </w:r>
      <w:r w:rsidR="00B765BD">
        <w:rPr>
          <w:b/>
          <w:bCs/>
        </w:rPr>
        <w:t>Way Forward</w:t>
      </w:r>
      <w:r w:rsidR="009C721A">
        <w:rPr>
          <w:b/>
          <w:bCs/>
        </w:rPr>
        <w:t xml:space="preserve">: Navigating Scientific </w:t>
      </w:r>
      <w:r>
        <w:rPr>
          <w:b/>
          <w:bCs/>
        </w:rPr>
        <w:t xml:space="preserve">Dissent </w:t>
      </w:r>
      <w:r w:rsidR="009C721A">
        <w:rPr>
          <w:b/>
          <w:bCs/>
        </w:rPr>
        <w:t>by Managing Value Judgments</w:t>
      </w:r>
    </w:p>
    <w:p w14:paraId="39A6B2D8" w14:textId="0672B138" w:rsidR="00E7682E" w:rsidRDefault="00CA0AFB" w:rsidP="008C1040">
      <w:r>
        <w:rPr>
          <w:b/>
          <w:bCs/>
        </w:rPr>
        <w:tab/>
      </w:r>
      <w:r w:rsidR="00111888">
        <w:t>T</w:t>
      </w:r>
      <w:r>
        <w:t xml:space="preserve">his paper proposes a </w:t>
      </w:r>
      <w:r w:rsidR="00B87380">
        <w:t>way f</w:t>
      </w:r>
      <w:r w:rsidR="00FF055D">
        <w:t>orward</w:t>
      </w:r>
      <w:r w:rsidR="004C01C8">
        <w:t xml:space="preserve"> for handling </w:t>
      </w:r>
      <w:r w:rsidR="001564F7">
        <w:t>difficult cases</w:t>
      </w:r>
      <w:r w:rsidR="001639C1">
        <w:t xml:space="preserve"> </w:t>
      </w:r>
      <w:r w:rsidR="005C1FD8">
        <w:t xml:space="preserve">that cannot be handled </w:t>
      </w:r>
      <w:r w:rsidR="00111888">
        <w:t>easily using existing strategies for navigating scientific dissent</w:t>
      </w:r>
      <w:r w:rsidR="001D661B">
        <w:t>.</w:t>
      </w:r>
      <w:r>
        <w:t xml:space="preserve"> </w:t>
      </w:r>
      <w:r w:rsidR="00940A33">
        <w:t xml:space="preserve">It argues that </w:t>
      </w:r>
      <w:r w:rsidR="00E319E5">
        <w:t>these difficult</w:t>
      </w:r>
      <w:r w:rsidR="0066762F">
        <w:t xml:space="preserve"> </w:t>
      </w:r>
      <w:r w:rsidR="00432028">
        <w:t xml:space="preserve">cases of scientific dissent can </w:t>
      </w:r>
      <w:r w:rsidR="00E8136D">
        <w:t xml:space="preserve">often </w:t>
      </w:r>
      <w:r w:rsidR="00432028">
        <w:t xml:space="preserve">be </w:t>
      </w:r>
      <w:r w:rsidR="00C4262D">
        <w:t>fruitfully analyzed</w:t>
      </w:r>
      <w:r w:rsidR="00E11D44">
        <w:t xml:space="preserve"> as </w:t>
      </w:r>
      <w:r w:rsidR="0066762F">
        <w:t>d</w:t>
      </w:r>
      <w:r w:rsidR="006863E6">
        <w:t>ispu</w:t>
      </w:r>
      <w:r w:rsidR="0066762F">
        <w:t>tes over value judgments</w:t>
      </w:r>
      <w:r w:rsidR="006863E6">
        <w:t xml:space="preserve">, so these cases </w:t>
      </w:r>
      <w:r w:rsidR="004774CD">
        <w:t>can potentially be managed</w:t>
      </w:r>
      <w:r w:rsidR="007A2B2C">
        <w:t xml:space="preserve"> by </w:t>
      </w:r>
      <w:r w:rsidR="00E6526D">
        <w:t>employing strategies that have already been developed for managing value judgments in science.</w:t>
      </w:r>
      <w:r w:rsidR="00CC5B2A">
        <w:t xml:space="preserve"> </w:t>
      </w:r>
      <w:r w:rsidR="004756BD">
        <w:t>Thus, th</w:t>
      </w:r>
      <w:r w:rsidR="00E6100A">
        <w:t>e</w:t>
      </w:r>
      <w:r w:rsidR="004756BD">
        <w:t xml:space="preserve"> approach </w:t>
      </w:r>
      <w:r w:rsidR="00E6100A">
        <w:t xml:space="preserve">proposed in this paper </w:t>
      </w:r>
      <w:r w:rsidR="004756BD">
        <w:t xml:space="preserve">has two parts: (1) identifying </w:t>
      </w:r>
      <w:r w:rsidR="00C468D8">
        <w:t xml:space="preserve">and highlighting key value judgments that underlie dissenting views; and (2) </w:t>
      </w:r>
      <w:r w:rsidR="004F429E">
        <w:t xml:space="preserve">managing those value judgments by drawing on </w:t>
      </w:r>
      <w:r w:rsidR="004F429E">
        <w:lastRenderedPageBreak/>
        <w:t xml:space="preserve">strategies </w:t>
      </w:r>
      <w:r w:rsidR="00E93825">
        <w:t>from the literature on values and science.</w:t>
      </w:r>
      <w:r w:rsidR="004F429E">
        <w:t xml:space="preserve"> </w:t>
      </w:r>
      <w:r w:rsidR="00CC5B2A">
        <w:t>This</w:t>
      </w:r>
      <w:r w:rsidR="004774CD">
        <w:t xml:space="preserve"> general</w:t>
      </w:r>
      <w:r w:rsidR="00CC5B2A">
        <w:t xml:space="preserve"> </w:t>
      </w:r>
      <w:r w:rsidR="00B8244F">
        <w:t xml:space="preserve">approach is appealing because </w:t>
      </w:r>
      <w:r w:rsidR="00E93825">
        <w:t>the</w:t>
      </w:r>
      <w:r w:rsidR="00B8244F">
        <w:t xml:space="preserve"> vibrant </w:t>
      </w:r>
      <w:r w:rsidR="00A357E6">
        <w:t xml:space="preserve">philosophical </w:t>
      </w:r>
      <w:r w:rsidR="00B8244F">
        <w:t xml:space="preserve">literature </w:t>
      </w:r>
      <w:r w:rsidR="00E93825">
        <w:t>on values and science provides</w:t>
      </w:r>
      <w:r w:rsidR="00A17BC5">
        <w:t xml:space="preserve"> a </w:t>
      </w:r>
      <w:r w:rsidR="004774CD">
        <w:t>wide</w:t>
      </w:r>
      <w:r w:rsidR="00A17BC5">
        <w:t xml:space="preserve"> array of resources for those seeking to na</w:t>
      </w:r>
      <w:r w:rsidR="00A357E6">
        <w:t>vigate scientific dissent. This section</w:t>
      </w:r>
      <w:r w:rsidR="005D65F0">
        <w:t xml:space="preserve"> defends this approach </w:t>
      </w:r>
      <w:r w:rsidR="00510126">
        <w:t xml:space="preserve">by </w:t>
      </w:r>
      <w:r w:rsidR="00A6316F">
        <w:t>first</w:t>
      </w:r>
      <w:r w:rsidR="00606D50">
        <w:t xml:space="preserve"> clarif</w:t>
      </w:r>
      <w:r w:rsidR="00A6316F">
        <w:t>ying</w:t>
      </w:r>
      <w:r w:rsidR="00606D50">
        <w:t xml:space="preserve"> how cases of scientific dissent can be treated as disputes over value judgments</w:t>
      </w:r>
      <w:r w:rsidR="00A6316F">
        <w:t xml:space="preserve"> and</w:t>
      </w:r>
      <w:r w:rsidR="00C51EBB">
        <w:t xml:space="preserve"> then by showing how the</w:t>
      </w:r>
      <w:r w:rsidR="004B18E6">
        <w:t xml:space="preserve"> literature on</w:t>
      </w:r>
      <w:r w:rsidR="00CD1A0C">
        <w:t xml:space="preserve"> managing</w:t>
      </w:r>
      <w:r w:rsidR="004B18E6">
        <w:t xml:space="preserve"> value judgments in science</w:t>
      </w:r>
      <w:r w:rsidR="007F40F7">
        <w:t xml:space="preserve"> can provide promising resources </w:t>
      </w:r>
      <w:r w:rsidR="00073C71">
        <w:t>for respond</w:t>
      </w:r>
      <w:r w:rsidR="007F40F7">
        <w:t xml:space="preserve">ing </w:t>
      </w:r>
      <w:r w:rsidR="00073C71">
        <w:t xml:space="preserve">to </w:t>
      </w:r>
      <w:r w:rsidR="007F40F7">
        <w:t xml:space="preserve">scientific dissent. The following section then </w:t>
      </w:r>
      <w:r w:rsidR="003C08C9">
        <w:t>provides a concrete illustration of</w:t>
      </w:r>
      <w:r w:rsidR="00AD37C6">
        <w:t xml:space="preserve"> the contributions that</w:t>
      </w:r>
      <w:r w:rsidR="003C08C9">
        <w:t xml:space="preserve"> this approach</w:t>
      </w:r>
      <w:r w:rsidR="00FF2674">
        <w:t xml:space="preserve"> </w:t>
      </w:r>
      <w:r w:rsidR="00AD37C6">
        <w:t xml:space="preserve">could make </w:t>
      </w:r>
      <w:r w:rsidR="00FF2674">
        <w:t xml:space="preserve">to addressing scientific dissent </w:t>
      </w:r>
      <w:r w:rsidR="00AD37C6">
        <w:t xml:space="preserve">in a </w:t>
      </w:r>
      <w:r w:rsidR="00073C71">
        <w:t>specific</w:t>
      </w:r>
      <w:r w:rsidR="00AD37C6">
        <w:t xml:space="preserve"> case study.</w:t>
      </w:r>
    </w:p>
    <w:p w14:paraId="2A0AE1A3" w14:textId="13503F41" w:rsidR="00EB259C" w:rsidRDefault="00E7682E" w:rsidP="00EB259C">
      <w:r>
        <w:tab/>
      </w:r>
      <w:r w:rsidR="00542754">
        <w:t xml:space="preserve">First, </w:t>
      </w:r>
      <w:r w:rsidR="00211D73">
        <w:t xml:space="preserve">to defend the </w:t>
      </w:r>
      <w:r w:rsidR="007B1FAC">
        <w:t xml:space="preserve">position that </w:t>
      </w:r>
      <w:r w:rsidR="000437F3">
        <w:t xml:space="preserve">difficult </w:t>
      </w:r>
      <w:r w:rsidR="007B1FAC">
        <w:t xml:space="preserve">cases of scientific dissent can </w:t>
      </w:r>
      <w:r w:rsidR="00F540A9">
        <w:t>often</w:t>
      </w:r>
      <w:r w:rsidR="007B1FAC">
        <w:t xml:space="preserve"> be treated as disputes over value judgments, one </w:t>
      </w:r>
      <w:r w:rsidR="008363E0">
        <w:t>need only consider the kinds of arguments that dissenters</w:t>
      </w:r>
      <w:r w:rsidR="00FC0D48">
        <w:t xml:space="preserve"> gener</w:t>
      </w:r>
      <w:r w:rsidR="008363E0">
        <w:t>ally offer to counter widely accepted views. T</w:t>
      </w:r>
      <w:r w:rsidR="00FC0D48">
        <w:t xml:space="preserve">hey almost invariably appeal either to evidence </w:t>
      </w:r>
      <w:r w:rsidR="000345B0">
        <w:t xml:space="preserve">that favors a dissenting view, or to evidence that seems to conflict with the widely accepted view, or to </w:t>
      </w:r>
      <w:r w:rsidR="008E5098">
        <w:t xml:space="preserve">theoretical considerations that favor a dissenting view, or to </w:t>
      </w:r>
      <w:r w:rsidR="000345B0">
        <w:t xml:space="preserve">theoretical problems </w:t>
      </w:r>
      <w:r w:rsidR="008E5098">
        <w:t>that afflict</w:t>
      </w:r>
      <w:r w:rsidR="001F3F4F">
        <w:t xml:space="preserve"> the widely accepted view</w:t>
      </w:r>
      <w:r w:rsidR="00D017CB">
        <w:t xml:space="preserve"> (see e.g., Harker </w:t>
      </w:r>
      <w:r w:rsidR="00EF72EF">
        <w:t>2015</w:t>
      </w:r>
      <w:r w:rsidR="00D017CB">
        <w:t>)</w:t>
      </w:r>
      <w:r w:rsidR="001F3F4F">
        <w:t>.</w:t>
      </w:r>
      <w:r w:rsidR="008363E0">
        <w:t xml:space="preserve"> </w:t>
      </w:r>
      <w:r w:rsidR="00282876">
        <w:t xml:space="preserve">For example, those who challenge evolutionary theory have </w:t>
      </w:r>
      <w:r w:rsidR="00F02761">
        <w:t>often</w:t>
      </w:r>
      <w:r w:rsidR="00282876">
        <w:t xml:space="preserve"> </w:t>
      </w:r>
      <w:r w:rsidR="00DB094F">
        <w:t>ar</w:t>
      </w:r>
      <w:r w:rsidR="0037456F">
        <w:t>gue</w:t>
      </w:r>
      <w:r w:rsidR="003302D9">
        <w:t>d</w:t>
      </w:r>
      <w:r w:rsidR="00DB094F">
        <w:t xml:space="preserve"> that there are not as many “transitional forms” in the fossil record as one would expect </w:t>
      </w:r>
      <w:r w:rsidR="00E0051C">
        <w:t>if evolutionary theory were correct.</w:t>
      </w:r>
      <w:r w:rsidR="00A321BE">
        <w:t xml:space="preserve"> They also </w:t>
      </w:r>
      <w:r w:rsidR="00F02761">
        <w:t xml:space="preserve">sometimes argue </w:t>
      </w:r>
      <w:r w:rsidR="007C3193">
        <w:t xml:space="preserve">that it is unlikely that natural selection </w:t>
      </w:r>
      <w:r w:rsidR="006B705E">
        <w:t xml:space="preserve">would be sufficient to transform one species into another one, and they </w:t>
      </w:r>
      <w:r w:rsidR="00B2323F">
        <w:t xml:space="preserve">argue that we do not typically observe such transformations in “real time.” </w:t>
      </w:r>
      <w:r w:rsidR="00CF6386">
        <w:t xml:space="preserve">Or consider those who </w:t>
      </w:r>
      <w:r w:rsidR="00BB1E3F">
        <w:t>have questioned</w:t>
      </w:r>
      <w:r w:rsidR="004A7C83">
        <w:t xml:space="preserve"> the safety of </w:t>
      </w:r>
      <w:r w:rsidR="005121B4">
        <w:t xml:space="preserve">childhood </w:t>
      </w:r>
      <w:r w:rsidR="004A7C83">
        <w:t xml:space="preserve">vaccines. </w:t>
      </w:r>
      <w:r w:rsidR="00FA7A86">
        <w:t xml:space="preserve">Some have pointed to cases where children appeared to develop autism </w:t>
      </w:r>
      <w:r w:rsidR="00C018B3">
        <w:t xml:space="preserve">very soon after </w:t>
      </w:r>
      <w:r w:rsidR="005121B4">
        <w:t>being vaccinated</w:t>
      </w:r>
      <w:r w:rsidR="00C018B3">
        <w:t xml:space="preserve">. </w:t>
      </w:r>
      <w:r w:rsidR="00223801">
        <w:t>Th</w:t>
      </w:r>
      <w:r w:rsidR="004532B5">
        <w:t>e</w:t>
      </w:r>
      <w:r w:rsidR="00223801">
        <w:t xml:space="preserve"> medical community </w:t>
      </w:r>
      <w:r w:rsidR="00A846A0">
        <w:t xml:space="preserve">has engaged in epidemiological studies that </w:t>
      </w:r>
      <w:r w:rsidR="006A6D2B">
        <w:t xml:space="preserve">vindicate the safety of vaccines, but </w:t>
      </w:r>
      <w:r w:rsidR="004532B5">
        <w:t xml:space="preserve">there are always value judgments involved in assessing the strength </w:t>
      </w:r>
      <w:r w:rsidR="00FB3D81">
        <w:t xml:space="preserve">of these sorts of studies. </w:t>
      </w:r>
      <w:r w:rsidR="004043B1">
        <w:t xml:space="preserve">For example, one </w:t>
      </w:r>
      <w:proofErr w:type="gramStart"/>
      <w:r w:rsidR="004043B1">
        <w:t>has to</w:t>
      </w:r>
      <w:proofErr w:type="gramEnd"/>
      <w:r w:rsidR="004043B1">
        <w:t xml:space="preserve"> consider whether the studies had sufficient </w:t>
      </w:r>
      <w:r w:rsidR="00E416C2">
        <w:t xml:space="preserve">statistical </w:t>
      </w:r>
      <w:r w:rsidR="004043B1">
        <w:t xml:space="preserve">power, whether the inclusion and exclusion criteria </w:t>
      </w:r>
      <w:r w:rsidR="0045133E">
        <w:t xml:space="preserve">for study participants </w:t>
      </w:r>
      <w:r w:rsidR="004043B1">
        <w:t xml:space="preserve">were </w:t>
      </w:r>
      <w:r w:rsidR="0045133E">
        <w:t>reasonable</w:t>
      </w:r>
      <w:r w:rsidR="004043B1">
        <w:t xml:space="preserve">, </w:t>
      </w:r>
      <w:r w:rsidR="003503A4">
        <w:t xml:space="preserve">and whether the data analysis </w:t>
      </w:r>
      <w:r w:rsidR="00B768D3">
        <w:t xml:space="preserve">and interpretation </w:t>
      </w:r>
      <w:r w:rsidR="003503A4">
        <w:t>w</w:t>
      </w:r>
      <w:r w:rsidR="00B768D3">
        <w:t xml:space="preserve">ere </w:t>
      </w:r>
      <w:r w:rsidR="00D17B62">
        <w:t>compelling</w:t>
      </w:r>
      <w:r w:rsidR="003503A4">
        <w:t>.</w:t>
      </w:r>
      <w:r w:rsidR="00A846A0">
        <w:t xml:space="preserve"> </w:t>
      </w:r>
      <w:r w:rsidR="001A1D86">
        <w:t xml:space="preserve">Of course, those who </w:t>
      </w:r>
      <w:r w:rsidR="00CB5747">
        <w:t xml:space="preserve">maintain </w:t>
      </w:r>
      <w:r w:rsidR="00EB259C">
        <w:t>mainstream scientific</w:t>
      </w:r>
      <w:r w:rsidR="00CB5747">
        <w:t xml:space="preserve"> views </w:t>
      </w:r>
      <w:r w:rsidR="00EB259C">
        <w:t xml:space="preserve">about evolutionary theory and vaccine safety </w:t>
      </w:r>
      <w:r w:rsidR="00CB5747">
        <w:t>reject the argumentative moves made by dissenters</w:t>
      </w:r>
      <w:r w:rsidR="00E278C2">
        <w:t xml:space="preserve">. </w:t>
      </w:r>
      <w:r w:rsidR="004167A0">
        <w:t xml:space="preserve">In the evolutionary case, the mainstream view is that there is overwhelming evidence for </w:t>
      </w:r>
      <w:r w:rsidR="00914A33">
        <w:t>common ancestry and that the theoretical objections posed by the dissenters are not convincing. In the autism case, the mainstream view is that there have bee</w:t>
      </w:r>
      <w:r w:rsidR="009A49FB">
        <w:t>n</w:t>
      </w:r>
      <w:r w:rsidR="00EB3369">
        <w:t xml:space="preserve"> </w:t>
      </w:r>
      <w:r w:rsidR="00A4213D">
        <w:t>enough</w:t>
      </w:r>
      <w:r w:rsidR="00914A33">
        <w:t xml:space="preserve"> high-quality epidemiological studies</w:t>
      </w:r>
      <w:r w:rsidR="00CC7342">
        <w:t xml:space="preserve"> </w:t>
      </w:r>
      <w:r w:rsidR="00A4213D">
        <w:t xml:space="preserve">to provide </w:t>
      </w:r>
      <w:r w:rsidR="00E60573">
        <w:t>compelling</w:t>
      </w:r>
      <w:r w:rsidR="00A4213D">
        <w:t xml:space="preserve"> evidence that there is no connection between vaccines and autism</w:t>
      </w:r>
      <w:r w:rsidR="00CC7342">
        <w:t>.</w:t>
      </w:r>
      <w:r w:rsidR="006C43B2">
        <w:t xml:space="preserve"> Ultimately, one could probably resolve </w:t>
      </w:r>
      <w:r w:rsidR="0050372D">
        <w:t xml:space="preserve">these cases by showing that the dissenting views violate the sorts of criteria developed by Biddle and Leuschner (2015) or Miller (2021). However, </w:t>
      </w:r>
      <w:r w:rsidR="00746845">
        <w:t>we can see that</w:t>
      </w:r>
      <w:r w:rsidR="0050372D">
        <w:t xml:space="preserve"> even in </w:t>
      </w:r>
      <w:r w:rsidR="00746845">
        <w:t xml:space="preserve">these relatively </w:t>
      </w:r>
      <w:r w:rsidR="00577C52">
        <w:t>“easy”</w:t>
      </w:r>
      <w:r w:rsidR="00746845">
        <w:t xml:space="preserve"> cases</w:t>
      </w:r>
      <w:r w:rsidR="005C2409">
        <w:t xml:space="preserve"> </w:t>
      </w:r>
      <w:r w:rsidR="00605664">
        <w:t xml:space="preserve">there are often disputes about value judgments, and these disputes </w:t>
      </w:r>
      <w:r w:rsidR="00746845">
        <w:t xml:space="preserve">end up being all the more significant in the difficult cases where it is </w:t>
      </w:r>
      <w:r w:rsidR="00577C52">
        <w:t xml:space="preserve">more </w:t>
      </w:r>
      <w:r w:rsidR="007A6C88">
        <w:t>challenging</w:t>
      </w:r>
      <w:r w:rsidR="00577C52">
        <w:t xml:space="preserve"> to assess</w:t>
      </w:r>
      <w:r w:rsidR="00746845">
        <w:t xml:space="preserve"> whether or not the dissent is appropriate</w:t>
      </w:r>
      <w:r w:rsidR="00E278C2">
        <w:t>.</w:t>
      </w:r>
    </w:p>
    <w:p w14:paraId="37B2E9A3" w14:textId="09089DDB" w:rsidR="00444358" w:rsidRDefault="005F04DD" w:rsidP="00EB259C">
      <w:pPr>
        <w:ind w:firstLine="720"/>
      </w:pPr>
      <w:r>
        <w:t>Broadly speaking, a</w:t>
      </w:r>
      <w:r w:rsidR="004755FB">
        <w:t xml:space="preserve"> value judgment can be defined as </w:t>
      </w:r>
      <w:r>
        <w:t xml:space="preserve">a choice that involves weighing or assessing </w:t>
      </w:r>
      <w:r w:rsidR="00A539CE">
        <w:t xml:space="preserve">desirable features of something (i.e., </w:t>
      </w:r>
      <w:r>
        <w:t>values</w:t>
      </w:r>
      <w:r w:rsidR="00A539CE">
        <w:t>)</w:t>
      </w:r>
      <w:r w:rsidR="00EB259C">
        <w:t xml:space="preserve"> </w:t>
      </w:r>
      <w:r w:rsidR="00655E78">
        <w:t>rather than following fixed rules (Elliott 2022</w:t>
      </w:r>
      <w:r w:rsidR="00D04A54">
        <w:t>b</w:t>
      </w:r>
      <w:r w:rsidR="00655E78">
        <w:t xml:space="preserve">). In </w:t>
      </w:r>
      <w:r w:rsidR="00EB259C">
        <w:t xml:space="preserve">Thomas </w:t>
      </w:r>
      <w:r w:rsidR="00655E78">
        <w:t xml:space="preserve">Kuhn’s </w:t>
      </w:r>
      <w:r w:rsidR="004F0046">
        <w:t xml:space="preserve">(1977) </w:t>
      </w:r>
      <w:r w:rsidR="00655E78">
        <w:t>classic analysis of value judgments in science</w:t>
      </w:r>
      <w:r w:rsidR="00323B7C">
        <w:t xml:space="preserve">, he argued that theory assessment rests on two kinds of value judgments: (1) </w:t>
      </w:r>
      <w:r w:rsidR="004443C4">
        <w:t>assessing</w:t>
      </w:r>
      <w:r w:rsidR="00406FA6">
        <w:t xml:space="preserve"> the extent to which </w:t>
      </w:r>
      <w:proofErr w:type="gramStart"/>
      <w:r w:rsidR="00406FA6">
        <w:t>particular theories</w:t>
      </w:r>
      <w:proofErr w:type="gramEnd"/>
      <w:r w:rsidR="00406FA6">
        <w:t xml:space="preserve"> display particular values; and (2) deciding how much weight to place on </w:t>
      </w:r>
      <w:r w:rsidR="004443C4">
        <w:t xml:space="preserve">different values when </w:t>
      </w:r>
      <w:r w:rsidR="004F0046">
        <w:t>rival</w:t>
      </w:r>
      <w:r w:rsidR="004443C4">
        <w:t xml:space="preserve"> theories display them to differing extents.</w:t>
      </w:r>
      <w:r w:rsidR="008759C4">
        <w:t xml:space="preserve"> Since then, s</w:t>
      </w:r>
      <w:r w:rsidR="00784D52">
        <w:t xml:space="preserve">cholars have pointed out that scientists </w:t>
      </w:r>
      <w:r w:rsidR="008759C4">
        <w:t xml:space="preserve">also </w:t>
      </w:r>
      <w:r w:rsidR="00784D52">
        <w:t>make value judgments when assessing whether particular</w:t>
      </w:r>
      <w:r w:rsidR="007C0874">
        <w:t xml:space="preserve"> sets of data</w:t>
      </w:r>
      <w:r w:rsidR="00784D52">
        <w:t xml:space="preserve"> </w:t>
      </w:r>
      <w:r w:rsidR="008759C4">
        <w:t xml:space="preserve">provide evidence for particular conclusions (Longino 1990), when </w:t>
      </w:r>
      <w:r w:rsidR="00186F6A">
        <w:t>deciding</w:t>
      </w:r>
      <w:r w:rsidR="008759C4">
        <w:t xml:space="preserve"> how much evidence is </w:t>
      </w:r>
      <w:r w:rsidR="00186F6A">
        <w:t>sufficient</w:t>
      </w:r>
      <w:r w:rsidR="003571DD">
        <w:t xml:space="preserve"> for drawing conclusions (Douglas 2009), when choosing </w:t>
      </w:r>
      <w:r w:rsidR="00F804AA">
        <w:t>what counts as a good theory or model (</w:t>
      </w:r>
      <w:r w:rsidR="00444358">
        <w:t xml:space="preserve">Elliott and McKaughan 2014; </w:t>
      </w:r>
      <w:r w:rsidR="00F804AA">
        <w:t>Intemann 2015)</w:t>
      </w:r>
      <w:r w:rsidR="00CC2598">
        <w:t xml:space="preserve">, and when deciding how to conceptualize </w:t>
      </w:r>
      <w:r w:rsidR="00D3511F">
        <w:t>scientific phenomena (</w:t>
      </w:r>
      <w:proofErr w:type="spellStart"/>
      <w:r w:rsidR="00D3511F">
        <w:t>Alexandrova</w:t>
      </w:r>
      <w:proofErr w:type="spellEnd"/>
      <w:r w:rsidR="00D3511F">
        <w:t xml:space="preserve"> </w:t>
      </w:r>
      <w:r w:rsidR="00466CE6">
        <w:t>2018</w:t>
      </w:r>
      <w:r w:rsidR="00D3511F">
        <w:t xml:space="preserve">; Ludwig </w:t>
      </w:r>
      <w:r w:rsidR="00466CE6">
        <w:t>2016</w:t>
      </w:r>
      <w:r w:rsidR="00D3511F">
        <w:t>)</w:t>
      </w:r>
      <w:r w:rsidR="00444358">
        <w:t xml:space="preserve">.  </w:t>
      </w:r>
    </w:p>
    <w:p w14:paraId="47A7CC0E" w14:textId="2F4DD89C" w:rsidR="00B024FA" w:rsidRDefault="002F2AA7" w:rsidP="002F2AA7">
      <w:pPr>
        <w:ind w:firstLine="720"/>
      </w:pPr>
      <w:r>
        <w:lastRenderedPageBreak/>
        <w:t>Thus</w:t>
      </w:r>
      <w:r w:rsidR="00DB5AD6">
        <w:t xml:space="preserve">, </w:t>
      </w:r>
      <w:r w:rsidR="00481771">
        <w:t xml:space="preserve">debates over how to weigh conflicting evidence </w:t>
      </w:r>
      <w:r w:rsidR="00C23E92">
        <w:t>and theoretical considerations (the kinds of debates typically associated with scientific dissent)</w:t>
      </w:r>
      <w:r w:rsidR="00FC60DF">
        <w:t xml:space="preserve"> can be characterized as</w:t>
      </w:r>
      <w:r w:rsidR="00976E5B">
        <w:t xml:space="preserve"> </w:t>
      </w:r>
      <w:r w:rsidR="00265EEB">
        <w:t>dispute</w:t>
      </w:r>
      <w:r w:rsidR="00976E5B">
        <w:t>s</w:t>
      </w:r>
      <w:r w:rsidR="00265EEB">
        <w:t xml:space="preserve"> about value judgments. </w:t>
      </w:r>
      <w:r w:rsidR="00DB5AD6">
        <w:t>T</w:t>
      </w:r>
      <w:r w:rsidR="00680C7B">
        <w:t xml:space="preserve">hose who challenge </w:t>
      </w:r>
      <w:r w:rsidR="00CB54BB">
        <w:t xml:space="preserve">evolutionary theory </w:t>
      </w:r>
      <w:proofErr w:type="gramStart"/>
      <w:r w:rsidR="00CB54BB">
        <w:t>on the basis of</w:t>
      </w:r>
      <w:proofErr w:type="gramEnd"/>
      <w:r w:rsidR="00CB54BB">
        <w:t xml:space="preserve"> the fossil record are making the value judgment that the </w:t>
      </w:r>
      <w:r w:rsidR="00942804">
        <w:t>paucity</w:t>
      </w:r>
      <w:r w:rsidR="00CB54BB">
        <w:t xml:space="preserve"> of transitional forms</w:t>
      </w:r>
      <w:r w:rsidR="00942804">
        <w:t xml:space="preserve"> </w:t>
      </w:r>
      <w:r w:rsidR="00CB54BB">
        <w:t>co</w:t>
      </w:r>
      <w:r w:rsidR="00D14D52">
        <w:t>nstitutes a compelling form of evidence</w:t>
      </w:r>
      <w:r w:rsidR="00E75507">
        <w:t xml:space="preserve"> against the theory</w:t>
      </w:r>
      <w:r w:rsidR="00D14D52">
        <w:t xml:space="preserve">, whereas </w:t>
      </w:r>
      <w:r w:rsidR="00E75507">
        <w:t xml:space="preserve">the mainstream view is that it either does not count as </w:t>
      </w:r>
      <w:r w:rsidR="008E6ADB">
        <w:t xml:space="preserve">countervailing evidence at all or that it is not sufficient to override the vast body of evidence in favor of evolutionary theory. </w:t>
      </w:r>
      <w:r w:rsidR="003C3DE7">
        <w:t xml:space="preserve">The same </w:t>
      </w:r>
      <w:r w:rsidR="00976E5B">
        <w:t xml:space="preserve">argumentative dynamics are present in the </w:t>
      </w:r>
      <w:r w:rsidR="00307BCF">
        <w:t xml:space="preserve">case of scientific dissent about vaccine safety. Proponents of the dissenting view </w:t>
      </w:r>
      <w:r w:rsidR="00923AD7">
        <w:t>adopt the value judgment that</w:t>
      </w:r>
      <w:r w:rsidR="00307BCF">
        <w:t xml:space="preserve"> cases of autism </w:t>
      </w:r>
      <w:r w:rsidR="00923AD7">
        <w:t xml:space="preserve">that manifest </w:t>
      </w:r>
      <w:r w:rsidR="00307BCF">
        <w:t>aft</w:t>
      </w:r>
      <w:r w:rsidR="005737FF">
        <w:t>e</w:t>
      </w:r>
      <w:r w:rsidR="00307BCF">
        <w:t xml:space="preserve">r </w:t>
      </w:r>
      <w:r w:rsidR="005737FF">
        <w:t xml:space="preserve">children are </w:t>
      </w:r>
      <w:r w:rsidR="00307BCF">
        <w:t>vaccinat</w:t>
      </w:r>
      <w:r w:rsidR="005737FF">
        <w:t>ed</w:t>
      </w:r>
      <w:r w:rsidR="00307BCF">
        <w:t xml:space="preserve"> </w:t>
      </w:r>
      <w:r w:rsidR="00923AD7">
        <w:t xml:space="preserve">count as evidence against the safety of childhood vaccines, while </w:t>
      </w:r>
      <w:r w:rsidR="007C23CD">
        <w:t xml:space="preserve">those who accept the mainstream view </w:t>
      </w:r>
      <w:r w:rsidR="00141125">
        <w:t xml:space="preserve">either </w:t>
      </w:r>
      <w:r w:rsidR="007C23CD">
        <w:t xml:space="preserve">do not regard this as </w:t>
      </w:r>
      <w:r w:rsidR="00141125">
        <w:t xml:space="preserve">a convincing form of </w:t>
      </w:r>
      <w:r w:rsidR="007C23CD">
        <w:t xml:space="preserve">evidence or </w:t>
      </w:r>
      <w:r w:rsidR="005737FF">
        <w:t xml:space="preserve">they </w:t>
      </w:r>
      <w:r w:rsidR="007C23CD">
        <w:t>claim that it is overridden by the randomized controlled trials (RCTs) indicating that</w:t>
      </w:r>
      <w:r w:rsidR="00B024FA">
        <w:t xml:space="preserve"> there is no correlation between childhood vaccinations and the incidence of autism.</w:t>
      </w:r>
      <w:r w:rsidR="001A65D5">
        <w:t xml:space="preserve"> In other words, when scientists debate how much weight to place on </w:t>
      </w:r>
      <w:proofErr w:type="gramStart"/>
      <w:r w:rsidR="001A65D5">
        <w:t>particular pieces</w:t>
      </w:r>
      <w:proofErr w:type="gramEnd"/>
      <w:r w:rsidR="001A65D5">
        <w:t xml:space="preserve"> of evidence or particular </w:t>
      </w:r>
      <w:r w:rsidR="005D7BAB">
        <w:t>theoretical considerations as part of their disputes over dissenting views, they are making value judgments.</w:t>
      </w:r>
    </w:p>
    <w:p w14:paraId="368BD073" w14:textId="08F4C618" w:rsidR="0021226B" w:rsidRDefault="00B024FA" w:rsidP="002F2AA7">
      <w:pPr>
        <w:ind w:firstLine="720"/>
      </w:pPr>
      <w:r>
        <w:t>One might object, however, that</w:t>
      </w:r>
      <w:r w:rsidR="008E763E">
        <w:t xml:space="preserve"> even if </w:t>
      </w:r>
      <w:r w:rsidR="009A6615">
        <w:t>difficult cases</w:t>
      </w:r>
      <w:r w:rsidR="008E763E">
        <w:t xml:space="preserve"> of scientific dissent</w:t>
      </w:r>
      <w:r w:rsidR="009A6615">
        <w:t xml:space="preserve"> often</w:t>
      </w:r>
      <w:r w:rsidR="008E763E">
        <w:t xml:space="preserve"> involve disputes about value judgments, </w:t>
      </w:r>
      <w:r w:rsidR="00776312">
        <w:t xml:space="preserve">there are </w:t>
      </w:r>
      <w:r w:rsidR="00BF3EBB">
        <w:t xml:space="preserve">still </w:t>
      </w:r>
      <w:r w:rsidR="00776312">
        <w:t>many instances of scientific dissent that do not fit this</w:t>
      </w:r>
      <w:r w:rsidR="002E0297">
        <w:t xml:space="preserve"> pattern</w:t>
      </w:r>
      <w:r w:rsidR="00AE0CDB">
        <w:t xml:space="preserve">. </w:t>
      </w:r>
      <w:r w:rsidR="000F0A04">
        <w:t>In other words, one might think that</w:t>
      </w:r>
      <w:r w:rsidR="0076146F">
        <w:t xml:space="preserve"> scientific dissent is often generated by ignorance, error</w:t>
      </w:r>
      <w:r w:rsidR="00267211">
        <w:t xml:space="preserve">, corruption, </w:t>
      </w:r>
      <w:r w:rsidR="0076146F">
        <w:t xml:space="preserve">or misinformation rather than by disagreements about value judgments. </w:t>
      </w:r>
      <w:r w:rsidR="002E0A85">
        <w:t>For example, in case</w:t>
      </w:r>
      <w:r w:rsidR="0021226B">
        <w:t>s</w:t>
      </w:r>
      <w:r w:rsidR="002E0A85">
        <w:t xml:space="preserve"> of </w:t>
      </w:r>
      <w:r w:rsidR="00E02E7B">
        <w:t xml:space="preserve">scientific </w:t>
      </w:r>
      <w:r w:rsidR="002E0A85">
        <w:t xml:space="preserve">dissent about the safety and effectiveness of COVID vaccines, one might think that most dissenters </w:t>
      </w:r>
      <w:r w:rsidR="007B4548">
        <w:t xml:space="preserve">simply accept false claims that they see on social media </w:t>
      </w:r>
      <w:r w:rsidR="00AE2213">
        <w:t xml:space="preserve">or trust unreliable </w:t>
      </w:r>
      <w:r w:rsidR="00CD7286">
        <w:t xml:space="preserve">sources of information </w:t>
      </w:r>
      <w:r w:rsidR="007B4548">
        <w:t>rather than making value judgments about</w:t>
      </w:r>
      <w:r w:rsidR="0021226B">
        <w:t xml:space="preserve"> the nature of the available evidence.</w:t>
      </w:r>
    </w:p>
    <w:p w14:paraId="121C7E41" w14:textId="6369B645" w:rsidR="00C2338D" w:rsidRDefault="00552C35" w:rsidP="002F2AA7">
      <w:pPr>
        <w:ind w:firstLine="720"/>
      </w:pPr>
      <w:r>
        <w:t xml:space="preserve">One can </w:t>
      </w:r>
      <w:r w:rsidR="009B3642">
        <w:t>develop</w:t>
      </w:r>
      <w:r>
        <w:t xml:space="preserve"> a t</w:t>
      </w:r>
      <w:r w:rsidR="00D0778A">
        <w:t>hree</w:t>
      </w:r>
      <w:r>
        <w:t>-pronged response to this objection</w:t>
      </w:r>
      <w:r w:rsidR="00850BD2">
        <w:t xml:space="preserve">. </w:t>
      </w:r>
      <w:r w:rsidR="00DD6009">
        <w:t>The fi</w:t>
      </w:r>
      <w:r w:rsidR="00C531EE">
        <w:t xml:space="preserve">rst prong is to </w:t>
      </w:r>
      <w:r w:rsidR="00E86598">
        <w:t xml:space="preserve">acknowledge that there are </w:t>
      </w:r>
      <w:r w:rsidR="00677842">
        <w:t xml:space="preserve">likely to be </w:t>
      </w:r>
      <w:r w:rsidR="00E86598">
        <w:t xml:space="preserve">some clear cases in which dissent can </w:t>
      </w:r>
      <w:r w:rsidR="00F83DE6">
        <w:t>be ruled out as unacceptable based on criteria like those developed by Biddle and Leuschner (2015) or Miller (2021)</w:t>
      </w:r>
      <w:r w:rsidR="0011221F">
        <w:t xml:space="preserve">, so appealing to disputes about value judgments </w:t>
      </w:r>
      <w:r w:rsidR="00AA0A69">
        <w:t xml:space="preserve">will not always be </w:t>
      </w:r>
      <w:r w:rsidR="00CC05B1">
        <w:t xml:space="preserve">necessary or </w:t>
      </w:r>
      <w:r w:rsidR="00FF08D2">
        <w:t>helpful</w:t>
      </w:r>
      <w:r w:rsidR="00F83DE6">
        <w:t>.</w:t>
      </w:r>
      <w:r w:rsidR="004D28FB">
        <w:t xml:space="preserve"> </w:t>
      </w:r>
      <w:r w:rsidR="00E21707">
        <w:t>T</w:t>
      </w:r>
      <w:r w:rsidR="00C662E2">
        <w:t>he second prong</w:t>
      </w:r>
      <w:r w:rsidR="00047E4A">
        <w:t xml:space="preserve"> of the response</w:t>
      </w:r>
      <w:r w:rsidR="00C662E2">
        <w:t xml:space="preserve"> is to </w:t>
      </w:r>
      <w:r w:rsidR="00597CEC">
        <w:t>emphasize</w:t>
      </w:r>
      <w:r w:rsidR="00C662E2">
        <w:t xml:space="preserve"> that </w:t>
      </w:r>
      <w:r w:rsidR="003D003D">
        <w:t xml:space="preserve">even if </w:t>
      </w:r>
      <w:r w:rsidR="00597CEC">
        <w:t xml:space="preserve">there are </w:t>
      </w:r>
      <w:r w:rsidR="00890D65">
        <w:t xml:space="preserve">some </w:t>
      </w:r>
      <w:r w:rsidR="00597CEC">
        <w:t xml:space="preserve">cases in which the approach proposed in this paper is </w:t>
      </w:r>
      <w:r w:rsidR="00890D65">
        <w:t>either un</w:t>
      </w:r>
      <w:r w:rsidR="00597CEC">
        <w:t>necessary or un</w:t>
      </w:r>
      <w:r w:rsidR="00FF08D2">
        <w:t>helpful</w:t>
      </w:r>
      <w:r w:rsidR="00390564">
        <w:t xml:space="preserve">, </w:t>
      </w:r>
      <w:r w:rsidR="00597CEC">
        <w:t xml:space="preserve">there are still </w:t>
      </w:r>
      <w:proofErr w:type="gramStart"/>
      <w:r w:rsidR="00597CEC">
        <w:t>a number of</w:t>
      </w:r>
      <w:proofErr w:type="gramEnd"/>
      <w:r w:rsidR="00597CEC">
        <w:t xml:space="preserve"> difficult </w:t>
      </w:r>
      <w:r w:rsidR="00BB58E1">
        <w:t xml:space="preserve">cases </w:t>
      </w:r>
      <w:r w:rsidR="00597CEC">
        <w:t xml:space="preserve">of dissent that </w:t>
      </w:r>
      <w:r w:rsidR="000B7A8A">
        <w:t xml:space="preserve">can be fruitfully addressed by seeking to manage </w:t>
      </w:r>
      <w:r w:rsidR="006F2729">
        <w:t>disputed value judgments</w:t>
      </w:r>
      <w:r w:rsidR="005D6D9A">
        <w:t xml:space="preserve">. </w:t>
      </w:r>
      <w:r w:rsidR="00017AE0">
        <w:t xml:space="preserve">The </w:t>
      </w:r>
      <w:r w:rsidR="000B7A8A">
        <w:t>thir</w:t>
      </w:r>
      <w:r w:rsidR="00017AE0">
        <w:t>d prong is to argue that</w:t>
      </w:r>
      <w:r w:rsidR="001647B3">
        <w:t xml:space="preserve"> </w:t>
      </w:r>
      <w:r w:rsidR="004B4B8C">
        <w:t xml:space="preserve">disputes about </w:t>
      </w:r>
      <w:r w:rsidR="001647B3">
        <w:t xml:space="preserve">value judgments </w:t>
      </w:r>
      <w:r w:rsidR="00606BA8">
        <w:t xml:space="preserve">play a role in more </w:t>
      </w:r>
      <w:r w:rsidR="00703B2E">
        <w:t>cases of scientific dissent than one might initially think</w:t>
      </w:r>
      <w:r w:rsidR="00295BD0">
        <w:t xml:space="preserve">. </w:t>
      </w:r>
      <w:r w:rsidR="001950D6">
        <w:t xml:space="preserve">For example, </w:t>
      </w:r>
      <w:r w:rsidR="0001019E">
        <w:t xml:space="preserve">disputed value judgments can </w:t>
      </w:r>
      <w:r w:rsidR="00C531EE">
        <w:t>still have an important role to play in some</w:t>
      </w:r>
      <w:r w:rsidR="0001019E">
        <w:t xml:space="preserve"> case</w:t>
      </w:r>
      <w:r w:rsidR="00C531EE">
        <w:t>s</w:t>
      </w:r>
      <w:r w:rsidR="0001019E">
        <w:t xml:space="preserve"> of scientific dissent even if </w:t>
      </w:r>
      <w:r w:rsidR="00C531EE">
        <w:t>not all dissenters are aware of them</w:t>
      </w:r>
      <w:r w:rsidR="0001019E">
        <w:t>. I</w:t>
      </w:r>
      <w:r w:rsidR="0016703B">
        <w:t xml:space="preserve">n the example of the COVID vaccines given above, </w:t>
      </w:r>
      <w:r w:rsidR="0001019E">
        <w:t xml:space="preserve">for instance, </w:t>
      </w:r>
      <w:r w:rsidR="0016703B">
        <w:t>the average person</w:t>
      </w:r>
      <w:r w:rsidR="00E02E7B">
        <w:t xml:space="preserve"> </w:t>
      </w:r>
      <w:r w:rsidR="0016703B">
        <w:t xml:space="preserve">who </w:t>
      </w:r>
      <w:r w:rsidR="0041506C">
        <w:t>accepts false claims on social media might not be making value judgments about evidence, but</w:t>
      </w:r>
      <w:r w:rsidR="00CC73CC">
        <w:t xml:space="preserve"> if one wanted to rationally reconstruct the arguments and determine</w:t>
      </w:r>
      <w:r w:rsidR="00D170F5">
        <w:t xml:space="preserve"> whether COVID vaccines were </w:t>
      </w:r>
      <w:proofErr w:type="gramStart"/>
      <w:r w:rsidR="00D170F5">
        <w:t>actually safe</w:t>
      </w:r>
      <w:proofErr w:type="gramEnd"/>
      <w:r w:rsidR="00D170F5">
        <w:t xml:space="preserve"> and effective, there might indeed be important value judgments at stake. </w:t>
      </w:r>
      <w:r w:rsidR="006D6F00">
        <w:t xml:space="preserve">Moreover, </w:t>
      </w:r>
      <w:r w:rsidR="00E02E7B">
        <w:t xml:space="preserve">the </w:t>
      </w:r>
      <w:r w:rsidR="00DD4047">
        <w:t>dissenting</w:t>
      </w:r>
      <w:r w:rsidR="0041506C">
        <w:t xml:space="preserve"> physicians </w:t>
      </w:r>
      <w:r w:rsidR="009E4E46">
        <w:t xml:space="preserve">who help to peddle </w:t>
      </w:r>
      <w:r w:rsidR="006D6F00">
        <w:t>questionable</w:t>
      </w:r>
      <w:r w:rsidR="009E4E46">
        <w:t xml:space="preserve"> claims and give them legitimacy </w:t>
      </w:r>
      <w:r w:rsidR="006D6F00">
        <w:t xml:space="preserve">on social media </w:t>
      </w:r>
      <w:r w:rsidR="009E4E46">
        <w:t>might very well be</w:t>
      </w:r>
      <w:r w:rsidR="002E4C0D">
        <w:t xml:space="preserve"> arriving at their views based on</w:t>
      </w:r>
      <w:r w:rsidR="009E4E46">
        <w:t xml:space="preserve"> </w:t>
      </w:r>
      <w:r w:rsidR="006D6F00">
        <w:t xml:space="preserve">some of these underlying </w:t>
      </w:r>
      <w:r w:rsidR="009E4E46">
        <w:t>value judgments</w:t>
      </w:r>
      <w:r w:rsidR="00CD6500">
        <w:t xml:space="preserve"> about </w:t>
      </w:r>
      <w:r w:rsidR="00A16E32">
        <w:t xml:space="preserve">how to interpret </w:t>
      </w:r>
      <w:r w:rsidR="00CD6500">
        <w:t>the available evidence</w:t>
      </w:r>
      <w:r w:rsidR="009E4E46">
        <w:t>.</w:t>
      </w:r>
      <w:r w:rsidR="00311084">
        <w:t xml:space="preserve"> </w:t>
      </w:r>
      <w:r w:rsidR="00EB52F4">
        <w:t xml:space="preserve">Those accepting false claims on social media might also be making implicit value-laden judgments about what sorts of information sources and experts are trustworthy (Miller 2014). </w:t>
      </w:r>
      <w:r w:rsidR="0001019E">
        <w:t>In addition,</w:t>
      </w:r>
      <w:r w:rsidR="00BD7A5C">
        <w:t xml:space="preserve"> </w:t>
      </w:r>
      <w:r w:rsidR="001063FF">
        <w:t xml:space="preserve">when </w:t>
      </w:r>
      <w:r w:rsidR="00C50521">
        <w:t xml:space="preserve">the </w:t>
      </w:r>
      <w:r w:rsidR="006D6F00">
        <w:t>underlying</w:t>
      </w:r>
      <w:r w:rsidR="00C50521">
        <w:t xml:space="preserve"> factors at play in a case of scientific dissent </w:t>
      </w:r>
      <w:r w:rsidR="001063FF">
        <w:t>are debated,</w:t>
      </w:r>
      <w:r w:rsidR="00E7340B">
        <w:t xml:space="preserve"> </w:t>
      </w:r>
      <w:r w:rsidR="00192C70">
        <w:t xml:space="preserve">there are often </w:t>
      </w:r>
      <w:r w:rsidR="00E7340B">
        <w:t>“higher-level” value judgments</w:t>
      </w:r>
      <w:r w:rsidR="006252EA">
        <w:t xml:space="preserve"> </w:t>
      </w:r>
      <w:r w:rsidR="00192C70">
        <w:t xml:space="preserve">to be made </w:t>
      </w:r>
      <w:r w:rsidR="006252EA">
        <w:t>about how to interpret the situation</w:t>
      </w:r>
      <w:r w:rsidR="00E7340B">
        <w:t>. For example, one commentator</w:t>
      </w:r>
      <w:r w:rsidR="002F4EED">
        <w:t xml:space="preserve"> looking at the case of scientific dissent about COVID vaccines might insist that the</w:t>
      </w:r>
      <w:r w:rsidR="00FC1351">
        <w:t>re are not really any legitimate value judgments at stake</w:t>
      </w:r>
      <w:r w:rsidR="002F4EED">
        <w:t xml:space="preserve"> </w:t>
      </w:r>
      <w:r w:rsidR="006252EA">
        <w:t>a</w:t>
      </w:r>
      <w:r w:rsidR="00FC1351">
        <w:t>nd that the dissent is solely the product of ignorance</w:t>
      </w:r>
      <w:r w:rsidR="00E21ACA">
        <w:t xml:space="preserve">, </w:t>
      </w:r>
      <w:r w:rsidR="00FC1351">
        <w:t>error</w:t>
      </w:r>
      <w:r w:rsidR="00E21ACA">
        <w:t>, and corruption</w:t>
      </w:r>
      <w:r w:rsidR="00FC1351">
        <w:t>. In contrast,</w:t>
      </w:r>
      <w:r w:rsidR="006252EA">
        <w:t xml:space="preserve"> another </w:t>
      </w:r>
      <w:r w:rsidR="006252EA">
        <w:lastRenderedPageBreak/>
        <w:t xml:space="preserve">commentator might </w:t>
      </w:r>
      <w:r w:rsidR="00FB6319">
        <w:t xml:space="preserve">make a different value judgment about how to interpret the situation </w:t>
      </w:r>
      <w:r w:rsidR="006252EA">
        <w:t xml:space="preserve">and contend that </w:t>
      </w:r>
      <w:r w:rsidR="00C50521">
        <w:t>th</w:t>
      </w:r>
      <w:r w:rsidR="00C52498">
        <w:t xml:space="preserve">ere really are </w:t>
      </w:r>
      <w:r w:rsidR="00E21ACA">
        <w:t>legitimate</w:t>
      </w:r>
      <w:r w:rsidR="001958E7">
        <w:t xml:space="preserve"> value judgments to be made</w:t>
      </w:r>
      <w:r w:rsidR="00E21ACA">
        <w:t xml:space="preserve">, even if many </w:t>
      </w:r>
      <w:r w:rsidR="008C113D">
        <w:t xml:space="preserve">of the dissenting parties are </w:t>
      </w:r>
      <w:proofErr w:type="gramStart"/>
      <w:r w:rsidR="008C113D">
        <w:t>actually</w:t>
      </w:r>
      <w:r w:rsidR="00E21ACA">
        <w:t xml:space="preserve"> </w:t>
      </w:r>
      <w:r w:rsidR="000C4D16">
        <w:t>influenced</w:t>
      </w:r>
      <w:proofErr w:type="gramEnd"/>
      <w:r w:rsidR="000C4D16">
        <w:t xml:space="preserve"> by</w:t>
      </w:r>
      <w:r w:rsidR="00E21ACA">
        <w:t xml:space="preserve"> factors</w:t>
      </w:r>
      <w:r w:rsidR="000C4D16">
        <w:t xml:space="preserve"> like misinformation or corruption</w:t>
      </w:r>
      <w:r w:rsidR="00936576">
        <w:t xml:space="preserve">. </w:t>
      </w:r>
    </w:p>
    <w:p w14:paraId="784231A6" w14:textId="3C9CF077" w:rsidR="0024005B" w:rsidRDefault="00710AE6" w:rsidP="002F2AA7">
      <w:pPr>
        <w:ind w:firstLine="720"/>
      </w:pPr>
      <w:r>
        <w:t xml:space="preserve">If one can </w:t>
      </w:r>
      <w:r w:rsidR="00D57A47">
        <w:t xml:space="preserve">indeed </w:t>
      </w:r>
      <w:r>
        <w:t xml:space="preserve">interpret </w:t>
      </w:r>
      <w:r w:rsidR="009F0B41">
        <w:t xml:space="preserve">many </w:t>
      </w:r>
      <w:r w:rsidR="00CF74F7">
        <w:t xml:space="preserve">difficult </w:t>
      </w:r>
      <w:r w:rsidR="009F0B41">
        <w:t>cases of scientific</w:t>
      </w:r>
      <w:r w:rsidR="00D57A47">
        <w:t xml:space="preserve"> dissent in terms of disputes about value judgments in science, then </w:t>
      </w:r>
      <w:r w:rsidR="00C51EBB">
        <w:t>one can</w:t>
      </w:r>
      <w:r w:rsidR="005D39FF">
        <w:t xml:space="preserve"> look to the literature on managing value judgments </w:t>
      </w:r>
      <w:r w:rsidR="0024005B">
        <w:t>as a source of resources for</w:t>
      </w:r>
      <w:r w:rsidR="00FA6A53">
        <w:t xml:space="preserve"> navigating scientific dissent. </w:t>
      </w:r>
      <w:r w:rsidR="00C7081E">
        <w:t>Th</w:t>
      </w:r>
      <w:r w:rsidR="00B10188">
        <w:t xml:space="preserve">ere are currently a wide variety of management approaches on offer, as illustrated by a recent special issue </w:t>
      </w:r>
      <w:r w:rsidR="000764C4">
        <w:t xml:space="preserve">on this topic that was edited by Bennett Holman and </w:t>
      </w:r>
      <w:proofErr w:type="spellStart"/>
      <w:r w:rsidR="000764C4">
        <w:t>Torsten</w:t>
      </w:r>
      <w:proofErr w:type="spellEnd"/>
      <w:r w:rsidR="000764C4">
        <w:t xml:space="preserve"> </w:t>
      </w:r>
      <w:proofErr w:type="spellStart"/>
      <w:r w:rsidR="000764C4">
        <w:t>Wilhol</w:t>
      </w:r>
      <w:r w:rsidR="00BC3200">
        <w:t>t</w:t>
      </w:r>
      <w:proofErr w:type="spellEnd"/>
      <w:r w:rsidR="000764C4">
        <w:t xml:space="preserve">. </w:t>
      </w:r>
      <w:r w:rsidR="00095921">
        <w:t xml:space="preserve">In their </w:t>
      </w:r>
      <w:r w:rsidR="003D3ADB">
        <w:t xml:space="preserve">introduction to the special issue (Holman and </w:t>
      </w:r>
      <w:proofErr w:type="spellStart"/>
      <w:r w:rsidR="003D3ADB">
        <w:t>Wilholt</w:t>
      </w:r>
      <w:proofErr w:type="spellEnd"/>
      <w:r w:rsidR="003D3ADB">
        <w:t xml:space="preserve"> 2022), they </w:t>
      </w:r>
      <w:r w:rsidR="00A755D3">
        <w:t>distinguish</w:t>
      </w:r>
      <w:r w:rsidR="003D3ADB">
        <w:t>e</w:t>
      </w:r>
      <w:r w:rsidR="00A755D3">
        <w:t>d</w:t>
      </w:r>
      <w:r w:rsidR="003D3ADB">
        <w:t xml:space="preserve"> five different categories of approaches for</w:t>
      </w:r>
      <w:r w:rsidR="00582A3B">
        <w:t xml:space="preserve"> distinguishing between “legitimate” and “illegitimate” </w:t>
      </w:r>
      <w:r w:rsidR="008A7D23">
        <w:t>influences of values in science</w:t>
      </w:r>
      <w:r w:rsidR="008C113D">
        <w:t>: (1) axiological approaches that focus</w:t>
      </w:r>
      <w:r w:rsidR="003C1172">
        <w:t xml:space="preserve"> on </w:t>
      </w:r>
      <w:r w:rsidR="00667504">
        <w:t xml:space="preserve">identifying </w:t>
      </w:r>
      <w:r w:rsidR="00170308">
        <w:t xml:space="preserve">the “right” values that </w:t>
      </w:r>
      <w:r w:rsidR="00CB50A8">
        <w:t xml:space="preserve">ought to </w:t>
      </w:r>
      <w:r w:rsidR="00170308">
        <w:t xml:space="preserve">influence </w:t>
      </w:r>
      <w:r w:rsidR="00722846">
        <w:t>value judgments in science</w:t>
      </w:r>
      <w:r w:rsidR="008C113D">
        <w:t>; (2) functionalist approaches that focus on the</w:t>
      </w:r>
      <w:r w:rsidR="00170308">
        <w:t xml:space="preserve"> “roles” that values play</w:t>
      </w:r>
      <w:r w:rsidR="00CB50A8">
        <w:t xml:space="preserve"> and </w:t>
      </w:r>
      <w:r w:rsidR="008C113D">
        <w:t xml:space="preserve">that </w:t>
      </w:r>
      <w:r w:rsidR="00CB50A8">
        <w:t>d</w:t>
      </w:r>
      <w:r w:rsidR="00B35D3F">
        <w:t>istinguis</w:t>
      </w:r>
      <w:r w:rsidR="008C113D">
        <w:t>h</w:t>
      </w:r>
      <w:r w:rsidR="00CB50A8">
        <w:t xml:space="preserve"> appropriate roles </w:t>
      </w:r>
      <w:r w:rsidR="00B35D3F">
        <w:t xml:space="preserve">for values </w:t>
      </w:r>
      <w:r w:rsidR="00CB50A8">
        <w:t>from inappropriate role</w:t>
      </w:r>
      <w:r w:rsidR="008C113D">
        <w:t>s; (3) consequentialist approaches that</w:t>
      </w:r>
      <w:r w:rsidR="00170308">
        <w:t xml:space="preserve"> </w:t>
      </w:r>
      <w:r w:rsidR="008C113D">
        <w:t>focus on</w:t>
      </w:r>
      <w:r w:rsidR="003B3562">
        <w:t xml:space="preserve"> the consequences that particular values </w:t>
      </w:r>
      <w:r w:rsidR="004947F2">
        <w:t>and</w:t>
      </w:r>
      <w:r w:rsidR="003B3562">
        <w:t xml:space="preserve"> value judgments have</w:t>
      </w:r>
      <w:r w:rsidR="00CB50A8">
        <w:t xml:space="preserve"> on science</w:t>
      </w:r>
      <w:r w:rsidR="001B61EF">
        <w:t>; (4) coordinative approaches that fo</w:t>
      </w:r>
      <w:r w:rsidR="00537229">
        <w:t xml:space="preserve">cus on whether </w:t>
      </w:r>
      <w:r w:rsidR="00CB50A8">
        <w:t xml:space="preserve">the value judgments being made </w:t>
      </w:r>
      <w:r w:rsidR="00DB2C65">
        <w:t xml:space="preserve">align </w:t>
      </w:r>
      <w:r w:rsidR="00B35D3F">
        <w:t xml:space="preserve">properly </w:t>
      </w:r>
      <w:r w:rsidR="00DB2C65">
        <w:t xml:space="preserve">with the expectations of other scientists or </w:t>
      </w:r>
      <w:r w:rsidR="00686697">
        <w:t>decision makers</w:t>
      </w:r>
      <w:r w:rsidR="001B61EF">
        <w:t>; and (5) systemic approaches that focus on</w:t>
      </w:r>
      <w:r w:rsidR="0067428D">
        <w:t xml:space="preserve"> whether the overall scientific community is structured in an appropriate way to critical</w:t>
      </w:r>
      <w:r w:rsidR="00A6316F">
        <w:t>ly a</w:t>
      </w:r>
      <w:r w:rsidR="00B35D3F">
        <w:t>ss</w:t>
      </w:r>
      <w:r w:rsidR="00A6316F">
        <w:t>ess value judgments.</w:t>
      </w:r>
    </w:p>
    <w:p w14:paraId="67A24242" w14:textId="4BD47538" w:rsidR="009D436F" w:rsidRDefault="00113A94" w:rsidP="002F2AA7">
      <w:pPr>
        <w:ind w:firstLine="720"/>
      </w:pPr>
      <w:r>
        <w:t>When applying</w:t>
      </w:r>
      <w:r w:rsidR="004A54AE">
        <w:t xml:space="preserve"> these</w:t>
      </w:r>
      <w:r w:rsidR="0083110B">
        <w:t xml:space="preserve"> </w:t>
      </w:r>
      <w:r w:rsidR="00A418A9">
        <w:t xml:space="preserve">sorts of </w:t>
      </w:r>
      <w:r w:rsidR="0083110B">
        <w:t xml:space="preserve">management </w:t>
      </w:r>
      <w:r w:rsidR="004A54AE">
        <w:t xml:space="preserve">approaches to cases of scientific dissent, it is helpful to make </w:t>
      </w:r>
      <w:r w:rsidR="00330911">
        <w:t xml:space="preserve">four </w:t>
      </w:r>
      <w:r w:rsidR="00397A95">
        <w:t xml:space="preserve">clarifications. First, one does not have to </w:t>
      </w:r>
      <w:r w:rsidR="008A5981">
        <w:t xml:space="preserve">frame the </w:t>
      </w:r>
      <w:r w:rsidR="00F31135">
        <w:t>management of value judgments</w:t>
      </w:r>
      <w:r w:rsidR="008A5981">
        <w:t xml:space="preserve"> </w:t>
      </w:r>
      <w:r w:rsidR="00F9755D">
        <w:t xml:space="preserve">in </w:t>
      </w:r>
      <w:r w:rsidR="00F4761A">
        <w:t xml:space="preserve">difficult </w:t>
      </w:r>
      <w:r w:rsidR="00F9755D">
        <w:t xml:space="preserve">cases of dissent </w:t>
      </w:r>
      <w:r w:rsidR="008A5981">
        <w:t>a</w:t>
      </w:r>
      <w:r w:rsidR="00282D5B">
        <w:t>s</w:t>
      </w:r>
      <w:r w:rsidR="008A5981">
        <w:t xml:space="preserve"> </w:t>
      </w:r>
      <w:r w:rsidR="00282D5B">
        <w:t xml:space="preserve">a </w:t>
      </w:r>
      <w:r w:rsidR="008A5981">
        <w:t>binary</w:t>
      </w:r>
      <w:r w:rsidR="00E6230B">
        <w:t xml:space="preserve"> </w:t>
      </w:r>
      <w:r w:rsidR="00282D5B">
        <w:t>issue</w:t>
      </w:r>
      <w:r w:rsidR="008A5981">
        <w:t xml:space="preserve"> of </w:t>
      </w:r>
      <w:r w:rsidR="00397A95">
        <w:t>distinguishing</w:t>
      </w:r>
      <w:r w:rsidR="008A5981">
        <w:t xml:space="preserve"> between</w:t>
      </w:r>
      <w:r w:rsidR="00397A95">
        <w:t xml:space="preserve"> </w:t>
      </w:r>
      <w:r w:rsidR="00397A95" w:rsidRPr="00627157">
        <w:rPr>
          <w:i/>
          <w:iCs/>
        </w:rPr>
        <w:t>legitimate</w:t>
      </w:r>
      <w:r w:rsidR="008A5981">
        <w:t xml:space="preserve"> and</w:t>
      </w:r>
      <w:r w:rsidR="00397A95">
        <w:t xml:space="preserve"> </w:t>
      </w:r>
      <w:r w:rsidR="00397A95" w:rsidRPr="00627157">
        <w:rPr>
          <w:i/>
          <w:iCs/>
        </w:rPr>
        <w:t>illegitimate</w:t>
      </w:r>
      <w:r w:rsidR="00397A95">
        <w:t xml:space="preserve"> </w:t>
      </w:r>
      <w:r w:rsidR="008A5981">
        <w:t>value judgments</w:t>
      </w:r>
      <w:r w:rsidR="00397A95">
        <w:t xml:space="preserve">. </w:t>
      </w:r>
      <w:r w:rsidR="00DA7CAA">
        <w:t>O</w:t>
      </w:r>
      <w:r w:rsidR="00F624BA">
        <w:t xml:space="preserve">ne could </w:t>
      </w:r>
      <w:r w:rsidR="00627157">
        <w:t xml:space="preserve">instead </w:t>
      </w:r>
      <w:r w:rsidR="0001577A">
        <w:t>frame</w:t>
      </w:r>
      <w:r w:rsidR="002C22BB">
        <w:t xml:space="preserve"> the management of </w:t>
      </w:r>
      <w:r w:rsidR="006E5E9E">
        <w:t xml:space="preserve">value judgments </w:t>
      </w:r>
      <w:r w:rsidR="0001577A">
        <w:t>as a matter of assessing whether value judgments</w:t>
      </w:r>
      <w:r w:rsidR="0083110B">
        <w:t xml:space="preserve"> a</w:t>
      </w:r>
      <w:r w:rsidR="0001577A">
        <w:t xml:space="preserve">re </w:t>
      </w:r>
      <w:proofErr w:type="gramStart"/>
      <w:r w:rsidR="0001577A" w:rsidRPr="0083110B">
        <w:rPr>
          <w:i/>
          <w:iCs/>
        </w:rPr>
        <w:t>more</w:t>
      </w:r>
      <w:r w:rsidR="0001577A">
        <w:t xml:space="preserve"> or </w:t>
      </w:r>
      <w:r w:rsidR="0001577A" w:rsidRPr="0083110B">
        <w:rPr>
          <w:i/>
          <w:iCs/>
        </w:rPr>
        <w:t>less</w:t>
      </w:r>
      <w:r w:rsidR="0001577A">
        <w:t xml:space="preserve"> appropriate</w:t>
      </w:r>
      <w:proofErr w:type="gramEnd"/>
      <w:r w:rsidR="0001577A">
        <w:t xml:space="preserve"> and employing strategies for </w:t>
      </w:r>
      <w:r w:rsidR="00D326AB">
        <w:t>dealing with judgments when there is disagreement about how appropriate they are</w:t>
      </w:r>
      <w:r w:rsidR="0001577A">
        <w:t xml:space="preserve">. </w:t>
      </w:r>
      <w:r w:rsidR="006E5E9E">
        <w:t xml:space="preserve">Second, </w:t>
      </w:r>
      <w:r w:rsidR="00130E9C">
        <w:t xml:space="preserve">when </w:t>
      </w:r>
      <w:r w:rsidR="00DC1FB4">
        <w:t xml:space="preserve">managing value </w:t>
      </w:r>
      <w:r w:rsidR="00130E9C">
        <w:t xml:space="preserve">judgments </w:t>
      </w:r>
      <w:r w:rsidR="00282D5B">
        <w:t>in cases of</w:t>
      </w:r>
      <w:r w:rsidR="00130E9C">
        <w:t xml:space="preserve"> scientific dissent, </w:t>
      </w:r>
      <w:r w:rsidR="00DC1FB4">
        <w:t xml:space="preserve">the key questions at issue are likely to be </w:t>
      </w:r>
      <w:r w:rsidR="00DD207C">
        <w:t>somewhat</w:t>
      </w:r>
      <w:r w:rsidR="00DC1FB4">
        <w:t xml:space="preserve"> different from the questions involved in </w:t>
      </w:r>
      <w:r w:rsidR="0083142F">
        <w:t xml:space="preserve">managing value judgments in </w:t>
      </w:r>
      <w:r w:rsidR="00A876CE">
        <w:t xml:space="preserve">other contexts. For example, in cases of scientific dissent, one might </w:t>
      </w:r>
      <w:r w:rsidR="00F521D6">
        <w:t xml:space="preserve">be interested in determining whether </w:t>
      </w:r>
      <w:proofErr w:type="gramStart"/>
      <w:r w:rsidR="00F521D6">
        <w:t>particular value</w:t>
      </w:r>
      <w:proofErr w:type="gramEnd"/>
      <w:r w:rsidR="00F521D6">
        <w:t xml:space="preserve"> judgments made by dissenters achieve a </w:t>
      </w:r>
      <w:r w:rsidR="00F521D6" w:rsidRPr="00F521D6">
        <w:rPr>
          <w:i/>
          <w:iCs/>
        </w:rPr>
        <w:t>minimum</w:t>
      </w:r>
      <w:r w:rsidR="00F521D6">
        <w:t xml:space="preserve"> level of acceptability; in contrast, </w:t>
      </w:r>
      <w:r w:rsidR="00A06007">
        <w:t>other</w:t>
      </w:r>
      <w:r w:rsidR="00F521D6">
        <w:t xml:space="preserve"> discussions</w:t>
      </w:r>
      <w:r w:rsidR="00A06007">
        <w:t xml:space="preserve"> about managing</w:t>
      </w:r>
      <w:r w:rsidR="00F521D6">
        <w:t xml:space="preserve"> value judgments </w:t>
      </w:r>
      <w:r w:rsidR="00A06007">
        <w:t xml:space="preserve">typically </w:t>
      </w:r>
      <w:r w:rsidR="00F521D6">
        <w:t xml:space="preserve">focus on </w:t>
      </w:r>
      <w:r w:rsidR="00A06007">
        <w:t xml:space="preserve">how to achieve </w:t>
      </w:r>
      <w:r w:rsidR="00F521D6">
        <w:t xml:space="preserve">the </w:t>
      </w:r>
      <w:r w:rsidR="00F521D6" w:rsidRPr="00E12D52">
        <w:rPr>
          <w:i/>
          <w:iCs/>
        </w:rPr>
        <w:t>best</w:t>
      </w:r>
      <w:r w:rsidR="00F521D6">
        <w:t xml:space="preserve"> or </w:t>
      </w:r>
      <w:r w:rsidR="00F521D6" w:rsidRPr="00E12D52">
        <w:rPr>
          <w:i/>
          <w:iCs/>
        </w:rPr>
        <w:t>optimum</w:t>
      </w:r>
      <w:r w:rsidR="00F521D6">
        <w:t xml:space="preserve"> </w:t>
      </w:r>
      <w:r w:rsidR="00E12D52">
        <w:t xml:space="preserve">judgments (for more on </w:t>
      </w:r>
      <w:r w:rsidR="00B66DDA">
        <w:t>this distinction</w:t>
      </w:r>
      <w:r w:rsidR="00E12D52">
        <w:t>, see Douglas 2014).</w:t>
      </w:r>
      <w:r w:rsidR="00F521D6">
        <w:t xml:space="preserve"> </w:t>
      </w:r>
      <w:r w:rsidR="00A06007">
        <w:t xml:space="preserve">A third clarification is that </w:t>
      </w:r>
      <w:r w:rsidR="00137F68">
        <w:t xml:space="preserve">one need not focus on only one of the five </w:t>
      </w:r>
      <w:r w:rsidR="00956840">
        <w:t xml:space="preserve">management </w:t>
      </w:r>
      <w:r w:rsidR="00137F68">
        <w:t xml:space="preserve">categories proposed by Holman and </w:t>
      </w:r>
      <w:proofErr w:type="spellStart"/>
      <w:r w:rsidR="00137F68">
        <w:t>Wilholt</w:t>
      </w:r>
      <w:proofErr w:type="spellEnd"/>
      <w:r w:rsidR="00137F68">
        <w:t xml:space="preserve"> (2022). </w:t>
      </w:r>
      <w:r w:rsidR="00956840">
        <w:t xml:space="preserve">For example, </w:t>
      </w:r>
      <w:r w:rsidR="0083788A">
        <w:t>I</w:t>
      </w:r>
      <w:r w:rsidR="005F3570">
        <w:t xml:space="preserve"> </w:t>
      </w:r>
      <w:r w:rsidR="00C255C6">
        <w:t xml:space="preserve">have </w:t>
      </w:r>
      <w:r w:rsidR="005F3570">
        <w:t>suggest</w:t>
      </w:r>
      <w:r w:rsidR="00C255C6">
        <w:t>ed</w:t>
      </w:r>
      <w:r w:rsidR="005F3570">
        <w:t xml:space="preserve"> </w:t>
      </w:r>
      <w:r w:rsidR="00F20BCD">
        <w:t xml:space="preserve">managing value judgments in science by </w:t>
      </w:r>
      <w:r w:rsidR="005F3570">
        <w:t>develop</w:t>
      </w:r>
      <w:r w:rsidR="00F20BCD">
        <w:t>ing a set of norms for good science</w:t>
      </w:r>
      <w:r w:rsidR="00BB08B4">
        <w:t xml:space="preserve"> (</w:t>
      </w:r>
      <w:r w:rsidR="0083788A">
        <w:t xml:space="preserve">Elliott 2022b; </w:t>
      </w:r>
      <w:r w:rsidR="00BB08B4">
        <w:t xml:space="preserve">see also Resnik and Elliott 2019; Koskinen and </w:t>
      </w:r>
      <w:proofErr w:type="spellStart"/>
      <w:r w:rsidR="00BB08B4">
        <w:t>Rolin</w:t>
      </w:r>
      <w:proofErr w:type="spellEnd"/>
      <w:r w:rsidR="00BB08B4">
        <w:t xml:space="preserve"> 2022)</w:t>
      </w:r>
      <w:r w:rsidR="00F20BCD">
        <w:t xml:space="preserve">, and </w:t>
      </w:r>
      <w:r w:rsidR="00C255C6">
        <w:t>I have</w:t>
      </w:r>
      <w:r w:rsidR="00F20BCD">
        <w:t xml:space="preserve"> suggest</w:t>
      </w:r>
      <w:r w:rsidR="00C255C6">
        <w:t>ed</w:t>
      </w:r>
      <w:r w:rsidR="00F20BCD">
        <w:t xml:space="preserve"> </w:t>
      </w:r>
      <w:r w:rsidR="006A778E">
        <w:t xml:space="preserve">that those norms can be drawn from a variety of </w:t>
      </w:r>
      <w:r w:rsidR="00077087">
        <w:t xml:space="preserve">the </w:t>
      </w:r>
      <w:r w:rsidR="006A778E">
        <w:t>categories</w:t>
      </w:r>
      <w:r w:rsidR="009D436F">
        <w:t>.</w:t>
      </w:r>
      <w:r w:rsidR="00330911">
        <w:t xml:space="preserve"> Finally, there are many insights in the literature on managing value judgments </w:t>
      </w:r>
      <w:r w:rsidR="00085123">
        <w:t xml:space="preserve">that </w:t>
      </w:r>
      <w:r w:rsidR="00EC6B2D">
        <w:t>are</w:t>
      </w:r>
      <w:r w:rsidR="00085123">
        <w:t xml:space="preserve"> not </w:t>
      </w:r>
      <w:r w:rsidR="004741C1">
        <w:t xml:space="preserve">explicitly </w:t>
      </w:r>
      <w:r w:rsidR="00085123">
        <w:t xml:space="preserve">captured by these five </w:t>
      </w:r>
      <w:r w:rsidR="00347ACD">
        <w:t xml:space="preserve">kinds of </w:t>
      </w:r>
      <w:r w:rsidR="00085123">
        <w:t xml:space="preserve">management strategies; </w:t>
      </w:r>
      <w:r w:rsidR="00CA660B">
        <w:t>thu</w:t>
      </w:r>
      <w:r w:rsidR="00347ACD">
        <w:t>s, when drawing from this literature one should</w:t>
      </w:r>
      <w:r w:rsidR="00EE1CB1">
        <w:t xml:space="preserve"> maintain an open </w:t>
      </w:r>
      <w:r w:rsidR="00091460">
        <w:t>posture toward the full array of conceptual resources available.</w:t>
      </w:r>
      <w:r w:rsidR="009D436F">
        <w:t xml:space="preserve"> </w:t>
      </w:r>
    </w:p>
    <w:p w14:paraId="293B2B73" w14:textId="2013EE59" w:rsidR="00507B30" w:rsidRDefault="00CB7EEC" w:rsidP="002127EC">
      <w:pPr>
        <w:ind w:firstLine="720"/>
      </w:pPr>
      <w:r>
        <w:t xml:space="preserve">When the literature on managing value judgments in science is interpreted </w:t>
      </w:r>
      <w:r w:rsidR="002127EC">
        <w:t xml:space="preserve">in accordance with these </w:t>
      </w:r>
      <w:r w:rsidR="00DB7112">
        <w:t>four</w:t>
      </w:r>
      <w:r w:rsidR="002127EC">
        <w:t xml:space="preserve"> clarifications, it </w:t>
      </w:r>
      <w:r w:rsidR="00D729A2">
        <w:t>suggests a wide variety of strategies for navigating dissent</w:t>
      </w:r>
      <w:r w:rsidR="00570E4E">
        <w:t xml:space="preserve">. </w:t>
      </w:r>
      <w:r w:rsidR="00137C69">
        <w:t>For example, c</w:t>
      </w:r>
      <w:r w:rsidR="00DE7CC6">
        <w:t xml:space="preserve">onsider at least six different “strands” of </w:t>
      </w:r>
      <w:r w:rsidR="0010220F">
        <w:t>this</w:t>
      </w:r>
      <w:r w:rsidR="00DE7CC6">
        <w:t xml:space="preserve"> literature</w:t>
      </w:r>
      <w:r w:rsidR="0016407B">
        <w:t xml:space="preserve"> that could be helpful to pursue in future work</w:t>
      </w:r>
      <w:r w:rsidR="00236ADA">
        <w:t>.</w:t>
      </w:r>
      <w:r w:rsidR="00DE7CC6">
        <w:t xml:space="preserve"> </w:t>
      </w:r>
      <w:r w:rsidR="00144EBD">
        <w:t>First</w:t>
      </w:r>
      <w:r w:rsidR="00F5178A">
        <w:t xml:space="preserve">, one </w:t>
      </w:r>
      <w:r w:rsidR="00236ADA">
        <w:t>could</w:t>
      </w:r>
      <w:r w:rsidR="00F5178A">
        <w:t xml:space="preserve"> draw on </w:t>
      </w:r>
      <w:r w:rsidR="00805E49">
        <w:t xml:space="preserve">previous </w:t>
      </w:r>
      <w:r w:rsidR="009E0163">
        <w:t>scholarship</w:t>
      </w:r>
      <w:r w:rsidR="0010220F">
        <w:t xml:space="preserve"> that has</w:t>
      </w:r>
      <w:r w:rsidR="007743B4">
        <w:t xml:space="preserve"> emphasized the importance of pursuing transparency about value judgments (</w:t>
      </w:r>
      <w:r w:rsidR="00463A94">
        <w:t xml:space="preserve">Douglas </w:t>
      </w:r>
      <w:r w:rsidR="00236ADA">
        <w:t>2008</w:t>
      </w:r>
      <w:r w:rsidR="00463A94">
        <w:t xml:space="preserve">; </w:t>
      </w:r>
      <w:r w:rsidR="0021509B">
        <w:t>Elliott and Resnik 2014;</w:t>
      </w:r>
      <w:r w:rsidR="00463A94">
        <w:t xml:space="preserve"> Stanev 2017).</w:t>
      </w:r>
      <w:r w:rsidR="0021509B">
        <w:t xml:space="preserve"> </w:t>
      </w:r>
      <w:r w:rsidR="003D720E">
        <w:t>One might find that</w:t>
      </w:r>
      <w:r w:rsidR="00213BC1">
        <w:t xml:space="preserve"> </w:t>
      </w:r>
      <w:r w:rsidR="00A61246">
        <w:t>d</w:t>
      </w:r>
      <w:r w:rsidR="005930E8">
        <w:t>issenting views</w:t>
      </w:r>
      <w:r w:rsidR="0048030F">
        <w:t xml:space="preserve"> are </w:t>
      </w:r>
      <w:r w:rsidR="00213BC1">
        <w:t xml:space="preserve">more likely to be </w:t>
      </w:r>
      <w:r w:rsidR="00A46C16">
        <w:t>acceptable when the</w:t>
      </w:r>
      <w:r w:rsidR="003D720E">
        <w:t xml:space="preserve"> questionable value judgments underlying them</w:t>
      </w:r>
      <w:r w:rsidR="0048030F">
        <w:t xml:space="preserve"> are clearly communicated so tha</w:t>
      </w:r>
      <w:r w:rsidR="00A61246">
        <w:t xml:space="preserve">t the recipients of </w:t>
      </w:r>
      <w:r w:rsidR="0088796B">
        <w:t>the dissenting views</w:t>
      </w:r>
      <w:r w:rsidR="00A61246">
        <w:t xml:space="preserve"> can decide </w:t>
      </w:r>
      <w:r w:rsidR="003D720E">
        <w:t xml:space="preserve">how </w:t>
      </w:r>
      <w:r w:rsidR="003D720E">
        <w:lastRenderedPageBreak/>
        <w:t>they want to respond</w:t>
      </w:r>
      <w:r w:rsidR="00A61246">
        <w:t>.</w:t>
      </w:r>
      <w:r w:rsidR="00FC1B53">
        <w:t xml:space="preserve"> </w:t>
      </w:r>
      <w:r w:rsidR="000656CE">
        <w:t>Th</w:t>
      </w:r>
      <w:r w:rsidR="00E42D70">
        <w:t>is</w:t>
      </w:r>
      <w:r w:rsidR="000656CE">
        <w:t xml:space="preserve"> literature </w:t>
      </w:r>
      <w:r w:rsidR="00E42D70">
        <w:t>concerning</w:t>
      </w:r>
      <w:r w:rsidR="000656CE">
        <w:t xml:space="preserve"> transparency about value judgments </w:t>
      </w:r>
      <w:r w:rsidR="00E42D70">
        <w:t>might</w:t>
      </w:r>
      <w:r w:rsidR="000656CE">
        <w:t xml:space="preserve"> also provide guidance for science journalists </w:t>
      </w:r>
      <w:r w:rsidR="005A4BC4">
        <w:t xml:space="preserve">who </w:t>
      </w:r>
      <w:proofErr w:type="gramStart"/>
      <w:r w:rsidR="00E42D70">
        <w:t>have to</w:t>
      </w:r>
      <w:proofErr w:type="gramEnd"/>
      <w:r w:rsidR="00E42D70">
        <w:t xml:space="preserve"> decide how</w:t>
      </w:r>
      <w:r w:rsidR="005A4BC4">
        <w:t xml:space="preserve"> to communicate responsibly about dissenting scientific views (Elliott 2019). </w:t>
      </w:r>
      <w:r w:rsidR="00144EBD">
        <w:t>Second</w:t>
      </w:r>
      <w:r w:rsidR="00FC1B53">
        <w:t xml:space="preserve">, </w:t>
      </w:r>
      <w:r w:rsidR="00C118EA">
        <w:t>one c</w:t>
      </w:r>
      <w:r w:rsidR="002D29B6">
        <w:t>ould</w:t>
      </w:r>
      <w:r w:rsidR="00C118EA">
        <w:t xml:space="preserve"> draw on the literature that discusses </w:t>
      </w:r>
      <w:r w:rsidR="00B470F2">
        <w:t>procedur</w:t>
      </w:r>
      <w:r w:rsidR="00E05875">
        <w:t>al approaches</w:t>
      </w:r>
      <w:r w:rsidR="00B470F2">
        <w:t xml:space="preserve"> for managing value judgments. For example, </w:t>
      </w:r>
      <w:proofErr w:type="gramStart"/>
      <w:r w:rsidR="00B470F2">
        <w:t>a number of</w:t>
      </w:r>
      <w:proofErr w:type="gramEnd"/>
      <w:r w:rsidR="00B470F2">
        <w:t xml:space="preserve"> philosophers have suggested </w:t>
      </w:r>
      <w:r w:rsidR="00162B42">
        <w:t xml:space="preserve">ways to foster engagement between community members and scientists in order to reflect </w:t>
      </w:r>
      <w:r w:rsidR="00571F86">
        <w:t xml:space="preserve">together </w:t>
      </w:r>
      <w:r w:rsidR="00162B42">
        <w:t xml:space="preserve">on the best ways to handle disputed value judgments (see e.g., Douglas 2005; Elliott 2017; </w:t>
      </w:r>
      <w:r w:rsidR="00C50E45">
        <w:t xml:space="preserve">Schroeder </w:t>
      </w:r>
      <w:r w:rsidR="002D29B6">
        <w:t>2021</w:t>
      </w:r>
      <w:r w:rsidR="00C50E45">
        <w:t>).</w:t>
      </w:r>
      <w:r w:rsidR="001234AE">
        <w:t xml:space="preserve"> </w:t>
      </w:r>
      <w:r w:rsidR="001B0741">
        <w:t>S</w:t>
      </w:r>
      <w:r w:rsidR="009C6860">
        <w:t xml:space="preserve">ome of these same procedures </w:t>
      </w:r>
      <w:r w:rsidR="001B0741">
        <w:t xml:space="preserve">could potentially be useful for deciding how to </w:t>
      </w:r>
      <w:r w:rsidR="00DE7BE7">
        <w:t xml:space="preserve">handle </w:t>
      </w:r>
      <w:r w:rsidR="002B29C4">
        <w:t>instances of scientific dissent.</w:t>
      </w:r>
      <w:r w:rsidR="00144EBD">
        <w:t xml:space="preserve"> Third, one c</w:t>
      </w:r>
      <w:r w:rsidR="00423B92">
        <w:t>ould</w:t>
      </w:r>
      <w:r w:rsidR="00144EBD">
        <w:t xml:space="preserve"> draw from </w:t>
      </w:r>
      <w:r w:rsidR="00894EB3">
        <w:t>the literature that discusses ways of</w:t>
      </w:r>
      <w:r w:rsidR="00144EBD">
        <w:t xml:space="preserve"> structuring scientific communities </w:t>
      </w:r>
      <w:proofErr w:type="gramStart"/>
      <w:r w:rsidR="00144EBD">
        <w:t xml:space="preserve">in </w:t>
      </w:r>
      <w:r w:rsidR="00894EB3">
        <w:t>order to</w:t>
      </w:r>
      <w:proofErr w:type="gramEnd"/>
      <w:r w:rsidR="00894EB3">
        <w:t xml:space="preserve"> foster</w:t>
      </w:r>
      <w:r w:rsidR="00144EBD">
        <w:t xml:space="preserve"> transformative criticism of value judgments (see e.g., Longino 2002; Rolin </w:t>
      </w:r>
      <w:r w:rsidR="00423B92">
        <w:t>2017</w:t>
      </w:r>
      <w:r w:rsidR="00144EBD">
        <w:t xml:space="preserve">). When a scientific community has this kind of structure and has reached something approaching a consensus, it </w:t>
      </w:r>
      <w:r w:rsidR="00A25265">
        <w:t>might be</w:t>
      </w:r>
      <w:r w:rsidR="00144EBD">
        <w:t xml:space="preserve"> relatively safe to </w:t>
      </w:r>
      <w:r w:rsidR="00480A06">
        <w:t>ignore</w:t>
      </w:r>
      <w:r w:rsidR="00144EBD">
        <w:t xml:space="preserve"> dissenting views </w:t>
      </w:r>
      <w:r w:rsidR="002A1F83">
        <w:t>co</w:t>
      </w:r>
      <w:r w:rsidR="009E4F7D">
        <w:t>ming</w:t>
      </w:r>
      <w:r w:rsidR="00144EBD">
        <w:t xml:space="preserve"> from outside the scientific community</w:t>
      </w:r>
      <w:r w:rsidR="009E4F7D">
        <w:t xml:space="preserve">, whereas it might be </w:t>
      </w:r>
      <w:r w:rsidR="00E17FB2">
        <w:t>less safe to set aside dissenting views when the scientific community is not as well structured</w:t>
      </w:r>
      <w:r w:rsidR="00144EBD">
        <w:t xml:space="preserve"> (</w:t>
      </w:r>
      <w:r w:rsidR="00571F86">
        <w:t xml:space="preserve">Miller </w:t>
      </w:r>
      <w:r w:rsidR="00632CA8">
        <w:t>2013;</w:t>
      </w:r>
      <w:r w:rsidR="00571F86">
        <w:t xml:space="preserve"> </w:t>
      </w:r>
      <w:r w:rsidR="00144EBD">
        <w:t xml:space="preserve">Oreskes </w:t>
      </w:r>
      <w:r w:rsidR="00E17FB2">
        <w:t>2019</w:t>
      </w:r>
      <w:r w:rsidR="00144EBD">
        <w:t>).</w:t>
      </w:r>
      <w:r w:rsidR="00853E10">
        <w:t xml:space="preserve"> </w:t>
      </w:r>
    </w:p>
    <w:p w14:paraId="5BB53B29" w14:textId="12B4DF19" w:rsidR="002B29C4" w:rsidRDefault="002A1F83" w:rsidP="002127EC">
      <w:pPr>
        <w:ind w:firstLine="720"/>
      </w:pPr>
      <w:r>
        <w:t xml:space="preserve">A fourth way to draw on the literature about managing value judgments would be to explore how </w:t>
      </w:r>
      <w:r w:rsidR="00297DAE">
        <w:t>attention to the aims of inquiry could help guide responses to scientific dissent</w:t>
      </w:r>
      <w:r w:rsidR="00824B77">
        <w:t xml:space="preserve"> (</w:t>
      </w:r>
      <w:r w:rsidR="00532E45">
        <w:t>for more about the aims of inquiry, see Fern</w:t>
      </w:r>
      <w:r w:rsidR="00802F5D" w:rsidRPr="00FE3D05">
        <w:rPr>
          <w:rFonts w:ascii="Calibri" w:hAnsi="Calibri" w:cs="Calibri"/>
          <w:color w:val="222222"/>
          <w:shd w:val="clear" w:color="auto" w:fill="FFFFFF"/>
        </w:rPr>
        <w:t>á</w:t>
      </w:r>
      <w:r w:rsidR="00532E45">
        <w:t xml:space="preserve">ndez Pinto and Hicks </w:t>
      </w:r>
      <w:r w:rsidR="00470AAD">
        <w:t>2019</w:t>
      </w:r>
      <w:r w:rsidR="00532E45">
        <w:t xml:space="preserve">; </w:t>
      </w:r>
      <w:r w:rsidR="00532156">
        <w:t xml:space="preserve">Lusk and Elliott 2022; </w:t>
      </w:r>
      <w:proofErr w:type="spellStart"/>
      <w:r w:rsidR="00532E45">
        <w:t>Intemann</w:t>
      </w:r>
      <w:proofErr w:type="spellEnd"/>
      <w:r w:rsidR="00532E45">
        <w:t xml:space="preserve"> 2015)</w:t>
      </w:r>
      <w:r w:rsidR="00297DAE">
        <w:t xml:space="preserve">. For example, </w:t>
      </w:r>
      <w:r w:rsidR="006A51ED">
        <w:t>when dissenting views run counter to the overall aims of a</w:t>
      </w:r>
      <w:r w:rsidR="00AE2984">
        <w:t>n applied</w:t>
      </w:r>
      <w:r w:rsidR="006A51ED">
        <w:t xml:space="preserve"> field of science </w:t>
      </w:r>
      <w:r w:rsidR="00433739">
        <w:t xml:space="preserve">(e.g., conservation biology or environmental health) or a particular institution (e.g., the U.S. Centers for Disease Control or the U.S. Environmental Protection Agency), one might </w:t>
      </w:r>
      <w:r w:rsidR="001A31D2">
        <w:t xml:space="preserve">give it less attention than when the dissenting view </w:t>
      </w:r>
      <w:r w:rsidR="00AE2984">
        <w:t>could help to support those aims.</w:t>
      </w:r>
      <w:r w:rsidR="00C902D9">
        <w:t xml:space="preserve"> Fifth, </w:t>
      </w:r>
      <w:r w:rsidR="00177A66">
        <w:t xml:space="preserve">one could draw on the literature </w:t>
      </w:r>
      <w:r w:rsidR="00A16C1E">
        <w:t>that discusses how attention to</w:t>
      </w:r>
      <w:r w:rsidR="00177A66">
        <w:t xml:space="preserve"> cognitive attitudes could help with managing value judgments</w:t>
      </w:r>
      <w:r w:rsidR="00C902D9">
        <w:t xml:space="preserve">. </w:t>
      </w:r>
      <w:r w:rsidR="00A16C1E">
        <w:t xml:space="preserve">Some authors have drawn distinctions between the cognitive attitudes of </w:t>
      </w:r>
      <w:r w:rsidR="00A16C1E" w:rsidRPr="00527A47">
        <w:rPr>
          <w:i/>
          <w:iCs/>
        </w:rPr>
        <w:t>believing</w:t>
      </w:r>
      <w:r w:rsidR="00A16C1E">
        <w:t xml:space="preserve"> a </w:t>
      </w:r>
      <w:r w:rsidR="00527A47">
        <w:t xml:space="preserve">hypothesis to be true </w:t>
      </w:r>
      <w:r w:rsidR="00BD377D">
        <w:t>as opposed to</w:t>
      </w:r>
      <w:r w:rsidR="00527A47">
        <w:t xml:space="preserve"> </w:t>
      </w:r>
      <w:r w:rsidR="00527A47" w:rsidRPr="00527A47">
        <w:rPr>
          <w:i/>
          <w:iCs/>
        </w:rPr>
        <w:t>accepting</w:t>
      </w:r>
      <w:r w:rsidR="00527A47">
        <w:t xml:space="preserve"> it as a basis of action or </w:t>
      </w:r>
      <w:r w:rsidR="00D82269">
        <w:rPr>
          <w:i/>
          <w:iCs/>
        </w:rPr>
        <w:t>entertaining</w:t>
      </w:r>
      <w:r w:rsidR="00527A47">
        <w:t xml:space="preserve"> it as </w:t>
      </w:r>
      <w:r w:rsidR="00841D61">
        <w:t xml:space="preserve">a </w:t>
      </w:r>
      <w:r w:rsidR="00527A47">
        <w:t>possibility</w:t>
      </w:r>
      <w:r w:rsidR="00841D61">
        <w:t xml:space="preserve"> worth investigating</w:t>
      </w:r>
      <w:r w:rsidR="00527A47">
        <w:t xml:space="preserve"> (</w:t>
      </w:r>
      <w:r w:rsidR="00BD377D">
        <w:t xml:space="preserve">DiMarco and Khalifa </w:t>
      </w:r>
      <w:r w:rsidR="00C115CA">
        <w:t>2020</w:t>
      </w:r>
      <w:r w:rsidR="00BD377D">
        <w:t xml:space="preserve">; </w:t>
      </w:r>
      <w:r w:rsidR="00527A47">
        <w:t xml:space="preserve">Elliott and Willmes </w:t>
      </w:r>
      <w:r w:rsidR="00DA580F">
        <w:t>2013</w:t>
      </w:r>
      <w:r w:rsidR="00527A47">
        <w:t xml:space="preserve">; </w:t>
      </w:r>
      <w:r w:rsidR="00BD377D">
        <w:t xml:space="preserve">Lacey 2017). </w:t>
      </w:r>
      <w:r w:rsidR="00841D61">
        <w:t>This literature could be used to clarify the fact that a</w:t>
      </w:r>
      <w:r w:rsidR="00B04D48">
        <w:t xml:space="preserve"> dissenting view might</w:t>
      </w:r>
      <w:r w:rsidR="00841D61">
        <w:t xml:space="preserve"> be acceptable to </w:t>
      </w:r>
      <w:r w:rsidR="00353989">
        <w:t>consider or pursue even</w:t>
      </w:r>
      <w:r w:rsidR="001D1940">
        <w:t xml:space="preserve"> if</w:t>
      </w:r>
      <w:r w:rsidR="00353989">
        <w:t xml:space="preserve"> it were not appropriate to believe or employ as a basis for public policy making.</w:t>
      </w:r>
      <w:r w:rsidR="00527A47">
        <w:t xml:space="preserve"> </w:t>
      </w:r>
      <w:r w:rsidR="00C902D9">
        <w:t xml:space="preserve">Sixth, </w:t>
      </w:r>
      <w:r w:rsidR="00E75745">
        <w:t xml:space="preserve">along a similar vein </w:t>
      </w:r>
      <w:r w:rsidR="00353989">
        <w:t xml:space="preserve">one could draw on the </w:t>
      </w:r>
      <w:r w:rsidR="00DE7BE7">
        <w:t>literature that discusses</w:t>
      </w:r>
      <w:r w:rsidR="000724B8">
        <w:t xml:space="preserve"> </w:t>
      </w:r>
      <w:r w:rsidR="00E75745">
        <w:t>how to manage</w:t>
      </w:r>
      <w:r w:rsidR="00DE7BE7">
        <w:t xml:space="preserve"> </w:t>
      </w:r>
      <w:r w:rsidR="00507B30">
        <w:t xml:space="preserve">value judgments </w:t>
      </w:r>
      <w:r w:rsidR="00E75745">
        <w:t>when deciding</w:t>
      </w:r>
      <w:r w:rsidR="000724B8">
        <w:t xml:space="preserve"> what to say or communicate in various contexts</w:t>
      </w:r>
      <w:r w:rsidR="00507B30">
        <w:t xml:space="preserve"> (Franco</w:t>
      </w:r>
      <w:r w:rsidR="00141938">
        <w:t xml:space="preserve"> 2017; John 2019</w:t>
      </w:r>
      <w:r w:rsidR="00507B30">
        <w:t>).</w:t>
      </w:r>
      <w:r w:rsidR="00C86C6A">
        <w:t xml:space="preserve"> </w:t>
      </w:r>
      <w:r w:rsidR="005F7DBA">
        <w:t xml:space="preserve">For example, Stephen John (2019) argues that it would be more fruitful to </w:t>
      </w:r>
      <w:r w:rsidR="0058000E">
        <w:t xml:space="preserve">explore </w:t>
      </w:r>
      <w:r w:rsidR="006636FE">
        <w:t>the role of</w:t>
      </w:r>
      <w:r w:rsidR="0058000E">
        <w:t xml:space="preserve"> value</w:t>
      </w:r>
      <w:r w:rsidR="006636FE">
        <w:t xml:space="preserve">s in decisions about what to </w:t>
      </w:r>
      <w:r w:rsidR="006636FE" w:rsidRPr="006347D3">
        <w:rPr>
          <w:i/>
          <w:iCs/>
        </w:rPr>
        <w:t>communicate</w:t>
      </w:r>
      <w:r w:rsidR="006636FE">
        <w:t xml:space="preserve"> rather than focusing on the role of values in assessing the </w:t>
      </w:r>
      <w:r w:rsidR="006636FE" w:rsidRPr="006347D3">
        <w:rPr>
          <w:i/>
          <w:iCs/>
        </w:rPr>
        <w:t>justification</w:t>
      </w:r>
      <w:r w:rsidR="006636FE">
        <w:t xml:space="preserve"> of scientific claims.</w:t>
      </w:r>
      <w:r w:rsidR="00881F19">
        <w:t xml:space="preserve"> </w:t>
      </w:r>
      <w:r w:rsidR="00BC6AD6">
        <w:t xml:space="preserve">Building on this literature, one might find that </w:t>
      </w:r>
      <w:r w:rsidR="003969A1">
        <w:t xml:space="preserve">there are fruitful distinctions to be made </w:t>
      </w:r>
      <w:r w:rsidR="0098207E">
        <w:t>between</w:t>
      </w:r>
      <w:r w:rsidR="003969A1">
        <w:t xml:space="preserve"> the contexts in which </w:t>
      </w:r>
      <w:proofErr w:type="gramStart"/>
      <w:r w:rsidR="0098207E">
        <w:t xml:space="preserve">particular </w:t>
      </w:r>
      <w:r w:rsidR="003969A1">
        <w:t>dissenting</w:t>
      </w:r>
      <w:proofErr w:type="gramEnd"/>
      <w:r w:rsidR="003969A1">
        <w:t xml:space="preserve"> views are appropriate to </w:t>
      </w:r>
      <w:r w:rsidR="0098207E">
        <w:t>communicate and the contexts in which they are not</w:t>
      </w:r>
      <w:r w:rsidR="00BC6AD6">
        <w:t xml:space="preserve">. </w:t>
      </w:r>
    </w:p>
    <w:p w14:paraId="4E2EC77D" w14:textId="0AC152C7" w:rsidR="001027D9" w:rsidRDefault="001027D9" w:rsidP="002127EC">
      <w:pPr>
        <w:ind w:firstLine="720"/>
      </w:pPr>
      <w:r>
        <w:t xml:space="preserve">One might even be able to conceptualize </w:t>
      </w:r>
      <w:r w:rsidR="00B95C5E">
        <w:t>some of the existing proposals for handling scientific dissent under th</w:t>
      </w:r>
      <w:r w:rsidR="00972F0A">
        <w:t xml:space="preserve">e general framework proposed here. For example, one could regard </w:t>
      </w:r>
      <w:r w:rsidR="00CA643F">
        <w:t xml:space="preserve">Biddle and Leuschner’s (2015) </w:t>
      </w:r>
      <w:r w:rsidR="006C6A11">
        <w:t>or Miller’s (2021)</w:t>
      </w:r>
      <w:r w:rsidR="00E73E57">
        <w:t xml:space="preserve"> account</w:t>
      </w:r>
      <w:r w:rsidR="006C6A11">
        <w:t>s</w:t>
      </w:r>
      <w:r w:rsidR="00E73E57">
        <w:t xml:space="preserve"> of epistemically detrimental dissent</w:t>
      </w:r>
      <w:r w:rsidR="00CA643F">
        <w:t xml:space="preserve"> as a</w:t>
      </w:r>
      <w:r w:rsidR="00E73E57">
        <w:t xml:space="preserve"> form of</w:t>
      </w:r>
      <w:r w:rsidR="00774947">
        <w:t xml:space="preserve"> what</w:t>
      </w:r>
      <w:r w:rsidR="00CA643F">
        <w:t xml:space="preserve"> Holman and </w:t>
      </w:r>
      <w:proofErr w:type="spellStart"/>
      <w:r w:rsidR="00CA643F">
        <w:t>Wilholt</w:t>
      </w:r>
      <w:proofErr w:type="spellEnd"/>
      <w:r w:rsidR="00CA643F">
        <w:t xml:space="preserve"> (2022) </w:t>
      </w:r>
      <w:r w:rsidR="00774947">
        <w:t xml:space="preserve">call the </w:t>
      </w:r>
      <w:r w:rsidR="00CA643F">
        <w:t xml:space="preserve">axiological strategy for </w:t>
      </w:r>
      <w:r w:rsidR="00774947">
        <w:t xml:space="preserve">managing value judgments. In other words, </w:t>
      </w:r>
      <w:r w:rsidR="00B2251E">
        <w:t>these figures</w:t>
      </w:r>
      <w:r w:rsidR="00774947">
        <w:t xml:space="preserve"> </w:t>
      </w:r>
      <w:r w:rsidR="00A875A4">
        <w:t xml:space="preserve">argue that some forms of dissent employ such ethically problematic values (namely, </w:t>
      </w:r>
      <w:r w:rsidR="000F36F8">
        <w:t xml:space="preserve">the acceptance of </w:t>
      </w:r>
      <w:r w:rsidR="00A875A4">
        <w:t xml:space="preserve">unacceptable </w:t>
      </w:r>
      <w:r w:rsidR="001A51B9">
        <w:t xml:space="preserve">tradeoffs between risks to producers and </w:t>
      </w:r>
      <w:r w:rsidR="00735D5A">
        <w:t xml:space="preserve">risks to </w:t>
      </w:r>
      <w:r w:rsidR="001A51B9">
        <w:t xml:space="preserve">publics) that those forms of dissent are simply unacceptable. </w:t>
      </w:r>
      <w:r w:rsidR="00E26CB1">
        <w:t xml:space="preserve">However, my contention is that we needlessly limit ourselves in responding to scientific dissent if we focus on this strategy alone. There may be many cases of scientific dissent </w:t>
      </w:r>
      <w:r w:rsidR="00730258">
        <w:t xml:space="preserve">where it is less clear that the dissent is </w:t>
      </w:r>
      <w:r w:rsidR="002B7D88">
        <w:t>entirely</w:t>
      </w:r>
      <w:r w:rsidR="00730258">
        <w:t xml:space="preserve"> inappropriate, and yet </w:t>
      </w:r>
      <w:r w:rsidR="002B7D88">
        <w:t>the dissenting view</w:t>
      </w:r>
      <w:r w:rsidR="00730258">
        <w:t xml:space="preserve"> could still</w:t>
      </w:r>
      <w:r w:rsidR="008C18CB">
        <w:t xml:space="preserve"> cause social harm if careful efforts are not taken to manage it</w:t>
      </w:r>
      <w:r w:rsidR="002B7D88">
        <w:t xml:space="preserve"> in a </w:t>
      </w:r>
      <w:r w:rsidR="00EA5D2E">
        <w:t>thoughtful</w:t>
      </w:r>
      <w:r w:rsidR="002B7D88">
        <w:t xml:space="preserve"> fashion. Moreover, there may be</w:t>
      </w:r>
      <w:r w:rsidR="00EA5D2E">
        <w:t xml:space="preserve"> many</w:t>
      </w:r>
      <w:r w:rsidR="002B7D88">
        <w:t xml:space="preserve"> cases of dissent that do not lend themselves to being analyzed in terms of </w:t>
      </w:r>
      <w:r w:rsidR="007534BC">
        <w:t xml:space="preserve">Holman </w:t>
      </w:r>
      <w:r w:rsidR="007534BC">
        <w:lastRenderedPageBreak/>
        <w:t xml:space="preserve">and </w:t>
      </w:r>
      <w:proofErr w:type="spellStart"/>
      <w:r w:rsidR="007534BC">
        <w:t>Wilholt’s</w:t>
      </w:r>
      <w:proofErr w:type="spellEnd"/>
      <w:r w:rsidR="007534BC">
        <w:t xml:space="preserve"> axiological strategy. By focusing more broadly on the full range of ways that value judgments can be managed in science</w:t>
      </w:r>
      <w:r w:rsidR="00EA5D2E">
        <w:t xml:space="preserve">, we </w:t>
      </w:r>
      <w:r w:rsidR="007331D9">
        <w:t>open the door to a richer array of strategies for managing scientific dissent</w:t>
      </w:r>
      <w:r w:rsidR="007534BC">
        <w:t xml:space="preserve">. </w:t>
      </w:r>
      <w:r w:rsidR="008C18CB">
        <w:t xml:space="preserve"> </w:t>
      </w:r>
      <w:r w:rsidR="00774947">
        <w:t xml:space="preserve"> </w:t>
      </w:r>
      <w:r>
        <w:t xml:space="preserve"> </w:t>
      </w:r>
    </w:p>
    <w:p w14:paraId="123E9152" w14:textId="29052DCC" w:rsidR="002127EC" w:rsidRDefault="00C81EF5" w:rsidP="001027D9">
      <w:pPr>
        <w:ind w:firstLine="720"/>
      </w:pPr>
      <w:r>
        <w:t>Nevertheless, d</w:t>
      </w:r>
      <w:r w:rsidR="00D41BF2">
        <w:t>espite the potential promise of all the approaches for managing value judgments listed in this section,</w:t>
      </w:r>
      <w:r w:rsidR="0065454A">
        <w:t xml:space="preserve"> </w:t>
      </w:r>
      <w:r w:rsidR="003A0211">
        <w:t>these suggestions ar</w:t>
      </w:r>
      <w:r w:rsidR="00D41BF2">
        <w:t>e</w:t>
      </w:r>
      <w:r w:rsidR="003A0211">
        <w:t xml:space="preserve"> </w:t>
      </w:r>
      <w:r w:rsidR="00822DD9">
        <w:t xml:space="preserve">still </w:t>
      </w:r>
      <w:r w:rsidR="0088586B">
        <w:t>somewhat</w:t>
      </w:r>
      <w:r w:rsidR="00822DD9">
        <w:t xml:space="preserve"> general</w:t>
      </w:r>
      <w:r w:rsidR="00672A58">
        <w:t xml:space="preserve"> and superficial</w:t>
      </w:r>
      <w:r w:rsidR="00822DD9">
        <w:t xml:space="preserve">. </w:t>
      </w:r>
      <w:r w:rsidR="003A0211">
        <w:t xml:space="preserve">They are intended largely to </w:t>
      </w:r>
      <w:r w:rsidR="00DF2A6A">
        <w:t xml:space="preserve">highlight the </w:t>
      </w:r>
      <w:r w:rsidR="0088586B">
        <w:t xml:space="preserve">potential value of this </w:t>
      </w:r>
      <w:r w:rsidR="001C7DDA">
        <w:t>way forward</w:t>
      </w:r>
      <w:r w:rsidR="00DF2A6A">
        <w:t xml:space="preserve"> and to chart out</w:t>
      </w:r>
      <w:r w:rsidR="001C7DDA">
        <w:t xml:space="preserve"> potential </w:t>
      </w:r>
      <w:r w:rsidR="00DF2A6A">
        <w:t xml:space="preserve">opportunities for future scholarship. </w:t>
      </w:r>
      <w:r w:rsidR="00540D51">
        <w:t>To strengthen the argument that the literature on managing value judgments can help to navigate cases of scientific dissent</w:t>
      </w:r>
      <w:r w:rsidR="003C2A32">
        <w:t>, it is helpful to</w:t>
      </w:r>
      <w:r w:rsidR="00672A58">
        <w:t xml:space="preserve"> examine in more detail</w:t>
      </w:r>
      <w:r w:rsidR="003C2A32">
        <w:t xml:space="preserve"> how some of these suggestions could play out in a concrete case. </w:t>
      </w:r>
      <w:r w:rsidR="00822DD9">
        <w:t xml:space="preserve">The next section of the paper </w:t>
      </w:r>
      <w:r w:rsidR="003C2A32">
        <w:t xml:space="preserve">turns to this task. </w:t>
      </w:r>
      <w:r w:rsidR="000C6029">
        <w:t xml:space="preserve"> </w:t>
      </w:r>
    </w:p>
    <w:p w14:paraId="1D877303" w14:textId="0D49FEF1" w:rsidR="004D3C1E" w:rsidRPr="009165AC" w:rsidRDefault="000B02F7" w:rsidP="008C1040">
      <w:pPr>
        <w:rPr>
          <w:b/>
          <w:bCs/>
        </w:rPr>
      </w:pPr>
      <w:r>
        <w:rPr>
          <w:b/>
          <w:bCs/>
        </w:rPr>
        <w:t xml:space="preserve">5. </w:t>
      </w:r>
      <w:r w:rsidR="002B60EA">
        <w:rPr>
          <w:b/>
          <w:bCs/>
        </w:rPr>
        <w:t>A</w:t>
      </w:r>
      <w:r w:rsidR="003F093A">
        <w:rPr>
          <w:b/>
          <w:bCs/>
        </w:rPr>
        <w:t xml:space="preserve"> Case Study: Lyme Disease</w:t>
      </w:r>
    </w:p>
    <w:p w14:paraId="405A040A" w14:textId="3162D5E3" w:rsidR="004034D6" w:rsidRDefault="00A21F1D" w:rsidP="008C1040">
      <w:r>
        <w:tab/>
      </w:r>
      <w:r w:rsidR="000D6CFD">
        <w:t xml:space="preserve">To illustrate how </w:t>
      </w:r>
      <w:r w:rsidR="000B02F7">
        <w:t xml:space="preserve">the general approach described in this paper could prove fruitful for addressing scientific dissent in specific cases, this section </w:t>
      </w:r>
      <w:r w:rsidR="00023238">
        <w:t xml:space="preserve">briefly examines a case study involving </w:t>
      </w:r>
      <w:r w:rsidR="00217BF5">
        <w:t xml:space="preserve">the treatment of long-term symptoms associated with Lyme disease. Lyme disease </w:t>
      </w:r>
      <w:r w:rsidR="00C903C4">
        <w:t xml:space="preserve">is </w:t>
      </w:r>
      <w:r w:rsidR="005E37A5">
        <w:t xml:space="preserve">a bacterial infection </w:t>
      </w:r>
      <w:r w:rsidR="00365929">
        <w:t xml:space="preserve">spread by </w:t>
      </w:r>
      <w:proofErr w:type="gramStart"/>
      <w:r w:rsidR="00BC33F8">
        <w:t>particular species</w:t>
      </w:r>
      <w:proofErr w:type="gramEnd"/>
      <w:r w:rsidR="00BC33F8">
        <w:t xml:space="preserve"> of </w:t>
      </w:r>
      <w:r w:rsidR="00365929">
        <w:t xml:space="preserve">ticks, and when it is untreated it can cause a range of </w:t>
      </w:r>
      <w:r w:rsidR="00BC33F8">
        <w:t xml:space="preserve">serious </w:t>
      </w:r>
      <w:r w:rsidR="00365929">
        <w:t xml:space="preserve">symptoms including </w:t>
      </w:r>
      <w:r w:rsidR="006E619E">
        <w:t xml:space="preserve">arthritis, heart problems, memory </w:t>
      </w:r>
      <w:r w:rsidR="00F16F0D">
        <w:t xml:space="preserve">loss, confusion, and headaches. </w:t>
      </w:r>
      <w:r w:rsidR="00204CD9">
        <w:t>Medical guidelines call for the disease to be treated with short courses (</w:t>
      </w:r>
      <w:r w:rsidR="00BF120C">
        <w:t xml:space="preserve">10-28 </w:t>
      </w:r>
      <w:r w:rsidR="00915DFE">
        <w:t xml:space="preserve">days) of antibiotics, and the standard view accepted by </w:t>
      </w:r>
      <w:r w:rsidR="00BE3B2F">
        <w:t xml:space="preserve">major medical organizations and the U.S. Centers for Disease Control </w:t>
      </w:r>
      <w:r w:rsidR="00FF2B15">
        <w:t xml:space="preserve">(CDC) </w:t>
      </w:r>
      <w:r w:rsidR="00BE3B2F">
        <w:t xml:space="preserve">is that relatively few patients experience ongoing </w:t>
      </w:r>
      <w:r w:rsidR="008F078B">
        <w:t>symptoms after treatment</w:t>
      </w:r>
      <w:r w:rsidR="002D2061">
        <w:t xml:space="preserve"> (</w:t>
      </w:r>
      <w:proofErr w:type="spellStart"/>
      <w:r w:rsidR="00C80826">
        <w:t>Auwaerter</w:t>
      </w:r>
      <w:proofErr w:type="spellEnd"/>
      <w:r w:rsidR="00C80826">
        <w:t xml:space="preserve"> et al. 2011</w:t>
      </w:r>
      <w:r w:rsidR="00EB2B15">
        <w:t>b</w:t>
      </w:r>
      <w:r w:rsidR="002D2061">
        <w:t>)</w:t>
      </w:r>
      <w:r w:rsidR="008F078B">
        <w:t xml:space="preserve">. </w:t>
      </w:r>
      <w:r w:rsidR="006C2185">
        <w:t>According to the mainstream view, patients who do continue to have symptoms can be treated with another short course of antibiotics, but th</w:t>
      </w:r>
      <w:r w:rsidR="00B10A23">
        <w:t>ey should not be given long-term courses of antibiotics</w:t>
      </w:r>
      <w:r w:rsidR="008166C5">
        <w:t xml:space="preserve"> (</w:t>
      </w:r>
      <w:r w:rsidR="00EB2B15">
        <w:t>Lantos 2011; Stanek et al. 2012</w:t>
      </w:r>
      <w:r w:rsidR="008166C5">
        <w:t>)</w:t>
      </w:r>
      <w:r w:rsidR="00563D4A">
        <w:t xml:space="preserve">. On this view, </w:t>
      </w:r>
      <w:r w:rsidR="00E50878">
        <w:t xml:space="preserve">most cases of long-term symptoms following treatment are probably attributable to other </w:t>
      </w:r>
      <w:r w:rsidR="0030414B">
        <w:t>ailments, such as chronic fatigue syndrome or fibromyalgia</w:t>
      </w:r>
      <w:r w:rsidR="008166C5">
        <w:t xml:space="preserve"> (</w:t>
      </w:r>
      <w:proofErr w:type="spellStart"/>
      <w:r w:rsidR="008F7A25">
        <w:t>Auwaerter</w:t>
      </w:r>
      <w:proofErr w:type="spellEnd"/>
      <w:r w:rsidR="008F7A25">
        <w:t xml:space="preserve"> et al. 2011a</w:t>
      </w:r>
      <w:r w:rsidR="008166C5">
        <w:t>)</w:t>
      </w:r>
      <w:r w:rsidR="0030414B">
        <w:t>.</w:t>
      </w:r>
      <w:r w:rsidR="006818E6">
        <w:t xml:space="preserve"> </w:t>
      </w:r>
      <w:r w:rsidR="0030414B">
        <w:t xml:space="preserve">However, some patients, clinicians, and researchers </w:t>
      </w:r>
      <w:r w:rsidR="002D2061">
        <w:t xml:space="preserve">dissent from this widely accepted view. They claim </w:t>
      </w:r>
      <w:r w:rsidR="008166C5">
        <w:t>that a relatively large number (perhaps 10-20%) of treated patients experience long-term symptoms associated with Lyme disease (</w:t>
      </w:r>
      <w:r w:rsidR="00EC1A6A">
        <w:t>ILADS 2020</w:t>
      </w:r>
      <w:r w:rsidR="008166C5">
        <w:t xml:space="preserve">). Moreover, many of these dissenters </w:t>
      </w:r>
      <w:r w:rsidR="0071558B">
        <w:t xml:space="preserve">argue that the long-term symptoms could be associated with </w:t>
      </w:r>
      <w:r w:rsidR="0038119A">
        <w:t xml:space="preserve">an </w:t>
      </w:r>
      <w:r w:rsidR="0071558B">
        <w:t xml:space="preserve">ongoing </w:t>
      </w:r>
      <w:r w:rsidR="0038119A">
        <w:t xml:space="preserve">bacterial </w:t>
      </w:r>
      <w:r w:rsidR="0071558B">
        <w:t>infection</w:t>
      </w:r>
      <w:r w:rsidR="00D337A0">
        <w:t xml:space="preserve"> and that long-term antibiotic treatment can sometimes be helpful for </w:t>
      </w:r>
      <w:r w:rsidR="004034D6">
        <w:t>these patients (</w:t>
      </w:r>
      <w:proofErr w:type="spellStart"/>
      <w:r w:rsidR="008E5F4E">
        <w:t>Bernd</w:t>
      </w:r>
      <w:r w:rsidR="00C7713B">
        <w:t>tson</w:t>
      </w:r>
      <w:proofErr w:type="spellEnd"/>
      <w:r w:rsidR="00C7713B">
        <w:t xml:space="preserve"> 2013; ILADS 2020</w:t>
      </w:r>
      <w:r w:rsidR="004034D6">
        <w:t>).</w:t>
      </w:r>
    </w:p>
    <w:p w14:paraId="10995839" w14:textId="0160CFDD" w:rsidR="00C12A41" w:rsidRDefault="004034D6" w:rsidP="008C1040">
      <w:r>
        <w:tab/>
        <w:t>The</w:t>
      </w:r>
      <w:r w:rsidR="00600D3A">
        <w:t>se</w:t>
      </w:r>
      <w:r>
        <w:t xml:space="preserve"> “Lyme War</w:t>
      </w:r>
      <w:r w:rsidR="00600D3A">
        <w:t>s”</w:t>
      </w:r>
      <w:r>
        <w:t xml:space="preserve"> </w:t>
      </w:r>
      <w:r w:rsidR="00600D3A">
        <w:t xml:space="preserve">are very complex, and they </w:t>
      </w:r>
      <w:r w:rsidR="001519AF">
        <w:t xml:space="preserve">incorporate a </w:t>
      </w:r>
      <w:r w:rsidR="009B6421">
        <w:t>wide range</w:t>
      </w:r>
      <w:r w:rsidR="001519AF">
        <w:t xml:space="preserve"> of disputed claims about the behavior of the bacterium that causes Lyme</w:t>
      </w:r>
      <w:r w:rsidR="00623C14">
        <w:t xml:space="preserve"> disease</w:t>
      </w:r>
      <w:r w:rsidR="00771815">
        <w:t xml:space="preserve"> and the ticks that spread it</w:t>
      </w:r>
      <w:r w:rsidR="00C94F64">
        <w:t xml:space="preserve">, </w:t>
      </w:r>
      <w:r w:rsidR="00623C14">
        <w:t>the best methods of diagnosing the disease, the geographic distribution of the disease</w:t>
      </w:r>
      <w:r w:rsidR="00771815">
        <w:t xml:space="preserve">, </w:t>
      </w:r>
      <w:r w:rsidR="00B46A74">
        <w:t>the cause</w:t>
      </w:r>
      <w:r w:rsidR="00DD4778">
        <w:t>s</w:t>
      </w:r>
      <w:r w:rsidR="00B46A74">
        <w:t xml:space="preserve"> of long-term symptoms, and of course the best methods for treating those symptoms</w:t>
      </w:r>
      <w:r w:rsidR="009B6421">
        <w:t xml:space="preserve"> (</w:t>
      </w:r>
      <w:proofErr w:type="spellStart"/>
      <w:r w:rsidR="00B74120">
        <w:t>Dumes</w:t>
      </w:r>
      <w:proofErr w:type="spellEnd"/>
      <w:r w:rsidR="00B74120">
        <w:t xml:space="preserve"> 2020; </w:t>
      </w:r>
      <w:r w:rsidR="00387BDD">
        <w:t>Fallon</w:t>
      </w:r>
      <w:r w:rsidR="00097EDE">
        <w:t xml:space="preserve"> </w:t>
      </w:r>
      <w:r w:rsidR="007A13C3">
        <w:t xml:space="preserve">and </w:t>
      </w:r>
      <w:proofErr w:type="spellStart"/>
      <w:r w:rsidR="007A13C3">
        <w:t>Sotsky</w:t>
      </w:r>
      <w:proofErr w:type="spellEnd"/>
      <w:r w:rsidR="007A13C3">
        <w:t xml:space="preserve"> 2017</w:t>
      </w:r>
      <w:r w:rsidR="00097EDE">
        <w:t>; Pfeiffer 2018</w:t>
      </w:r>
      <w:r w:rsidR="009B6421">
        <w:t>)</w:t>
      </w:r>
      <w:r w:rsidR="00B46A74">
        <w:t>.</w:t>
      </w:r>
      <w:r w:rsidR="009B6421">
        <w:t xml:space="preserve"> For the purposes of this case study, I will focus </w:t>
      </w:r>
      <w:r w:rsidR="00BA587E">
        <w:t xml:space="preserve">only on a single topic </w:t>
      </w:r>
      <w:r w:rsidR="00390CB2">
        <w:t>of dissent, namely,</w:t>
      </w:r>
      <w:r w:rsidR="00BA587E">
        <w:t xml:space="preserve"> whether long-term antibiotic treatment could </w:t>
      </w:r>
      <w:r w:rsidR="00390CB2">
        <w:t>be appropriate</w:t>
      </w:r>
      <w:r w:rsidR="00F405C1">
        <w:t xml:space="preserve"> for those suffering from </w:t>
      </w:r>
      <w:r w:rsidR="003D39BA">
        <w:t>persistent</w:t>
      </w:r>
      <w:r w:rsidR="00F405C1">
        <w:t xml:space="preserve"> symptoms. </w:t>
      </w:r>
      <w:r w:rsidR="00C4443F">
        <w:t xml:space="preserve">The mainstream view on this issue is based largely on several randomized, controlled trials (RCTs) </w:t>
      </w:r>
      <w:r w:rsidR="009E741B">
        <w:t xml:space="preserve">that are generally interpreted as showing no benefit </w:t>
      </w:r>
      <w:r w:rsidR="00F96388">
        <w:t>for patients (</w:t>
      </w:r>
      <w:r w:rsidR="00086CCA">
        <w:t xml:space="preserve">Fallon et al. 2008; </w:t>
      </w:r>
      <w:proofErr w:type="spellStart"/>
      <w:r w:rsidR="00086CCA">
        <w:t>Klempner</w:t>
      </w:r>
      <w:proofErr w:type="spellEnd"/>
      <w:r w:rsidR="00086CCA">
        <w:t xml:space="preserve"> et al. 2001; Krupp et al. 2003</w:t>
      </w:r>
      <w:r w:rsidR="00F96388">
        <w:t>). Given that long-term antibiotic use, especially when administered intravenously, can have serious side effects for patients</w:t>
      </w:r>
      <w:r w:rsidR="0002108D">
        <w:t xml:space="preserve">, </w:t>
      </w:r>
      <w:r w:rsidR="00B37E05">
        <w:t xml:space="preserve">mainstream medical guidelines </w:t>
      </w:r>
      <w:r w:rsidR="00B5335A">
        <w:t>advise against this form of treatment</w:t>
      </w:r>
      <w:r w:rsidR="00B37E05">
        <w:t xml:space="preserve"> (</w:t>
      </w:r>
      <w:r w:rsidR="00504AF9">
        <w:t xml:space="preserve">Lantos et al. </w:t>
      </w:r>
      <w:r w:rsidR="00390FB3">
        <w:t>2021</w:t>
      </w:r>
      <w:r w:rsidR="00B37E05">
        <w:t>)</w:t>
      </w:r>
      <w:r w:rsidR="00B5335A">
        <w:t>.</w:t>
      </w:r>
      <w:r w:rsidR="001F4F56">
        <w:t xml:space="preserve"> Those who dissent from this view argue that the evidence provided by these RCTs is not compelling</w:t>
      </w:r>
      <w:r w:rsidR="008E5BB6">
        <w:t xml:space="preserve"> and that </w:t>
      </w:r>
      <w:r w:rsidR="003762F8">
        <w:t>there is at least some suggestive evidence indicating that long-term antibiotic treatment, including intravenous treatment, could be helpful for some patients (</w:t>
      </w:r>
      <w:r w:rsidR="00B05D56">
        <w:t>DeLong et al. 2012; Maloney 2016</w:t>
      </w:r>
      <w:r w:rsidR="003762F8">
        <w:t xml:space="preserve">). </w:t>
      </w:r>
      <w:r w:rsidR="00937B24">
        <w:t xml:space="preserve">These dissenters </w:t>
      </w:r>
      <w:r w:rsidR="007143E2">
        <w:t>lament</w:t>
      </w:r>
      <w:r w:rsidR="00CF28D0">
        <w:t xml:space="preserve"> that physicians </w:t>
      </w:r>
      <w:r w:rsidR="00CF28D0">
        <w:lastRenderedPageBreak/>
        <w:t>who prescrib</w:t>
      </w:r>
      <w:r w:rsidR="00DF1761">
        <w:t>e</w:t>
      </w:r>
      <w:r w:rsidR="00CF28D0">
        <w:t xml:space="preserve"> this form of treatment for desperate </w:t>
      </w:r>
      <w:proofErr w:type="gramStart"/>
      <w:r w:rsidR="00CF28D0">
        <w:t>patients</w:t>
      </w:r>
      <w:proofErr w:type="gramEnd"/>
      <w:r w:rsidR="00CF28D0">
        <w:t xml:space="preserve"> risk being censured by state medical boards</w:t>
      </w:r>
      <w:r w:rsidR="00C12A41">
        <w:t xml:space="preserve"> for acting</w:t>
      </w:r>
      <w:r w:rsidR="00DF1761">
        <w:t xml:space="preserve"> against the </w:t>
      </w:r>
      <w:r w:rsidR="00C12A41">
        <w:t xml:space="preserve">established medical </w:t>
      </w:r>
      <w:r w:rsidR="00DF1761">
        <w:t>guidelines (</w:t>
      </w:r>
      <w:r w:rsidR="00317FC7">
        <w:t>Johnson and Stricker 2009</w:t>
      </w:r>
      <w:r w:rsidR="00DF1761">
        <w:t>).</w:t>
      </w:r>
    </w:p>
    <w:p w14:paraId="376D372B" w14:textId="26A868AE" w:rsidR="0030414B" w:rsidRDefault="00C12A41" w:rsidP="008C1040">
      <w:r>
        <w:tab/>
      </w:r>
      <w:r w:rsidR="009A2727">
        <w:t>Th</w:t>
      </w:r>
      <w:r w:rsidR="00002EEB">
        <w:t>is case clearly illustrates</w:t>
      </w:r>
      <w:r w:rsidR="004A4EDA">
        <w:t xml:space="preserve"> </w:t>
      </w:r>
      <w:r w:rsidR="004F02DD">
        <w:t>how</w:t>
      </w:r>
      <w:r w:rsidR="004A4EDA">
        <w:t xml:space="preserve"> value judgments </w:t>
      </w:r>
      <w:r w:rsidR="004F02DD">
        <w:t>can be</w:t>
      </w:r>
      <w:r w:rsidR="004A4EDA">
        <w:t xml:space="preserve"> crucial</w:t>
      </w:r>
      <w:r w:rsidR="004F02DD">
        <w:t xml:space="preserve"> to </w:t>
      </w:r>
      <w:r w:rsidR="00686EDA">
        <w:t>difficult cases</w:t>
      </w:r>
      <w:r w:rsidR="0023201E">
        <w:t xml:space="preserve"> of</w:t>
      </w:r>
      <w:r w:rsidR="00686EDA">
        <w:t xml:space="preserve"> </w:t>
      </w:r>
      <w:r w:rsidR="004F02DD">
        <w:t>scientific</w:t>
      </w:r>
      <w:r w:rsidR="00053E70">
        <w:t xml:space="preserve"> dissent. </w:t>
      </w:r>
      <w:r w:rsidR="00483A72">
        <w:t>H</w:t>
      </w:r>
      <w:r w:rsidR="00E648DC">
        <w:t>igh-profile</w:t>
      </w:r>
      <w:r w:rsidR="00CF2C8A">
        <w:t xml:space="preserve"> experts responsible for advising the medical community </w:t>
      </w:r>
      <w:r w:rsidR="00E648DC">
        <w:t xml:space="preserve">about how to respond to Lyme </w:t>
      </w:r>
      <w:r w:rsidR="0045112A">
        <w:t xml:space="preserve">disease </w:t>
      </w:r>
      <w:r w:rsidR="0023201E">
        <w:t>label</w:t>
      </w:r>
      <w:r w:rsidR="00E648DC">
        <w:t xml:space="preserve"> the dissenting view as </w:t>
      </w:r>
      <w:r w:rsidR="00A23CBE">
        <w:t>“antiscientific, baseless and unethical” (</w:t>
      </w:r>
      <w:proofErr w:type="spellStart"/>
      <w:r w:rsidR="00A23CBE">
        <w:t>Auwaerter</w:t>
      </w:r>
      <w:proofErr w:type="spellEnd"/>
      <w:r w:rsidR="00A23CBE">
        <w:t xml:space="preserve"> et al. 2011</w:t>
      </w:r>
      <w:r w:rsidR="00BA0048">
        <w:t xml:space="preserve">b, </w:t>
      </w:r>
      <w:r w:rsidR="00483A72">
        <w:t xml:space="preserve">68; see also </w:t>
      </w:r>
      <w:proofErr w:type="spellStart"/>
      <w:r w:rsidR="00483A72">
        <w:t>Auwaerter</w:t>
      </w:r>
      <w:proofErr w:type="spellEnd"/>
      <w:r w:rsidR="00483A72">
        <w:t xml:space="preserve"> et al. 2011a</w:t>
      </w:r>
      <w:r w:rsidR="00A23CBE">
        <w:t>).</w:t>
      </w:r>
      <w:r w:rsidR="00E648DC">
        <w:t xml:space="preserve"> </w:t>
      </w:r>
      <w:r w:rsidR="0023201E">
        <w:t xml:space="preserve">Thus, they would </w:t>
      </w:r>
      <w:r w:rsidR="00532FB9">
        <w:t xml:space="preserve">presumably </w:t>
      </w:r>
      <w:r w:rsidR="002A2E67">
        <w:t>dismiss dissenting views in this case</w:t>
      </w:r>
      <w:r w:rsidR="0023201E">
        <w:t xml:space="preserve"> based on criteria like those propounded by Miller (2021). Nevertheless, </w:t>
      </w:r>
      <w:r w:rsidR="00CB2E57">
        <w:t>there are reasons to think that this could be</w:t>
      </w:r>
      <w:r w:rsidR="0023201E">
        <w:t xml:space="preserve"> a difficult case where </w:t>
      </w:r>
      <w:r w:rsidR="00A77A30">
        <w:t>there</w:t>
      </w:r>
      <w:r w:rsidR="00CB2E57">
        <w:t xml:space="preserve"> is</w:t>
      </w:r>
      <w:r w:rsidR="00A77A30">
        <w:t xml:space="preserve"> room for disagreement </w:t>
      </w:r>
      <w:proofErr w:type="gramStart"/>
      <w:r w:rsidR="00CB2E57">
        <w:t>as a result of</w:t>
      </w:r>
      <w:proofErr w:type="gramEnd"/>
      <w:r w:rsidR="00533BC1">
        <w:t xml:space="preserve"> </w:t>
      </w:r>
      <w:r w:rsidR="00C800F8">
        <w:t xml:space="preserve">multiple </w:t>
      </w:r>
      <w:r w:rsidR="00533BC1">
        <w:t xml:space="preserve">value judgments that need to be </w:t>
      </w:r>
      <w:r w:rsidR="00CB2E57">
        <w:t>assessed</w:t>
      </w:r>
      <w:r w:rsidR="00533BC1">
        <w:t>.</w:t>
      </w:r>
      <w:r w:rsidR="00EF7B6D">
        <w:t xml:space="preserve"> First, there are numerous case reports of Lyme patients who made dramatic improvements on this form of therapy (</w:t>
      </w:r>
      <w:r w:rsidR="00CA4F78">
        <w:t>Pfeiffer 2018</w:t>
      </w:r>
      <w:r w:rsidR="00EF7B6D">
        <w:t xml:space="preserve">), so one must decide how much weight to give this form of evidence relative to the evidence from RCTs. Second, </w:t>
      </w:r>
      <w:r w:rsidR="00133A70">
        <w:t>some of the RCTs did find evidence that long-term antibiotic therapy provided benefits on some endpoint</w:t>
      </w:r>
      <w:r w:rsidR="00BA5924">
        <w:t>s</w:t>
      </w:r>
      <w:r w:rsidR="00FC796F">
        <w:t xml:space="preserve"> (e.g., fatigue)</w:t>
      </w:r>
      <w:r w:rsidR="00BA5924">
        <w:t xml:space="preserve"> for </w:t>
      </w:r>
      <w:proofErr w:type="gramStart"/>
      <w:r w:rsidR="00BA5924">
        <w:t>particular periods</w:t>
      </w:r>
      <w:proofErr w:type="gramEnd"/>
      <w:r w:rsidR="00BA5924">
        <w:t xml:space="preserve"> of tim</w:t>
      </w:r>
      <w:r w:rsidR="00342FB6">
        <w:t>e (</w:t>
      </w:r>
      <w:r w:rsidR="003D39BA">
        <w:t xml:space="preserve">Fallon and </w:t>
      </w:r>
      <w:proofErr w:type="spellStart"/>
      <w:r w:rsidR="003D39BA">
        <w:t>Sotsky</w:t>
      </w:r>
      <w:proofErr w:type="spellEnd"/>
      <w:r w:rsidR="003D39BA">
        <w:t xml:space="preserve"> 2017</w:t>
      </w:r>
      <w:r w:rsidR="00342FB6">
        <w:t>); therefore, one must consider how much significance to place on those improvements.</w:t>
      </w:r>
      <w:r w:rsidR="004A4EDA">
        <w:t xml:space="preserve"> </w:t>
      </w:r>
      <w:r w:rsidR="0058006A">
        <w:t>Third, one must consider a variety of potential weaknesses in the study</w:t>
      </w:r>
      <w:r w:rsidR="00FC796F">
        <w:t xml:space="preserve"> designs of the RCTs and evaluate whether they still provide adequate evidence for the conclusion that long-term antibiotic therapy is ineffective</w:t>
      </w:r>
      <w:r w:rsidR="00160C89">
        <w:t xml:space="preserve"> (Maloney 2016)</w:t>
      </w:r>
      <w:r w:rsidR="00FC796F">
        <w:t xml:space="preserve">. One of these weaknesses is that the patients included in </w:t>
      </w:r>
      <w:r w:rsidR="000A0D47">
        <w:t xml:space="preserve">at least some of the studies </w:t>
      </w:r>
      <w:r w:rsidR="001C3642">
        <w:t xml:space="preserve">had already received </w:t>
      </w:r>
      <w:proofErr w:type="gramStart"/>
      <w:r w:rsidR="001C3642">
        <w:t>fairly extensive</w:t>
      </w:r>
      <w:proofErr w:type="gramEnd"/>
      <w:r w:rsidR="001C3642">
        <w:t xml:space="preserve"> treatment with antibiotics, so they might have been less likely to benefit than other patients (</w:t>
      </w:r>
      <w:r w:rsidR="00160C89">
        <w:t xml:space="preserve">Fallon and </w:t>
      </w:r>
      <w:proofErr w:type="spellStart"/>
      <w:r w:rsidR="00160C89">
        <w:t>Sotsky</w:t>
      </w:r>
      <w:proofErr w:type="spellEnd"/>
      <w:r w:rsidR="00160C89">
        <w:t xml:space="preserve"> 2017</w:t>
      </w:r>
      <w:r w:rsidR="001C3642">
        <w:t>). Another weakness is that the RCTs focused solely on treatment with a single antibiotic, whereas the clinicians who engage in long-term antibiotic therapy often use combinations of different drugs and other therapies designed to maximize the effectiveness of the antibiotic</w:t>
      </w:r>
      <w:r w:rsidR="0001230C">
        <w:t>s against what these clinicians consider to be highly recalcitrant infections (</w:t>
      </w:r>
      <w:r w:rsidR="009C7BA6">
        <w:t>Pfeiffer 2018</w:t>
      </w:r>
      <w:r w:rsidR="0001230C">
        <w:t>).</w:t>
      </w:r>
      <w:r w:rsidR="00D14AB3">
        <w:t xml:space="preserve"> Some critics of the RCTs also consider them to be statistically underpowered (</w:t>
      </w:r>
      <w:r w:rsidR="0085551D">
        <w:t>DeLong et al. 2012</w:t>
      </w:r>
      <w:r w:rsidR="00D14AB3">
        <w:t xml:space="preserve">). Thus, </w:t>
      </w:r>
      <w:r w:rsidR="00C71954">
        <w:t>even though</w:t>
      </w:r>
      <w:r w:rsidR="00345478">
        <w:t xml:space="preserve"> high-profile</w:t>
      </w:r>
      <w:r w:rsidR="00C71954">
        <w:t xml:space="preserve"> experts </w:t>
      </w:r>
      <w:r w:rsidR="0090694E">
        <w:t>appear to dismiss</w:t>
      </w:r>
      <w:r w:rsidR="00C71954">
        <w:t xml:space="preserve"> dissent in the Lyme case as inappropriate, this </w:t>
      </w:r>
      <w:r w:rsidR="009B625A">
        <w:t>seems to be a difficult case where the management approach proposed in this paper could be helpful</w:t>
      </w:r>
      <w:r w:rsidR="007D1E26">
        <w:t>.</w:t>
      </w:r>
      <w:r w:rsidR="0058006A">
        <w:t xml:space="preserve"> </w:t>
      </w:r>
      <w:r w:rsidR="0002108D">
        <w:t xml:space="preserve"> </w:t>
      </w:r>
      <w:r w:rsidR="00F96388">
        <w:t xml:space="preserve"> </w:t>
      </w:r>
      <w:r w:rsidR="00B46A74">
        <w:t xml:space="preserve"> </w:t>
      </w:r>
      <w:r w:rsidR="00623C14">
        <w:t xml:space="preserve"> </w:t>
      </w:r>
      <w:r w:rsidR="00600D3A">
        <w:t xml:space="preserve"> </w:t>
      </w:r>
      <w:r w:rsidR="004034D6">
        <w:t xml:space="preserve"> </w:t>
      </w:r>
      <w:r w:rsidR="00D337A0">
        <w:t xml:space="preserve"> </w:t>
      </w:r>
      <w:r w:rsidR="0038119A">
        <w:t xml:space="preserve">  </w:t>
      </w:r>
    </w:p>
    <w:p w14:paraId="4DF535AB" w14:textId="541D18D7" w:rsidR="000F018B" w:rsidRDefault="008D245B" w:rsidP="0088586B">
      <w:r>
        <w:t xml:space="preserve"> </w:t>
      </w:r>
      <w:r w:rsidR="0088586B">
        <w:tab/>
        <w:t xml:space="preserve">As discussed </w:t>
      </w:r>
      <w:r w:rsidR="006123D8">
        <w:t xml:space="preserve">in the previous section, </w:t>
      </w:r>
      <w:r w:rsidR="004268BF">
        <w:t>physicians, patients, and policy makers</w:t>
      </w:r>
      <w:r w:rsidR="006123D8">
        <w:t xml:space="preserve"> could attempt to manage these disputed value judgments in a number of different ways</w:t>
      </w:r>
      <w:r w:rsidR="008C5B7F">
        <w:t>, depending on which management strategies</w:t>
      </w:r>
      <w:r w:rsidR="004A1E2E">
        <w:t xml:space="preserve"> </w:t>
      </w:r>
      <w:r w:rsidR="002A12AE">
        <w:t xml:space="preserve">from the literature on values and science </w:t>
      </w:r>
      <w:r w:rsidR="004268BF">
        <w:t>seemed most helpful and feasible</w:t>
      </w:r>
      <w:r w:rsidR="002A12AE">
        <w:t xml:space="preserve">. </w:t>
      </w:r>
      <w:r w:rsidR="00D41BF2">
        <w:t xml:space="preserve">This section briefly </w:t>
      </w:r>
      <w:r w:rsidR="00143C40">
        <w:t xml:space="preserve">considers three specific approaches </w:t>
      </w:r>
      <w:r w:rsidR="00EA5CF8">
        <w:t xml:space="preserve">that </w:t>
      </w:r>
      <w:r w:rsidR="00143C40">
        <w:t xml:space="preserve">could </w:t>
      </w:r>
      <w:r w:rsidR="00EA5CF8">
        <w:t xml:space="preserve">potentially </w:t>
      </w:r>
      <w:r w:rsidR="00143C40">
        <w:t xml:space="preserve">help </w:t>
      </w:r>
      <w:r w:rsidR="00EA5CF8">
        <w:t>to navigate</w:t>
      </w:r>
      <w:r w:rsidR="00143C40">
        <w:t xml:space="preserve"> dissent in the Lyme case: </w:t>
      </w:r>
      <w:r w:rsidR="00B03237">
        <w:t xml:space="preserve">(1) </w:t>
      </w:r>
      <w:r w:rsidR="007D3CB4">
        <w:t>reflection on cognitive attitudes and communicative strategies</w:t>
      </w:r>
      <w:r w:rsidR="00B03237">
        <w:t xml:space="preserve">, (2) </w:t>
      </w:r>
      <w:r w:rsidR="007D3CB4">
        <w:t>transparency</w:t>
      </w:r>
      <w:r w:rsidR="00995678">
        <w:t xml:space="preserve"> about the value judgments</w:t>
      </w:r>
      <w:r w:rsidR="00AB14F3">
        <w:t xml:space="preserve"> and</w:t>
      </w:r>
      <w:r w:rsidR="00744F0B">
        <w:t xml:space="preserve"> major</w:t>
      </w:r>
      <w:r w:rsidR="00AB14F3">
        <w:t xml:space="preserve"> </w:t>
      </w:r>
      <w:r w:rsidR="00744F0B">
        <w:t>considerations underlying them</w:t>
      </w:r>
      <w:r w:rsidR="007D3CB4">
        <w:t xml:space="preserve">, and (3) </w:t>
      </w:r>
      <w:r w:rsidR="00B03237">
        <w:t>engagement</w:t>
      </w:r>
      <w:r w:rsidR="00744F0B">
        <w:t xml:space="preserve"> between stakeholders and community members</w:t>
      </w:r>
      <w:r w:rsidR="00B03237">
        <w:t>.</w:t>
      </w:r>
      <w:r w:rsidR="007D3CB4">
        <w:t xml:space="preserve"> Although none of these approaches provide simple solutions that resolve all difficulties, they do provide avenues for moving forward in productive ways.</w:t>
      </w:r>
      <w:r w:rsidR="00B03237">
        <w:t xml:space="preserve"> </w:t>
      </w:r>
    </w:p>
    <w:p w14:paraId="6C323124" w14:textId="6F67F1F0" w:rsidR="00930DA5" w:rsidRDefault="000F018B" w:rsidP="0088586B">
      <w:r>
        <w:tab/>
      </w:r>
      <w:r w:rsidR="00CB3A11">
        <w:t xml:space="preserve">First, let us consider how </w:t>
      </w:r>
      <w:r w:rsidR="00725630">
        <w:t xml:space="preserve">attention to cognitive attitudes and communicative strategies could be helpful. </w:t>
      </w:r>
      <w:r w:rsidR="001E5FE2">
        <w:t xml:space="preserve">The central idea </w:t>
      </w:r>
      <w:r w:rsidR="00871FA1">
        <w:t xml:space="preserve">of these sorts of approaches is that </w:t>
      </w:r>
      <w:r w:rsidR="00BD71D9">
        <w:t xml:space="preserve">physicians, clinical researchers, and policy makers </w:t>
      </w:r>
      <w:r w:rsidR="00871FA1">
        <w:t xml:space="preserve">seeking to navigate dissent could </w:t>
      </w:r>
      <w:r w:rsidR="00792038">
        <w:t xml:space="preserve">employ </w:t>
      </w:r>
      <w:r w:rsidR="007263F5">
        <w:t>nuanced</w:t>
      </w:r>
      <w:r w:rsidR="00792038">
        <w:t xml:space="preserve"> cognitive attitudes </w:t>
      </w:r>
      <w:r w:rsidR="007263F5">
        <w:t xml:space="preserve">toward the dissenting view </w:t>
      </w:r>
      <w:r w:rsidR="00792038">
        <w:t xml:space="preserve">and </w:t>
      </w:r>
      <w:r w:rsidR="007263F5">
        <w:t xml:space="preserve">employ </w:t>
      </w:r>
      <w:r w:rsidR="00792038">
        <w:t xml:space="preserve">different approaches to communicating about </w:t>
      </w:r>
      <w:r w:rsidR="007263F5">
        <w:t>it</w:t>
      </w:r>
      <w:r w:rsidR="00792038">
        <w:t xml:space="preserve"> in different contexts</w:t>
      </w:r>
      <w:r w:rsidR="007263F5">
        <w:t xml:space="preserve"> (see e.g., </w:t>
      </w:r>
      <w:r w:rsidR="0084437D">
        <w:t xml:space="preserve">Franco 2017; John 2019; </w:t>
      </w:r>
      <w:proofErr w:type="spellStart"/>
      <w:r w:rsidR="0084437D">
        <w:t>McKaughan</w:t>
      </w:r>
      <w:proofErr w:type="spellEnd"/>
      <w:r w:rsidR="0084437D">
        <w:t xml:space="preserve"> and Elliott </w:t>
      </w:r>
      <w:r w:rsidR="00257E82">
        <w:t>2015</w:t>
      </w:r>
      <w:r w:rsidR="0084437D">
        <w:t>)</w:t>
      </w:r>
      <w:r w:rsidR="00792038">
        <w:t xml:space="preserve">. </w:t>
      </w:r>
      <w:r w:rsidR="0015184F">
        <w:t>For example,</w:t>
      </w:r>
      <w:r w:rsidR="000560E7">
        <w:t xml:space="preserve"> </w:t>
      </w:r>
      <w:r w:rsidR="00435035">
        <w:t xml:space="preserve">suppose </w:t>
      </w:r>
      <w:r w:rsidR="00EE6DC1">
        <w:t xml:space="preserve">a </w:t>
      </w:r>
      <w:r w:rsidR="00852625">
        <w:t>clinical researcher studying Lyme disease</w:t>
      </w:r>
      <w:r w:rsidR="00435035">
        <w:t xml:space="preserve"> concluded that</w:t>
      </w:r>
      <w:r w:rsidR="00C3715A">
        <w:t xml:space="preserve"> there </w:t>
      </w:r>
      <w:r w:rsidR="00435035">
        <w:t>wa</w:t>
      </w:r>
      <w:r w:rsidR="00C3715A">
        <w:t xml:space="preserve">s not enough evidence for the dissenting view </w:t>
      </w:r>
      <w:r w:rsidR="00435035">
        <w:t>about</w:t>
      </w:r>
      <w:r w:rsidR="00C3715A">
        <w:t xml:space="preserve"> long-term antibiotics to believe it or even to accept it </w:t>
      </w:r>
      <w:r w:rsidR="00BD0DFD">
        <w:t xml:space="preserve">under most circumstances. </w:t>
      </w:r>
      <w:r w:rsidR="0072288F">
        <w:t xml:space="preserve">If </w:t>
      </w:r>
      <w:r w:rsidR="00EE6DC1">
        <w:t>they</w:t>
      </w:r>
      <w:r w:rsidR="0072288F">
        <w:t xml:space="preserve"> took this view</w:t>
      </w:r>
      <w:r w:rsidR="006E652F">
        <w:t xml:space="preserve">, </w:t>
      </w:r>
      <w:r w:rsidR="00EE6DC1">
        <w:t xml:space="preserve">they </w:t>
      </w:r>
      <w:r w:rsidR="006E652F">
        <w:t>might</w:t>
      </w:r>
      <w:r w:rsidR="0095442E">
        <w:t xml:space="preserve"> conclude that </w:t>
      </w:r>
      <w:r w:rsidR="00343844">
        <w:t xml:space="preserve">it would </w:t>
      </w:r>
      <w:r w:rsidR="008F199B">
        <w:t xml:space="preserve">generally </w:t>
      </w:r>
      <w:r w:rsidR="00343844">
        <w:t>be inappropriate</w:t>
      </w:r>
      <w:r w:rsidR="0095442E">
        <w:t xml:space="preserve"> to communicat</w:t>
      </w:r>
      <w:r w:rsidR="002A504E">
        <w:t>e</w:t>
      </w:r>
      <w:r w:rsidR="0095442E">
        <w:t xml:space="preserve"> </w:t>
      </w:r>
      <w:r w:rsidR="002A504E">
        <w:t xml:space="preserve">about </w:t>
      </w:r>
      <w:r w:rsidR="00343844">
        <w:t>the dissenting view</w:t>
      </w:r>
      <w:r w:rsidR="002A504E">
        <w:t xml:space="preserve">. </w:t>
      </w:r>
      <w:r w:rsidR="008A7F45">
        <w:t xml:space="preserve">Thus, </w:t>
      </w:r>
      <w:r w:rsidR="00852625">
        <w:t>they</w:t>
      </w:r>
      <w:r w:rsidR="008A7F45">
        <w:t xml:space="preserve"> might </w:t>
      </w:r>
      <w:r w:rsidR="00852625">
        <w:t xml:space="preserve">advise </w:t>
      </w:r>
      <w:r w:rsidR="00653E80">
        <w:t xml:space="preserve">government agencies like the CDC and the National Institutes of Health (NIH) to focus on communicating the mainstream view in their messaging and on their websites. They might also advise </w:t>
      </w:r>
      <w:r w:rsidR="00653E80">
        <w:lastRenderedPageBreak/>
        <w:t xml:space="preserve">that </w:t>
      </w:r>
      <w:r w:rsidR="00351681">
        <w:t xml:space="preserve">clinical </w:t>
      </w:r>
      <w:r w:rsidR="00EC6700">
        <w:t>practice guidelines</w:t>
      </w:r>
      <w:r w:rsidR="00852625">
        <w:t xml:space="preserve"> be formulated</w:t>
      </w:r>
      <w:r w:rsidR="00EC6700">
        <w:t xml:space="preserve"> </w:t>
      </w:r>
      <w:r w:rsidR="008A7F45">
        <w:t>in such a way that the</w:t>
      </w:r>
      <w:r w:rsidR="00C55297">
        <w:t xml:space="preserve"> guidelines</w:t>
      </w:r>
      <w:r w:rsidR="00EC6700">
        <w:t xml:space="preserve"> focus </w:t>
      </w:r>
      <w:r w:rsidR="008A7F45">
        <w:t xml:space="preserve">solely </w:t>
      </w:r>
      <w:r w:rsidR="00EC6700">
        <w:t xml:space="preserve">on </w:t>
      </w:r>
      <w:r w:rsidR="00EF19D1">
        <w:t xml:space="preserve">describing </w:t>
      </w:r>
      <w:r w:rsidR="00EC6700">
        <w:t>the mainstream view</w:t>
      </w:r>
      <w:r w:rsidR="001566B0">
        <w:t>.</w:t>
      </w:r>
      <w:r w:rsidR="00EC6700">
        <w:t xml:space="preserve"> </w:t>
      </w:r>
      <w:r w:rsidR="00F22AA2">
        <w:t xml:space="preserve"> </w:t>
      </w:r>
    </w:p>
    <w:p w14:paraId="00749D27" w14:textId="01B968E5" w:rsidR="004E665F" w:rsidRDefault="00006177" w:rsidP="00FF2B15">
      <w:pPr>
        <w:ind w:firstLine="720"/>
      </w:pPr>
      <w:r>
        <w:t xml:space="preserve">However, </w:t>
      </w:r>
      <w:r w:rsidR="00FF2B15">
        <w:t>the benefit of exploring ways to navigate dissent wit</w:t>
      </w:r>
      <w:r w:rsidR="008374C3">
        <w:t>h</w:t>
      </w:r>
      <w:r w:rsidR="00FF2B15">
        <w:t xml:space="preserve"> </w:t>
      </w:r>
      <w:r w:rsidR="006A39FB">
        <w:t xml:space="preserve">creative </w:t>
      </w:r>
      <w:r w:rsidR="00FF2B15">
        <w:t xml:space="preserve">cognitive attitudes and communicative strategies is that </w:t>
      </w:r>
      <w:r w:rsidR="004471AD">
        <w:t xml:space="preserve">it </w:t>
      </w:r>
      <w:r w:rsidR="001F68A8">
        <w:t xml:space="preserve">suggests the possibility of </w:t>
      </w:r>
      <w:r w:rsidR="0075510E">
        <w:t>communicating about</w:t>
      </w:r>
      <w:r w:rsidR="00F25C0B">
        <w:t xml:space="preserve"> </w:t>
      </w:r>
      <w:r w:rsidR="00B5310B">
        <w:t xml:space="preserve">or entertaining or acting on </w:t>
      </w:r>
      <w:r w:rsidR="00F25C0B">
        <w:t xml:space="preserve">the dissenting view in some </w:t>
      </w:r>
      <w:r w:rsidR="00756458">
        <w:t>contexts</w:t>
      </w:r>
      <w:r w:rsidR="00F25C0B">
        <w:t xml:space="preserve">. </w:t>
      </w:r>
      <w:r w:rsidR="008374C3">
        <w:t xml:space="preserve">For example, in </w:t>
      </w:r>
      <w:r>
        <w:t xml:space="preserve">some </w:t>
      </w:r>
      <w:r w:rsidR="00272934">
        <w:t xml:space="preserve">unique </w:t>
      </w:r>
      <w:r>
        <w:t xml:space="preserve">situations the risk/benefit profile </w:t>
      </w:r>
      <w:r w:rsidR="008374C3">
        <w:t xml:space="preserve">of acting on </w:t>
      </w:r>
      <w:r w:rsidR="006F4658">
        <w:t>or</w:t>
      </w:r>
      <w:r w:rsidR="008374C3">
        <w:t xml:space="preserve"> communicating about </w:t>
      </w:r>
      <w:r w:rsidR="006F4658">
        <w:t>the dissenting view</w:t>
      </w:r>
      <w:r w:rsidR="008374C3">
        <w:t xml:space="preserve"> might be different fr</w:t>
      </w:r>
      <w:r w:rsidR="00AE7823">
        <w:t>om mor</w:t>
      </w:r>
      <w:r w:rsidR="00272934">
        <w:t xml:space="preserve">e </w:t>
      </w:r>
      <w:r w:rsidR="00AE7823">
        <w:t>typical situations</w:t>
      </w:r>
      <w:r w:rsidR="00351681">
        <w:t xml:space="preserve">. </w:t>
      </w:r>
      <w:r w:rsidR="0075510E">
        <w:t>I</w:t>
      </w:r>
      <w:r w:rsidR="00AE7823">
        <w:t xml:space="preserve">n cases where </w:t>
      </w:r>
      <w:r w:rsidR="00351681">
        <w:t>patients</w:t>
      </w:r>
      <w:r w:rsidR="00AE7823">
        <w:t xml:space="preserve"> </w:t>
      </w:r>
      <w:r w:rsidR="00C378D1">
        <w:t>we</w:t>
      </w:r>
      <w:r w:rsidR="00AE7823">
        <w:t>re</w:t>
      </w:r>
      <w:r w:rsidR="00B66A7E">
        <w:t xml:space="preserve"> suffer</w:t>
      </w:r>
      <w:r w:rsidR="00272934">
        <w:t>ing</w:t>
      </w:r>
      <w:r w:rsidR="00B66A7E">
        <w:t xml:space="preserve"> from severe long-term symptoms that c</w:t>
      </w:r>
      <w:r w:rsidR="00C378D1">
        <w:t>ould not</w:t>
      </w:r>
      <w:r w:rsidR="00B66A7E">
        <w:t xml:space="preserve"> be alleviated by other means</w:t>
      </w:r>
      <w:r w:rsidR="00DA140D">
        <w:t xml:space="preserve">, </w:t>
      </w:r>
      <w:r w:rsidR="00B66A7E">
        <w:t xml:space="preserve">it might make sense for clinicians to discuss the dissenting view with them </w:t>
      </w:r>
      <w:r w:rsidR="00D62D59">
        <w:t>so they c</w:t>
      </w:r>
      <w:r w:rsidR="00C378D1">
        <w:t>ould</w:t>
      </w:r>
      <w:r w:rsidR="00D62D59">
        <w:t xml:space="preserve"> decide whether the </w:t>
      </w:r>
      <w:r w:rsidR="00C378D1">
        <w:t xml:space="preserve">(admittedly </w:t>
      </w:r>
      <w:r w:rsidR="0075510E">
        <w:t>speculative</w:t>
      </w:r>
      <w:r w:rsidR="00C378D1">
        <w:t>)</w:t>
      </w:r>
      <w:r w:rsidR="00D62D59">
        <w:t xml:space="preserve"> potential benefits might outweigh the known risks.</w:t>
      </w:r>
      <w:r w:rsidR="00C630F2">
        <w:t xml:space="preserve"> </w:t>
      </w:r>
      <w:r w:rsidR="00B062D4">
        <w:t xml:space="preserve">If the patients concluded </w:t>
      </w:r>
      <w:r w:rsidR="0051207F">
        <w:t>that they were willing to face the risks for the sake of the possible benefits, it might also be appropriate for their clinicians to act on the dissenting view</w:t>
      </w:r>
      <w:r w:rsidR="00205F5A">
        <w:t xml:space="preserve"> and provide the patients with long-term antibiotics</w:t>
      </w:r>
      <w:r w:rsidR="00985B5C">
        <w:t xml:space="preserve"> (even if the clinicians did not believe the dissenting view to be correct; Elliott and </w:t>
      </w:r>
      <w:proofErr w:type="spellStart"/>
      <w:r w:rsidR="00985B5C">
        <w:t>Willmes</w:t>
      </w:r>
      <w:proofErr w:type="spellEnd"/>
      <w:r w:rsidR="00985B5C">
        <w:t xml:space="preserve"> 2013)</w:t>
      </w:r>
      <w:r w:rsidR="00205F5A">
        <w:t xml:space="preserve">. However, even if it were appropriate to provide this form of treatment for patients, further deliberation would be needed </w:t>
      </w:r>
      <w:proofErr w:type="gramStart"/>
      <w:r w:rsidR="00205F5A">
        <w:t>in order to</w:t>
      </w:r>
      <w:proofErr w:type="gramEnd"/>
      <w:r w:rsidR="00205F5A">
        <w:t xml:space="preserve"> determine whether </w:t>
      </w:r>
      <w:r w:rsidR="008A1891">
        <w:t>health insurance companies or government-run health systems should pay for the treatment despite the limited evidence in support of it.</w:t>
      </w:r>
      <w:r w:rsidR="00AC2530">
        <w:t xml:space="preserve"> </w:t>
      </w:r>
      <w:r w:rsidR="001478E4">
        <w:t>And</w:t>
      </w:r>
      <w:r w:rsidR="003F7098">
        <w:t xml:space="preserve"> e</w:t>
      </w:r>
      <w:r w:rsidR="00CC6AB0">
        <w:t>ven if one concluded that there w</w:t>
      </w:r>
      <w:r w:rsidR="003F7098">
        <w:t>as</w:t>
      </w:r>
      <w:r w:rsidR="00CC6AB0">
        <w:t xml:space="preserve"> not enough evidence to reimburse such treatment, o</w:t>
      </w:r>
      <w:r w:rsidR="009E57DF">
        <w:t xml:space="preserve">ne might </w:t>
      </w:r>
      <w:r w:rsidR="00CC6AB0">
        <w:t xml:space="preserve">still </w:t>
      </w:r>
      <w:r w:rsidR="009E57DF">
        <w:t xml:space="preserve">think that there </w:t>
      </w:r>
      <w:r w:rsidR="00CC6AB0">
        <w:t>wa</w:t>
      </w:r>
      <w:r w:rsidR="009E57DF">
        <w:t xml:space="preserve">s enough evidence to pursue further research related to it (DiMarco and Khalifa </w:t>
      </w:r>
      <w:r w:rsidR="00CC6AB0">
        <w:t>2019</w:t>
      </w:r>
      <w:r w:rsidR="009E57DF">
        <w:t>), especially given the desire to find new strategies to help patients struggling with debilitating long-term symptoms that might be associated with Lyme disease.</w:t>
      </w:r>
    </w:p>
    <w:p w14:paraId="47A69F3A" w14:textId="4D1EA2DA" w:rsidR="001478E4" w:rsidRDefault="001478E4" w:rsidP="00FF2B15">
      <w:pPr>
        <w:ind w:firstLine="720"/>
      </w:pPr>
      <w:r>
        <w:t xml:space="preserve">Even the communications provided in clinical practice guidelines </w:t>
      </w:r>
      <w:r w:rsidR="008E2395">
        <w:t xml:space="preserve">for treating Lyme disease </w:t>
      </w:r>
      <w:r>
        <w:t xml:space="preserve">could be nuanced in a variety of ways. For example, the guidelines </w:t>
      </w:r>
      <w:r w:rsidR="00DC336B">
        <w:t xml:space="preserve">could </w:t>
      </w:r>
      <w:r w:rsidR="008E2395">
        <w:t>include</w:t>
      </w:r>
      <w:r w:rsidR="005E271E">
        <w:t xml:space="preserve"> the explicit caveat</w:t>
      </w:r>
      <w:r w:rsidR="00DC336B">
        <w:t xml:space="preserve"> that they </w:t>
      </w:r>
      <w:r>
        <w:t>should be treated as default options that c</w:t>
      </w:r>
      <w:r w:rsidR="00DC336B">
        <w:t>an</w:t>
      </w:r>
      <w:r>
        <w:t xml:space="preserve"> legitimately be overridden under some circumstances. This kind of nuance is important because those who hold dissenting views contend that </w:t>
      </w:r>
      <w:r w:rsidR="001F032A">
        <w:t>the current guidelines</w:t>
      </w:r>
      <w:r w:rsidR="00210EFA">
        <w:t xml:space="preserve"> are treated more like rigid rules than guidelines</w:t>
      </w:r>
      <w:r>
        <w:t xml:space="preserve">. According to </w:t>
      </w:r>
      <w:r w:rsidR="00210EFA">
        <w:t>proponents of the mainstream view</w:t>
      </w:r>
      <w:r>
        <w:t>, the</w:t>
      </w:r>
      <w:r w:rsidR="00210EFA">
        <w:t>se guidelines</w:t>
      </w:r>
      <w:r>
        <w:t xml:space="preserve"> are exactly that—guidelines—and physicians are able to deviate from them in order to meet the unique needs of specific patients (</w:t>
      </w:r>
      <w:proofErr w:type="spellStart"/>
      <w:r>
        <w:t>Auwaerter</w:t>
      </w:r>
      <w:proofErr w:type="spellEnd"/>
      <w:r>
        <w:t xml:space="preserve"> et al. 2011b). However, those who hold the dissenting view argue that the guidelines are </w:t>
      </w:r>
      <w:proofErr w:type="gramStart"/>
      <w:r>
        <w:t>actually employed</w:t>
      </w:r>
      <w:proofErr w:type="gramEnd"/>
      <w:r>
        <w:t xml:space="preserve"> in a much more coercive manner in practice (Johnson and Stricker 2009). They contend that physicians have been brought before medical licensing boards and threatened with losing their medical licenses because of their willingness to prescribe long-term antibiotics in contravention of the guidelines. Moreover, they emphasize that insurance companies are often unwilling to reimburse medical procedures that do not accord with the guidelines.</w:t>
      </w:r>
    </w:p>
    <w:p w14:paraId="4EE956BF" w14:textId="608B9BFD" w:rsidR="0028695A" w:rsidRDefault="004E665F" w:rsidP="0088586B">
      <w:r>
        <w:tab/>
      </w:r>
      <w:r w:rsidR="00EA210E">
        <w:t xml:space="preserve">A second strategy for navigating dissenting views in the Lyme case is to explore ways to incorporate </w:t>
      </w:r>
      <w:r w:rsidR="00B4759A">
        <w:t xml:space="preserve">transparency into communications about it. </w:t>
      </w:r>
      <w:r w:rsidR="00182531">
        <w:t xml:space="preserve">As discussed earlier, transparency </w:t>
      </w:r>
      <w:r w:rsidR="004C2B97">
        <w:t xml:space="preserve">helps account for the differing values that </w:t>
      </w:r>
      <w:r w:rsidR="00331DBB">
        <w:t xml:space="preserve">different individuals and communities bring to </w:t>
      </w:r>
      <w:r w:rsidR="00DE761F">
        <w:t>situations of dissent</w:t>
      </w:r>
      <w:r w:rsidR="00594B49">
        <w:t xml:space="preserve"> (Elliott 202</w:t>
      </w:r>
      <w:r w:rsidR="00995678">
        <w:t>2a).</w:t>
      </w:r>
      <w:r w:rsidR="00DE761F">
        <w:t xml:space="preserve"> </w:t>
      </w:r>
      <w:r w:rsidR="005064C0">
        <w:t>For example, most people a</w:t>
      </w:r>
      <w:r w:rsidR="00006AE2">
        <w:t xml:space="preserve">re likely to respond to the inductive risk </w:t>
      </w:r>
      <w:r w:rsidR="002525F3">
        <w:t>associated with accepting the claim that long-term antibiotics are helpful by concluding that there is far too little evidence to accept it</w:t>
      </w:r>
      <w:r w:rsidR="007116B5">
        <w:t xml:space="preserve">; however, some </w:t>
      </w:r>
      <w:r w:rsidR="00747A1F">
        <w:t xml:space="preserve">chronically ill </w:t>
      </w:r>
      <w:r w:rsidR="007116B5">
        <w:t xml:space="preserve">patients might </w:t>
      </w:r>
      <w:r w:rsidR="00747A1F">
        <w:t xml:space="preserve">be so desperate that they would </w:t>
      </w:r>
      <w:r w:rsidR="007116B5">
        <w:t xml:space="preserve">weigh </w:t>
      </w:r>
      <w:r w:rsidR="00747A1F">
        <w:t>the risks and benefits differently. By providing some informat</w:t>
      </w:r>
      <w:r w:rsidR="00EA4569">
        <w:t>ion about the dissenting view, communicators c</w:t>
      </w:r>
      <w:r w:rsidR="0065777B">
        <w:t>ould</w:t>
      </w:r>
      <w:r w:rsidR="00EA4569">
        <w:t xml:space="preserve"> help those patients to make decisions that accord with their own values. For example, even if government websites </w:t>
      </w:r>
      <w:r w:rsidR="007C3840">
        <w:t xml:space="preserve">were to focus on communicating the mainstream view, they could still </w:t>
      </w:r>
      <w:r w:rsidR="00773665">
        <w:t xml:space="preserve">provide enough information about the dissenting view </w:t>
      </w:r>
      <w:r w:rsidR="00EC30A8">
        <w:t xml:space="preserve">to alert desperate patients to the </w:t>
      </w:r>
      <w:r w:rsidR="00EC30A8">
        <w:lastRenderedPageBreak/>
        <w:t>possibility that they might want to investigate it further or ask their clinicians about it.</w:t>
      </w:r>
      <w:r w:rsidR="0028695A">
        <w:t xml:space="preserve"> For example, the NIH website provides the following i</w:t>
      </w:r>
      <w:r w:rsidR="00515D3C">
        <w:t>nformation: “</w:t>
      </w:r>
      <w:r w:rsidR="00DE53A8" w:rsidRPr="00DE53A8">
        <w:t xml:space="preserve">Multiple clinical trials, funded by NIH and others, have shown no benefit to additional IV antibiotic treatment in patients with Lyme disease, although the interpretation of those results </w:t>
      </w:r>
      <w:proofErr w:type="gramStart"/>
      <w:r w:rsidR="00DE53A8" w:rsidRPr="00DE53A8">
        <w:t>have</w:t>
      </w:r>
      <w:proofErr w:type="gramEnd"/>
      <w:r w:rsidR="00DE53A8" w:rsidRPr="00DE53A8">
        <w:t xml:space="preserve"> been challenged by some</w:t>
      </w:r>
      <w:r w:rsidR="00DE53A8">
        <w:t xml:space="preserve">” (NIH </w:t>
      </w:r>
      <w:r w:rsidR="00C74EA7">
        <w:t>2018).</w:t>
      </w:r>
      <w:r w:rsidR="00EC30A8">
        <w:t xml:space="preserve"> </w:t>
      </w:r>
      <w:r w:rsidR="009048B5">
        <w:t>By n</w:t>
      </w:r>
      <w:r w:rsidR="00185E9D">
        <w:t xml:space="preserve">otifying readers </w:t>
      </w:r>
      <w:r w:rsidR="008F31F9">
        <w:t>about the presence of dissenting voices</w:t>
      </w:r>
      <w:r w:rsidR="009048B5">
        <w:t>, the NIH</w:t>
      </w:r>
      <w:r w:rsidR="008F31F9">
        <w:t xml:space="preserve"> </w:t>
      </w:r>
      <w:r w:rsidR="002A1DD9">
        <w:t>provides them the opportunity to seek out additional information.</w:t>
      </w:r>
    </w:p>
    <w:p w14:paraId="6E24589E" w14:textId="2F6B255A" w:rsidR="00F7398A" w:rsidRDefault="008D0F5F" w:rsidP="00E10FE4">
      <w:pPr>
        <w:ind w:firstLine="720"/>
      </w:pPr>
      <w:r>
        <w:t xml:space="preserve">Of course, </w:t>
      </w:r>
      <w:r w:rsidR="00E10FE4">
        <w:t xml:space="preserve">there are dangers associated with transparency as well as benefits. </w:t>
      </w:r>
      <w:r w:rsidR="005C4C8E">
        <w:t>In cases of dissent</w:t>
      </w:r>
      <w:r w:rsidR="00B1237E">
        <w:t xml:space="preserve">, one of the most important dangers is that people could develop </w:t>
      </w:r>
      <w:r w:rsidR="00F874A9">
        <w:t xml:space="preserve">the inaccurate impression that the dissenting view is more plausible than it really is. </w:t>
      </w:r>
      <w:r w:rsidR="004A6C8F">
        <w:t xml:space="preserve">For this reason, some critics might argue that it is better in most situations to avoid being transparent about dissenting views. </w:t>
      </w:r>
      <w:r w:rsidR="001A6E1E">
        <w:t xml:space="preserve">However, </w:t>
      </w:r>
      <w:r w:rsidR="00F97FAE">
        <w:t>I have</w:t>
      </w:r>
      <w:r w:rsidR="001A6E1E">
        <w:t xml:space="preserve"> emphasized that transparency can take many different forms</w:t>
      </w:r>
      <w:r w:rsidR="00534ADD">
        <w:t>, and it may be possible to be transparent in</w:t>
      </w:r>
      <w:r w:rsidR="00540AB1">
        <w:t xml:space="preserve"> ways that </w:t>
      </w:r>
      <w:r w:rsidR="00AF319C">
        <w:t>achieve many of the ethical benefits of transparency without generating too many harms</w:t>
      </w:r>
      <w:r w:rsidR="00F97FAE">
        <w:t xml:space="preserve"> (Elliott 2022a)</w:t>
      </w:r>
      <w:r w:rsidR="00AF319C">
        <w:t xml:space="preserve">. </w:t>
      </w:r>
      <w:r w:rsidR="00D5348E">
        <w:t xml:space="preserve">For example, the NIH website acknowledged the </w:t>
      </w:r>
      <w:r w:rsidR="00D41C7E">
        <w:t>presence</w:t>
      </w:r>
      <w:r w:rsidR="00D5348E">
        <w:t xml:space="preserve"> of dissenting views while making it clear that </w:t>
      </w:r>
      <w:r w:rsidR="00B64F15">
        <w:t xml:space="preserve">the mainstream view is to avoid long-term antibiotic therapy. </w:t>
      </w:r>
      <w:r w:rsidR="00C5552F">
        <w:t xml:space="preserve">Although it is a complex matter to decide when there is </w:t>
      </w:r>
      <w:r w:rsidR="00A632C2">
        <w:t xml:space="preserve">enough evidence to justify discussing dissenting views, </w:t>
      </w:r>
      <w:r w:rsidR="003B3850">
        <w:t xml:space="preserve">there seems to be enough </w:t>
      </w:r>
      <w:r w:rsidR="005A7821">
        <w:t>disagreement among l</w:t>
      </w:r>
      <w:r w:rsidR="00645D8D">
        <w:t xml:space="preserve">egitimate researchers </w:t>
      </w:r>
      <w:r w:rsidR="00CE193C">
        <w:t xml:space="preserve">in this case </w:t>
      </w:r>
      <w:r w:rsidR="00645D8D">
        <w:t>to justify some acknowledgment of the dissenting view (</w:t>
      </w:r>
      <w:r w:rsidR="00AB14F3">
        <w:t>Fallon</w:t>
      </w:r>
      <w:r w:rsidR="00A61E8A">
        <w:t xml:space="preserve"> </w:t>
      </w:r>
      <w:r w:rsidR="00885218">
        <w:t xml:space="preserve">and </w:t>
      </w:r>
      <w:proofErr w:type="spellStart"/>
      <w:r w:rsidR="00885218">
        <w:t>Sotsky</w:t>
      </w:r>
      <w:proofErr w:type="spellEnd"/>
      <w:r w:rsidR="00885218">
        <w:t xml:space="preserve"> 2017</w:t>
      </w:r>
      <w:r w:rsidR="00A61E8A">
        <w:t xml:space="preserve">). </w:t>
      </w:r>
      <w:r w:rsidR="002A465C">
        <w:t xml:space="preserve">However, it is </w:t>
      </w:r>
      <w:r w:rsidR="00D85B03">
        <w:t xml:space="preserve">also </w:t>
      </w:r>
      <w:r w:rsidR="002A465C">
        <w:t xml:space="preserve">important for transparency to go </w:t>
      </w:r>
      <w:r w:rsidR="00CE71F1">
        <w:t xml:space="preserve">both ways. </w:t>
      </w:r>
      <w:r w:rsidR="00D85B03">
        <w:t>I</w:t>
      </w:r>
      <w:r w:rsidR="001044C6">
        <w:t xml:space="preserve">f clinicians communicate to desperate patients about the possibility of employing long-term antibiotics, it is </w:t>
      </w:r>
      <w:r w:rsidR="00450998">
        <w:t xml:space="preserve">also </w:t>
      </w:r>
      <w:r w:rsidR="001044C6">
        <w:t xml:space="preserve">crucial </w:t>
      </w:r>
      <w:r w:rsidR="00DC0BAB">
        <w:t xml:space="preserve">to </w:t>
      </w:r>
      <w:r w:rsidR="00760301">
        <w:t>be transparent about the fact</w:t>
      </w:r>
      <w:r w:rsidR="00DC0BAB">
        <w:t xml:space="preserve"> that </w:t>
      </w:r>
      <w:r w:rsidR="00450998">
        <w:t>most experts</w:t>
      </w:r>
      <w:r w:rsidR="00896525">
        <w:t xml:space="preserve"> recommend against employing treatment of this sort. </w:t>
      </w:r>
    </w:p>
    <w:p w14:paraId="3A0E640F" w14:textId="4F054F4F" w:rsidR="00AE0E9B" w:rsidRDefault="00F7398A" w:rsidP="0088586B">
      <w:r>
        <w:tab/>
      </w:r>
      <w:r w:rsidR="00A44D08">
        <w:t>A third strategy for navigating dissenting views in the Lyme case is to</w:t>
      </w:r>
      <w:r w:rsidR="003B50C8">
        <w:t xml:space="preserve"> pursue engagement between different stakeholders and community members</w:t>
      </w:r>
      <w:r w:rsidR="009F39E2">
        <w:t xml:space="preserve"> in a</w:t>
      </w:r>
      <w:r w:rsidR="00FD5B84">
        <w:t xml:space="preserve"> procedural effort to arrive at reasonable responses to the dispute. </w:t>
      </w:r>
      <w:r w:rsidR="008A6F7E">
        <w:t>This strategy can</w:t>
      </w:r>
      <w:r w:rsidR="000333D2">
        <w:t>, of course, be employed in conjunction with other strategies. For example, g</w:t>
      </w:r>
      <w:r w:rsidR="00414EB5">
        <w:t xml:space="preserve">iven the complex issues </w:t>
      </w:r>
      <w:r w:rsidR="00F25A67">
        <w:t xml:space="preserve">involved in deciding when to communicate about or act on </w:t>
      </w:r>
      <w:r w:rsidR="00182FD5">
        <w:t xml:space="preserve">the dissenting view </w:t>
      </w:r>
      <w:r w:rsidR="000333D2">
        <w:t>about antibiotic therapy</w:t>
      </w:r>
      <w:r w:rsidR="00182FD5">
        <w:t xml:space="preserve">, engagement </w:t>
      </w:r>
      <w:r w:rsidR="001A5C9A">
        <w:t>provides</w:t>
      </w:r>
      <w:r w:rsidR="000F39B9">
        <w:t xml:space="preserve"> important opportunities to </w:t>
      </w:r>
      <w:r w:rsidR="00E77F59">
        <w:t xml:space="preserve">help </w:t>
      </w:r>
      <w:r w:rsidR="000F39B9">
        <w:t xml:space="preserve">gather differing perspectives </w:t>
      </w:r>
      <w:r w:rsidR="00090534">
        <w:t xml:space="preserve">about these issues </w:t>
      </w:r>
      <w:r w:rsidR="000F39B9">
        <w:t>and reason through their strengths and weaknesses (Douglas 2005; Elliott 201</w:t>
      </w:r>
      <w:r w:rsidR="00B72C71">
        <w:t>1</w:t>
      </w:r>
      <w:r w:rsidR="000F39B9">
        <w:t xml:space="preserve">). </w:t>
      </w:r>
      <w:r w:rsidR="00610E94">
        <w:t xml:space="preserve">And, in fact, </w:t>
      </w:r>
      <w:r w:rsidR="00326D3D">
        <w:t>this strategy has been implemented</w:t>
      </w:r>
      <w:r w:rsidR="00C93E98">
        <w:t>. In response to</w:t>
      </w:r>
      <w:r w:rsidR="0047538C">
        <w:t xml:space="preserve"> </w:t>
      </w:r>
      <w:r w:rsidR="00B40900">
        <w:t>persistent complain</w:t>
      </w:r>
      <w:r w:rsidR="00326D3D">
        <w:t>t</w:t>
      </w:r>
      <w:r w:rsidR="00B40900">
        <w:t xml:space="preserve">s </w:t>
      </w:r>
      <w:r w:rsidR="005D60E6">
        <w:t xml:space="preserve">from dissenters </w:t>
      </w:r>
      <w:r w:rsidR="00B40900">
        <w:t xml:space="preserve">about the hegemony of the mainstream view </w:t>
      </w:r>
      <w:r w:rsidR="005D60E6">
        <w:t>regardin</w:t>
      </w:r>
      <w:r w:rsidR="00DC1AAF">
        <w:t>g</w:t>
      </w:r>
      <w:r w:rsidR="005D60E6">
        <w:t xml:space="preserve"> Lyme disease, the U.S. Congress</w:t>
      </w:r>
      <w:r w:rsidR="00F634D0">
        <w:t xml:space="preserve"> created a Tick-Borne Disease Working Group </w:t>
      </w:r>
      <w:r w:rsidR="006C5D2C">
        <w:t xml:space="preserve">(TBDWG) </w:t>
      </w:r>
      <w:r w:rsidR="00F634D0">
        <w:t xml:space="preserve">in 2016 </w:t>
      </w:r>
      <w:r w:rsidR="00B858D8">
        <w:t>as part of the 21</w:t>
      </w:r>
      <w:r w:rsidR="00B858D8" w:rsidRPr="00B858D8">
        <w:rPr>
          <w:vertAlign w:val="superscript"/>
        </w:rPr>
        <w:t>st</w:t>
      </w:r>
      <w:r w:rsidR="00B858D8">
        <w:t xml:space="preserve"> Century Cures Act.</w:t>
      </w:r>
      <w:r w:rsidR="005B7788">
        <w:rPr>
          <w:rStyle w:val="FootnoteReference"/>
        </w:rPr>
        <w:footnoteReference w:id="2"/>
      </w:r>
      <w:r w:rsidR="00327EF6">
        <w:t xml:space="preserve"> </w:t>
      </w:r>
      <w:r w:rsidR="000B0312">
        <w:t>D</w:t>
      </w:r>
      <w:r w:rsidR="00390664">
        <w:t xml:space="preserve">esigned to </w:t>
      </w:r>
      <w:r w:rsidR="009D206B">
        <w:t xml:space="preserve">guide the federal government in its response to tick-borne diseases, the </w:t>
      </w:r>
      <w:r w:rsidR="005B7788">
        <w:t xml:space="preserve">group consists of </w:t>
      </w:r>
      <w:r w:rsidR="00774AA2">
        <w:t xml:space="preserve">fourteen voting members, with seven of them coming from the public and seven from government agencies. </w:t>
      </w:r>
      <w:r w:rsidR="0032254B">
        <w:t xml:space="preserve">The public members </w:t>
      </w:r>
      <w:r w:rsidR="004A4B8A">
        <w:t xml:space="preserve">are supposed to represent </w:t>
      </w:r>
      <w:r w:rsidR="00354485">
        <w:t xml:space="preserve">a range of </w:t>
      </w:r>
      <w:r w:rsidR="004A4B8A">
        <w:t>perspectives</w:t>
      </w:r>
      <w:r w:rsidR="00354485">
        <w:t xml:space="preserve">, including </w:t>
      </w:r>
      <w:r w:rsidR="00DC1AAF">
        <w:t xml:space="preserve">those of </w:t>
      </w:r>
      <w:r w:rsidR="004A4B8A">
        <w:t xml:space="preserve">clinicians, researchers, </w:t>
      </w:r>
      <w:r w:rsidR="00F73505">
        <w:t>and patients.</w:t>
      </w:r>
      <w:r w:rsidR="00825B61">
        <w:t xml:space="preserve"> Ideally, a deliberative approach like the TBDWG could </w:t>
      </w:r>
      <w:r w:rsidR="007E1790">
        <w:t xml:space="preserve">arrive at reasonable strategies for </w:t>
      </w:r>
      <w:r w:rsidR="00126222">
        <w:t xml:space="preserve">navigating </w:t>
      </w:r>
      <w:r w:rsidR="00562178">
        <w:t xml:space="preserve">many different facets of the Lyme dispute: (1) deciding </w:t>
      </w:r>
      <w:r w:rsidR="00906A43">
        <w:t xml:space="preserve">how to allocate research efforts between the mainstream view and the dissenting view; (2) choosing when and how to communicate about the dissenting view; </w:t>
      </w:r>
      <w:r w:rsidR="0041537E">
        <w:t xml:space="preserve">and </w:t>
      </w:r>
      <w:r w:rsidR="00906A43">
        <w:t>(3) determining</w:t>
      </w:r>
      <w:r w:rsidR="00A135FE">
        <w:t xml:space="preserve"> whether to reimburse treatment performed in accordance with the dissenting view</w:t>
      </w:r>
      <w:r w:rsidR="003003A2">
        <w:t>.</w:t>
      </w:r>
      <w:r w:rsidR="00906A43">
        <w:t xml:space="preserve"> </w:t>
      </w:r>
    </w:p>
    <w:p w14:paraId="12C40875" w14:textId="649DCF73" w:rsidR="0037794F" w:rsidRPr="007D706E" w:rsidRDefault="00AE0E9B" w:rsidP="00992CB4">
      <w:r>
        <w:tab/>
      </w:r>
      <w:r w:rsidR="005C3DFA">
        <w:t xml:space="preserve">Although it remains to be seen </w:t>
      </w:r>
      <w:r w:rsidR="00CD5F61">
        <w:t xml:space="preserve">how the TBDWG will ultimately affect the debate over Lyme disease, </w:t>
      </w:r>
      <w:r w:rsidR="00921E62">
        <w:t xml:space="preserve">the </w:t>
      </w:r>
      <w:proofErr w:type="gramStart"/>
      <w:r w:rsidR="00921E62">
        <w:t>strengths</w:t>
      </w:r>
      <w:proofErr w:type="gramEnd"/>
      <w:r w:rsidR="00921E62">
        <w:t xml:space="preserve"> and weaknesses of these sorts of deliberative bodies have been widely discussed. On one hand, they provide </w:t>
      </w:r>
      <w:r w:rsidR="000774CF">
        <w:t>opportunities to foster deliberation about difficult decisions</w:t>
      </w:r>
      <w:r w:rsidR="00FA1931">
        <w:t xml:space="preserve"> in a manner that is </w:t>
      </w:r>
      <w:r w:rsidR="00D12EB1">
        <w:t xml:space="preserve">ideally </w:t>
      </w:r>
      <w:r w:rsidR="00FA1931">
        <w:t xml:space="preserve">both ethically sound and practically </w:t>
      </w:r>
      <w:r w:rsidR="001C1BAE">
        <w:t>helpful</w:t>
      </w:r>
      <w:r w:rsidR="00166700">
        <w:t xml:space="preserve">. </w:t>
      </w:r>
      <w:r w:rsidR="001C1BAE">
        <w:t>W</w:t>
      </w:r>
      <w:r w:rsidR="00166700">
        <w:t xml:space="preserve">hen these </w:t>
      </w:r>
      <w:r w:rsidR="005460BB">
        <w:t xml:space="preserve">deliberative bodies incorporate lay </w:t>
      </w:r>
      <w:r w:rsidR="005460BB">
        <w:lastRenderedPageBreak/>
        <w:t xml:space="preserve">people as well as experts, they </w:t>
      </w:r>
      <w:r w:rsidR="001C1BAE">
        <w:t>can generate better decisions by incorporating</w:t>
      </w:r>
      <w:r w:rsidR="00A35E4D">
        <w:t xml:space="preserve"> not only expert knowledge but also the</w:t>
      </w:r>
      <w:r w:rsidR="002946E2">
        <w:t xml:space="preserve"> lay expertise and lived experiences of non-specialists</w:t>
      </w:r>
      <w:r w:rsidR="00484177">
        <w:t xml:space="preserve"> (</w:t>
      </w:r>
      <w:r w:rsidR="00D12EB1">
        <w:t xml:space="preserve">Douglas 2005; </w:t>
      </w:r>
      <w:r w:rsidR="00484177">
        <w:t>Elliott 201</w:t>
      </w:r>
      <w:r w:rsidR="00D12EB1">
        <w:t>1</w:t>
      </w:r>
      <w:r w:rsidR="00484177">
        <w:t>)</w:t>
      </w:r>
      <w:r w:rsidR="002946E2">
        <w:t>.</w:t>
      </w:r>
      <w:r>
        <w:t xml:space="preserve"> </w:t>
      </w:r>
      <w:r w:rsidR="00484177">
        <w:t xml:space="preserve">On the other hand, these sorts of </w:t>
      </w:r>
      <w:r w:rsidR="00A17331">
        <w:t xml:space="preserve">deliberative bodies also have weaknesses (e.g., </w:t>
      </w:r>
      <w:proofErr w:type="spellStart"/>
      <w:r w:rsidR="00A17331">
        <w:t>Kourany</w:t>
      </w:r>
      <w:proofErr w:type="spellEnd"/>
      <w:r w:rsidR="00A17331">
        <w:t xml:space="preserve"> 2018</w:t>
      </w:r>
      <w:r w:rsidR="006A3FB7">
        <w:t xml:space="preserve">; Harvard and </w:t>
      </w:r>
      <w:proofErr w:type="spellStart"/>
      <w:r w:rsidR="006A3FB7">
        <w:t>Werker</w:t>
      </w:r>
      <w:proofErr w:type="spellEnd"/>
      <w:r w:rsidR="006A3FB7">
        <w:t xml:space="preserve"> 2021</w:t>
      </w:r>
      <w:r w:rsidR="00A17331">
        <w:t xml:space="preserve">). </w:t>
      </w:r>
      <w:r w:rsidR="002C1BE3">
        <w:t>For example</w:t>
      </w:r>
      <w:r w:rsidR="00EA33AA">
        <w:t xml:space="preserve">, </w:t>
      </w:r>
      <w:r w:rsidR="00392C1F">
        <w:t>the outcomes</w:t>
      </w:r>
      <w:r w:rsidR="002C1BE3">
        <w:t xml:space="preserve"> of a</w:t>
      </w:r>
      <w:r w:rsidR="00392C1F">
        <w:t xml:space="preserve"> working group’s deliberations are likely to be heavily dependent on the makeup of the group itself</w:t>
      </w:r>
      <w:r w:rsidR="0020506C">
        <w:t xml:space="preserve"> (e.g., Miller and Pinto 2022)</w:t>
      </w:r>
      <w:r w:rsidR="00392C1F">
        <w:t xml:space="preserve">. </w:t>
      </w:r>
      <w:r w:rsidR="00C61560">
        <w:t xml:space="preserve">One </w:t>
      </w:r>
      <w:r w:rsidR="002C1BE3">
        <w:t xml:space="preserve">can </w:t>
      </w:r>
      <w:r w:rsidR="00C61560">
        <w:t xml:space="preserve">shift </w:t>
      </w:r>
      <w:r w:rsidR="002C1BE3">
        <w:t>a</w:t>
      </w:r>
      <w:r w:rsidR="00C61560">
        <w:t xml:space="preserve"> group toward </w:t>
      </w:r>
      <w:proofErr w:type="gramStart"/>
      <w:r w:rsidR="00C61560">
        <w:t>being more or less</w:t>
      </w:r>
      <w:proofErr w:type="gramEnd"/>
      <w:r w:rsidR="00C61560">
        <w:t xml:space="preserve"> accepting of </w:t>
      </w:r>
      <w:r w:rsidR="00034F32">
        <w:t>a dissenting view like long-term antibiotic therapy</w:t>
      </w:r>
      <w:r w:rsidR="00C61560">
        <w:t xml:space="preserve"> </w:t>
      </w:r>
      <w:r w:rsidR="00EF44B1">
        <w:t xml:space="preserve">by altering who has the opportunity to </w:t>
      </w:r>
      <w:r w:rsidR="00F20AD6">
        <w:t>participate in it</w:t>
      </w:r>
      <w:r w:rsidR="00EF44B1">
        <w:t xml:space="preserve">. </w:t>
      </w:r>
      <w:r w:rsidR="00F20AD6">
        <w:t xml:space="preserve">And even when the participants do not have preconceived notions about </w:t>
      </w:r>
      <w:r w:rsidR="00D23583">
        <w:t xml:space="preserve">the appropriateness of the dissenting view, the educational materials provided to the group </w:t>
      </w:r>
      <w:r w:rsidR="00407DAF">
        <w:t xml:space="preserve">will invariably be framed in ways that incline the participants toward </w:t>
      </w:r>
      <w:proofErr w:type="gramStart"/>
      <w:r w:rsidR="00407DAF">
        <w:t>particular perspectives</w:t>
      </w:r>
      <w:proofErr w:type="gramEnd"/>
      <w:r w:rsidR="00502B41">
        <w:t xml:space="preserve">. </w:t>
      </w:r>
      <w:r w:rsidR="00407DAF">
        <w:t xml:space="preserve">Thus, </w:t>
      </w:r>
      <w:r w:rsidR="00CA01B8">
        <w:t xml:space="preserve">questions about how to communicate about the dissenting view and what forms of transparency to provide </w:t>
      </w:r>
      <w:r w:rsidR="00992CB4">
        <w:t xml:space="preserve">arise even </w:t>
      </w:r>
      <w:proofErr w:type="gramStart"/>
      <w:r w:rsidR="00992CB4">
        <w:t>in the course of</w:t>
      </w:r>
      <w:proofErr w:type="gramEnd"/>
      <w:r w:rsidR="00992CB4">
        <w:t xml:space="preserve"> efforts to foster engagement about it.</w:t>
      </w:r>
      <w:r w:rsidR="00297615">
        <w:t xml:space="preserve"> </w:t>
      </w:r>
      <w:r w:rsidR="00F73505">
        <w:t xml:space="preserve"> </w:t>
      </w:r>
      <w:r w:rsidR="00C93E98">
        <w:t xml:space="preserve"> </w:t>
      </w:r>
      <w:r w:rsidR="00EB4B48">
        <w:t xml:space="preserve"> </w:t>
      </w:r>
      <w:r w:rsidR="00DE239D">
        <w:t xml:space="preserve"> </w:t>
      </w:r>
      <w:r w:rsidR="004E665F">
        <w:t xml:space="preserve"> </w:t>
      </w:r>
      <w:r w:rsidR="0015184F">
        <w:t xml:space="preserve"> </w:t>
      </w:r>
      <w:r w:rsidR="00AA4DB9">
        <w:t xml:space="preserve"> </w:t>
      </w:r>
      <w:r w:rsidR="00FF58FC">
        <w:t xml:space="preserve"> </w:t>
      </w:r>
      <w:r w:rsidR="0037385B">
        <w:t xml:space="preserve"> </w:t>
      </w:r>
      <w:r w:rsidR="00E92E38">
        <w:t xml:space="preserve"> </w:t>
      </w:r>
      <w:r w:rsidR="00CA7A0B">
        <w:t xml:space="preserve"> </w:t>
      </w:r>
      <w:r w:rsidR="00CF1FD7">
        <w:t xml:space="preserve"> </w:t>
      </w:r>
    </w:p>
    <w:p w14:paraId="5C8EB441" w14:textId="4263A98C" w:rsidR="00343CB4" w:rsidRDefault="00343CB4" w:rsidP="008C1040">
      <w:pPr>
        <w:rPr>
          <w:b/>
          <w:bCs/>
        </w:rPr>
      </w:pPr>
      <w:r>
        <w:rPr>
          <w:b/>
          <w:bCs/>
        </w:rPr>
        <w:t>Conclusion</w:t>
      </w:r>
    </w:p>
    <w:p w14:paraId="39DF6DDA" w14:textId="14FA0A8D" w:rsidR="005019A6" w:rsidRDefault="00545A6A" w:rsidP="008C1040">
      <w:pPr>
        <w:rPr>
          <w:rFonts w:ascii="Calibri" w:hAnsi="Calibri" w:cs="Calibri"/>
          <w:color w:val="222222"/>
          <w:shd w:val="clear" w:color="auto" w:fill="FFFFFF"/>
        </w:rPr>
      </w:pPr>
      <w:r>
        <w:rPr>
          <w:b/>
          <w:bCs/>
        </w:rPr>
        <w:tab/>
      </w:r>
      <w:r w:rsidR="00A226A9">
        <w:t xml:space="preserve">This paper has argued that </w:t>
      </w:r>
      <w:r w:rsidR="00AE55D2">
        <w:t xml:space="preserve">many cases of scientific </w:t>
      </w:r>
      <w:r w:rsidR="00F22F6E">
        <w:t xml:space="preserve">dissent can be </w:t>
      </w:r>
      <w:r w:rsidR="00F251E4">
        <w:t>analyzed</w:t>
      </w:r>
      <w:r w:rsidR="00F22F6E">
        <w:t xml:space="preserve"> as disputes over value judgments</w:t>
      </w:r>
      <w:r w:rsidR="007F02E3">
        <w:t xml:space="preserve"> and</w:t>
      </w:r>
      <w:r w:rsidR="00F22F6E">
        <w:t xml:space="preserve"> th</w:t>
      </w:r>
      <w:r w:rsidR="007F02E3">
        <w:t>at</w:t>
      </w:r>
      <w:r w:rsidR="00F22F6E">
        <w:t xml:space="preserve"> </w:t>
      </w:r>
      <w:r w:rsidR="000321E2">
        <w:t>approaches to</w:t>
      </w:r>
      <w:r w:rsidR="00F22F6E">
        <w:t xml:space="preserve"> managing value judgments can provide </w:t>
      </w:r>
      <w:r w:rsidR="001264F2">
        <w:t>an array of strategies</w:t>
      </w:r>
      <w:r w:rsidR="00F22F6E">
        <w:t xml:space="preserve"> for navigating scientific dissen</w:t>
      </w:r>
      <w:r w:rsidR="001264F2">
        <w:t>t</w:t>
      </w:r>
      <w:r w:rsidR="00F22F6E">
        <w:t xml:space="preserve">. </w:t>
      </w:r>
      <w:r w:rsidR="00D348E9">
        <w:t xml:space="preserve">Thus, rather than providing a single </w:t>
      </w:r>
      <w:r w:rsidR="00CB3537">
        <w:t>answer about how to respond to scientific dissent, this paper is a call to</w:t>
      </w:r>
      <w:r w:rsidR="00450D02">
        <w:t xml:space="preserve"> explore an array of approaches gleaned from</w:t>
      </w:r>
      <w:r w:rsidR="00CB3537">
        <w:t xml:space="preserve"> the literature on values in science. </w:t>
      </w:r>
      <w:r w:rsidR="00C34A0F">
        <w:t xml:space="preserve">This way of moving forward can complement </w:t>
      </w:r>
      <w:r w:rsidR="00ED5368">
        <w:t>other</w:t>
      </w:r>
      <w:r w:rsidR="00C34A0F">
        <w:t xml:space="preserve"> </w:t>
      </w:r>
      <w:r w:rsidR="00ED5368">
        <w:t>ways of responding to dissent</w:t>
      </w:r>
      <w:r w:rsidR="00C34A0F">
        <w:t xml:space="preserve">, such as the long-term approach of </w:t>
      </w:r>
      <w:r w:rsidR="00ED5368">
        <w:t>fostering greater trust in the scientific community (</w:t>
      </w:r>
      <w:r w:rsidR="002028D0" w:rsidRPr="00FE3D05">
        <w:rPr>
          <w:rFonts w:ascii="Calibri" w:hAnsi="Calibri" w:cs="Calibri"/>
          <w:color w:val="222222"/>
          <w:shd w:val="clear" w:color="auto" w:fill="FFFFFF"/>
        </w:rPr>
        <w:t>de Melo-Martín</w:t>
      </w:r>
      <w:r w:rsidR="002028D0">
        <w:rPr>
          <w:rFonts w:ascii="Calibri" w:hAnsi="Calibri" w:cs="Calibri"/>
          <w:color w:val="222222"/>
          <w:shd w:val="clear" w:color="auto" w:fill="FFFFFF"/>
        </w:rPr>
        <w:t xml:space="preserve"> </w:t>
      </w:r>
      <w:r w:rsidR="002028D0" w:rsidRPr="00FE3D05">
        <w:rPr>
          <w:rFonts w:ascii="Calibri" w:hAnsi="Calibri" w:cs="Calibri"/>
          <w:color w:val="222222"/>
          <w:shd w:val="clear" w:color="auto" w:fill="FFFFFF"/>
        </w:rPr>
        <w:t xml:space="preserve">and </w:t>
      </w:r>
      <w:proofErr w:type="spellStart"/>
      <w:r w:rsidR="002028D0" w:rsidRPr="00FE3D05">
        <w:rPr>
          <w:rFonts w:ascii="Calibri" w:hAnsi="Calibri" w:cs="Calibri"/>
          <w:color w:val="222222"/>
          <w:shd w:val="clear" w:color="auto" w:fill="FFFFFF"/>
        </w:rPr>
        <w:t>Intemann</w:t>
      </w:r>
      <w:proofErr w:type="spellEnd"/>
      <w:r w:rsidR="002028D0">
        <w:rPr>
          <w:rFonts w:ascii="Calibri" w:hAnsi="Calibri" w:cs="Calibri"/>
          <w:color w:val="222222"/>
          <w:shd w:val="clear" w:color="auto" w:fill="FFFFFF"/>
        </w:rPr>
        <w:t xml:space="preserve"> 2018). </w:t>
      </w:r>
      <w:r w:rsidR="000C439C">
        <w:rPr>
          <w:rFonts w:ascii="Calibri" w:hAnsi="Calibri" w:cs="Calibri"/>
          <w:color w:val="222222"/>
          <w:shd w:val="clear" w:color="auto" w:fill="FFFFFF"/>
        </w:rPr>
        <w:t xml:space="preserve">It also has the potential to subsume other </w:t>
      </w:r>
      <w:r w:rsidR="00450D02">
        <w:rPr>
          <w:rFonts w:ascii="Calibri" w:hAnsi="Calibri" w:cs="Calibri"/>
          <w:color w:val="222222"/>
          <w:shd w:val="clear" w:color="auto" w:fill="FFFFFF"/>
        </w:rPr>
        <w:t>strategies</w:t>
      </w:r>
      <w:r w:rsidR="000C439C">
        <w:rPr>
          <w:rFonts w:ascii="Calibri" w:hAnsi="Calibri" w:cs="Calibri"/>
          <w:color w:val="222222"/>
          <w:shd w:val="clear" w:color="auto" w:fill="FFFFFF"/>
        </w:rPr>
        <w:t xml:space="preserve">, </w:t>
      </w:r>
      <w:r w:rsidR="00BC5DFA">
        <w:rPr>
          <w:rFonts w:ascii="Calibri" w:hAnsi="Calibri" w:cs="Calibri"/>
          <w:color w:val="222222"/>
          <w:shd w:val="clear" w:color="auto" w:fill="FFFFFF"/>
        </w:rPr>
        <w:t>such as the inductive risk approach for identifying epistemically detrimental dissent (Biddle and Leuschner 2015).</w:t>
      </w:r>
      <w:r w:rsidR="000E750E">
        <w:rPr>
          <w:rFonts w:ascii="Calibri" w:hAnsi="Calibri" w:cs="Calibri"/>
          <w:color w:val="222222"/>
          <w:shd w:val="clear" w:color="auto" w:fill="FFFFFF"/>
        </w:rPr>
        <w:t xml:space="preserve"> The discussion of the Lyme disease case study illustrates that </w:t>
      </w:r>
      <w:r w:rsidR="000B26DB">
        <w:rPr>
          <w:rFonts w:ascii="Calibri" w:hAnsi="Calibri" w:cs="Calibri"/>
          <w:color w:val="222222"/>
          <w:shd w:val="clear" w:color="auto" w:fill="FFFFFF"/>
        </w:rPr>
        <w:t>there do indeed appear to b</w:t>
      </w:r>
      <w:r w:rsidR="00FA79B2">
        <w:rPr>
          <w:rFonts w:ascii="Calibri" w:hAnsi="Calibri" w:cs="Calibri"/>
          <w:color w:val="222222"/>
          <w:shd w:val="clear" w:color="auto" w:fill="FFFFFF"/>
        </w:rPr>
        <w:t xml:space="preserve">e promising ways of applying the literature on managing values in science </w:t>
      </w:r>
      <w:proofErr w:type="gramStart"/>
      <w:r w:rsidR="00FA79B2">
        <w:rPr>
          <w:rFonts w:ascii="Calibri" w:hAnsi="Calibri" w:cs="Calibri"/>
          <w:color w:val="222222"/>
          <w:shd w:val="clear" w:color="auto" w:fill="FFFFFF"/>
        </w:rPr>
        <w:t>in order to</w:t>
      </w:r>
      <w:proofErr w:type="gramEnd"/>
      <w:r w:rsidR="00FA79B2">
        <w:rPr>
          <w:rFonts w:ascii="Calibri" w:hAnsi="Calibri" w:cs="Calibri"/>
          <w:color w:val="222222"/>
          <w:shd w:val="clear" w:color="auto" w:fill="FFFFFF"/>
        </w:rPr>
        <w:t xml:space="preserve"> </w:t>
      </w:r>
      <w:r w:rsidR="003A464B">
        <w:rPr>
          <w:rFonts w:ascii="Calibri" w:hAnsi="Calibri" w:cs="Calibri"/>
          <w:color w:val="222222"/>
          <w:shd w:val="clear" w:color="auto" w:fill="FFFFFF"/>
        </w:rPr>
        <w:t>handle cases of scientific dissent in a more sophisticated fashion.</w:t>
      </w:r>
      <w:r w:rsidR="00BC5DFA">
        <w:rPr>
          <w:rFonts w:ascii="Calibri" w:hAnsi="Calibri" w:cs="Calibri"/>
          <w:color w:val="222222"/>
          <w:shd w:val="clear" w:color="auto" w:fill="FFFFFF"/>
        </w:rPr>
        <w:t xml:space="preserve"> </w:t>
      </w:r>
    </w:p>
    <w:p w14:paraId="1A4CBF16" w14:textId="0456B2DA" w:rsidR="00791431" w:rsidRDefault="000E750E" w:rsidP="005019A6">
      <w:pPr>
        <w:ind w:firstLine="720"/>
      </w:pPr>
      <w:r>
        <w:rPr>
          <w:rFonts w:ascii="Calibri" w:hAnsi="Calibri" w:cs="Calibri"/>
          <w:color w:val="222222"/>
          <w:shd w:val="clear" w:color="auto" w:fill="FFFFFF"/>
        </w:rPr>
        <w:t xml:space="preserve">A potential concern with this </w:t>
      </w:r>
      <w:r w:rsidR="00D54194">
        <w:rPr>
          <w:rFonts w:ascii="Calibri" w:hAnsi="Calibri" w:cs="Calibri"/>
          <w:color w:val="222222"/>
          <w:shd w:val="clear" w:color="auto" w:fill="FFFFFF"/>
        </w:rPr>
        <w:t>way of responding to dissent</w:t>
      </w:r>
      <w:r w:rsidR="002028D0">
        <w:t xml:space="preserve"> </w:t>
      </w:r>
      <w:r w:rsidR="00D54194">
        <w:t xml:space="preserve">is that even if it could prove helpful in </w:t>
      </w:r>
      <w:r w:rsidR="00C44A1D">
        <w:t xml:space="preserve">cases where dissent seems </w:t>
      </w:r>
      <w:r w:rsidR="009C310A">
        <w:t>potentially</w:t>
      </w:r>
      <w:r w:rsidR="00C44A1D">
        <w:t xml:space="preserve"> legitimate (e.g., Lyme disease), </w:t>
      </w:r>
      <w:r w:rsidR="001C4DD2">
        <w:t xml:space="preserve">it does not seem particularly helpful for handling </w:t>
      </w:r>
      <w:r w:rsidR="006109D5">
        <w:t xml:space="preserve">more severe </w:t>
      </w:r>
      <w:r w:rsidR="001C4DD2">
        <w:t xml:space="preserve">cases where </w:t>
      </w:r>
      <w:r w:rsidR="006109D5">
        <w:t xml:space="preserve">dissent appears to be caused largely by corruption, ignorance, </w:t>
      </w:r>
      <w:r w:rsidR="0045171D">
        <w:t>or</w:t>
      </w:r>
      <w:r w:rsidR="006109D5">
        <w:t xml:space="preserve"> error (e.g., dissent over climate change or vaccines). </w:t>
      </w:r>
      <w:r w:rsidR="0045171D">
        <w:t xml:space="preserve">One response to this </w:t>
      </w:r>
      <w:r w:rsidR="008467B2">
        <w:t xml:space="preserve">objection </w:t>
      </w:r>
      <w:r w:rsidR="006D1884">
        <w:t xml:space="preserve">is to bite the bullet and acknowledge that even though the approach proposed in this paper is helpful in many cases, there are cases that it is not designed to solve. </w:t>
      </w:r>
      <w:r w:rsidR="00EE7F51">
        <w:t xml:space="preserve">However, </w:t>
      </w:r>
      <w:r w:rsidR="009A673F">
        <w:t xml:space="preserve">it is worth noting that there are likely to be relatively few cases where </w:t>
      </w:r>
      <w:r w:rsidR="0009589E">
        <w:t xml:space="preserve">disputed value judgments do not play at least some role. For example, </w:t>
      </w:r>
      <w:r w:rsidR="00EE7F51">
        <w:t xml:space="preserve">even in </w:t>
      </w:r>
      <w:r w:rsidR="0009589E">
        <w:t xml:space="preserve">cases where </w:t>
      </w:r>
      <w:r w:rsidR="004618E3">
        <w:t>other factors appear to be</w:t>
      </w:r>
      <w:r w:rsidR="009626BE">
        <w:t xml:space="preserve"> at play</w:t>
      </w:r>
      <w:r w:rsidR="004618E3">
        <w:t xml:space="preserve">, there are still value judgments involved in deciding how much of the dispute can be chalked up to those factors. </w:t>
      </w:r>
      <w:r w:rsidR="00AB4A97">
        <w:t xml:space="preserve">In </w:t>
      </w:r>
      <w:proofErr w:type="gramStart"/>
      <w:r w:rsidR="00AB4A97">
        <w:t>the vast majority of</w:t>
      </w:r>
      <w:proofErr w:type="gramEnd"/>
      <w:r w:rsidR="00AB4A97">
        <w:t xml:space="preserve"> cases, one cannot completely dismiss dissenting views as a matter of corruption, ignorance, </w:t>
      </w:r>
      <w:r w:rsidR="00891B59">
        <w:t>or</w:t>
      </w:r>
      <w:r w:rsidR="00AB4A97">
        <w:t xml:space="preserve"> error, and therefore </w:t>
      </w:r>
      <w:r w:rsidR="008434B6">
        <w:t>the approach proposed in this paper is likely to be relevant</w:t>
      </w:r>
      <w:r w:rsidR="00777F71">
        <w:t>.</w:t>
      </w:r>
      <w:r w:rsidR="00766A55">
        <w:t xml:space="preserve"> </w:t>
      </w:r>
      <w:r w:rsidR="00D175E7">
        <w:t xml:space="preserve"> </w:t>
      </w:r>
    </w:p>
    <w:p w14:paraId="45C64705" w14:textId="60A15CD5" w:rsidR="00343CB4" w:rsidRDefault="00791431" w:rsidP="005019A6">
      <w:pPr>
        <w:ind w:firstLine="720"/>
      </w:pPr>
      <w:r>
        <w:t xml:space="preserve">Another potential concern is that the strategies proposed in this paper </w:t>
      </w:r>
      <w:r w:rsidR="00822BC0">
        <w:t>still</w:t>
      </w:r>
      <w:r w:rsidR="001B6F86">
        <w:t xml:space="preserve"> do not </w:t>
      </w:r>
      <w:r w:rsidR="00822BC0">
        <w:t xml:space="preserve">typically </w:t>
      </w:r>
      <w:r w:rsidR="001B6F86">
        <w:t xml:space="preserve">provide </w:t>
      </w:r>
      <w:r w:rsidR="00835591">
        <w:t xml:space="preserve">simple, </w:t>
      </w:r>
      <w:r w:rsidR="001B6F86">
        <w:t xml:space="preserve">straightforward answers </w:t>
      </w:r>
      <w:r w:rsidR="00C173BD">
        <w:t xml:space="preserve">about </w:t>
      </w:r>
      <w:r w:rsidR="00822BC0">
        <w:t xml:space="preserve">how to handle dissent. </w:t>
      </w:r>
      <w:r w:rsidR="005E5F63">
        <w:t>We have seen</w:t>
      </w:r>
      <w:r w:rsidR="00822BC0">
        <w:t xml:space="preserve"> in the Lyme case that</w:t>
      </w:r>
      <w:r w:rsidR="006D0ED8">
        <w:t xml:space="preserve"> </w:t>
      </w:r>
      <w:r w:rsidR="005E5F63">
        <w:t xml:space="preserve">even though the literature on managing value judgments suggests creative strategies </w:t>
      </w:r>
      <w:r w:rsidR="00373841">
        <w:t xml:space="preserve">(e.g., </w:t>
      </w:r>
      <w:r w:rsidR="00A77C26">
        <w:t>adopting nuanced cognitive attitudes and communicative approaches, adopting transparency</w:t>
      </w:r>
      <w:r w:rsidR="008434B6">
        <w:t xml:space="preserve"> about value judgments</w:t>
      </w:r>
      <w:r w:rsidR="00A77C26">
        <w:t>, and implementing engagement</w:t>
      </w:r>
      <w:r w:rsidR="008434B6">
        <w:t xml:space="preserve"> between different stakeholders and community members</w:t>
      </w:r>
      <w:r w:rsidR="00E50816">
        <w:t>)</w:t>
      </w:r>
      <w:r w:rsidR="00A77C26">
        <w:t xml:space="preserve">, </w:t>
      </w:r>
      <w:r w:rsidR="006D0ED8">
        <w:t xml:space="preserve">it can still be difficult to decide </w:t>
      </w:r>
      <w:r w:rsidR="00A77C26">
        <w:t>how best to pursue each of these strategies</w:t>
      </w:r>
      <w:r w:rsidR="00456833">
        <w:t xml:space="preserve">. </w:t>
      </w:r>
      <w:r w:rsidR="005F4FBD">
        <w:t xml:space="preserve">But to expect simple answers about how to handle dissent is unrealistic. </w:t>
      </w:r>
      <w:r w:rsidR="00FA13ED">
        <w:t>S</w:t>
      </w:r>
      <w:r w:rsidR="005F4FBD">
        <w:t>cien</w:t>
      </w:r>
      <w:r w:rsidR="00FA13ED">
        <w:t>tific dissent</w:t>
      </w:r>
      <w:r w:rsidR="005F4FBD">
        <w:t xml:space="preserve"> </w:t>
      </w:r>
      <w:r w:rsidR="00FA13ED">
        <w:t xml:space="preserve">is complex, varied, and difficult to address. </w:t>
      </w:r>
      <w:r w:rsidR="00BE4CF4">
        <w:t xml:space="preserve">As the beginning of this paper emphasized, </w:t>
      </w:r>
      <w:r w:rsidR="00F35147">
        <w:t xml:space="preserve">in many cases there are significant </w:t>
      </w:r>
      <w:r w:rsidR="00BE4CF4">
        <w:lastRenderedPageBreak/>
        <w:t xml:space="preserve">dangers associated with suppressing it as well as dangers associated </w:t>
      </w:r>
      <w:r w:rsidR="00A257E7">
        <w:t>with allowing it to run rampant. Given this complexity, the best we can do is to develop a</w:t>
      </w:r>
      <w:r w:rsidR="00EB33D7">
        <w:t xml:space="preserve"> wide array of strategies so that we </w:t>
      </w:r>
      <w:r w:rsidR="00CD52CF">
        <w:t xml:space="preserve">have </w:t>
      </w:r>
      <w:r w:rsidR="00724F9F">
        <w:t xml:space="preserve">as </w:t>
      </w:r>
      <w:r w:rsidR="00CD52CF">
        <w:t>many potential resources as possible in our “toolbox”</w:t>
      </w:r>
      <w:r w:rsidR="00F35147">
        <w:t xml:space="preserve"> for handling</w:t>
      </w:r>
      <w:r w:rsidR="00E940E7">
        <w:t xml:space="preserve"> </w:t>
      </w:r>
      <w:proofErr w:type="gramStart"/>
      <w:r w:rsidR="00E940E7">
        <w:t>many different kinds of</w:t>
      </w:r>
      <w:proofErr w:type="gramEnd"/>
      <w:r w:rsidR="00E940E7">
        <w:t xml:space="preserve"> dissent.</w:t>
      </w:r>
      <w:r w:rsidR="00CD52CF">
        <w:t xml:space="preserve"> This is what the literature on values in science gives us</w:t>
      </w:r>
      <w:r w:rsidR="006E4854">
        <w:t xml:space="preserve">: not easy answers, but rather an array of </w:t>
      </w:r>
      <w:r w:rsidR="00E940E7">
        <w:t>promising strategies to explore.</w:t>
      </w:r>
    </w:p>
    <w:p w14:paraId="0CA1789B" w14:textId="3926BBB2" w:rsidR="0015402D" w:rsidRDefault="0015402D" w:rsidP="0015402D">
      <w:pPr>
        <w:rPr>
          <w:b/>
          <w:bCs/>
        </w:rPr>
      </w:pPr>
      <w:r>
        <w:rPr>
          <w:b/>
          <w:bCs/>
        </w:rPr>
        <w:t>Acknowledg</w:t>
      </w:r>
      <w:r w:rsidR="00132A3B">
        <w:rPr>
          <w:b/>
          <w:bCs/>
        </w:rPr>
        <w:t>e</w:t>
      </w:r>
      <w:r>
        <w:rPr>
          <w:b/>
          <w:bCs/>
        </w:rPr>
        <w:t>ments</w:t>
      </w:r>
    </w:p>
    <w:p w14:paraId="71417A1E" w14:textId="64E441D4" w:rsidR="00847517" w:rsidRPr="00847517" w:rsidRDefault="00847517" w:rsidP="0015402D">
      <w:r>
        <w:t xml:space="preserve">I am very grateful for </w:t>
      </w:r>
      <w:r w:rsidR="001D2FAB">
        <w:t xml:space="preserve">excellent </w:t>
      </w:r>
      <w:r w:rsidR="000B2C8E">
        <w:t>suggestions</w:t>
      </w:r>
      <w:r w:rsidR="001D2FAB">
        <w:t xml:space="preserve"> I received </w:t>
      </w:r>
      <w:r w:rsidR="00AD587A">
        <w:t xml:space="preserve">on this paper </w:t>
      </w:r>
      <w:r w:rsidR="001D2FAB">
        <w:t xml:space="preserve">from two anonymous reviewers for this journal. </w:t>
      </w:r>
      <w:r w:rsidR="000B2C8E">
        <w:t xml:space="preserve">I also received </w:t>
      </w:r>
      <w:r>
        <w:t>helpful feedback from audiences</w:t>
      </w:r>
      <w:r w:rsidR="000B2C8E">
        <w:t xml:space="preserve"> at </w:t>
      </w:r>
      <w:r w:rsidR="00AD587A">
        <w:t xml:space="preserve">the workshop on </w:t>
      </w:r>
      <w:r w:rsidR="009D3621">
        <w:t xml:space="preserve">Values in Science and Political Philosophy at </w:t>
      </w:r>
      <w:r w:rsidR="00594EAC">
        <w:t xml:space="preserve">Claremont McKenna College, </w:t>
      </w:r>
      <w:r w:rsidR="005D18C4">
        <w:t xml:space="preserve">the </w:t>
      </w:r>
      <w:r w:rsidR="00DE3DC2">
        <w:t xml:space="preserve">workshop on Engaging Ethics and Epistemology of Science at </w:t>
      </w:r>
      <w:r w:rsidR="00EE272C">
        <w:t xml:space="preserve">Leibniz Universität Hannover, </w:t>
      </w:r>
      <w:r w:rsidR="00DE3DC2">
        <w:t>the</w:t>
      </w:r>
      <w:r w:rsidR="00E85530">
        <w:t xml:space="preserve"> workshop on The Legacy of the Value-Free Ideal of Science at </w:t>
      </w:r>
      <w:r w:rsidR="00EE272C">
        <w:t>Uppsala University</w:t>
      </w:r>
      <w:r w:rsidR="00863A1D">
        <w:t>, and a reading group based at the Université de Montréal and the University of Calgary</w:t>
      </w:r>
      <w:r w:rsidR="00BD6D1E">
        <w:t xml:space="preserve">. </w:t>
      </w:r>
      <w:r w:rsidR="009E3A83">
        <w:t>Finally, I</w:t>
      </w:r>
      <w:r w:rsidR="00BD6D1E">
        <w:t xml:space="preserve"> thank Philippe </w:t>
      </w:r>
      <w:proofErr w:type="spellStart"/>
      <w:r w:rsidR="0018176C">
        <w:t>Stamenkovic</w:t>
      </w:r>
      <w:proofErr w:type="spellEnd"/>
      <w:r w:rsidR="0018176C">
        <w:t xml:space="preserve"> and Adam </w:t>
      </w:r>
      <w:r w:rsidR="000E3075">
        <w:t xml:space="preserve">Tamas </w:t>
      </w:r>
      <w:proofErr w:type="spellStart"/>
      <w:r w:rsidR="0018176C">
        <w:t>Tubol</w:t>
      </w:r>
      <w:r w:rsidR="00E85530">
        <w:t>y</w:t>
      </w:r>
      <w:proofErr w:type="spellEnd"/>
      <w:r w:rsidR="00E85530">
        <w:t xml:space="preserve"> for their invitation to contribute to this collection of articles.</w:t>
      </w:r>
    </w:p>
    <w:p w14:paraId="78DE1590" w14:textId="4D21045C" w:rsidR="00E940E7" w:rsidRDefault="00E940E7">
      <w:pPr>
        <w:rPr>
          <w:b/>
          <w:bCs/>
        </w:rPr>
      </w:pPr>
      <w:r>
        <w:rPr>
          <w:b/>
          <w:bCs/>
        </w:rPr>
        <w:br/>
      </w:r>
      <w:r>
        <w:rPr>
          <w:b/>
          <w:bCs/>
        </w:rPr>
        <w:br w:type="page"/>
      </w:r>
    </w:p>
    <w:p w14:paraId="1832EF37" w14:textId="7F519C17" w:rsidR="00343CB4" w:rsidRDefault="00343CB4" w:rsidP="00E940E7">
      <w:pPr>
        <w:jc w:val="center"/>
        <w:rPr>
          <w:b/>
          <w:bCs/>
        </w:rPr>
      </w:pPr>
      <w:r>
        <w:rPr>
          <w:b/>
          <w:bCs/>
        </w:rPr>
        <w:lastRenderedPageBreak/>
        <w:t>References</w:t>
      </w:r>
    </w:p>
    <w:p w14:paraId="0E065B05" w14:textId="41053E51" w:rsidR="00D3511F" w:rsidRPr="003919EF" w:rsidRDefault="00462778" w:rsidP="00A9639B">
      <w:pPr>
        <w:spacing w:after="0"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Alexandrova, A. 2018. Can the science of well-being be objective? </w:t>
      </w:r>
      <w:r w:rsidRPr="003919EF">
        <w:rPr>
          <w:rFonts w:cstheme="minorHAnsi"/>
          <w:i/>
          <w:color w:val="222222"/>
          <w:shd w:val="clear" w:color="auto" w:fill="FFFFFF"/>
        </w:rPr>
        <w:t xml:space="preserve">British Journal for the Philosophy of Science </w:t>
      </w:r>
      <w:r w:rsidRPr="003919EF">
        <w:rPr>
          <w:rFonts w:cstheme="minorHAnsi"/>
          <w:color w:val="222222"/>
          <w:shd w:val="clear" w:color="auto" w:fill="FFFFFF"/>
        </w:rPr>
        <w:t xml:space="preserve">69: 421-445. </w:t>
      </w:r>
    </w:p>
    <w:p w14:paraId="16B06DFA" w14:textId="77777777" w:rsidR="001260C5" w:rsidRPr="003919EF" w:rsidRDefault="001260C5" w:rsidP="00A9639B">
      <w:pPr>
        <w:spacing w:line="240" w:lineRule="auto"/>
        <w:ind w:left="720" w:hanging="720"/>
        <w:contextualSpacing/>
        <w:rPr>
          <w:rFonts w:cstheme="minorHAnsi"/>
          <w:color w:val="222222"/>
          <w:shd w:val="clear" w:color="auto" w:fill="FFFFFF"/>
        </w:rPr>
      </w:pPr>
      <w:proofErr w:type="spellStart"/>
      <w:r w:rsidRPr="003919EF">
        <w:rPr>
          <w:rFonts w:cstheme="minorHAnsi"/>
          <w:color w:val="222222"/>
          <w:shd w:val="clear" w:color="auto" w:fill="FFFFFF"/>
        </w:rPr>
        <w:t>Auwaerter</w:t>
      </w:r>
      <w:proofErr w:type="spellEnd"/>
      <w:r w:rsidRPr="003919EF">
        <w:rPr>
          <w:rFonts w:cstheme="minorHAnsi"/>
          <w:color w:val="222222"/>
          <w:shd w:val="clear" w:color="auto" w:fill="FFFFFF"/>
        </w:rPr>
        <w:t xml:space="preserve">, P.G., Bakken, J.S., </w:t>
      </w:r>
      <w:proofErr w:type="spellStart"/>
      <w:r w:rsidRPr="003919EF">
        <w:rPr>
          <w:rFonts w:cstheme="minorHAnsi"/>
          <w:color w:val="222222"/>
          <w:shd w:val="clear" w:color="auto" w:fill="FFFFFF"/>
        </w:rPr>
        <w:t>Dattwyler</w:t>
      </w:r>
      <w:proofErr w:type="spellEnd"/>
      <w:r w:rsidRPr="003919EF">
        <w:rPr>
          <w:rFonts w:cstheme="minorHAnsi"/>
          <w:color w:val="222222"/>
          <w:shd w:val="clear" w:color="auto" w:fill="FFFFFF"/>
        </w:rPr>
        <w:t xml:space="preserve">, R.J., </w:t>
      </w:r>
      <w:proofErr w:type="spellStart"/>
      <w:r w:rsidRPr="003919EF">
        <w:rPr>
          <w:rFonts w:cstheme="minorHAnsi"/>
          <w:color w:val="222222"/>
          <w:shd w:val="clear" w:color="auto" w:fill="FFFFFF"/>
        </w:rPr>
        <w:t>Dumler</w:t>
      </w:r>
      <w:proofErr w:type="spellEnd"/>
      <w:r w:rsidRPr="003919EF">
        <w:rPr>
          <w:rFonts w:cstheme="minorHAnsi"/>
          <w:color w:val="222222"/>
          <w:shd w:val="clear" w:color="auto" w:fill="FFFFFF"/>
        </w:rPr>
        <w:t xml:space="preserve">, J.S., Halperin, J.J., </w:t>
      </w:r>
      <w:proofErr w:type="spellStart"/>
      <w:r w:rsidRPr="003919EF">
        <w:rPr>
          <w:rFonts w:cstheme="minorHAnsi"/>
          <w:color w:val="222222"/>
          <w:shd w:val="clear" w:color="auto" w:fill="FFFFFF"/>
        </w:rPr>
        <w:t>McSweegan</w:t>
      </w:r>
      <w:proofErr w:type="spellEnd"/>
      <w:r w:rsidRPr="003919EF">
        <w:rPr>
          <w:rFonts w:cstheme="minorHAnsi"/>
          <w:color w:val="222222"/>
          <w:shd w:val="clear" w:color="auto" w:fill="FFFFFF"/>
        </w:rPr>
        <w:t xml:space="preserve">, E., </w:t>
      </w:r>
      <w:proofErr w:type="spellStart"/>
      <w:r w:rsidRPr="003919EF">
        <w:rPr>
          <w:rFonts w:cstheme="minorHAnsi"/>
          <w:color w:val="222222"/>
          <w:shd w:val="clear" w:color="auto" w:fill="FFFFFF"/>
        </w:rPr>
        <w:t>Nadelman</w:t>
      </w:r>
      <w:proofErr w:type="spellEnd"/>
      <w:r w:rsidRPr="003919EF">
        <w:rPr>
          <w:rFonts w:cstheme="minorHAnsi"/>
          <w:color w:val="222222"/>
          <w:shd w:val="clear" w:color="auto" w:fill="FFFFFF"/>
        </w:rPr>
        <w:t xml:space="preserve">, R.B., O'Connell, S., Shapiro, E.D., </w:t>
      </w:r>
      <w:proofErr w:type="spellStart"/>
      <w:r w:rsidRPr="003919EF">
        <w:rPr>
          <w:rFonts w:cstheme="minorHAnsi"/>
          <w:color w:val="222222"/>
          <w:shd w:val="clear" w:color="auto" w:fill="FFFFFF"/>
        </w:rPr>
        <w:t>Sood</w:t>
      </w:r>
      <w:proofErr w:type="spellEnd"/>
      <w:r w:rsidRPr="003919EF">
        <w:rPr>
          <w:rFonts w:cstheme="minorHAnsi"/>
          <w:color w:val="222222"/>
          <w:shd w:val="clear" w:color="auto" w:fill="FFFFFF"/>
        </w:rPr>
        <w:t xml:space="preserve">, S.K., </w:t>
      </w:r>
      <w:proofErr w:type="spellStart"/>
      <w:r w:rsidRPr="003919EF">
        <w:rPr>
          <w:rFonts w:cstheme="minorHAnsi"/>
          <w:color w:val="222222"/>
          <w:shd w:val="clear" w:color="auto" w:fill="FFFFFF"/>
        </w:rPr>
        <w:t>Steere</w:t>
      </w:r>
      <w:proofErr w:type="spellEnd"/>
      <w:r w:rsidRPr="003919EF">
        <w:rPr>
          <w:rFonts w:cstheme="minorHAnsi"/>
          <w:color w:val="222222"/>
          <w:shd w:val="clear" w:color="auto" w:fill="FFFFFF"/>
        </w:rPr>
        <w:t xml:space="preserve">, A.C., Weinstein, A., and </w:t>
      </w:r>
      <w:proofErr w:type="spellStart"/>
      <w:r w:rsidRPr="003919EF">
        <w:rPr>
          <w:rFonts w:cstheme="minorHAnsi"/>
          <w:color w:val="222222"/>
          <w:shd w:val="clear" w:color="auto" w:fill="FFFFFF"/>
        </w:rPr>
        <w:t>Wormser</w:t>
      </w:r>
      <w:proofErr w:type="spellEnd"/>
      <w:r w:rsidRPr="003919EF">
        <w:rPr>
          <w:rFonts w:cstheme="minorHAnsi"/>
          <w:color w:val="222222"/>
          <w:shd w:val="clear" w:color="auto" w:fill="FFFFFF"/>
        </w:rPr>
        <w:t xml:space="preserve">, G.P. 2011a. </w:t>
      </w:r>
      <w:proofErr w:type="spellStart"/>
      <w:r w:rsidRPr="003919EF">
        <w:rPr>
          <w:rFonts w:cstheme="minorHAnsi"/>
          <w:color w:val="222222"/>
          <w:shd w:val="clear" w:color="auto" w:fill="FFFFFF"/>
        </w:rPr>
        <w:t>Antiscience</w:t>
      </w:r>
      <w:proofErr w:type="spellEnd"/>
      <w:r w:rsidRPr="003919EF">
        <w:rPr>
          <w:rFonts w:cstheme="minorHAnsi"/>
          <w:color w:val="222222"/>
          <w:shd w:val="clear" w:color="auto" w:fill="FFFFFF"/>
        </w:rPr>
        <w:t xml:space="preserve"> and ethical concerns associated with advocacy of Lyme disease. </w:t>
      </w:r>
      <w:r w:rsidRPr="003919EF">
        <w:rPr>
          <w:rFonts w:cstheme="minorHAnsi"/>
          <w:i/>
          <w:iCs/>
          <w:color w:val="222222"/>
          <w:shd w:val="clear" w:color="auto" w:fill="FFFFFF"/>
        </w:rPr>
        <w:t>The Lancet Infectious Diseases</w:t>
      </w:r>
      <w:r w:rsidRPr="003919EF">
        <w:rPr>
          <w:rFonts w:cstheme="minorHAnsi"/>
          <w:color w:val="222222"/>
          <w:shd w:val="clear" w:color="auto" w:fill="FFFFFF"/>
        </w:rPr>
        <w:t> </w:t>
      </w:r>
      <w:r w:rsidRPr="003919EF">
        <w:rPr>
          <w:rFonts w:cstheme="minorHAnsi"/>
          <w:iCs/>
          <w:color w:val="222222"/>
          <w:shd w:val="clear" w:color="auto" w:fill="FFFFFF"/>
        </w:rPr>
        <w:t>11</w:t>
      </w:r>
      <w:r w:rsidRPr="003919EF">
        <w:rPr>
          <w:rFonts w:cstheme="minorHAnsi"/>
          <w:color w:val="222222"/>
          <w:shd w:val="clear" w:color="auto" w:fill="FFFFFF"/>
        </w:rPr>
        <w:t>: 713-719.</w:t>
      </w:r>
    </w:p>
    <w:p w14:paraId="3139EFC7" w14:textId="0977CAA5" w:rsidR="001260C5" w:rsidRPr="003919EF" w:rsidRDefault="001260C5" w:rsidP="00A9639B">
      <w:pPr>
        <w:spacing w:line="240" w:lineRule="auto"/>
        <w:ind w:left="720" w:hanging="720"/>
        <w:contextualSpacing/>
        <w:rPr>
          <w:rFonts w:cstheme="minorHAnsi"/>
          <w:color w:val="222222"/>
          <w:shd w:val="clear" w:color="auto" w:fill="FFFFFF"/>
        </w:rPr>
      </w:pPr>
      <w:proofErr w:type="spellStart"/>
      <w:r w:rsidRPr="003919EF">
        <w:rPr>
          <w:rFonts w:cstheme="minorHAnsi"/>
          <w:color w:val="222222"/>
          <w:shd w:val="clear" w:color="auto" w:fill="FFFFFF"/>
        </w:rPr>
        <w:t>Auwaerter</w:t>
      </w:r>
      <w:proofErr w:type="spellEnd"/>
      <w:r w:rsidRPr="003919EF">
        <w:rPr>
          <w:rFonts w:cstheme="minorHAnsi"/>
          <w:color w:val="222222"/>
          <w:shd w:val="clear" w:color="auto" w:fill="FFFFFF"/>
        </w:rPr>
        <w:t xml:space="preserve">, P.G., Bakken, J.S., </w:t>
      </w:r>
      <w:proofErr w:type="spellStart"/>
      <w:r w:rsidRPr="003919EF">
        <w:rPr>
          <w:rFonts w:cstheme="minorHAnsi"/>
          <w:color w:val="222222"/>
          <w:shd w:val="clear" w:color="auto" w:fill="FFFFFF"/>
        </w:rPr>
        <w:t>Dattwyler</w:t>
      </w:r>
      <w:proofErr w:type="spellEnd"/>
      <w:r w:rsidRPr="003919EF">
        <w:rPr>
          <w:rFonts w:cstheme="minorHAnsi"/>
          <w:color w:val="222222"/>
          <w:shd w:val="clear" w:color="auto" w:fill="FFFFFF"/>
        </w:rPr>
        <w:t xml:space="preserve">, R.J., </w:t>
      </w:r>
      <w:proofErr w:type="spellStart"/>
      <w:r w:rsidRPr="003919EF">
        <w:rPr>
          <w:rFonts w:cstheme="minorHAnsi"/>
          <w:color w:val="222222"/>
          <w:shd w:val="clear" w:color="auto" w:fill="FFFFFF"/>
        </w:rPr>
        <w:t>Dumler</w:t>
      </w:r>
      <w:proofErr w:type="spellEnd"/>
      <w:r w:rsidRPr="003919EF">
        <w:rPr>
          <w:rFonts w:cstheme="minorHAnsi"/>
          <w:color w:val="222222"/>
          <w:shd w:val="clear" w:color="auto" w:fill="FFFFFF"/>
        </w:rPr>
        <w:t xml:space="preserve">, J.S., Halperin, J.J., </w:t>
      </w:r>
      <w:proofErr w:type="spellStart"/>
      <w:r w:rsidRPr="003919EF">
        <w:rPr>
          <w:rFonts w:cstheme="minorHAnsi"/>
          <w:color w:val="222222"/>
          <w:shd w:val="clear" w:color="auto" w:fill="FFFFFF"/>
        </w:rPr>
        <w:t>McSweegan</w:t>
      </w:r>
      <w:proofErr w:type="spellEnd"/>
      <w:r w:rsidRPr="003919EF">
        <w:rPr>
          <w:rFonts w:cstheme="minorHAnsi"/>
          <w:color w:val="222222"/>
          <w:shd w:val="clear" w:color="auto" w:fill="FFFFFF"/>
        </w:rPr>
        <w:t xml:space="preserve">, E., </w:t>
      </w:r>
      <w:proofErr w:type="spellStart"/>
      <w:r w:rsidRPr="003919EF">
        <w:rPr>
          <w:rFonts w:cstheme="minorHAnsi"/>
          <w:color w:val="222222"/>
          <w:shd w:val="clear" w:color="auto" w:fill="FFFFFF"/>
        </w:rPr>
        <w:t>Nadelman</w:t>
      </w:r>
      <w:proofErr w:type="spellEnd"/>
      <w:r w:rsidRPr="003919EF">
        <w:rPr>
          <w:rFonts w:cstheme="minorHAnsi"/>
          <w:color w:val="222222"/>
          <w:shd w:val="clear" w:color="auto" w:fill="FFFFFF"/>
        </w:rPr>
        <w:t xml:space="preserve">, R.B., O'Connell, S., </w:t>
      </w:r>
      <w:proofErr w:type="spellStart"/>
      <w:r w:rsidRPr="003919EF">
        <w:rPr>
          <w:rFonts w:cstheme="minorHAnsi"/>
          <w:color w:val="222222"/>
          <w:shd w:val="clear" w:color="auto" w:fill="FFFFFF"/>
        </w:rPr>
        <w:t>Sood</w:t>
      </w:r>
      <w:proofErr w:type="spellEnd"/>
      <w:r w:rsidRPr="003919EF">
        <w:rPr>
          <w:rFonts w:cstheme="minorHAnsi"/>
          <w:color w:val="222222"/>
          <w:shd w:val="clear" w:color="auto" w:fill="FFFFFF"/>
        </w:rPr>
        <w:t xml:space="preserve">, S.K., Weinstein, A. and </w:t>
      </w:r>
      <w:proofErr w:type="spellStart"/>
      <w:r w:rsidRPr="003919EF">
        <w:rPr>
          <w:rFonts w:cstheme="minorHAnsi"/>
          <w:color w:val="222222"/>
          <w:shd w:val="clear" w:color="auto" w:fill="FFFFFF"/>
        </w:rPr>
        <w:t>Wormser</w:t>
      </w:r>
      <w:proofErr w:type="spellEnd"/>
      <w:r w:rsidRPr="003919EF">
        <w:rPr>
          <w:rFonts w:cstheme="minorHAnsi"/>
          <w:color w:val="222222"/>
          <w:shd w:val="clear" w:color="auto" w:fill="FFFFFF"/>
        </w:rPr>
        <w:t>, G.P. 2011b. Scientific evidence and best patient care practices should guide the ethics of Lyme disease activism. </w:t>
      </w:r>
      <w:r w:rsidRPr="003919EF">
        <w:rPr>
          <w:rFonts w:cstheme="minorHAnsi"/>
          <w:i/>
          <w:iCs/>
          <w:color w:val="222222"/>
          <w:shd w:val="clear" w:color="auto" w:fill="FFFFFF"/>
        </w:rPr>
        <w:t>Journal of Medical Ethics</w:t>
      </w:r>
      <w:r w:rsidRPr="003919EF">
        <w:rPr>
          <w:rFonts w:cstheme="minorHAnsi"/>
          <w:color w:val="222222"/>
          <w:shd w:val="clear" w:color="auto" w:fill="FFFFFF"/>
        </w:rPr>
        <w:t> </w:t>
      </w:r>
      <w:r w:rsidRPr="003919EF">
        <w:rPr>
          <w:rFonts w:cstheme="minorHAnsi"/>
          <w:iCs/>
          <w:color w:val="222222"/>
          <w:shd w:val="clear" w:color="auto" w:fill="FFFFFF"/>
        </w:rPr>
        <w:t>37</w:t>
      </w:r>
      <w:r w:rsidRPr="003919EF">
        <w:rPr>
          <w:rFonts w:cstheme="minorHAnsi"/>
          <w:color w:val="222222"/>
          <w:shd w:val="clear" w:color="auto" w:fill="FFFFFF"/>
        </w:rPr>
        <w:t>: 68-73.</w:t>
      </w:r>
    </w:p>
    <w:p w14:paraId="09E85973" w14:textId="4881F0DB" w:rsidR="003F2418" w:rsidRPr="003919EF" w:rsidRDefault="0057126A"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Biddle, J. and Leuschner, A., 2015. Climate skepticism and the manufacture of doubt: Can dissent in science be epistemically detrimental?. </w:t>
      </w:r>
      <w:r w:rsidRPr="003919EF">
        <w:rPr>
          <w:rFonts w:cstheme="minorHAnsi"/>
          <w:i/>
          <w:color w:val="222222"/>
          <w:shd w:val="clear" w:color="auto" w:fill="FFFFFF"/>
        </w:rPr>
        <w:t>European Journal for Philosophy of Science</w:t>
      </w:r>
      <w:r w:rsidRPr="003919EF">
        <w:rPr>
          <w:rFonts w:cstheme="minorHAnsi"/>
          <w:color w:val="222222"/>
          <w:shd w:val="clear" w:color="auto" w:fill="FFFFFF"/>
        </w:rPr>
        <w:t> 5: 261-278</w:t>
      </w:r>
      <w:r w:rsidR="003F50C2" w:rsidRPr="003919EF">
        <w:rPr>
          <w:rFonts w:cstheme="minorHAnsi"/>
          <w:color w:val="222222"/>
          <w:shd w:val="clear" w:color="auto" w:fill="FFFFFF"/>
        </w:rPr>
        <w:t>.</w:t>
      </w:r>
    </w:p>
    <w:p w14:paraId="25B5E9FE" w14:textId="51C7E087" w:rsidR="00D5597B" w:rsidRPr="003919EF" w:rsidRDefault="00D5597B"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Boykoff</w:t>
      </w:r>
      <w:r w:rsidR="00127FA4" w:rsidRPr="003919EF">
        <w:rPr>
          <w:rFonts w:cstheme="minorHAnsi"/>
          <w:color w:val="222222"/>
          <w:shd w:val="clear" w:color="auto" w:fill="FFFFFF"/>
        </w:rPr>
        <w:t>, M.</w:t>
      </w:r>
      <w:r w:rsidRPr="003919EF">
        <w:rPr>
          <w:rFonts w:cstheme="minorHAnsi"/>
          <w:color w:val="222222"/>
          <w:shd w:val="clear" w:color="auto" w:fill="FFFFFF"/>
        </w:rPr>
        <w:t xml:space="preserve"> and Boykoff</w:t>
      </w:r>
      <w:r w:rsidR="00127FA4" w:rsidRPr="003919EF">
        <w:rPr>
          <w:rFonts w:cstheme="minorHAnsi"/>
          <w:color w:val="222222"/>
          <w:shd w:val="clear" w:color="auto" w:fill="FFFFFF"/>
        </w:rPr>
        <w:t>, J</w:t>
      </w:r>
      <w:r w:rsidRPr="003919EF">
        <w:rPr>
          <w:rFonts w:cstheme="minorHAnsi"/>
          <w:color w:val="222222"/>
          <w:shd w:val="clear" w:color="auto" w:fill="FFFFFF"/>
        </w:rPr>
        <w:t xml:space="preserve">. </w:t>
      </w:r>
      <w:r w:rsidR="002233EE" w:rsidRPr="003919EF">
        <w:rPr>
          <w:rFonts w:cstheme="minorHAnsi"/>
          <w:color w:val="222222"/>
          <w:shd w:val="clear" w:color="auto" w:fill="FFFFFF"/>
        </w:rPr>
        <w:t xml:space="preserve">2004. </w:t>
      </w:r>
      <w:r w:rsidR="00127FA4" w:rsidRPr="003919EF">
        <w:rPr>
          <w:rFonts w:cstheme="minorHAnsi"/>
          <w:color w:val="222222"/>
          <w:shd w:val="clear" w:color="auto" w:fill="FFFFFF"/>
        </w:rPr>
        <w:t xml:space="preserve">Balance as Bias: </w:t>
      </w:r>
      <w:r w:rsidR="001B35A0" w:rsidRPr="003919EF">
        <w:rPr>
          <w:rFonts w:cstheme="minorHAnsi"/>
          <w:color w:val="222222"/>
          <w:shd w:val="clear" w:color="auto" w:fill="FFFFFF"/>
        </w:rPr>
        <w:t>Global Warming and the U.S. Prestige Press</w:t>
      </w:r>
      <w:r w:rsidR="000518EE">
        <w:rPr>
          <w:rFonts w:cstheme="minorHAnsi"/>
          <w:color w:val="222222"/>
          <w:shd w:val="clear" w:color="auto" w:fill="FFFFFF"/>
        </w:rPr>
        <w:t>.</w:t>
      </w:r>
      <w:r w:rsidR="001B35A0" w:rsidRPr="003919EF">
        <w:rPr>
          <w:rFonts w:cstheme="minorHAnsi"/>
          <w:color w:val="222222"/>
          <w:shd w:val="clear" w:color="auto" w:fill="FFFFFF"/>
        </w:rPr>
        <w:t xml:space="preserve"> </w:t>
      </w:r>
      <w:r w:rsidR="00A54351" w:rsidRPr="003919EF">
        <w:rPr>
          <w:rFonts w:cstheme="minorHAnsi"/>
          <w:i/>
          <w:iCs/>
          <w:color w:val="222222"/>
          <w:shd w:val="clear" w:color="auto" w:fill="FFFFFF"/>
        </w:rPr>
        <w:t xml:space="preserve">Global Environmental Change </w:t>
      </w:r>
      <w:r w:rsidR="00B44ED3" w:rsidRPr="003919EF">
        <w:rPr>
          <w:rFonts w:cstheme="minorHAnsi"/>
          <w:color w:val="222222"/>
          <w:shd w:val="clear" w:color="auto" w:fill="FFFFFF"/>
        </w:rPr>
        <w:t>14: 125-136.</w:t>
      </w:r>
    </w:p>
    <w:p w14:paraId="0AF2255D" w14:textId="778F3D77" w:rsidR="00EA5342" w:rsidRPr="003919EF" w:rsidRDefault="00EA5342"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Corburn</w:t>
      </w:r>
      <w:r w:rsidR="00560471" w:rsidRPr="003919EF">
        <w:rPr>
          <w:rFonts w:cstheme="minorHAnsi"/>
          <w:color w:val="222222"/>
          <w:shd w:val="clear" w:color="auto" w:fill="FFFFFF"/>
        </w:rPr>
        <w:t>, J.</w:t>
      </w:r>
      <w:r w:rsidR="006A5FB7" w:rsidRPr="003919EF">
        <w:rPr>
          <w:rFonts w:cstheme="minorHAnsi"/>
          <w:color w:val="222222"/>
          <w:shd w:val="clear" w:color="auto" w:fill="FFFFFF"/>
        </w:rPr>
        <w:t xml:space="preserve"> 2005.</w:t>
      </w:r>
      <w:r w:rsidR="00560471" w:rsidRPr="003919EF">
        <w:rPr>
          <w:rFonts w:cstheme="minorHAnsi"/>
          <w:color w:val="222222"/>
          <w:shd w:val="clear" w:color="auto" w:fill="FFFFFF"/>
        </w:rPr>
        <w:t xml:space="preserve"> </w:t>
      </w:r>
      <w:r w:rsidR="00560471" w:rsidRPr="003919EF">
        <w:rPr>
          <w:rFonts w:cstheme="minorHAnsi"/>
          <w:i/>
          <w:iCs/>
          <w:color w:val="222222"/>
          <w:shd w:val="clear" w:color="auto" w:fill="FFFFFF"/>
        </w:rPr>
        <w:t xml:space="preserve">Street Science: Community Knowledge and Environmental Health Justice. </w:t>
      </w:r>
      <w:r w:rsidR="00560471" w:rsidRPr="003919EF">
        <w:rPr>
          <w:rFonts w:cstheme="minorHAnsi"/>
          <w:color w:val="222222"/>
          <w:shd w:val="clear" w:color="auto" w:fill="FFFFFF"/>
        </w:rPr>
        <w:t>Cambridge, MA: MIT Press.</w:t>
      </w:r>
    </w:p>
    <w:p w14:paraId="604B1D0D" w14:textId="1E4DC0A9" w:rsidR="00C41AE3" w:rsidRPr="003919EF" w:rsidRDefault="00C41AE3"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DeLong, A.K., Blossom, B., Maloney, E.L. and Phillips, S.E., 2012. Antibiotic retreatment of Lyme disease in patients with persistent symptoms: a biostatistical review of randomized, placebo-controlled, clinical trials. </w:t>
      </w:r>
      <w:r w:rsidRPr="003919EF">
        <w:rPr>
          <w:rFonts w:cstheme="minorHAnsi"/>
          <w:i/>
          <w:iCs/>
          <w:color w:val="222222"/>
          <w:shd w:val="clear" w:color="auto" w:fill="FFFFFF"/>
        </w:rPr>
        <w:t>Contemporary clinical trials</w:t>
      </w:r>
      <w:r w:rsidRPr="003919EF">
        <w:rPr>
          <w:rFonts w:cstheme="minorHAnsi"/>
          <w:color w:val="222222"/>
          <w:shd w:val="clear" w:color="auto" w:fill="FFFFFF"/>
        </w:rPr>
        <w:t> </w:t>
      </w:r>
      <w:r w:rsidRPr="003919EF">
        <w:rPr>
          <w:rFonts w:cstheme="minorHAnsi"/>
          <w:iCs/>
          <w:color w:val="222222"/>
          <w:shd w:val="clear" w:color="auto" w:fill="FFFFFF"/>
        </w:rPr>
        <w:t>33</w:t>
      </w:r>
      <w:r w:rsidRPr="003919EF">
        <w:rPr>
          <w:rFonts w:cstheme="minorHAnsi"/>
          <w:color w:val="222222"/>
          <w:shd w:val="clear" w:color="auto" w:fill="FFFFFF"/>
        </w:rPr>
        <w:t>: 1132-1142.</w:t>
      </w:r>
    </w:p>
    <w:p w14:paraId="16D7A1E2" w14:textId="77777777" w:rsidR="008052A4" w:rsidRPr="003919EF" w:rsidRDefault="008052A4"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de Melo-Martín, I. and Intemann, K. 2018. </w:t>
      </w:r>
      <w:r w:rsidRPr="003919EF">
        <w:rPr>
          <w:rFonts w:cstheme="minorHAnsi"/>
          <w:i/>
          <w:color w:val="222222"/>
          <w:shd w:val="clear" w:color="auto" w:fill="FFFFFF"/>
        </w:rPr>
        <w:t>The Fight against Doubt: How to Bridge the Gap between Scientists and the Public</w:t>
      </w:r>
      <w:r w:rsidRPr="003919EF">
        <w:rPr>
          <w:rFonts w:cstheme="minorHAnsi"/>
          <w:color w:val="222222"/>
          <w:shd w:val="clear" w:color="auto" w:fill="FFFFFF"/>
        </w:rPr>
        <w:t>. New York: Oxford University Press.</w:t>
      </w:r>
    </w:p>
    <w:p w14:paraId="1AE34104" w14:textId="2631E261" w:rsidR="00317F3C" w:rsidRPr="003919EF" w:rsidRDefault="00317F3C"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de Melo-Mart</w:t>
      </w:r>
      <w:r w:rsidR="00022798" w:rsidRPr="003919EF">
        <w:rPr>
          <w:rFonts w:cstheme="minorHAnsi"/>
          <w:color w:val="222222"/>
          <w:shd w:val="clear" w:color="auto" w:fill="FFFFFF"/>
        </w:rPr>
        <w:t>í</w:t>
      </w:r>
      <w:r w:rsidRPr="003919EF">
        <w:rPr>
          <w:rFonts w:cstheme="minorHAnsi"/>
          <w:color w:val="222222"/>
          <w:shd w:val="clear" w:color="auto" w:fill="FFFFFF"/>
        </w:rPr>
        <w:t>n, I. and Intemann, K., 2014. Who's afraid of dissent? Addressing concerns about undermining scientific consensus in public policy developments. </w:t>
      </w:r>
      <w:r w:rsidRPr="003919EF">
        <w:rPr>
          <w:rFonts w:cstheme="minorHAnsi"/>
          <w:i/>
          <w:iCs/>
          <w:color w:val="222222"/>
          <w:shd w:val="clear" w:color="auto" w:fill="FFFFFF"/>
        </w:rPr>
        <w:t>Perspectives on Science</w:t>
      </w:r>
      <w:r w:rsidRPr="003919EF">
        <w:rPr>
          <w:rFonts w:cstheme="minorHAnsi"/>
          <w:color w:val="222222"/>
          <w:shd w:val="clear" w:color="auto" w:fill="FFFFFF"/>
        </w:rPr>
        <w:t>, </w:t>
      </w:r>
      <w:r w:rsidRPr="003919EF">
        <w:rPr>
          <w:rFonts w:cstheme="minorHAnsi"/>
          <w:i/>
          <w:iCs/>
          <w:color w:val="222222"/>
          <w:shd w:val="clear" w:color="auto" w:fill="FFFFFF"/>
        </w:rPr>
        <w:t>22</w:t>
      </w:r>
      <w:r w:rsidRPr="003919EF">
        <w:rPr>
          <w:rFonts w:cstheme="minorHAnsi"/>
          <w:color w:val="222222"/>
          <w:shd w:val="clear" w:color="auto" w:fill="FFFFFF"/>
        </w:rPr>
        <w:t>(4), pp.593-615.</w:t>
      </w:r>
    </w:p>
    <w:p w14:paraId="327C17FE" w14:textId="6A25703A" w:rsidR="007657CD" w:rsidRPr="003919EF" w:rsidRDefault="007657CD" w:rsidP="00A9639B">
      <w:pPr>
        <w:spacing w:after="0" w:line="240" w:lineRule="auto"/>
        <w:ind w:left="720" w:hanging="720"/>
        <w:contextualSpacing/>
        <w:rPr>
          <w:rFonts w:eastAsia="Times New Roman" w:cstheme="minorHAnsi"/>
          <w:lang w:eastAsia="en-GB"/>
        </w:rPr>
      </w:pPr>
      <w:r w:rsidRPr="003919EF">
        <w:rPr>
          <w:rFonts w:eastAsia="Times New Roman" w:cstheme="minorHAnsi"/>
          <w:lang w:eastAsia="en-GB"/>
        </w:rPr>
        <w:t>DiMarco</w:t>
      </w:r>
      <w:r w:rsidR="0007261A" w:rsidRPr="003919EF">
        <w:rPr>
          <w:rFonts w:eastAsia="Times New Roman" w:cstheme="minorHAnsi"/>
          <w:lang w:eastAsia="en-GB"/>
        </w:rPr>
        <w:t xml:space="preserve">, M. and Khalifa, K. 2019. Inquiry Tickets: </w:t>
      </w:r>
      <w:r w:rsidR="008B6AFE" w:rsidRPr="003919EF">
        <w:rPr>
          <w:rFonts w:eastAsia="Times New Roman" w:cstheme="minorHAnsi"/>
          <w:lang w:eastAsia="en-GB"/>
        </w:rPr>
        <w:t xml:space="preserve">Values, Pursuit, and Underdetermination. </w:t>
      </w:r>
      <w:r w:rsidR="008B6AFE" w:rsidRPr="003919EF">
        <w:rPr>
          <w:rFonts w:eastAsia="Times New Roman" w:cstheme="minorHAnsi"/>
          <w:i/>
          <w:iCs/>
          <w:lang w:eastAsia="en-GB"/>
        </w:rPr>
        <w:t xml:space="preserve">Philosophy of Science </w:t>
      </w:r>
      <w:r w:rsidR="008B6AFE" w:rsidRPr="003919EF">
        <w:rPr>
          <w:rFonts w:eastAsia="Times New Roman" w:cstheme="minorHAnsi"/>
          <w:lang w:eastAsia="en-GB"/>
        </w:rPr>
        <w:t xml:space="preserve">86: </w:t>
      </w:r>
      <w:r w:rsidR="002329E4" w:rsidRPr="003919EF">
        <w:rPr>
          <w:rFonts w:eastAsia="Times New Roman" w:cstheme="minorHAnsi"/>
          <w:lang w:eastAsia="en-GB"/>
        </w:rPr>
        <w:t>1016-1028.</w:t>
      </w:r>
    </w:p>
    <w:p w14:paraId="71F98416" w14:textId="12E67AE2" w:rsidR="00AB5E3B" w:rsidRPr="003919EF" w:rsidRDefault="00AB5E3B" w:rsidP="00A9639B">
      <w:pPr>
        <w:spacing w:after="0" w:line="240" w:lineRule="auto"/>
        <w:ind w:left="720" w:hanging="720"/>
        <w:contextualSpacing/>
        <w:rPr>
          <w:rFonts w:eastAsia="Times New Roman" w:cstheme="minorHAnsi"/>
          <w:lang w:eastAsia="en-GB"/>
        </w:rPr>
      </w:pPr>
      <w:r w:rsidRPr="003919EF">
        <w:rPr>
          <w:rFonts w:eastAsia="Times New Roman" w:cstheme="minorHAnsi"/>
          <w:lang w:eastAsia="en-GB"/>
        </w:rPr>
        <w:t>Douglas, H. 2005. Inserting the Public into Science</w:t>
      </w:r>
      <w:r w:rsidR="000518EE">
        <w:rPr>
          <w:rFonts w:eastAsia="Times New Roman" w:cstheme="minorHAnsi"/>
          <w:lang w:eastAsia="en-GB"/>
        </w:rPr>
        <w:t>.</w:t>
      </w:r>
      <w:r w:rsidRPr="003919EF">
        <w:rPr>
          <w:rFonts w:eastAsia="Times New Roman" w:cstheme="minorHAnsi"/>
          <w:lang w:eastAsia="en-GB"/>
        </w:rPr>
        <w:t xml:space="preserve"> </w:t>
      </w:r>
      <w:r w:rsidR="000518EE">
        <w:rPr>
          <w:rFonts w:eastAsia="Times New Roman" w:cstheme="minorHAnsi"/>
          <w:lang w:eastAsia="en-GB"/>
        </w:rPr>
        <w:t>I</w:t>
      </w:r>
      <w:r w:rsidRPr="003919EF">
        <w:rPr>
          <w:rFonts w:eastAsia="Times New Roman" w:cstheme="minorHAnsi"/>
          <w:lang w:eastAsia="en-GB"/>
        </w:rPr>
        <w:t xml:space="preserve">n </w:t>
      </w:r>
      <w:r w:rsidR="001E5118" w:rsidRPr="003919EF">
        <w:rPr>
          <w:rFonts w:eastAsia="Times New Roman" w:cstheme="minorHAnsi"/>
          <w:lang w:eastAsia="en-GB"/>
        </w:rPr>
        <w:t xml:space="preserve">S. Maasen and P. Weingart (eds.), </w:t>
      </w:r>
      <w:r w:rsidR="00554F0C" w:rsidRPr="003919EF">
        <w:rPr>
          <w:rFonts w:eastAsia="Times New Roman" w:cstheme="minorHAnsi"/>
          <w:i/>
          <w:iCs/>
          <w:lang w:eastAsia="en-GB"/>
        </w:rPr>
        <w:t xml:space="preserve">Democratization of Expertise? Exploring Novel </w:t>
      </w:r>
      <w:r w:rsidR="004B0DB1" w:rsidRPr="003919EF">
        <w:rPr>
          <w:rFonts w:eastAsia="Times New Roman" w:cstheme="minorHAnsi"/>
          <w:i/>
          <w:iCs/>
          <w:lang w:eastAsia="en-GB"/>
        </w:rPr>
        <w:t>Forms of Scientific Advice in Political Decision</w:t>
      </w:r>
      <w:r w:rsidR="00BD2040" w:rsidRPr="003919EF">
        <w:rPr>
          <w:rFonts w:eastAsia="Times New Roman" w:cstheme="minorHAnsi"/>
          <w:i/>
          <w:iCs/>
          <w:lang w:eastAsia="en-GB"/>
        </w:rPr>
        <w:t>-Making</w:t>
      </w:r>
      <w:r w:rsidR="003A61A1" w:rsidRPr="003919EF">
        <w:rPr>
          <w:rFonts w:eastAsia="Times New Roman" w:cstheme="minorHAnsi"/>
          <w:i/>
          <w:iCs/>
          <w:lang w:eastAsia="en-GB"/>
        </w:rPr>
        <w:t xml:space="preserve">, </w:t>
      </w:r>
      <w:r w:rsidR="003A61A1" w:rsidRPr="003919EF">
        <w:rPr>
          <w:rFonts w:eastAsia="Times New Roman" w:cstheme="minorHAnsi"/>
          <w:lang w:eastAsia="en-GB"/>
        </w:rPr>
        <w:t>153-169.</w:t>
      </w:r>
      <w:r w:rsidR="00BD2040" w:rsidRPr="003919EF">
        <w:rPr>
          <w:rFonts w:eastAsia="Times New Roman" w:cstheme="minorHAnsi"/>
          <w:i/>
          <w:iCs/>
          <w:lang w:eastAsia="en-GB"/>
        </w:rPr>
        <w:t xml:space="preserve"> </w:t>
      </w:r>
      <w:r w:rsidR="002B0257" w:rsidRPr="003919EF">
        <w:rPr>
          <w:rFonts w:eastAsia="Times New Roman" w:cstheme="minorHAnsi"/>
          <w:lang w:eastAsia="en-GB"/>
        </w:rPr>
        <w:t>New York: S</w:t>
      </w:r>
      <w:r w:rsidR="003A61A1" w:rsidRPr="003919EF">
        <w:rPr>
          <w:rFonts w:eastAsia="Times New Roman" w:cstheme="minorHAnsi"/>
          <w:lang w:eastAsia="en-GB"/>
        </w:rPr>
        <w:t>pringer</w:t>
      </w:r>
    </w:p>
    <w:p w14:paraId="1313D830" w14:textId="6081D285" w:rsidR="0021509B" w:rsidRPr="003919EF" w:rsidRDefault="00E22D9C" w:rsidP="00A9639B">
      <w:pPr>
        <w:spacing w:after="0" w:line="240" w:lineRule="auto"/>
        <w:ind w:left="720" w:hanging="720"/>
        <w:contextualSpacing/>
        <w:rPr>
          <w:rFonts w:eastAsia="Times New Roman" w:cstheme="minorHAnsi"/>
          <w:iCs/>
          <w:lang w:eastAsia="en-GB"/>
        </w:rPr>
      </w:pPr>
      <w:r w:rsidRPr="003919EF">
        <w:rPr>
          <w:rFonts w:eastAsia="Times New Roman" w:cstheme="minorHAnsi"/>
          <w:lang w:eastAsia="en-GB"/>
        </w:rPr>
        <w:t>Douglas, H. 2008. The Role of Values in Expert Reasoning</w:t>
      </w:r>
      <w:r w:rsidR="000518EE">
        <w:rPr>
          <w:rFonts w:eastAsia="Times New Roman" w:cstheme="minorHAnsi"/>
          <w:lang w:eastAsia="en-GB"/>
        </w:rPr>
        <w:t>.</w:t>
      </w:r>
      <w:r w:rsidRPr="003919EF">
        <w:rPr>
          <w:rFonts w:eastAsia="Times New Roman" w:cstheme="minorHAnsi"/>
          <w:lang w:eastAsia="en-GB"/>
        </w:rPr>
        <w:t xml:space="preserve"> </w:t>
      </w:r>
      <w:r w:rsidRPr="003919EF">
        <w:rPr>
          <w:rFonts w:eastAsia="Times New Roman" w:cstheme="minorHAnsi"/>
          <w:i/>
          <w:lang w:eastAsia="en-GB"/>
        </w:rPr>
        <w:t xml:space="preserve">Public Affairs Quarterly </w:t>
      </w:r>
      <w:r w:rsidRPr="003919EF">
        <w:rPr>
          <w:rFonts w:eastAsia="Times New Roman" w:cstheme="minorHAnsi"/>
          <w:lang w:eastAsia="en-GB"/>
        </w:rPr>
        <w:t>22: 1-18</w:t>
      </w:r>
      <w:r w:rsidR="00AE49FB" w:rsidRPr="003919EF">
        <w:rPr>
          <w:rFonts w:eastAsia="Times New Roman" w:cstheme="minorHAnsi"/>
          <w:lang w:eastAsia="en-GB"/>
        </w:rPr>
        <w:t>.</w:t>
      </w:r>
    </w:p>
    <w:p w14:paraId="5F85AF07" w14:textId="1F116CB9" w:rsidR="00112883" w:rsidRPr="00112883" w:rsidRDefault="00112883" w:rsidP="00A9639B">
      <w:pPr>
        <w:spacing w:line="240" w:lineRule="auto"/>
        <w:ind w:left="720" w:hanging="720"/>
        <w:contextualSpacing/>
        <w:rPr>
          <w:rFonts w:cstheme="minorHAnsi"/>
          <w:color w:val="222222"/>
          <w:shd w:val="clear" w:color="auto" w:fill="FFFFFF"/>
        </w:rPr>
      </w:pPr>
      <w:r w:rsidRPr="00112883">
        <w:rPr>
          <w:rFonts w:cstheme="minorHAnsi"/>
          <w:color w:val="222222"/>
          <w:shd w:val="clear" w:color="auto" w:fill="FFFFFF"/>
        </w:rPr>
        <w:t>Douglas, H., 2014. The moral terrain of science</w:t>
      </w:r>
      <w:r w:rsidR="000518EE">
        <w:rPr>
          <w:rFonts w:cstheme="minorHAnsi"/>
          <w:color w:val="222222"/>
          <w:shd w:val="clear" w:color="auto" w:fill="FFFFFF"/>
        </w:rPr>
        <w:t>.</w:t>
      </w:r>
      <w:r w:rsidRPr="00112883">
        <w:rPr>
          <w:rFonts w:cstheme="minorHAnsi"/>
          <w:color w:val="222222"/>
          <w:shd w:val="clear" w:color="auto" w:fill="FFFFFF"/>
        </w:rPr>
        <w:t> </w:t>
      </w:r>
      <w:proofErr w:type="spellStart"/>
      <w:r w:rsidRPr="00112883">
        <w:rPr>
          <w:rFonts w:cstheme="minorHAnsi"/>
          <w:i/>
          <w:iCs/>
          <w:color w:val="222222"/>
          <w:shd w:val="clear" w:color="auto" w:fill="FFFFFF"/>
        </w:rPr>
        <w:t>Erkenntnis</w:t>
      </w:r>
      <w:proofErr w:type="spellEnd"/>
      <w:r w:rsidRPr="00112883">
        <w:rPr>
          <w:rFonts w:cstheme="minorHAnsi"/>
          <w:color w:val="222222"/>
          <w:shd w:val="clear" w:color="auto" w:fill="FFFFFF"/>
        </w:rPr>
        <w:t> 79</w:t>
      </w:r>
      <w:r>
        <w:rPr>
          <w:rFonts w:cstheme="minorHAnsi"/>
          <w:color w:val="222222"/>
          <w:shd w:val="clear" w:color="auto" w:fill="FFFFFF"/>
        </w:rPr>
        <w:t xml:space="preserve">: </w:t>
      </w:r>
      <w:r w:rsidRPr="00112883">
        <w:rPr>
          <w:rFonts w:cstheme="minorHAnsi"/>
          <w:color w:val="222222"/>
          <w:shd w:val="clear" w:color="auto" w:fill="FFFFFF"/>
        </w:rPr>
        <w:t>961-979.</w:t>
      </w:r>
    </w:p>
    <w:p w14:paraId="3CCA578E" w14:textId="0340944B" w:rsidR="009071CD" w:rsidRPr="003919EF" w:rsidRDefault="009071CD"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Elliott, K. 2011. </w:t>
      </w:r>
      <w:r w:rsidRPr="003919EF">
        <w:rPr>
          <w:rFonts w:cstheme="minorHAnsi"/>
          <w:i/>
          <w:iCs/>
          <w:color w:val="222222"/>
          <w:shd w:val="clear" w:color="auto" w:fill="FFFFFF"/>
        </w:rPr>
        <w:t xml:space="preserve">Is a Little Pollution Good for You? </w:t>
      </w:r>
      <w:r w:rsidR="009C755D" w:rsidRPr="003919EF">
        <w:rPr>
          <w:rFonts w:cstheme="minorHAnsi"/>
          <w:i/>
          <w:iCs/>
          <w:color w:val="222222"/>
          <w:shd w:val="clear" w:color="auto" w:fill="FFFFFF"/>
        </w:rPr>
        <w:t xml:space="preserve">Incorporating Societal Values in Environmental Research. </w:t>
      </w:r>
      <w:r w:rsidR="009C755D" w:rsidRPr="003919EF">
        <w:rPr>
          <w:rFonts w:cstheme="minorHAnsi"/>
          <w:color w:val="222222"/>
          <w:shd w:val="clear" w:color="auto" w:fill="FFFFFF"/>
        </w:rPr>
        <w:t>New York: Oxford University Press.</w:t>
      </w:r>
    </w:p>
    <w:p w14:paraId="31CE2566" w14:textId="77777777" w:rsidR="00B31FAF" w:rsidRPr="003919EF" w:rsidRDefault="00B31FAF" w:rsidP="00A9639B">
      <w:pPr>
        <w:spacing w:after="0" w:line="240" w:lineRule="auto"/>
        <w:ind w:left="720" w:hanging="720"/>
        <w:contextualSpacing/>
        <w:rPr>
          <w:rFonts w:cstheme="minorHAnsi"/>
        </w:rPr>
      </w:pPr>
      <w:r w:rsidRPr="003919EF">
        <w:rPr>
          <w:rFonts w:cstheme="minorHAnsi"/>
        </w:rPr>
        <w:t xml:space="preserve">Elliott, K. 2017. </w:t>
      </w:r>
      <w:r w:rsidRPr="003919EF">
        <w:rPr>
          <w:rFonts w:cstheme="minorHAnsi"/>
          <w:i/>
        </w:rPr>
        <w:t xml:space="preserve">A Tapestry of Values: An Introduction to Values in Science. </w:t>
      </w:r>
      <w:r w:rsidRPr="003919EF">
        <w:rPr>
          <w:rFonts w:cstheme="minorHAnsi"/>
        </w:rPr>
        <w:t>New York: Oxford University Press.</w:t>
      </w:r>
    </w:p>
    <w:p w14:paraId="03185C1D" w14:textId="43DFE5B8" w:rsidR="00137C69" w:rsidRPr="003919EF" w:rsidRDefault="00EC3B00"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Elliott, K.C., 2019. Science journalism, value judgments, and the open science movement. </w:t>
      </w:r>
      <w:r w:rsidRPr="003919EF">
        <w:rPr>
          <w:rFonts w:cstheme="minorHAnsi"/>
          <w:i/>
          <w:iCs/>
          <w:color w:val="222222"/>
          <w:shd w:val="clear" w:color="auto" w:fill="FFFFFF"/>
        </w:rPr>
        <w:t>Frontiers in Communication</w:t>
      </w:r>
      <w:r w:rsidRPr="003919EF">
        <w:rPr>
          <w:rFonts w:cstheme="minorHAnsi"/>
          <w:color w:val="222222"/>
          <w:shd w:val="clear" w:color="auto" w:fill="FFFFFF"/>
        </w:rPr>
        <w:t xml:space="preserve"> 4: 71.</w:t>
      </w:r>
    </w:p>
    <w:p w14:paraId="75FC03B9" w14:textId="44A9B72E" w:rsidR="00463A94" w:rsidRPr="003919EF" w:rsidRDefault="00606FA2" w:rsidP="00A9639B">
      <w:pPr>
        <w:spacing w:after="0" w:line="240" w:lineRule="auto"/>
        <w:ind w:left="720" w:hanging="720"/>
        <w:contextualSpacing/>
        <w:rPr>
          <w:rFonts w:eastAsia="Times New Roman" w:cstheme="minorHAnsi"/>
          <w:iCs/>
          <w:lang w:eastAsia="en-GB"/>
        </w:rPr>
      </w:pPr>
      <w:r w:rsidRPr="003919EF">
        <w:rPr>
          <w:rFonts w:cstheme="minorHAnsi"/>
          <w:color w:val="222222"/>
          <w:shd w:val="clear" w:color="auto" w:fill="FFFFFF"/>
        </w:rPr>
        <w:t>Elliott, K. 202</w:t>
      </w:r>
      <w:r w:rsidR="00995678" w:rsidRPr="003919EF">
        <w:rPr>
          <w:rFonts w:cstheme="minorHAnsi"/>
          <w:color w:val="222222"/>
          <w:shd w:val="clear" w:color="auto" w:fill="FFFFFF"/>
        </w:rPr>
        <w:t>2</w:t>
      </w:r>
      <w:r w:rsidR="0003184C" w:rsidRPr="003919EF">
        <w:rPr>
          <w:rFonts w:cstheme="minorHAnsi"/>
          <w:color w:val="222222"/>
          <w:shd w:val="clear" w:color="auto" w:fill="FFFFFF"/>
        </w:rPr>
        <w:t>a</w:t>
      </w:r>
      <w:r w:rsidRPr="003919EF">
        <w:rPr>
          <w:rFonts w:cstheme="minorHAnsi"/>
          <w:color w:val="222222"/>
          <w:shd w:val="clear" w:color="auto" w:fill="FFFFFF"/>
        </w:rPr>
        <w:t>. A taxonomy of transparency in science. </w:t>
      </w:r>
      <w:r w:rsidRPr="003919EF">
        <w:rPr>
          <w:rFonts w:cstheme="minorHAnsi"/>
          <w:i/>
          <w:color w:val="222222"/>
          <w:shd w:val="clear" w:color="auto" w:fill="FFFFFF"/>
        </w:rPr>
        <w:t>Canadian Journal of Philosophy</w:t>
      </w:r>
      <w:r w:rsidR="0003184C" w:rsidRPr="003919EF">
        <w:rPr>
          <w:rFonts w:cstheme="minorHAnsi"/>
          <w:color w:val="222222"/>
          <w:shd w:val="clear" w:color="auto" w:fill="FFFFFF"/>
        </w:rPr>
        <w:t xml:space="preserve"> 52: 342-355.</w:t>
      </w:r>
    </w:p>
    <w:p w14:paraId="0DE10577" w14:textId="3DE5422B" w:rsidR="00DD10C9" w:rsidRPr="003919EF" w:rsidRDefault="00DD10C9" w:rsidP="00A9639B">
      <w:pPr>
        <w:spacing w:line="240" w:lineRule="auto"/>
        <w:ind w:left="720" w:hanging="720"/>
        <w:contextualSpacing/>
        <w:rPr>
          <w:rFonts w:cstheme="minorHAnsi"/>
        </w:rPr>
      </w:pPr>
      <w:r w:rsidRPr="003919EF">
        <w:rPr>
          <w:rFonts w:cstheme="minorHAnsi"/>
        </w:rPr>
        <w:t>Elliott, K. 2022</w:t>
      </w:r>
      <w:r w:rsidR="0003184C" w:rsidRPr="003919EF">
        <w:rPr>
          <w:rFonts w:cstheme="minorHAnsi"/>
        </w:rPr>
        <w:t>b</w:t>
      </w:r>
      <w:r w:rsidRPr="003919EF">
        <w:rPr>
          <w:rFonts w:cstheme="minorHAnsi"/>
        </w:rPr>
        <w:t xml:space="preserve">. </w:t>
      </w:r>
      <w:r w:rsidRPr="003919EF">
        <w:rPr>
          <w:rFonts w:cstheme="minorHAnsi"/>
          <w:i/>
          <w:iCs/>
        </w:rPr>
        <w:t xml:space="preserve">Values in Science. </w:t>
      </w:r>
      <w:r w:rsidRPr="003919EF">
        <w:rPr>
          <w:rFonts w:cstheme="minorHAnsi"/>
        </w:rPr>
        <w:t>Cambridge: Cambridge University Press.</w:t>
      </w:r>
    </w:p>
    <w:p w14:paraId="402ED7D1" w14:textId="69C74862" w:rsidR="00AA5089" w:rsidRPr="003919EF" w:rsidRDefault="00AA5089" w:rsidP="00A9639B">
      <w:pPr>
        <w:spacing w:after="0"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Elliott, K. and </w:t>
      </w:r>
      <w:proofErr w:type="spellStart"/>
      <w:r w:rsidRPr="003919EF">
        <w:rPr>
          <w:rFonts w:cstheme="minorHAnsi"/>
          <w:color w:val="222222"/>
          <w:shd w:val="clear" w:color="auto" w:fill="FFFFFF"/>
        </w:rPr>
        <w:t>McKaughan</w:t>
      </w:r>
      <w:proofErr w:type="spellEnd"/>
      <w:r w:rsidRPr="003919EF">
        <w:rPr>
          <w:rFonts w:cstheme="minorHAnsi"/>
          <w:color w:val="222222"/>
          <w:shd w:val="clear" w:color="auto" w:fill="FFFFFF"/>
        </w:rPr>
        <w:t xml:space="preserve">, D.J. 2014. </w:t>
      </w:r>
      <w:proofErr w:type="spellStart"/>
      <w:r w:rsidRPr="003919EF">
        <w:rPr>
          <w:rFonts w:cstheme="minorHAnsi"/>
          <w:color w:val="222222"/>
          <w:shd w:val="clear" w:color="auto" w:fill="FFFFFF"/>
        </w:rPr>
        <w:t>Nonepistemic</w:t>
      </w:r>
      <w:proofErr w:type="spellEnd"/>
      <w:r w:rsidRPr="003919EF">
        <w:rPr>
          <w:rFonts w:cstheme="minorHAnsi"/>
          <w:color w:val="222222"/>
          <w:shd w:val="clear" w:color="auto" w:fill="FFFFFF"/>
        </w:rPr>
        <w:t xml:space="preserve"> Values and the Multiple Goals of Science. </w:t>
      </w:r>
      <w:r w:rsidRPr="003919EF">
        <w:rPr>
          <w:rFonts w:cstheme="minorHAnsi"/>
          <w:i/>
          <w:color w:val="222222"/>
          <w:shd w:val="clear" w:color="auto" w:fill="FFFFFF"/>
        </w:rPr>
        <w:t>Philosophy of Science</w:t>
      </w:r>
      <w:r w:rsidRPr="003919EF">
        <w:rPr>
          <w:rFonts w:cstheme="minorHAnsi"/>
          <w:color w:val="222222"/>
          <w:shd w:val="clear" w:color="auto" w:fill="FFFFFF"/>
        </w:rPr>
        <w:t> 81: 1-21.</w:t>
      </w:r>
    </w:p>
    <w:p w14:paraId="5B5B7875" w14:textId="11D09E50" w:rsidR="0021509B" w:rsidRPr="003919EF" w:rsidRDefault="00AA5089"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Elliott, K. and Resnik, D.B. 2014. Science, Policy, and the Transparency of Values. </w:t>
      </w:r>
      <w:r w:rsidRPr="003919EF">
        <w:rPr>
          <w:rFonts w:cstheme="minorHAnsi"/>
          <w:i/>
          <w:color w:val="222222"/>
          <w:shd w:val="clear" w:color="auto" w:fill="FFFFFF"/>
        </w:rPr>
        <w:t xml:space="preserve">Environmental Health Perspectives </w:t>
      </w:r>
      <w:r w:rsidRPr="003919EF">
        <w:rPr>
          <w:rFonts w:cstheme="minorHAnsi"/>
          <w:color w:val="222222"/>
          <w:shd w:val="clear" w:color="auto" w:fill="FFFFFF"/>
        </w:rPr>
        <w:t>122: 647-650.</w:t>
      </w:r>
    </w:p>
    <w:p w14:paraId="22AE12A3" w14:textId="08B43BC1" w:rsidR="007C3BD8" w:rsidRPr="003919EF" w:rsidRDefault="0020306D" w:rsidP="00A9639B">
      <w:pPr>
        <w:spacing w:after="0" w:line="240" w:lineRule="auto"/>
        <w:ind w:left="720" w:hanging="720"/>
        <w:contextualSpacing/>
        <w:rPr>
          <w:rFonts w:cstheme="minorHAnsi"/>
        </w:rPr>
      </w:pPr>
      <w:r w:rsidRPr="003919EF">
        <w:rPr>
          <w:rFonts w:eastAsia="Times New Roman" w:cstheme="minorHAnsi"/>
          <w:lang w:eastAsia="en-GB"/>
        </w:rPr>
        <w:t xml:space="preserve">Elliott, </w:t>
      </w:r>
      <w:proofErr w:type="gramStart"/>
      <w:r w:rsidRPr="003919EF">
        <w:rPr>
          <w:rFonts w:eastAsia="Times New Roman" w:cstheme="minorHAnsi"/>
          <w:lang w:eastAsia="en-GB"/>
        </w:rPr>
        <w:t>K.</w:t>
      </w:r>
      <w:proofErr w:type="gramEnd"/>
      <w:r w:rsidRPr="003919EF">
        <w:rPr>
          <w:rFonts w:eastAsia="Times New Roman" w:cstheme="minorHAnsi"/>
          <w:lang w:eastAsia="en-GB"/>
        </w:rPr>
        <w:t xml:space="preserve"> and D. Willmes. 2013. </w:t>
      </w:r>
      <w:r w:rsidRPr="003919EF">
        <w:rPr>
          <w:rFonts w:cstheme="minorHAnsi"/>
        </w:rPr>
        <w:t xml:space="preserve">Cognitive Attitudes and Values in Science. </w:t>
      </w:r>
      <w:r w:rsidRPr="003919EF">
        <w:rPr>
          <w:rFonts w:cstheme="minorHAnsi"/>
          <w:i/>
        </w:rPr>
        <w:t>Philosophy of Science</w:t>
      </w:r>
      <w:r w:rsidRPr="003919EF">
        <w:rPr>
          <w:rFonts w:cstheme="minorHAnsi"/>
        </w:rPr>
        <w:t xml:space="preserve"> 80 (Proceedings): 807-817.</w:t>
      </w:r>
    </w:p>
    <w:p w14:paraId="51E66E2B" w14:textId="77777777" w:rsidR="00327FED" w:rsidRPr="003919EF" w:rsidRDefault="00327FED" w:rsidP="00A9639B">
      <w:pPr>
        <w:spacing w:line="240" w:lineRule="auto"/>
        <w:ind w:left="720" w:hanging="720"/>
        <w:contextualSpacing/>
        <w:rPr>
          <w:rFonts w:cstheme="minorHAnsi"/>
          <w:i/>
          <w:iCs/>
        </w:rPr>
      </w:pPr>
      <w:r w:rsidRPr="003919EF">
        <w:rPr>
          <w:rFonts w:cstheme="minorHAnsi"/>
          <w:color w:val="211D1E"/>
        </w:rPr>
        <w:lastRenderedPageBreak/>
        <w:t xml:space="preserve">Fallon, B.A., </w:t>
      </w:r>
      <w:proofErr w:type="spellStart"/>
      <w:r w:rsidRPr="003919EF">
        <w:rPr>
          <w:rFonts w:cstheme="minorHAnsi"/>
          <w:color w:val="211D1E"/>
        </w:rPr>
        <w:t>Keilp</w:t>
      </w:r>
      <w:proofErr w:type="spellEnd"/>
      <w:r w:rsidRPr="003919EF">
        <w:rPr>
          <w:rFonts w:cstheme="minorHAnsi"/>
          <w:color w:val="211D1E"/>
        </w:rPr>
        <w:t xml:space="preserve">, J.G, </w:t>
      </w:r>
      <w:proofErr w:type="spellStart"/>
      <w:r w:rsidRPr="003919EF">
        <w:rPr>
          <w:rFonts w:cstheme="minorHAnsi"/>
          <w:color w:val="211D1E"/>
        </w:rPr>
        <w:t>Corbera</w:t>
      </w:r>
      <w:proofErr w:type="spellEnd"/>
      <w:r w:rsidRPr="003919EF">
        <w:rPr>
          <w:rFonts w:cstheme="minorHAnsi"/>
          <w:color w:val="211D1E"/>
        </w:rPr>
        <w:t xml:space="preserve">, K.M. </w:t>
      </w:r>
      <w:r w:rsidRPr="003919EF">
        <w:rPr>
          <w:rFonts w:cstheme="minorHAnsi"/>
          <w:i/>
          <w:iCs/>
          <w:color w:val="211D1E"/>
        </w:rPr>
        <w:t xml:space="preserve">et al. </w:t>
      </w:r>
      <w:r w:rsidRPr="003919EF">
        <w:rPr>
          <w:rFonts w:cstheme="minorHAnsi"/>
          <w:iCs/>
          <w:color w:val="211D1E"/>
        </w:rPr>
        <w:t xml:space="preserve">2008. </w:t>
      </w:r>
      <w:r w:rsidRPr="003919EF">
        <w:rPr>
          <w:rFonts w:cstheme="minorHAnsi"/>
          <w:color w:val="211D1E"/>
        </w:rPr>
        <w:t xml:space="preserve">A randomized, placebo-controlled trial of repeated iv antibiotic therapy for Lyme encephalopathy. </w:t>
      </w:r>
      <w:r w:rsidRPr="003919EF">
        <w:rPr>
          <w:rFonts w:cstheme="minorHAnsi"/>
          <w:i/>
          <w:iCs/>
          <w:color w:val="211D1E"/>
        </w:rPr>
        <w:t xml:space="preserve">Neurology </w:t>
      </w:r>
      <w:r w:rsidRPr="003919EF">
        <w:rPr>
          <w:rFonts w:cstheme="minorHAnsi"/>
          <w:color w:val="211D1E"/>
        </w:rPr>
        <w:t>70: 992–1003.</w:t>
      </w:r>
      <w:r w:rsidRPr="003919EF">
        <w:rPr>
          <w:rFonts w:cstheme="minorHAnsi"/>
          <w:i/>
          <w:iCs/>
        </w:rPr>
        <w:t xml:space="preserve"> </w:t>
      </w:r>
    </w:p>
    <w:p w14:paraId="416B7953" w14:textId="77777777" w:rsidR="00327FED" w:rsidRPr="003919EF" w:rsidRDefault="00327FED"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Fallon, B.A. and </w:t>
      </w:r>
      <w:proofErr w:type="spellStart"/>
      <w:r w:rsidRPr="003919EF">
        <w:rPr>
          <w:rFonts w:cstheme="minorHAnsi"/>
          <w:color w:val="222222"/>
          <w:shd w:val="clear" w:color="auto" w:fill="FFFFFF"/>
        </w:rPr>
        <w:t>Sotsky</w:t>
      </w:r>
      <w:proofErr w:type="spellEnd"/>
      <w:r w:rsidRPr="003919EF">
        <w:rPr>
          <w:rFonts w:cstheme="minorHAnsi"/>
          <w:color w:val="222222"/>
          <w:shd w:val="clear" w:color="auto" w:fill="FFFFFF"/>
        </w:rPr>
        <w:t>, J., 2017. </w:t>
      </w:r>
      <w:r w:rsidRPr="003919EF">
        <w:rPr>
          <w:rFonts w:cstheme="minorHAnsi"/>
          <w:i/>
          <w:iCs/>
          <w:color w:val="222222"/>
          <w:shd w:val="clear" w:color="auto" w:fill="FFFFFF"/>
        </w:rPr>
        <w:t>Conquering Lyme disease: Science Bridges the Great Divide</w:t>
      </w:r>
      <w:r w:rsidRPr="003919EF">
        <w:rPr>
          <w:rFonts w:cstheme="minorHAnsi"/>
          <w:color w:val="222222"/>
          <w:shd w:val="clear" w:color="auto" w:fill="FFFFFF"/>
        </w:rPr>
        <w:t>. New York: Columbia University Press.</w:t>
      </w:r>
    </w:p>
    <w:p w14:paraId="7F11AE84" w14:textId="6EAF75F2" w:rsidR="004D0D8E" w:rsidRPr="003919EF" w:rsidRDefault="00052CEB"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Fernández Pinto, </w:t>
      </w:r>
      <w:proofErr w:type="gramStart"/>
      <w:r w:rsidRPr="003919EF">
        <w:rPr>
          <w:rFonts w:cstheme="minorHAnsi"/>
          <w:color w:val="222222"/>
          <w:shd w:val="clear" w:color="auto" w:fill="FFFFFF"/>
        </w:rPr>
        <w:t>M.</w:t>
      </w:r>
      <w:proofErr w:type="gramEnd"/>
      <w:r w:rsidRPr="003919EF">
        <w:rPr>
          <w:rFonts w:cstheme="minorHAnsi"/>
          <w:color w:val="222222"/>
          <w:shd w:val="clear" w:color="auto" w:fill="FFFFFF"/>
        </w:rPr>
        <w:t xml:space="preserve"> and Hicks, D.J., 2019. Legitimizing Values in Regulatory Science. </w:t>
      </w:r>
      <w:r w:rsidRPr="003919EF">
        <w:rPr>
          <w:rFonts w:cstheme="minorHAnsi"/>
          <w:i/>
          <w:color w:val="222222"/>
          <w:shd w:val="clear" w:color="auto" w:fill="FFFFFF"/>
        </w:rPr>
        <w:t>Environmental Health Perspectives</w:t>
      </w:r>
      <w:r w:rsidRPr="003919EF">
        <w:rPr>
          <w:rFonts w:cstheme="minorHAnsi"/>
          <w:color w:val="222222"/>
          <w:shd w:val="clear" w:color="auto" w:fill="FFFFFF"/>
        </w:rPr>
        <w:t> 127: 035001.</w:t>
      </w:r>
    </w:p>
    <w:p w14:paraId="2102B30C" w14:textId="59550371" w:rsidR="00FB4534" w:rsidRPr="003919EF" w:rsidRDefault="00FB4534"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Firestein, S. 2012. </w:t>
      </w:r>
      <w:r w:rsidRPr="003919EF">
        <w:rPr>
          <w:rFonts w:cstheme="minorHAnsi"/>
          <w:i/>
          <w:iCs/>
          <w:color w:val="222222"/>
          <w:shd w:val="clear" w:color="auto" w:fill="FFFFFF"/>
        </w:rPr>
        <w:t xml:space="preserve">Ignorance: How It Drives Science. </w:t>
      </w:r>
      <w:r w:rsidRPr="003919EF">
        <w:rPr>
          <w:rFonts w:cstheme="minorHAnsi"/>
          <w:color w:val="222222"/>
          <w:shd w:val="clear" w:color="auto" w:fill="FFFFFF"/>
        </w:rPr>
        <w:t>New York: Oxford University Press.</w:t>
      </w:r>
    </w:p>
    <w:p w14:paraId="01F52218" w14:textId="0C90F492" w:rsidR="00882C1F" w:rsidRPr="003919EF" w:rsidRDefault="00A26515"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Fleming, N. 2020. Coronavirus misinformation, and how scientists can help to fight it. </w:t>
      </w:r>
      <w:r w:rsidRPr="003919EF">
        <w:rPr>
          <w:rFonts w:cstheme="minorHAnsi"/>
          <w:i/>
          <w:iCs/>
          <w:color w:val="222222"/>
          <w:shd w:val="clear" w:color="auto" w:fill="FFFFFF"/>
        </w:rPr>
        <w:t>Nature</w:t>
      </w:r>
      <w:r w:rsidRPr="003919EF">
        <w:rPr>
          <w:rFonts w:cstheme="minorHAnsi"/>
          <w:color w:val="222222"/>
          <w:shd w:val="clear" w:color="auto" w:fill="FFFFFF"/>
        </w:rPr>
        <w:t> 583: 155-156.</w:t>
      </w:r>
    </w:p>
    <w:p w14:paraId="0192BA83" w14:textId="243CE949" w:rsidR="002D0FE8" w:rsidRDefault="002F571D"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Franco, P.L., 2017. Assertion, </w:t>
      </w:r>
      <w:proofErr w:type="spellStart"/>
      <w:r w:rsidRPr="003919EF">
        <w:rPr>
          <w:rFonts w:cstheme="minorHAnsi"/>
          <w:color w:val="222222"/>
          <w:shd w:val="clear" w:color="auto" w:fill="FFFFFF"/>
        </w:rPr>
        <w:t>Nonepistemic</w:t>
      </w:r>
      <w:proofErr w:type="spellEnd"/>
      <w:r w:rsidRPr="003919EF">
        <w:rPr>
          <w:rFonts w:cstheme="minorHAnsi"/>
          <w:color w:val="222222"/>
          <w:shd w:val="clear" w:color="auto" w:fill="FFFFFF"/>
        </w:rPr>
        <w:t xml:space="preserve"> Values, and Scientific Practice. </w:t>
      </w:r>
      <w:r w:rsidRPr="003919EF">
        <w:rPr>
          <w:rFonts w:cstheme="minorHAnsi"/>
          <w:i/>
          <w:iCs/>
          <w:color w:val="222222"/>
          <w:shd w:val="clear" w:color="auto" w:fill="FFFFFF"/>
        </w:rPr>
        <w:t>Philosophy of Science</w:t>
      </w:r>
      <w:r w:rsidRPr="003919EF">
        <w:rPr>
          <w:rFonts w:cstheme="minorHAnsi"/>
          <w:color w:val="222222"/>
          <w:shd w:val="clear" w:color="auto" w:fill="FFFFFF"/>
        </w:rPr>
        <w:t> 84</w:t>
      </w:r>
      <w:r w:rsidR="003926D1" w:rsidRPr="003919EF">
        <w:rPr>
          <w:rFonts w:cstheme="minorHAnsi"/>
          <w:color w:val="222222"/>
          <w:shd w:val="clear" w:color="auto" w:fill="FFFFFF"/>
        </w:rPr>
        <w:t xml:space="preserve">: </w:t>
      </w:r>
      <w:r w:rsidRPr="003919EF">
        <w:rPr>
          <w:rFonts w:cstheme="minorHAnsi"/>
          <w:color w:val="222222"/>
          <w:shd w:val="clear" w:color="auto" w:fill="FFFFFF"/>
        </w:rPr>
        <w:t>160-180.</w:t>
      </w:r>
    </w:p>
    <w:p w14:paraId="3F94043F" w14:textId="5EA46E32" w:rsidR="001F2C86" w:rsidRPr="005C040A" w:rsidRDefault="001F2C86" w:rsidP="00A9639B">
      <w:pPr>
        <w:spacing w:line="240" w:lineRule="auto"/>
        <w:ind w:left="720" w:hanging="720"/>
        <w:contextualSpacing/>
        <w:rPr>
          <w:rFonts w:cstheme="minorHAnsi"/>
          <w:color w:val="222222"/>
          <w:shd w:val="clear" w:color="auto" w:fill="FFFFFF"/>
        </w:rPr>
      </w:pPr>
      <w:proofErr w:type="spellStart"/>
      <w:r>
        <w:rPr>
          <w:rFonts w:cstheme="minorHAnsi"/>
          <w:color w:val="222222"/>
          <w:shd w:val="clear" w:color="auto" w:fill="FFFFFF"/>
        </w:rPr>
        <w:t>Godler</w:t>
      </w:r>
      <w:proofErr w:type="spellEnd"/>
      <w:r>
        <w:rPr>
          <w:rFonts w:cstheme="minorHAnsi"/>
          <w:color w:val="222222"/>
          <w:shd w:val="clear" w:color="auto" w:fill="FFFFFF"/>
        </w:rPr>
        <w:t xml:space="preserve">, </w:t>
      </w:r>
      <w:r w:rsidR="007C54B2">
        <w:rPr>
          <w:rFonts w:cstheme="minorHAnsi"/>
          <w:color w:val="222222"/>
          <w:shd w:val="clear" w:color="auto" w:fill="FFFFFF"/>
        </w:rPr>
        <w:t xml:space="preserve">Y., Reich, Z., and Miller, B. </w:t>
      </w:r>
      <w:r w:rsidR="005C040A">
        <w:rPr>
          <w:rFonts w:cstheme="minorHAnsi"/>
          <w:color w:val="222222"/>
          <w:shd w:val="clear" w:color="auto" w:fill="FFFFFF"/>
        </w:rPr>
        <w:t xml:space="preserve">2020. </w:t>
      </w:r>
      <w:r w:rsidR="007C54B2">
        <w:rPr>
          <w:rFonts w:cstheme="minorHAnsi"/>
          <w:color w:val="222222"/>
          <w:shd w:val="clear" w:color="auto" w:fill="FFFFFF"/>
        </w:rPr>
        <w:t xml:space="preserve">Social Epistemology as a </w:t>
      </w:r>
      <w:r w:rsidR="005C040A">
        <w:rPr>
          <w:rFonts w:cstheme="minorHAnsi"/>
          <w:color w:val="222222"/>
          <w:shd w:val="clear" w:color="auto" w:fill="FFFFFF"/>
        </w:rPr>
        <w:t xml:space="preserve">New Paradigm for Journalism and Media Studies. </w:t>
      </w:r>
      <w:r w:rsidR="005C040A">
        <w:rPr>
          <w:rFonts w:cstheme="minorHAnsi"/>
          <w:i/>
          <w:iCs/>
          <w:color w:val="222222"/>
          <w:shd w:val="clear" w:color="auto" w:fill="FFFFFF"/>
        </w:rPr>
        <w:t xml:space="preserve">New Media and Society </w:t>
      </w:r>
      <w:r w:rsidR="008E114D">
        <w:rPr>
          <w:rFonts w:cstheme="minorHAnsi"/>
          <w:color w:val="222222"/>
          <w:shd w:val="clear" w:color="auto" w:fill="FFFFFF"/>
        </w:rPr>
        <w:t>22: 213-229.</w:t>
      </w:r>
    </w:p>
    <w:p w14:paraId="7B66E866" w14:textId="6E27A285" w:rsidR="00C55400" w:rsidRPr="003919EF" w:rsidRDefault="00C55400" w:rsidP="00A9639B">
      <w:pPr>
        <w:spacing w:line="240" w:lineRule="auto"/>
        <w:ind w:left="720" w:hanging="720"/>
        <w:contextualSpacing/>
        <w:rPr>
          <w:rFonts w:cstheme="minorHAnsi"/>
        </w:rPr>
      </w:pPr>
      <w:r w:rsidRPr="003919EF">
        <w:rPr>
          <w:rFonts w:cstheme="minorHAnsi"/>
        </w:rPr>
        <w:t xml:space="preserve">Goldenberg, M. 2021. </w:t>
      </w:r>
      <w:r w:rsidRPr="003919EF">
        <w:rPr>
          <w:rFonts w:cstheme="minorHAnsi"/>
          <w:i/>
          <w:iCs/>
        </w:rPr>
        <w:t xml:space="preserve">Vaccine Hesitancy: </w:t>
      </w:r>
      <w:r w:rsidR="00E97367" w:rsidRPr="003919EF">
        <w:rPr>
          <w:rFonts w:cstheme="minorHAnsi"/>
          <w:i/>
          <w:iCs/>
        </w:rPr>
        <w:t xml:space="preserve">Public Trust, Expertise, and the War on Science. </w:t>
      </w:r>
      <w:r w:rsidR="00E97367" w:rsidRPr="003919EF">
        <w:rPr>
          <w:rFonts w:cstheme="minorHAnsi"/>
        </w:rPr>
        <w:t>Pittsburgh: University of Pittsburgh Press.</w:t>
      </w:r>
    </w:p>
    <w:p w14:paraId="1BEF782B" w14:textId="0D0A325B" w:rsidR="00D62384" w:rsidRPr="003919EF" w:rsidRDefault="00D62384" w:rsidP="00A9639B">
      <w:pPr>
        <w:spacing w:line="240" w:lineRule="auto"/>
        <w:ind w:left="720" w:hanging="720"/>
        <w:contextualSpacing/>
        <w:rPr>
          <w:rStyle w:val="Hyperlink"/>
          <w:rFonts w:cstheme="minorHAnsi"/>
          <w:color w:val="000000"/>
          <w:u w:val="none"/>
          <w:bdr w:val="none" w:sz="0" w:space="0" w:color="auto" w:frame="1"/>
          <w:shd w:val="clear" w:color="auto" w:fill="FFFFFF"/>
        </w:rPr>
      </w:pPr>
      <w:r w:rsidRPr="003919EF">
        <w:rPr>
          <w:rFonts w:cstheme="minorHAnsi"/>
        </w:rPr>
        <w:t>Halpern</w:t>
      </w:r>
      <w:r w:rsidR="001B703C">
        <w:rPr>
          <w:rFonts w:cstheme="minorHAnsi"/>
        </w:rPr>
        <w:t>, M.</w:t>
      </w:r>
      <w:r w:rsidRPr="003919EF">
        <w:rPr>
          <w:rFonts w:cstheme="minorHAnsi"/>
        </w:rPr>
        <w:t xml:space="preserve"> and Elliott</w:t>
      </w:r>
      <w:r w:rsidR="001B703C">
        <w:rPr>
          <w:rFonts w:cstheme="minorHAnsi"/>
        </w:rPr>
        <w:t>, K.</w:t>
      </w:r>
      <w:r w:rsidRPr="003919EF">
        <w:rPr>
          <w:rFonts w:cstheme="minorHAnsi"/>
        </w:rPr>
        <w:t xml:space="preserve"> 2022</w:t>
      </w:r>
      <w:r w:rsidR="00050A86" w:rsidRPr="003919EF">
        <w:rPr>
          <w:rFonts w:cstheme="minorHAnsi"/>
        </w:rPr>
        <w:t xml:space="preserve">. Science as Experience: A Deweyan Model of Science Communication. </w:t>
      </w:r>
      <w:r w:rsidR="00050A86" w:rsidRPr="003919EF">
        <w:rPr>
          <w:rFonts w:cstheme="minorHAnsi"/>
          <w:i/>
          <w:iCs/>
        </w:rPr>
        <w:t>Perspectives on Science</w:t>
      </w:r>
      <w:r w:rsidR="007C446A" w:rsidRPr="003919EF">
        <w:rPr>
          <w:rFonts w:cstheme="minorHAnsi"/>
          <w:i/>
          <w:iCs/>
        </w:rPr>
        <w:t xml:space="preserve"> </w:t>
      </w:r>
      <w:r w:rsidR="007C446A" w:rsidRPr="003919EF">
        <w:rPr>
          <w:rFonts w:cstheme="minorHAnsi"/>
        </w:rPr>
        <w:t>30: 621-656.</w:t>
      </w:r>
    </w:p>
    <w:p w14:paraId="418A3405" w14:textId="4B6E1DD7" w:rsidR="0027594A" w:rsidRDefault="0027594A" w:rsidP="00A9639B">
      <w:pPr>
        <w:spacing w:line="240" w:lineRule="auto"/>
        <w:ind w:left="720" w:hanging="720"/>
        <w:contextualSpacing/>
        <w:rPr>
          <w:rStyle w:val="Hyperlink"/>
          <w:rFonts w:cstheme="minorHAnsi"/>
          <w:color w:val="000000"/>
          <w:u w:val="none"/>
          <w:bdr w:val="none" w:sz="0" w:space="0" w:color="auto" w:frame="1"/>
          <w:shd w:val="clear" w:color="auto" w:fill="FFFFFF"/>
        </w:rPr>
      </w:pPr>
      <w:r w:rsidRPr="003919EF">
        <w:rPr>
          <w:rStyle w:val="Hyperlink"/>
          <w:rFonts w:cstheme="minorHAnsi"/>
          <w:color w:val="000000"/>
          <w:u w:val="none"/>
          <w:bdr w:val="none" w:sz="0" w:space="0" w:color="auto" w:frame="1"/>
          <w:shd w:val="clear" w:color="auto" w:fill="FFFFFF"/>
        </w:rPr>
        <w:t>Harker</w:t>
      </w:r>
      <w:r w:rsidR="00EF72EF" w:rsidRPr="003919EF">
        <w:rPr>
          <w:rStyle w:val="Hyperlink"/>
          <w:rFonts w:cstheme="minorHAnsi"/>
          <w:color w:val="000000"/>
          <w:u w:val="none"/>
          <w:bdr w:val="none" w:sz="0" w:space="0" w:color="auto" w:frame="1"/>
          <w:shd w:val="clear" w:color="auto" w:fill="FFFFFF"/>
        </w:rPr>
        <w:t>, D</w:t>
      </w:r>
      <w:r w:rsidRPr="003919EF">
        <w:rPr>
          <w:rStyle w:val="Hyperlink"/>
          <w:rFonts w:cstheme="minorHAnsi"/>
          <w:color w:val="000000"/>
          <w:u w:val="none"/>
          <w:bdr w:val="none" w:sz="0" w:space="0" w:color="auto" w:frame="1"/>
          <w:shd w:val="clear" w:color="auto" w:fill="FFFFFF"/>
        </w:rPr>
        <w:t xml:space="preserve">. </w:t>
      </w:r>
      <w:r w:rsidR="00EF72EF" w:rsidRPr="003919EF">
        <w:rPr>
          <w:rStyle w:val="Hyperlink"/>
          <w:rFonts w:cstheme="minorHAnsi"/>
          <w:color w:val="000000"/>
          <w:u w:val="none"/>
          <w:bdr w:val="none" w:sz="0" w:space="0" w:color="auto" w:frame="1"/>
          <w:shd w:val="clear" w:color="auto" w:fill="FFFFFF"/>
        </w:rPr>
        <w:t xml:space="preserve">2015. </w:t>
      </w:r>
      <w:r w:rsidRPr="003919EF">
        <w:rPr>
          <w:rStyle w:val="Hyperlink"/>
          <w:rFonts w:cstheme="minorHAnsi"/>
          <w:i/>
          <w:iCs/>
          <w:color w:val="000000"/>
          <w:u w:val="none"/>
          <w:bdr w:val="none" w:sz="0" w:space="0" w:color="auto" w:frame="1"/>
          <w:shd w:val="clear" w:color="auto" w:fill="FFFFFF"/>
        </w:rPr>
        <w:t>Creating Scientific Controversies</w:t>
      </w:r>
      <w:r w:rsidR="00EF72EF" w:rsidRPr="003919EF">
        <w:rPr>
          <w:rStyle w:val="Hyperlink"/>
          <w:rFonts w:cstheme="minorHAnsi"/>
          <w:i/>
          <w:iCs/>
          <w:color w:val="000000"/>
          <w:u w:val="none"/>
          <w:bdr w:val="none" w:sz="0" w:space="0" w:color="auto" w:frame="1"/>
          <w:shd w:val="clear" w:color="auto" w:fill="FFFFFF"/>
        </w:rPr>
        <w:t>: Uncertainty and Bias in Science and Society</w:t>
      </w:r>
      <w:r w:rsidRPr="003919EF">
        <w:rPr>
          <w:rStyle w:val="Hyperlink"/>
          <w:rFonts w:cstheme="minorHAnsi"/>
          <w:i/>
          <w:iCs/>
          <w:color w:val="000000"/>
          <w:u w:val="none"/>
          <w:bdr w:val="none" w:sz="0" w:space="0" w:color="auto" w:frame="1"/>
          <w:shd w:val="clear" w:color="auto" w:fill="FFFFFF"/>
        </w:rPr>
        <w:t>.</w:t>
      </w:r>
      <w:r w:rsidR="00EF72EF" w:rsidRPr="003919EF">
        <w:rPr>
          <w:rStyle w:val="Hyperlink"/>
          <w:rFonts w:cstheme="minorHAnsi"/>
          <w:color w:val="000000"/>
          <w:u w:val="none"/>
          <w:bdr w:val="none" w:sz="0" w:space="0" w:color="auto" w:frame="1"/>
          <w:shd w:val="clear" w:color="auto" w:fill="FFFFFF"/>
        </w:rPr>
        <w:t xml:space="preserve"> Cambridge: Cambridge University Press.</w:t>
      </w:r>
    </w:p>
    <w:p w14:paraId="09A9A374" w14:textId="3C93CB1D" w:rsidR="003E55BB" w:rsidRPr="00CD5B70" w:rsidRDefault="003E55BB" w:rsidP="00A9639B">
      <w:pPr>
        <w:spacing w:line="240" w:lineRule="auto"/>
        <w:ind w:left="720" w:hanging="720"/>
        <w:contextualSpacing/>
        <w:rPr>
          <w:rFonts w:cstheme="minorHAnsi"/>
        </w:rPr>
      </w:pPr>
      <w:r>
        <w:rPr>
          <w:rStyle w:val="Hyperlink"/>
          <w:rFonts w:cstheme="minorHAnsi"/>
          <w:color w:val="000000"/>
          <w:u w:val="none"/>
          <w:bdr w:val="none" w:sz="0" w:space="0" w:color="auto" w:frame="1"/>
          <w:shd w:val="clear" w:color="auto" w:fill="FFFFFF"/>
        </w:rPr>
        <w:t xml:space="preserve">Harvard, </w:t>
      </w:r>
      <w:proofErr w:type="gramStart"/>
      <w:r>
        <w:rPr>
          <w:rStyle w:val="Hyperlink"/>
          <w:rFonts w:cstheme="minorHAnsi"/>
          <w:color w:val="000000"/>
          <w:u w:val="none"/>
          <w:bdr w:val="none" w:sz="0" w:space="0" w:color="auto" w:frame="1"/>
          <w:shd w:val="clear" w:color="auto" w:fill="FFFFFF"/>
        </w:rPr>
        <w:t>S.</w:t>
      </w:r>
      <w:proofErr w:type="gramEnd"/>
      <w:r>
        <w:rPr>
          <w:rStyle w:val="Hyperlink"/>
          <w:rFonts w:cstheme="minorHAnsi"/>
          <w:color w:val="000000"/>
          <w:u w:val="none"/>
          <w:bdr w:val="none" w:sz="0" w:space="0" w:color="auto" w:frame="1"/>
          <w:shd w:val="clear" w:color="auto" w:fill="FFFFFF"/>
        </w:rPr>
        <w:t xml:space="preserve"> and G. </w:t>
      </w:r>
      <w:proofErr w:type="spellStart"/>
      <w:r>
        <w:rPr>
          <w:rStyle w:val="Hyperlink"/>
          <w:rFonts w:cstheme="minorHAnsi"/>
          <w:color w:val="000000"/>
          <w:u w:val="none"/>
          <w:bdr w:val="none" w:sz="0" w:space="0" w:color="auto" w:frame="1"/>
          <w:shd w:val="clear" w:color="auto" w:fill="FFFFFF"/>
        </w:rPr>
        <w:t>Werker</w:t>
      </w:r>
      <w:proofErr w:type="spellEnd"/>
      <w:r>
        <w:rPr>
          <w:rStyle w:val="Hyperlink"/>
          <w:rFonts w:cstheme="minorHAnsi"/>
          <w:color w:val="000000"/>
          <w:u w:val="none"/>
          <w:bdr w:val="none" w:sz="0" w:space="0" w:color="auto" w:frame="1"/>
          <w:shd w:val="clear" w:color="auto" w:fill="FFFFFF"/>
        </w:rPr>
        <w:t xml:space="preserve">. 2021. </w:t>
      </w:r>
      <w:r w:rsidR="004F1605">
        <w:rPr>
          <w:rStyle w:val="Hyperlink"/>
          <w:rFonts w:cstheme="minorHAnsi"/>
          <w:color w:val="000000"/>
          <w:u w:val="none"/>
          <w:bdr w:val="none" w:sz="0" w:space="0" w:color="auto" w:frame="1"/>
          <w:shd w:val="clear" w:color="auto" w:fill="FFFFFF"/>
        </w:rPr>
        <w:t>Health economists on involving patients in modeling: Potential benefits, harms</w:t>
      </w:r>
      <w:r w:rsidR="00CA3A2C">
        <w:rPr>
          <w:rStyle w:val="Hyperlink"/>
          <w:rFonts w:cstheme="minorHAnsi"/>
          <w:color w:val="000000"/>
          <w:u w:val="none"/>
          <w:bdr w:val="none" w:sz="0" w:space="0" w:color="auto" w:frame="1"/>
          <w:shd w:val="clear" w:color="auto" w:fill="FFFFFF"/>
        </w:rPr>
        <w:t xml:space="preserve">, and variables of interest. </w:t>
      </w:r>
      <w:proofErr w:type="spellStart"/>
      <w:r w:rsidR="00CD5B70">
        <w:rPr>
          <w:rStyle w:val="Hyperlink"/>
          <w:rFonts w:cstheme="minorHAnsi"/>
          <w:i/>
          <w:iCs/>
          <w:color w:val="000000"/>
          <w:u w:val="none"/>
          <w:bdr w:val="none" w:sz="0" w:space="0" w:color="auto" w:frame="1"/>
          <w:shd w:val="clear" w:color="auto" w:fill="FFFFFF"/>
        </w:rPr>
        <w:t>PharmacoEconomics</w:t>
      </w:r>
      <w:proofErr w:type="spellEnd"/>
      <w:r w:rsidR="00CD5B70">
        <w:rPr>
          <w:rStyle w:val="Hyperlink"/>
          <w:rFonts w:cstheme="minorHAnsi"/>
          <w:i/>
          <w:iCs/>
          <w:color w:val="000000"/>
          <w:u w:val="none"/>
          <w:bdr w:val="none" w:sz="0" w:space="0" w:color="auto" w:frame="1"/>
          <w:shd w:val="clear" w:color="auto" w:fill="FFFFFF"/>
        </w:rPr>
        <w:t xml:space="preserve"> </w:t>
      </w:r>
      <w:r w:rsidR="00CD5B70">
        <w:rPr>
          <w:rStyle w:val="Hyperlink"/>
          <w:rFonts w:cstheme="minorHAnsi"/>
          <w:color w:val="000000"/>
          <w:u w:val="none"/>
          <w:bdr w:val="none" w:sz="0" w:space="0" w:color="auto" w:frame="1"/>
          <w:shd w:val="clear" w:color="auto" w:fill="FFFFFF"/>
        </w:rPr>
        <w:t>39: 823-833.</w:t>
      </w:r>
    </w:p>
    <w:p w14:paraId="0E57EA37" w14:textId="7CF802AC" w:rsidR="00D4734E" w:rsidRPr="003919EF" w:rsidRDefault="00501E2D" w:rsidP="00A9639B">
      <w:pPr>
        <w:spacing w:line="240" w:lineRule="auto"/>
        <w:ind w:left="720" w:hanging="720"/>
        <w:contextualSpacing/>
        <w:rPr>
          <w:rFonts w:cstheme="minorHAnsi"/>
        </w:rPr>
      </w:pPr>
      <w:r w:rsidRPr="003919EF">
        <w:rPr>
          <w:rFonts w:cstheme="minorHAnsi"/>
          <w:color w:val="222222"/>
          <w:shd w:val="clear" w:color="auto" w:fill="FFFFFF"/>
        </w:rPr>
        <w:t>Hicks, D.J., 2017. Scientific controversies as proxy politics. </w:t>
      </w:r>
      <w:r w:rsidRPr="003919EF">
        <w:rPr>
          <w:rFonts w:cstheme="minorHAnsi"/>
          <w:i/>
          <w:iCs/>
          <w:color w:val="222222"/>
          <w:shd w:val="clear" w:color="auto" w:fill="FFFFFF"/>
        </w:rPr>
        <w:t>Issues in Science and Technology</w:t>
      </w:r>
      <w:r w:rsidRPr="003919EF">
        <w:rPr>
          <w:rFonts w:cstheme="minorHAnsi"/>
          <w:color w:val="222222"/>
          <w:shd w:val="clear" w:color="auto" w:fill="FFFFFF"/>
        </w:rPr>
        <w:t> 33: 67.</w:t>
      </w:r>
    </w:p>
    <w:p w14:paraId="09298BEE" w14:textId="081240BA" w:rsidR="00525840" w:rsidRPr="003919EF" w:rsidRDefault="00525840" w:rsidP="00A9639B">
      <w:pPr>
        <w:spacing w:after="0" w:line="240" w:lineRule="auto"/>
        <w:ind w:left="720" w:hanging="720"/>
        <w:contextualSpacing/>
        <w:rPr>
          <w:rFonts w:eastAsia="Times New Roman" w:cstheme="minorHAnsi"/>
          <w:iCs/>
          <w:lang w:eastAsia="en-GB"/>
        </w:rPr>
      </w:pPr>
      <w:r w:rsidRPr="003919EF">
        <w:rPr>
          <w:rFonts w:eastAsia="Times New Roman" w:cstheme="minorHAnsi"/>
          <w:lang w:eastAsia="en-GB"/>
        </w:rPr>
        <w:t xml:space="preserve">Holman, B. and Elliott, K. C. 2018. </w:t>
      </w:r>
      <w:r w:rsidRPr="003919EF">
        <w:rPr>
          <w:rFonts w:cstheme="minorHAnsi"/>
        </w:rPr>
        <w:t xml:space="preserve">The Promise and Perils of Industry-Funded Science. </w:t>
      </w:r>
      <w:r w:rsidRPr="003919EF">
        <w:rPr>
          <w:rFonts w:cstheme="minorHAnsi"/>
          <w:i/>
        </w:rPr>
        <w:t xml:space="preserve">Philosophy Compass </w:t>
      </w:r>
      <w:r w:rsidRPr="003919EF">
        <w:rPr>
          <w:rFonts w:cstheme="minorHAnsi"/>
        </w:rPr>
        <w:t>13: e12544.</w:t>
      </w:r>
    </w:p>
    <w:p w14:paraId="019FB3A0" w14:textId="0838C996" w:rsidR="00C55D94" w:rsidRDefault="00525840" w:rsidP="00A9639B">
      <w:pPr>
        <w:spacing w:line="240" w:lineRule="auto"/>
        <w:ind w:left="720" w:hanging="720"/>
        <w:contextualSpacing/>
        <w:rPr>
          <w:rFonts w:eastAsia="Times New Roman" w:cstheme="minorHAnsi"/>
          <w:lang w:eastAsia="en-GB"/>
        </w:rPr>
      </w:pPr>
      <w:r w:rsidRPr="003919EF">
        <w:rPr>
          <w:rFonts w:eastAsia="Times New Roman" w:cstheme="minorHAnsi"/>
          <w:lang w:eastAsia="en-GB"/>
        </w:rPr>
        <w:t xml:space="preserve">Holman, B. and </w:t>
      </w:r>
      <w:proofErr w:type="spellStart"/>
      <w:r w:rsidRPr="003919EF">
        <w:rPr>
          <w:rFonts w:eastAsia="Times New Roman" w:cstheme="minorHAnsi"/>
          <w:lang w:eastAsia="en-GB"/>
        </w:rPr>
        <w:t>Wilholt</w:t>
      </w:r>
      <w:proofErr w:type="spellEnd"/>
      <w:r w:rsidRPr="003919EF">
        <w:rPr>
          <w:rFonts w:eastAsia="Times New Roman" w:cstheme="minorHAnsi"/>
          <w:lang w:eastAsia="en-GB"/>
        </w:rPr>
        <w:t xml:space="preserve">, T. 2022. The New Demarcation Problem. </w:t>
      </w:r>
      <w:r w:rsidRPr="003919EF">
        <w:rPr>
          <w:rFonts w:eastAsia="Times New Roman" w:cstheme="minorHAnsi"/>
          <w:i/>
          <w:lang w:eastAsia="en-GB"/>
        </w:rPr>
        <w:t xml:space="preserve">Studies in History and Philosophy of Science </w:t>
      </w:r>
      <w:r w:rsidRPr="003919EF">
        <w:rPr>
          <w:rFonts w:eastAsia="Times New Roman" w:cstheme="minorHAnsi"/>
          <w:lang w:eastAsia="en-GB"/>
        </w:rPr>
        <w:t>91: 211-220.</w:t>
      </w:r>
    </w:p>
    <w:p w14:paraId="78C88CC0" w14:textId="0B3346CE" w:rsidR="00EA6556" w:rsidRPr="00990482" w:rsidRDefault="00EA6556" w:rsidP="00A9639B">
      <w:pPr>
        <w:spacing w:line="240" w:lineRule="auto"/>
        <w:ind w:left="720" w:hanging="720"/>
        <w:contextualSpacing/>
        <w:rPr>
          <w:rFonts w:cstheme="minorHAnsi"/>
        </w:rPr>
      </w:pPr>
      <w:proofErr w:type="spellStart"/>
      <w:r>
        <w:rPr>
          <w:rFonts w:eastAsia="Times New Roman" w:cstheme="minorHAnsi"/>
          <w:lang w:eastAsia="en-GB"/>
        </w:rPr>
        <w:t>Horel</w:t>
      </w:r>
      <w:proofErr w:type="spellEnd"/>
      <w:r>
        <w:rPr>
          <w:rFonts w:eastAsia="Times New Roman" w:cstheme="minorHAnsi"/>
          <w:lang w:eastAsia="en-GB"/>
        </w:rPr>
        <w:t xml:space="preserve">, S. and Foucart, </w:t>
      </w:r>
      <w:r w:rsidR="005E28F6">
        <w:rPr>
          <w:rFonts w:eastAsia="Times New Roman" w:cstheme="minorHAnsi"/>
          <w:lang w:eastAsia="en-GB"/>
        </w:rPr>
        <w:t xml:space="preserve">S. 2020. Endocrine Disruptors in Europe: Nineteen “Experts” Are Polluting the Debate. </w:t>
      </w:r>
      <w:r w:rsidR="005E28F6">
        <w:rPr>
          <w:rFonts w:eastAsia="Times New Roman" w:cstheme="minorHAnsi"/>
          <w:i/>
          <w:iCs/>
          <w:lang w:eastAsia="en-GB"/>
        </w:rPr>
        <w:t>Environmental Health News</w:t>
      </w:r>
      <w:r w:rsidR="00990482">
        <w:rPr>
          <w:rFonts w:eastAsia="Times New Roman" w:cstheme="minorHAnsi"/>
          <w:i/>
          <w:iCs/>
          <w:lang w:eastAsia="en-GB"/>
        </w:rPr>
        <w:t xml:space="preserve">, </w:t>
      </w:r>
      <w:r w:rsidR="00990482">
        <w:rPr>
          <w:rFonts w:eastAsia="Times New Roman" w:cstheme="minorHAnsi"/>
          <w:lang w:eastAsia="en-GB"/>
        </w:rPr>
        <w:t xml:space="preserve">June 23. </w:t>
      </w:r>
      <w:hyperlink r:id="rId9" w:history="1">
        <w:r w:rsidR="00990482" w:rsidRPr="0027133C">
          <w:rPr>
            <w:rStyle w:val="Hyperlink"/>
            <w:rFonts w:eastAsia="Times New Roman" w:cstheme="minorHAnsi"/>
            <w:lang w:eastAsia="en-GB"/>
          </w:rPr>
          <w:t>https://www.ehn.org/european-parliament-endocrine-disruptors-2646227143.html</w:t>
        </w:r>
      </w:hyperlink>
      <w:r w:rsidR="00990482">
        <w:rPr>
          <w:rFonts w:eastAsia="Times New Roman" w:cstheme="minorHAnsi"/>
          <w:lang w:eastAsia="en-GB"/>
        </w:rPr>
        <w:t>. Last accessed on August 23, 2023.</w:t>
      </w:r>
    </w:p>
    <w:p w14:paraId="1E25C825" w14:textId="6F00D037" w:rsidR="00443D16" w:rsidRPr="003919EF" w:rsidRDefault="00A82217" w:rsidP="00A9639B">
      <w:pPr>
        <w:spacing w:line="240" w:lineRule="auto"/>
        <w:ind w:left="720" w:hanging="720"/>
        <w:contextualSpacing/>
        <w:rPr>
          <w:rFonts w:cstheme="minorHAnsi"/>
          <w:color w:val="000000"/>
        </w:rPr>
      </w:pPr>
      <w:r w:rsidRPr="003919EF">
        <w:rPr>
          <w:rFonts w:cstheme="minorHAnsi"/>
          <w:color w:val="000000"/>
        </w:rPr>
        <w:t xml:space="preserve">Intemann, K. 2015. Distinguishing between Legitimate and Illegitimate Values in Climate Modeling. </w:t>
      </w:r>
      <w:r w:rsidRPr="003919EF">
        <w:rPr>
          <w:rFonts w:cstheme="minorHAnsi"/>
          <w:i/>
          <w:color w:val="000000"/>
        </w:rPr>
        <w:t>European Journal for Philosophy of Science</w:t>
      </w:r>
      <w:r w:rsidRPr="003919EF">
        <w:rPr>
          <w:rFonts w:cstheme="minorHAnsi"/>
          <w:color w:val="000000"/>
        </w:rPr>
        <w:t>. 5: 217-232.</w:t>
      </w:r>
    </w:p>
    <w:p w14:paraId="79AE7C7F" w14:textId="41FF3EF8" w:rsidR="00043861" w:rsidRPr="003919EF" w:rsidRDefault="00043861" w:rsidP="00A9639B">
      <w:pPr>
        <w:spacing w:line="240" w:lineRule="auto"/>
        <w:ind w:left="720" w:hanging="720"/>
        <w:contextualSpacing/>
        <w:rPr>
          <w:rFonts w:cstheme="minorHAnsi"/>
          <w:color w:val="000000"/>
        </w:rPr>
      </w:pPr>
      <w:r w:rsidRPr="003919EF">
        <w:rPr>
          <w:rFonts w:cstheme="minorHAnsi"/>
          <w:color w:val="000000"/>
        </w:rPr>
        <w:t>John</w:t>
      </w:r>
      <w:r w:rsidR="00BA307F" w:rsidRPr="003919EF">
        <w:rPr>
          <w:rFonts w:cstheme="minorHAnsi"/>
          <w:color w:val="000000"/>
        </w:rPr>
        <w:t xml:space="preserve">, S. 2019. Science, Truth, and Dictatorship: Wishful Thinking or Wishful Speaking? </w:t>
      </w:r>
      <w:r w:rsidR="00BA307F" w:rsidRPr="003919EF">
        <w:rPr>
          <w:rFonts w:cstheme="minorHAnsi"/>
          <w:i/>
          <w:iCs/>
          <w:color w:val="000000"/>
        </w:rPr>
        <w:t>S</w:t>
      </w:r>
      <w:r w:rsidR="005B0CF4" w:rsidRPr="003919EF">
        <w:rPr>
          <w:rFonts w:cstheme="minorHAnsi"/>
          <w:i/>
          <w:iCs/>
          <w:color w:val="000000"/>
        </w:rPr>
        <w:t xml:space="preserve">tudies in History and Philosophy of Science </w:t>
      </w:r>
      <w:r w:rsidR="005B0CF4" w:rsidRPr="003919EF">
        <w:rPr>
          <w:rFonts w:cstheme="minorHAnsi"/>
          <w:color w:val="000000"/>
        </w:rPr>
        <w:t>78: 64-72.</w:t>
      </w:r>
    </w:p>
    <w:p w14:paraId="40299143" w14:textId="459DB7D5" w:rsidR="004C1448" w:rsidRPr="003919EF" w:rsidRDefault="008F54B6" w:rsidP="00A9639B">
      <w:pPr>
        <w:spacing w:line="240" w:lineRule="auto"/>
        <w:ind w:left="720" w:hanging="720"/>
        <w:contextualSpacing/>
        <w:rPr>
          <w:rFonts w:cstheme="minorHAnsi"/>
          <w:color w:val="000000"/>
        </w:rPr>
      </w:pPr>
      <w:r w:rsidRPr="003919EF">
        <w:rPr>
          <w:rFonts w:cstheme="minorHAnsi"/>
          <w:color w:val="222222"/>
          <w:shd w:val="clear" w:color="auto" w:fill="FFFFFF"/>
        </w:rPr>
        <w:t>Johnson, L. and Stricker, R.B., 2009. Attorney General Forces Infectious Diseases Society of America to Redo Lyme Guidelines Due to Flawed Development Process. </w:t>
      </w:r>
      <w:r w:rsidRPr="003919EF">
        <w:rPr>
          <w:rFonts w:cstheme="minorHAnsi"/>
          <w:i/>
          <w:iCs/>
          <w:color w:val="222222"/>
          <w:shd w:val="clear" w:color="auto" w:fill="FFFFFF"/>
        </w:rPr>
        <w:t>Journal of Medical Ethics</w:t>
      </w:r>
      <w:r w:rsidRPr="003919EF">
        <w:rPr>
          <w:rFonts w:cstheme="minorHAnsi"/>
          <w:color w:val="222222"/>
          <w:shd w:val="clear" w:color="auto" w:fill="FFFFFF"/>
        </w:rPr>
        <w:t> 35: 283-288.</w:t>
      </w:r>
    </w:p>
    <w:p w14:paraId="2FB7D5E4" w14:textId="5E2D05C9" w:rsidR="00A17331" w:rsidRPr="003919EF" w:rsidRDefault="00A9442F" w:rsidP="00A9639B">
      <w:pPr>
        <w:spacing w:line="240" w:lineRule="auto"/>
        <w:ind w:left="720" w:hanging="720"/>
        <w:contextualSpacing/>
        <w:rPr>
          <w:rFonts w:cstheme="minorHAnsi"/>
        </w:rPr>
      </w:pPr>
      <w:proofErr w:type="spellStart"/>
      <w:r w:rsidRPr="003919EF">
        <w:rPr>
          <w:rFonts w:cstheme="minorHAnsi"/>
          <w:color w:val="222222"/>
          <w:shd w:val="clear" w:color="auto" w:fill="FFFFFF"/>
        </w:rPr>
        <w:t>Kourany</w:t>
      </w:r>
      <w:proofErr w:type="spellEnd"/>
      <w:r w:rsidRPr="003919EF">
        <w:rPr>
          <w:rFonts w:cstheme="minorHAnsi"/>
          <w:color w:val="222222"/>
          <w:shd w:val="clear" w:color="auto" w:fill="FFFFFF"/>
        </w:rPr>
        <w:t>, J. 2018. Adding to the Tapestry. </w:t>
      </w:r>
      <w:r w:rsidRPr="003919EF">
        <w:rPr>
          <w:rFonts w:cstheme="minorHAnsi"/>
          <w:i/>
          <w:iCs/>
          <w:color w:val="222222"/>
          <w:shd w:val="clear" w:color="auto" w:fill="FFFFFF"/>
        </w:rPr>
        <w:t>Philosophy, Theory, and Practice in Biology</w:t>
      </w:r>
      <w:r w:rsidRPr="003919EF">
        <w:rPr>
          <w:rFonts w:cstheme="minorHAnsi"/>
          <w:color w:val="222222"/>
          <w:shd w:val="clear" w:color="auto" w:fill="FFFFFF"/>
        </w:rPr>
        <w:t> 10: 9</w:t>
      </w:r>
      <w:r w:rsidR="002C1BE3" w:rsidRPr="003919EF">
        <w:rPr>
          <w:rFonts w:cstheme="minorHAnsi"/>
          <w:color w:val="000000"/>
        </w:rPr>
        <w:t xml:space="preserve">. </w:t>
      </w:r>
    </w:p>
    <w:p w14:paraId="50588FEC" w14:textId="3FE2BF15" w:rsidR="0095217F" w:rsidRPr="003919EF" w:rsidRDefault="0095217F" w:rsidP="00A9639B">
      <w:pPr>
        <w:spacing w:line="240" w:lineRule="auto"/>
        <w:ind w:left="720" w:hanging="720"/>
        <w:contextualSpacing/>
        <w:rPr>
          <w:rFonts w:cstheme="minorHAnsi"/>
        </w:rPr>
      </w:pPr>
      <w:r w:rsidRPr="003919EF">
        <w:rPr>
          <w:rFonts w:cstheme="minorHAnsi"/>
          <w:color w:val="211D1E"/>
        </w:rPr>
        <w:t xml:space="preserve">Krupp LB, Hyman LG, Grimson R </w:t>
      </w:r>
      <w:r w:rsidRPr="003919EF">
        <w:rPr>
          <w:rFonts w:cstheme="minorHAnsi"/>
          <w:i/>
          <w:iCs/>
          <w:color w:val="211D1E"/>
        </w:rPr>
        <w:t xml:space="preserve">et al. </w:t>
      </w:r>
      <w:r w:rsidRPr="003919EF">
        <w:rPr>
          <w:rFonts w:cstheme="minorHAnsi"/>
          <w:iCs/>
          <w:color w:val="211D1E"/>
        </w:rPr>
        <w:t xml:space="preserve">2003. </w:t>
      </w:r>
      <w:r w:rsidRPr="003919EF">
        <w:rPr>
          <w:rFonts w:cstheme="minorHAnsi"/>
          <w:color w:val="211D1E"/>
        </w:rPr>
        <w:t xml:space="preserve">Study and treatment of post Lyme disease (STOP-LD): a randomized double masked clinical trial. </w:t>
      </w:r>
      <w:r w:rsidRPr="003919EF">
        <w:rPr>
          <w:rFonts w:cstheme="minorHAnsi"/>
          <w:i/>
          <w:iCs/>
          <w:color w:val="211D1E"/>
        </w:rPr>
        <w:t xml:space="preserve">Neurology </w:t>
      </w:r>
      <w:r w:rsidRPr="003919EF">
        <w:rPr>
          <w:rFonts w:cstheme="minorHAnsi"/>
          <w:color w:val="211D1E"/>
        </w:rPr>
        <w:t>60: 1923–1930.</w:t>
      </w:r>
    </w:p>
    <w:p w14:paraId="6123DAAA" w14:textId="648EAB90" w:rsidR="00D3511F" w:rsidRPr="003919EF" w:rsidRDefault="00E11FE3" w:rsidP="00A9639B">
      <w:pPr>
        <w:spacing w:line="240" w:lineRule="auto"/>
        <w:ind w:left="720" w:hanging="720"/>
        <w:contextualSpacing/>
        <w:rPr>
          <w:rFonts w:cstheme="minorHAnsi"/>
        </w:rPr>
      </w:pPr>
      <w:r w:rsidRPr="003919EF">
        <w:rPr>
          <w:rFonts w:cstheme="minorHAnsi"/>
        </w:rPr>
        <w:t xml:space="preserve">Kuhn, T. 1977. Objectivity, value judgement, and theory choice. In: T. Kuhn, </w:t>
      </w:r>
      <w:r w:rsidRPr="003919EF">
        <w:rPr>
          <w:rFonts w:cstheme="minorHAnsi"/>
          <w:i/>
        </w:rPr>
        <w:t xml:space="preserve">The Essential Tension, </w:t>
      </w:r>
      <w:r w:rsidRPr="003919EF">
        <w:rPr>
          <w:rFonts w:cstheme="minorHAnsi"/>
        </w:rPr>
        <w:t>320-329. Chicago: University of Chicago Press.</w:t>
      </w:r>
    </w:p>
    <w:p w14:paraId="148653C3" w14:textId="77777777" w:rsidR="00936E13" w:rsidRPr="003919EF" w:rsidRDefault="00936E13" w:rsidP="00A9639B">
      <w:pPr>
        <w:spacing w:after="0" w:line="240" w:lineRule="auto"/>
        <w:ind w:left="720" w:hanging="720"/>
        <w:contextualSpacing/>
        <w:rPr>
          <w:rFonts w:eastAsia="Times New Roman" w:cstheme="minorHAnsi"/>
          <w:lang w:eastAsia="en-GB"/>
        </w:rPr>
      </w:pPr>
      <w:r w:rsidRPr="003919EF">
        <w:rPr>
          <w:rFonts w:eastAsia="Times New Roman" w:cstheme="minorHAnsi"/>
          <w:lang w:eastAsia="en-GB"/>
        </w:rPr>
        <w:t xml:space="preserve">Lacey, H. 2017. Distinguishing between cognitive and social values. In: K. Elliott and D. Steel (eds.), </w:t>
      </w:r>
      <w:r w:rsidRPr="003919EF">
        <w:rPr>
          <w:rFonts w:eastAsia="Times New Roman" w:cstheme="minorHAnsi"/>
          <w:i/>
          <w:lang w:eastAsia="en-GB"/>
        </w:rPr>
        <w:t xml:space="preserve">Current Controversies in Values and Science, </w:t>
      </w:r>
      <w:r w:rsidRPr="003919EF">
        <w:rPr>
          <w:rFonts w:eastAsia="Times New Roman" w:cstheme="minorHAnsi"/>
          <w:lang w:eastAsia="en-GB"/>
        </w:rPr>
        <w:t>15-30.</w:t>
      </w:r>
      <w:r w:rsidRPr="003919EF">
        <w:rPr>
          <w:rFonts w:eastAsia="Times New Roman" w:cstheme="minorHAnsi"/>
          <w:i/>
          <w:lang w:eastAsia="en-GB"/>
        </w:rPr>
        <w:t xml:space="preserve"> </w:t>
      </w:r>
      <w:r w:rsidRPr="003919EF">
        <w:rPr>
          <w:rFonts w:eastAsia="Times New Roman" w:cstheme="minorHAnsi"/>
          <w:lang w:eastAsia="en-GB"/>
        </w:rPr>
        <w:t>New York: Routledge.</w:t>
      </w:r>
    </w:p>
    <w:p w14:paraId="27ED3911" w14:textId="4BE0D4A4" w:rsidR="005C0F82" w:rsidRPr="003919EF" w:rsidRDefault="005C0F82"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Lantos, P.M., 2011. Chronic Lyme disease: the controversies and the science. </w:t>
      </w:r>
      <w:r w:rsidRPr="003919EF">
        <w:rPr>
          <w:rFonts w:cstheme="minorHAnsi"/>
          <w:i/>
          <w:iCs/>
          <w:color w:val="222222"/>
          <w:shd w:val="clear" w:color="auto" w:fill="FFFFFF"/>
        </w:rPr>
        <w:t>Expert review of anti-infective therapy</w:t>
      </w:r>
      <w:r w:rsidRPr="003919EF">
        <w:rPr>
          <w:rFonts w:cstheme="minorHAnsi"/>
          <w:color w:val="222222"/>
          <w:shd w:val="clear" w:color="auto" w:fill="FFFFFF"/>
        </w:rPr>
        <w:t> </w:t>
      </w:r>
      <w:r w:rsidRPr="003919EF">
        <w:rPr>
          <w:rFonts w:cstheme="minorHAnsi"/>
          <w:iCs/>
          <w:color w:val="222222"/>
          <w:shd w:val="clear" w:color="auto" w:fill="FFFFFF"/>
        </w:rPr>
        <w:t>9</w:t>
      </w:r>
      <w:r w:rsidRPr="003919EF">
        <w:rPr>
          <w:rFonts w:cstheme="minorHAnsi"/>
          <w:color w:val="222222"/>
          <w:shd w:val="clear" w:color="auto" w:fill="FFFFFF"/>
        </w:rPr>
        <w:t>: 787-797.</w:t>
      </w:r>
    </w:p>
    <w:p w14:paraId="32C11B96" w14:textId="77777777" w:rsidR="00A53B8D" w:rsidRPr="003919EF" w:rsidRDefault="00A53B8D"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Lantos, P.M., Rumbaugh, J., </w:t>
      </w:r>
      <w:proofErr w:type="spellStart"/>
      <w:r w:rsidRPr="003919EF">
        <w:rPr>
          <w:rFonts w:cstheme="minorHAnsi"/>
          <w:color w:val="222222"/>
          <w:shd w:val="clear" w:color="auto" w:fill="FFFFFF"/>
        </w:rPr>
        <w:t>Bockenstedt</w:t>
      </w:r>
      <w:proofErr w:type="spellEnd"/>
      <w:r w:rsidRPr="003919EF">
        <w:rPr>
          <w:rFonts w:cstheme="minorHAnsi"/>
          <w:color w:val="222222"/>
          <w:shd w:val="clear" w:color="auto" w:fill="FFFFFF"/>
        </w:rPr>
        <w:t>, L.K., Falck-</w:t>
      </w:r>
      <w:proofErr w:type="spellStart"/>
      <w:r w:rsidRPr="003919EF">
        <w:rPr>
          <w:rFonts w:cstheme="minorHAnsi"/>
          <w:color w:val="222222"/>
          <w:shd w:val="clear" w:color="auto" w:fill="FFFFFF"/>
        </w:rPr>
        <w:t>Ytter</w:t>
      </w:r>
      <w:proofErr w:type="spellEnd"/>
      <w:r w:rsidRPr="003919EF">
        <w:rPr>
          <w:rFonts w:cstheme="minorHAnsi"/>
          <w:color w:val="222222"/>
          <w:shd w:val="clear" w:color="auto" w:fill="FFFFFF"/>
        </w:rPr>
        <w:t xml:space="preserve">, Y.T., Aguero-Rosenfeld, M.E., </w:t>
      </w:r>
      <w:proofErr w:type="spellStart"/>
      <w:r w:rsidRPr="003919EF">
        <w:rPr>
          <w:rFonts w:cstheme="minorHAnsi"/>
          <w:color w:val="222222"/>
          <w:shd w:val="clear" w:color="auto" w:fill="FFFFFF"/>
        </w:rPr>
        <w:t>Auwaerter</w:t>
      </w:r>
      <w:proofErr w:type="spellEnd"/>
      <w:r w:rsidRPr="003919EF">
        <w:rPr>
          <w:rFonts w:cstheme="minorHAnsi"/>
          <w:color w:val="222222"/>
          <w:shd w:val="clear" w:color="auto" w:fill="FFFFFF"/>
        </w:rPr>
        <w:t xml:space="preserve">, P.G., Baldwin, K., </w:t>
      </w:r>
      <w:proofErr w:type="spellStart"/>
      <w:r w:rsidRPr="003919EF">
        <w:rPr>
          <w:rFonts w:cstheme="minorHAnsi"/>
          <w:color w:val="222222"/>
          <w:shd w:val="clear" w:color="auto" w:fill="FFFFFF"/>
        </w:rPr>
        <w:t>Bannuru</w:t>
      </w:r>
      <w:proofErr w:type="spellEnd"/>
      <w:r w:rsidRPr="003919EF">
        <w:rPr>
          <w:rFonts w:cstheme="minorHAnsi"/>
          <w:color w:val="222222"/>
          <w:shd w:val="clear" w:color="auto" w:fill="FFFFFF"/>
        </w:rPr>
        <w:t xml:space="preserve">, R.R., </w:t>
      </w:r>
      <w:proofErr w:type="spellStart"/>
      <w:r w:rsidRPr="003919EF">
        <w:rPr>
          <w:rFonts w:cstheme="minorHAnsi"/>
          <w:color w:val="222222"/>
          <w:shd w:val="clear" w:color="auto" w:fill="FFFFFF"/>
        </w:rPr>
        <w:t>Belani</w:t>
      </w:r>
      <w:proofErr w:type="spellEnd"/>
      <w:r w:rsidRPr="003919EF">
        <w:rPr>
          <w:rFonts w:cstheme="minorHAnsi"/>
          <w:color w:val="222222"/>
          <w:shd w:val="clear" w:color="auto" w:fill="FFFFFF"/>
        </w:rPr>
        <w:t xml:space="preserve">, K.K., Bowie, W.R. Branda, J.A., et al. 2021. “Clinical Practice Guidelines by the Infectious Diseases Society of America (IDSA), American Academy of </w:t>
      </w:r>
      <w:r w:rsidRPr="003919EF">
        <w:rPr>
          <w:rFonts w:cstheme="minorHAnsi"/>
          <w:color w:val="222222"/>
          <w:shd w:val="clear" w:color="auto" w:fill="FFFFFF"/>
        </w:rPr>
        <w:lastRenderedPageBreak/>
        <w:t>Neurology (AAN), and American College of Rheumatology (ACR): 2020 Guidelines for the Prevention, Diagnosis, and Treatment of Lyme Disease.” </w:t>
      </w:r>
      <w:r w:rsidRPr="003919EF">
        <w:rPr>
          <w:rFonts w:cstheme="minorHAnsi"/>
          <w:i/>
          <w:iCs/>
          <w:color w:val="222222"/>
          <w:shd w:val="clear" w:color="auto" w:fill="FFFFFF"/>
        </w:rPr>
        <w:t>Arthritis &amp; Rheumatology</w:t>
      </w:r>
      <w:r w:rsidRPr="003919EF">
        <w:rPr>
          <w:rFonts w:cstheme="minorHAnsi"/>
          <w:color w:val="222222"/>
          <w:shd w:val="clear" w:color="auto" w:fill="FFFFFF"/>
        </w:rPr>
        <w:t> 73: 12-20.</w:t>
      </w:r>
    </w:p>
    <w:p w14:paraId="61E819F4" w14:textId="18FB22B6" w:rsidR="00860134" w:rsidRPr="003919EF" w:rsidRDefault="00860134" w:rsidP="00A9639B">
      <w:pPr>
        <w:spacing w:after="0"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Le </w:t>
      </w:r>
      <w:proofErr w:type="spellStart"/>
      <w:r w:rsidRPr="003919EF">
        <w:rPr>
          <w:rFonts w:cstheme="minorHAnsi"/>
          <w:color w:val="222222"/>
          <w:shd w:val="clear" w:color="auto" w:fill="FFFFFF"/>
        </w:rPr>
        <w:t>Bihan</w:t>
      </w:r>
      <w:proofErr w:type="spellEnd"/>
      <w:r w:rsidRPr="003919EF">
        <w:rPr>
          <w:rFonts w:cstheme="minorHAnsi"/>
          <w:color w:val="222222"/>
          <w:shd w:val="clear" w:color="auto" w:fill="FFFFFF"/>
        </w:rPr>
        <w:t xml:space="preserve">, S. and Amadi, I. 2017. On Epistemically Detrimental Dissent: Contingent Enabling Factors versus Stable Difference-Makers. </w:t>
      </w:r>
      <w:r w:rsidRPr="003919EF">
        <w:rPr>
          <w:rFonts w:cstheme="minorHAnsi"/>
          <w:i/>
          <w:color w:val="222222"/>
          <w:shd w:val="clear" w:color="auto" w:fill="FFFFFF"/>
        </w:rPr>
        <w:t xml:space="preserve">Philosophy of Science </w:t>
      </w:r>
      <w:r w:rsidRPr="003919EF">
        <w:rPr>
          <w:rFonts w:cstheme="minorHAnsi"/>
          <w:color w:val="222222"/>
          <w:shd w:val="clear" w:color="auto" w:fill="FFFFFF"/>
        </w:rPr>
        <w:t xml:space="preserve">84: 1020-1030. </w:t>
      </w:r>
    </w:p>
    <w:p w14:paraId="3D9F724A" w14:textId="71618785" w:rsidR="00B52A32" w:rsidRPr="003919EF" w:rsidRDefault="00B52A32" w:rsidP="00A9639B">
      <w:pPr>
        <w:spacing w:after="0"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Leuschner, A. and Fernández Pinto, M. 2021. How Dissent on Gender Bias in Academia Affects Science and Society: Learning from the Case of Climate Change Denial. </w:t>
      </w:r>
      <w:r w:rsidRPr="003919EF">
        <w:rPr>
          <w:rFonts w:cstheme="minorHAnsi"/>
          <w:i/>
          <w:color w:val="222222"/>
          <w:shd w:val="clear" w:color="auto" w:fill="FFFFFF"/>
        </w:rPr>
        <w:t>Philosophy of Science</w:t>
      </w:r>
      <w:r w:rsidR="00AC3634" w:rsidRPr="003919EF">
        <w:rPr>
          <w:rFonts w:cstheme="minorHAnsi"/>
          <w:iCs/>
          <w:color w:val="222222"/>
          <w:shd w:val="clear" w:color="auto" w:fill="FFFFFF"/>
        </w:rPr>
        <w:t xml:space="preserve"> 88: 573-593.</w:t>
      </w:r>
      <w:r w:rsidRPr="003919EF">
        <w:rPr>
          <w:rFonts w:cstheme="minorHAnsi"/>
          <w:i/>
          <w:color w:val="222222"/>
          <w:shd w:val="clear" w:color="auto" w:fill="FFFFFF"/>
        </w:rPr>
        <w:t xml:space="preserve"> </w:t>
      </w:r>
    </w:p>
    <w:p w14:paraId="1F3A0D0C" w14:textId="5EB7378F" w:rsidR="00D3559A" w:rsidRPr="003919EF" w:rsidRDefault="00D3559A" w:rsidP="00A9639B">
      <w:pPr>
        <w:spacing w:after="0" w:line="240" w:lineRule="auto"/>
        <w:ind w:left="720" w:hanging="720"/>
        <w:contextualSpacing/>
        <w:rPr>
          <w:rFonts w:eastAsia="Times New Roman" w:cstheme="minorHAnsi"/>
          <w:lang w:eastAsia="en-GB"/>
        </w:rPr>
      </w:pPr>
      <w:r w:rsidRPr="003919EF">
        <w:rPr>
          <w:rFonts w:cstheme="minorHAnsi"/>
          <w:color w:val="222222"/>
          <w:shd w:val="clear" w:color="auto" w:fill="FFFFFF"/>
        </w:rPr>
        <w:t>Leuschner, A. and Fernández Pinto, M. 2022. Exploring the limits of dissent: the case of shooting bias. </w:t>
      </w:r>
      <w:proofErr w:type="spellStart"/>
      <w:r w:rsidRPr="003919EF">
        <w:rPr>
          <w:rFonts w:cstheme="minorHAnsi"/>
          <w:i/>
          <w:iCs/>
          <w:color w:val="222222"/>
          <w:shd w:val="clear" w:color="auto" w:fill="FFFFFF"/>
        </w:rPr>
        <w:t>Synthese</w:t>
      </w:r>
      <w:proofErr w:type="spellEnd"/>
      <w:r w:rsidRPr="003919EF">
        <w:rPr>
          <w:rFonts w:cstheme="minorHAnsi"/>
          <w:color w:val="222222"/>
          <w:shd w:val="clear" w:color="auto" w:fill="FFFFFF"/>
        </w:rPr>
        <w:t> 200: 1-19.</w:t>
      </w:r>
    </w:p>
    <w:p w14:paraId="5B6182A6" w14:textId="2A050FC0" w:rsidR="00846309" w:rsidRPr="003919EF" w:rsidRDefault="00846309" w:rsidP="00A9639B">
      <w:pPr>
        <w:spacing w:after="0" w:line="240" w:lineRule="auto"/>
        <w:ind w:left="720" w:hanging="720"/>
        <w:contextualSpacing/>
        <w:rPr>
          <w:rFonts w:eastAsia="Times New Roman" w:cstheme="minorHAnsi"/>
          <w:lang w:eastAsia="en-GB"/>
        </w:rPr>
      </w:pPr>
      <w:proofErr w:type="spellStart"/>
      <w:r w:rsidRPr="003919EF">
        <w:rPr>
          <w:rFonts w:eastAsia="Times New Roman" w:cstheme="minorHAnsi"/>
          <w:lang w:eastAsia="en-GB"/>
        </w:rPr>
        <w:t>Longino</w:t>
      </w:r>
      <w:proofErr w:type="spellEnd"/>
      <w:r w:rsidRPr="003919EF">
        <w:rPr>
          <w:rFonts w:eastAsia="Times New Roman" w:cstheme="minorHAnsi"/>
          <w:lang w:eastAsia="en-GB"/>
        </w:rPr>
        <w:t xml:space="preserve">, H. 1990. </w:t>
      </w:r>
      <w:r w:rsidRPr="003919EF">
        <w:rPr>
          <w:rFonts w:eastAsia="Times New Roman" w:cstheme="minorHAnsi"/>
          <w:i/>
          <w:lang w:eastAsia="en-GB"/>
        </w:rPr>
        <w:t xml:space="preserve">Science as Social </w:t>
      </w:r>
      <w:r w:rsidRPr="009D6AED">
        <w:rPr>
          <w:rFonts w:eastAsia="Times New Roman" w:cstheme="minorHAnsi"/>
          <w:iCs/>
          <w:lang w:eastAsia="en-GB"/>
        </w:rPr>
        <w:t>Knowledge</w:t>
      </w:r>
      <w:r w:rsidRPr="003919EF">
        <w:rPr>
          <w:rFonts w:eastAsia="Times New Roman" w:cstheme="minorHAnsi"/>
          <w:i/>
          <w:lang w:eastAsia="en-GB"/>
        </w:rPr>
        <w:t xml:space="preserve">. </w:t>
      </w:r>
      <w:r w:rsidRPr="003919EF">
        <w:rPr>
          <w:rFonts w:eastAsia="Times New Roman" w:cstheme="minorHAnsi"/>
          <w:lang w:eastAsia="en-GB"/>
        </w:rPr>
        <w:t xml:space="preserve">Princeton: Princeton University Press. </w:t>
      </w:r>
    </w:p>
    <w:p w14:paraId="432D2BFA" w14:textId="7760E5EC" w:rsidR="00F263F6" w:rsidRPr="003919EF" w:rsidRDefault="00F263F6" w:rsidP="00A9639B">
      <w:pPr>
        <w:spacing w:after="0" w:line="240" w:lineRule="auto"/>
        <w:ind w:left="720" w:hanging="720"/>
        <w:contextualSpacing/>
        <w:rPr>
          <w:rFonts w:eastAsia="Times New Roman" w:cstheme="minorHAnsi"/>
          <w:iCs/>
          <w:lang w:eastAsia="en-GB"/>
        </w:rPr>
      </w:pPr>
      <w:r w:rsidRPr="003919EF">
        <w:rPr>
          <w:rFonts w:eastAsia="Times New Roman" w:cstheme="minorHAnsi"/>
          <w:lang w:eastAsia="en-GB"/>
        </w:rPr>
        <w:t xml:space="preserve">Longino, H. 2002. </w:t>
      </w:r>
      <w:r w:rsidRPr="003919EF">
        <w:rPr>
          <w:rFonts w:eastAsia="Times New Roman" w:cstheme="minorHAnsi"/>
          <w:i/>
          <w:lang w:eastAsia="en-GB"/>
        </w:rPr>
        <w:t xml:space="preserve">The Fate of </w:t>
      </w:r>
      <w:r w:rsidRPr="003919EF">
        <w:rPr>
          <w:rFonts w:eastAsia="Times New Roman" w:cstheme="minorHAnsi"/>
          <w:lang w:eastAsia="en-GB"/>
        </w:rPr>
        <w:t>Knowledge. Princeton: Princeton University Press.</w:t>
      </w:r>
    </w:p>
    <w:p w14:paraId="41949172" w14:textId="77777777" w:rsidR="00916EDA" w:rsidRDefault="00F263F6" w:rsidP="00A9639B">
      <w:pPr>
        <w:spacing w:after="0" w:line="240" w:lineRule="auto"/>
        <w:ind w:left="720" w:hanging="720"/>
        <w:contextualSpacing/>
        <w:rPr>
          <w:rFonts w:eastAsia="Times New Roman" w:cstheme="minorHAnsi"/>
          <w:lang w:eastAsia="en-GB"/>
        </w:rPr>
      </w:pPr>
      <w:r w:rsidRPr="003919EF">
        <w:rPr>
          <w:rFonts w:eastAsia="Times New Roman" w:cstheme="minorHAnsi"/>
          <w:lang w:eastAsia="en-GB"/>
        </w:rPr>
        <w:t xml:space="preserve">Ludwig, D. 2016. Ontological choices and the value-free ideal. </w:t>
      </w:r>
      <w:proofErr w:type="spellStart"/>
      <w:r w:rsidRPr="003919EF">
        <w:rPr>
          <w:rFonts w:eastAsia="Times New Roman" w:cstheme="minorHAnsi"/>
          <w:i/>
          <w:lang w:eastAsia="en-GB"/>
        </w:rPr>
        <w:t>Erkenntnis</w:t>
      </w:r>
      <w:proofErr w:type="spellEnd"/>
      <w:r w:rsidRPr="003919EF">
        <w:rPr>
          <w:rFonts w:eastAsia="Times New Roman" w:cstheme="minorHAnsi"/>
          <w:i/>
          <w:lang w:eastAsia="en-GB"/>
        </w:rPr>
        <w:t xml:space="preserve"> </w:t>
      </w:r>
      <w:r w:rsidRPr="003919EF">
        <w:rPr>
          <w:rFonts w:eastAsia="Times New Roman" w:cstheme="minorHAnsi"/>
          <w:lang w:eastAsia="en-GB"/>
        </w:rPr>
        <w:t xml:space="preserve">81: 1253-1272. </w:t>
      </w:r>
    </w:p>
    <w:p w14:paraId="36FCEE80" w14:textId="13E09935" w:rsidR="00F263F6" w:rsidRPr="003919EF" w:rsidRDefault="00E87D0A" w:rsidP="00A9639B">
      <w:pPr>
        <w:spacing w:after="0" w:line="240" w:lineRule="auto"/>
        <w:ind w:left="720" w:hanging="720"/>
        <w:contextualSpacing/>
        <w:rPr>
          <w:rFonts w:eastAsia="Times New Roman" w:cstheme="minorHAnsi"/>
          <w:iCs/>
          <w:lang w:eastAsia="en-GB"/>
        </w:rPr>
      </w:pPr>
      <w:r>
        <w:rPr>
          <w:rFonts w:eastAsia="Times New Roman" w:cstheme="minorHAnsi"/>
          <w:lang w:eastAsia="en-GB"/>
        </w:rPr>
        <w:t xml:space="preserve">Lusk, </w:t>
      </w:r>
      <w:proofErr w:type="gramStart"/>
      <w:r>
        <w:rPr>
          <w:rFonts w:eastAsia="Times New Roman" w:cstheme="minorHAnsi"/>
          <w:lang w:eastAsia="en-GB"/>
        </w:rPr>
        <w:t>G.</w:t>
      </w:r>
      <w:proofErr w:type="gramEnd"/>
      <w:r>
        <w:rPr>
          <w:rFonts w:eastAsia="Times New Roman" w:cstheme="minorHAnsi"/>
          <w:lang w:eastAsia="en-GB"/>
        </w:rPr>
        <w:t xml:space="preserve"> and K. Elliott. 2022. </w:t>
      </w:r>
      <w:r w:rsidRPr="000E4D88">
        <w:t>Non-Epistemic Values and Scientific Assessment: An Adequacy-for-Purpose View</w:t>
      </w:r>
      <w:r w:rsidR="00C76C1B">
        <w:t>.</w:t>
      </w:r>
      <w:r w:rsidRPr="000E4D88">
        <w:t xml:space="preserve"> </w:t>
      </w:r>
      <w:r w:rsidRPr="000E4D88">
        <w:rPr>
          <w:i/>
        </w:rPr>
        <w:t xml:space="preserve">European Journal for Philosophy of Science </w:t>
      </w:r>
      <w:r w:rsidRPr="000E4D88">
        <w:rPr>
          <w:iCs/>
        </w:rPr>
        <w:t>12: 35</w:t>
      </w:r>
      <w:r w:rsidRPr="000E4D88">
        <w:t xml:space="preserve">. </w:t>
      </w:r>
      <w:r w:rsidR="00F263F6" w:rsidRPr="003919EF">
        <w:rPr>
          <w:rFonts w:eastAsia="Times New Roman" w:cstheme="minorHAnsi"/>
          <w:lang w:eastAsia="en-GB"/>
        </w:rPr>
        <w:t xml:space="preserve"> </w:t>
      </w:r>
    </w:p>
    <w:p w14:paraId="75EF6BAC" w14:textId="2792F984" w:rsidR="00A53B8D" w:rsidRPr="003919EF" w:rsidRDefault="00A53B8D" w:rsidP="00A9639B">
      <w:pPr>
        <w:spacing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Maloney, E.L., 2016. Controversies in persistent (chronic) Lyme disease. </w:t>
      </w:r>
      <w:r w:rsidRPr="003919EF">
        <w:rPr>
          <w:rFonts w:cstheme="minorHAnsi"/>
          <w:i/>
          <w:iCs/>
          <w:color w:val="222222"/>
          <w:shd w:val="clear" w:color="auto" w:fill="FFFFFF"/>
        </w:rPr>
        <w:t>Journal of Infusion Nursing</w:t>
      </w:r>
      <w:r w:rsidRPr="003919EF">
        <w:rPr>
          <w:rFonts w:cstheme="minorHAnsi"/>
          <w:color w:val="222222"/>
          <w:shd w:val="clear" w:color="auto" w:fill="FFFFFF"/>
        </w:rPr>
        <w:t> </w:t>
      </w:r>
      <w:r w:rsidRPr="003919EF">
        <w:rPr>
          <w:rFonts w:cstheme="minorHAnsi"/>
          <w:iCs/>
          <w:color w:val="222222"/>
          <w:shd w:val="clear" w:color="auto" w:fill="FFFFFF"/>
        </w:rPr>
        <w:t>39</w:t>
      </w:r>
      <w:r w:rsidRPr="003919EF">
        <w:rPr>
          <w:rFonts w:cstheme="minorHAnsi"/>
          <w:color w:val="222222"/>
          <w:shd w:val="clear" w:color="auto" w:fill="FFFFFF"/>
        </w:rPr>
        <w:t>: 369-375.</w:t>
      </w:r>
    </w:p>
    <w:p w14:paraId="730366C4" w14:textId="72BE3858" w:rsidR="006015E8" w:rsidRPr="003919EF" w:rsidRDefault="006015E8" w:rsidP="00A9639B">
      <w:pPr>
        <w:spacing w:after="0"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McGarity, T. and W. Wagner. </w:t>
      </w:r>
      <w:r w:rsidR="008B200C" w:rsidRPr="003919EF">
        <w:rPr>
          <w:rFonts w:cstheme="minorHAnsi"/>
          <w:color w:val="222222"/>
          <w:shd w:val="clear" w:color="auto" w:fill="FFFFFF"/>
        </w:rPr>
        <w:t xml:space="preserve">2008. </w:t>
      </w:r>
      <w:r w:rsidR="008B200C" w:rsidRPr="003919EF">
        <w:rPr>
          <w:rFonts w:cstheme="minorHAnsi"/>
          <w:i/>
          <w:iCs/>
          <w:color w:val="222222"/>
          <w:shd w:val="clear" w:color="auto" w:fill="FFFFFF"/>
        </w:rPr>
        <w:t xml:space="preserve">Bending Science: How Special Interests Corrupt Public Health Research. </w:t>
      </w:r>
      <w:r w:rsidR="008B200C" w:rsidRPr="003919EF">
        <w:rPr>
          <w:rFonts w:cstheme="minorHAnsi"/>
          <w:color w:val="222222"/>
          <w:shd w:val="clear" w:color="auto" w:fill="FFFFFF"/>
        </w:rPr>
        <w:t>Cambridge, MA: Harvard University Press.</w:t>
      </w:r>
    </w:p>
    <w:p w14:paraId="2CEE3F6C" w14:textId="1BECCC27" w:rsidR="009C4189" w:rsidRPr="003919EF" w:rsidRDefault="009C4189" w:rsidP="00A9639B">
      <w:pPr>
        <w:spacing w:after="0"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McIlroy-Young, B., </w:t>
      </w:r>
      <w:r w:rsidR="007A3730" w:rsidRPr="003919EF">
        <w:rPr>
          <w:rFonts w:cstheme="minorHAnsi"/>
          <w:color w:val="222222"/>
          <w:shd w:val="clear" w:color="auto" w:fill="FFFFFF"/>
        </w:rPr>
        <w:t>Ö</w:t>
      </w:r>
      <w:r w:rsidRPr="003919EF">
        <w:rPr>
          <w:rFonts w:cstheme="minorHAnsi"/>
          <w:color w:val="222222"/>
          <w:shd w:val="clear" w:color="auto" w:fill="FFFFFF"/>
        </w:rPr>
        <w:t xml:space="preserve">berg, G., and </w:t>
      </w:r>
      <w:r w:rsidR="00762EB4" w:rsidRPr="003919EF">
        <w:rPr>
          <w:rFonts w:cstheme="minorHAnsi"/>
          <w:color w:val="222222"/>
          <w:shd w:val="clear" w:color="auto" w:fill="FFFFFF"/>
        </w:rPr>
        <w:t>Leopold, A. 2021. The Manufacturing of Consensus: The Struggle for Epistemic Authority in Chemical Risk Evaluation</w:t>
      </w:r>
      <w:r w:rsidR="000518EE">
        <w:rPr>
          <w:rFonts w:cstheme="minorHAnsi"/>
          <w:color w:val="222222"/>
          <w:shd w:val="clear" w:color="auto" w:fill="FFFFFF"/>
        </w:rPr>
        <w:t>.</w:t>
      </w:r>
      <w:r w:rsidR="007A3730" w:rsidRPr="003919EF">
        <w:rPr>
          <w:rFonts w:cstheme="minorHAnsi"/>
          <w:color w:val="222222"/>
          <w:shd w:val="clear" w:color="auto" w:fill="FFFFFF"/>
        </w:rPr>
        <w:t xml:space="preserve"> </w:t>
      </w:r>
      <w:r w:rsidR="007A3730" w:rsidRPr="003919EF">
        <w:rPr>
          <w:rFonts w:cstheme="minorHAnsi"/>
          <w:i/>
          <w:iCs/>
          <w:color w:val="222222"/>
          <w:shd w:val="clear" w:color="auto" w:fill="FFFFFF"/>
        </w:rPr>
        <w:t xml:space="preserve">Environmental Science and Policy </w:t>
      </w:r>
      <w:r w:rsidR="007A3730" w:rsidRPr="003919EF">
        <w:rPr>
          <w:rFonts w:cstheme="minorHAnsi"/>
          <w:color w:val="222222"/>
          <w:shd w:val="clear" w:color="auto" w:fill="FFFFFF"/>
        </w:rPr>
        <w:t>122: 25-34.</w:t>
      </w:r>
    </w:p>
    <w:p w14:paraId="04136B05" w14:textId="75E01D17" w:rsidR="004D0D5D" w:rsidRPr="003919EF" w:rsidRDefault="00257E82" w:rsidP="00A9639B">
      <w:pPr>
        <w:spacing w:after="0" w:line="240" w:lineRule="auto"/>
        <w:ind w:left="720" w:hanging="720"/>
        <w:contextualSpacing/>
        <w:rPr>
          <w:rFonts w:cstheme="minorHAnsi"/>
        </w:rPr>
      </w:pPr>
      <w:proofErr w:type="spellStart"/>
      <w:r w:rsidRPr="003919EF">
        <w:rPr>
          <w:rFonts w:cstheme="minorHAnsi"/>
        </w:rPr>
        <w:t>McKaughan</w:t>
      </w:r>
      <w:proofErr w:type="spellEnd"/>
      <w:r w:rsidR="004D0D5D" w:rsidRPr="003919EF">
        <w:rPr>
          <w:rFonts w:cstheme="minorHAnsi"/>
        </w:rPr>
        <w:t>, D.J.</w:t>
      </w:r>
      <w:r w:rsidRPr="003919EF">
        <w:rPr>
          <w:rFonts w:cstheme="minorHAnsi"/>
        </w:rPr>
        <w:t xml:space="preserve"> and </w:t>
      </w:r>
      <w:r w:rsidRPr="003919EF">
        <w:rPr>
          <w:rFonts w:cstheme="minorHAnsi"/>
          <w:bCs/>
        </w:rPr>
        <w:t>Elliott</w:t>
      </w:r>
      <w:r w:rsidRPr="003919EF">
        <w:rPr>
          <w:rFonts w:cstheme="minorHAnsi"/>
        </w:rPr>
        <w:t>,</w:t>
      </w:r>
      <w:r w:rsidR="004D0D5D" w:rsidRPr="003919EF">
        <w:rPr>
          <w:rFonts w:cstheme="minorHAnsi"/>
        </w:rPr>
        <w:t xml:space="preserve"> K.C.</w:t>
      </w:r>
      <w:r w:rsidRPr="003919EF">
        <w:rPr>
          <w:rFonts w:cstheme="minorHAnsi"/>
        </w:rPr>
        <w:t xml:space="preserve"> </w:t>
      </w:r>
      <w:r w:rsidR="004D0D5D" w:rsidRPr="003919EF">
        <w:rPr>
          <w:rFonts w:cstheme="minorHAnsi"/>
        </w:rPr>
        <w:t xml:space="preserve">2015. </w:t>
      </w:r>
      <w:r w:rsidRPr="003919EF">
        <w:rPr>
          <w:rFonts w:cstheme="minorHAnsi"/>
        </w:rPr>
        <w:t>Introduction: Cognitive Attitudes and Values in Science</w:t>
      </w:r>
      <w:r w:rsidR="000518EE">
        <w:rPr>
          <w:rFonts w:cstheme="minorHAnsi"/>
        </w:rPr>
        <w:t>.</w:t>
      </w:r>
      <w:r w:rsidRPr="003919EF">
        <w:rPr>
          <w:rFonts w:cstheme="minorHAnsi"/>
        </w:rPr>
        <w:t xml:space="preserve"> </w:t>
      </w:r>
      <w:r w:rsidRPr="003919EF">
        <w:rPr>
          <w:rFonts w:cstheme="minorHAnsi"/>
          <w:i/>
        </w:rPr>
        <w:t xml:space="preserve">Studies in History and Philosophy of Science </w:t>
      </w:r>
      <w:r w:rsidRPr="003919EF">
        <w:rPr>
          <w:rFonts w:cstheme="minorHAnsi"/>
        </w:rPr>
        <w:t>53: 57-61</w:t>
      </w:r>
      <w:r w:rsidR="004D0D5D" w:rsidRPr="003919EF">
        <w:rPr>
          <w:rFonts w:cstheme="minorHAnsi"/>
        </w:rPr>
        <w:t>.</w:t>
      </w:r>
    </w:p>
    <w:p w14:paraId="33297274" w14:textId="0F27C73F" w:rsidR="00B62F86" w:rsidRPr="003919EF" w:rsidRDefault="00B62F86" w:rsidP="00A9639B">
      <w:pPr>
        <w:spacing w:after="0" w:line="240" w:lineRule="auto"/>
        <w:ind w:left="720" w:hanging="720"/>
        <w:contextualSpacing/>
        <w:rPr>
          <w:rFonts w:cstheme="minorHAnsi"/>
          <w:color w:val="000000"/>
        </w:rPr>
      </w:pPr>
      <w:r w:rsidRPr="003919EF">
        <w:rPr>
          <w:rFonts w:cstheme="minorHAnsi"/>
          <w:color w:val="000000"/>
        </w:rPr>
        <w:t xml:space="preserve">Michaels, D. 2008. </w:t>
      </w:r>
      <w:r w:rsidRPr="003919EF">
        <w:rPr>
          <w:rFonts w:cstheme="minorHAnsi"/>
          <w:i/>
          <w:color w:val="000000"/>
        </w:rPr>
        <w:t xml:space="preserve">Doubt Is Their Product: How Industry’s Assault on Science Threatens Your Health. </w:t>
      </w:r>
      <w:r w:rsidRPr="003919EF">
        <w:rPr>
          <w:rFonts w:cstheme="minorHAnsi"/>
          <w:color w:val="000000"/>
        </w:rPr>
        <w:t>New York: Oxford University Press.</w:t>
      </w:r>
    </w:p>
    <w:p w14:paraId="174927FA" w14:textId="28284DA9" w:rsidR="00D97767" w:rsidRDefault="00D97767" w:rsidP="00A9639B">
      <w:pPr>
        <w:spacing w:after="0"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Miller, B. 2013. When is </w:t>
      </w:r>
      <w:r w:rsidR="00632CA8" w:rsidRPr="003919EF">
        <w:rPr>
          <w:rFonts w:cstheme="minorHAnsi"/>
          <w:color w:val="222222"/>
          <w:shd w:val="clear" w:color="auto" w:fill="FFFFFF"/>
        </w:rPr>
        <w:t>C</w:t>
      </w:r>
      <w:r w:rsidRPr="003919EF">
        <w:rPr>
          <w:rFonts w:cstheme="minorHAnsi"/>
          <w:color w:val="222222"/>
          <w:shd w:val="clear" w:color="auto" w:fill="FFFFFF"/>
        </w:rPr>
        <w:t xml:space="preserve">onsensus </w:t>
      </w:r>
      <w:r w:rsidR="00632CA8" w:rsidRPr="003919EF">
        <w:rPr>
          <w:rFonts w:cstheme="minorHAnsi"/>
          <w:color w:val="222222"/>
          <w:shd w:val="clear" w:color="auto" w:fill="FFFFFF"/>
        </w:rPr>
        <w:t>K</w:t>
      </w:r>
      <w:r w:rsidRPr="003919EF">
        <w:rPr>
          <w:rFonts w:cstheme="minorHAnsi"/>
          <w:color w:val="222222"/>
          <w:shd w:val="clear" w:color="auto" w:fill="FFFFFF"/>
        </w:rPr>
        <w:t xml:space="preserve">nowledge </w:t>
      </w:r>
      <w:r w:rsidR="00632CA8" w:rsidRPr="003919EF">
        <w:rPr>
          <w:rFonts w:cstheme="minorHAnsi"/>
          <w:color w:val="222222"/>
          <w:shd w:val="clear" w:color="auto" w:fill="FFFFFF"/>
        </w:rPr>
        <w:t>B</w:t>
      </w:r>
      <w:r w:rsidRPr="003919EF">
        <w:rPr>
          <w:rFonts w:cstheme="minorHAnsi"/>
          <w:color w:val="222222"/>
          <w:shd w:val="clear" w:color="auto" w:fill="FFFFFF"/>
        </w:rPr>
        <w:t xml:space="preserve">ased? Distinguishing </w:t>
      </w:r>
      <w:r w:rsidR="00632CA8" w:rsidRPr="003919EF">
        <w:rPr>
          <w:rFonts w:cstheme="minorHAnsi"/>
          <w:color w:val="222222"/>
          <w:shd w:val="clear" w:color="auto" w:fill="FFFFFF"/>
        </w:rPr>
        <w:t>S</w:t>
      </w:r>
      <w:r w:rsidRPr="003919EF">
        <w:rPr>
          <w:rFonts w:cstheme="minorHAnsi"/>
          <w:color w:val="222222"/>
          <w:shd w:val="clear" w:color="auto" w:fill="FFFFFF"/>
        </w:rPr>
        <w:t xml:space="preserve">hared </w:t>
      </w:r>
      <w:r w:rsidR="00632CA8" w:rsidRPr="003919EF">
        <w:rPr>
          <w:rFonts w:cstheme="minorHAnsi"/>
          <w:color w:val="222222"/>
          <w:shd w:val="clear" w:color="auto" w:fill="FFFFFF"/>
        </w:rPr>
        <w:t>K</w:t>
      </w:r>
      <w:r w:rsidRPr="003919EF">
        <w:rPr>
          <w:rFonts w:cstheme="minorHAnsi"/>
          <w:color w:val="222222"/>
          <w:shd w:val="clear" w:color="auto" w:fill="FFFFFF"/>
        </w:rPr>
        <w:t xml:space="preserve">nowledge from </w:t>
      </w:r>
      <w:r w:rsidR="00632CA8" w:rsidRPr="003919EF">
        <w:rPr>
          <w:rFonts w:cstheme="minorHAnsi"/>
          <w:color w:val="222222"/>
          <w:shd w:val="clear" w:color="auto" w:fill="FFFFFF"/>
        </w:rPr>
        <w:t>M</w:t>
      </w:r>
      <w:r w:rsidRPr="003919EF">
        <w:rPr>
          <w:rFonts w:cstheme="minorHAnsi"/>
          <w:color w:val="222222"/>
          <w:shd w:val="clear" w:color="auto" w:fill="FFFFFF"/>
        </w:rPr>
        <w:t xml:space="preserve">ere </w:t>
      </w:r>
      <w:r w:rsidR="00632CA8" w:rsidRPr="003919EF">
        <w:rPr>
          <w:rFonts w:cstheme="minorHAnsi"/>
          <w:color w:val="222222"/>
          <w:shd w:val="clear" w:color="auto" w:fill="FFFFFF"/>
        </w:rPr>
        <w:t>A</w:t>
      </w:r>
      <w:r w:rsidRPr="003919EF">
        <w:rPr>
          <w:rFonts w:cstheme="minorHAnsi"/>
          <w:color w:val="222222"/>
          <w:shd w:val="clear" w:color="auto" w:fill="FFFFFF"/>
        </w:rPr>
        <w:t>greement</w:t>
      </w:r>
      <w:r w:rsidR="000518EE">
        <w:rPr>
          <w:rFonts w:cstheme="minorHAnsi"/>
          <w:color w:val="222222"/>
          <w:shd w:val="clear" w:color="auto" w:fill="FFFFFF"/>
        </w:rPr>
        <w:t>.</w:t>
      </w:r>
      <w:r w:rsidRPr="003919EF">
        <w:rPr>
          <w:rFonts w:cstheme="minorHAnsi"/>
          <w:color w:val="222222"/>
          <w:shd w:val="clear" w:color="auto" w:fill="FFFFFF"/>
        </w:rPr>
        <w:t> </w:t>
      </w:r>
      <w:proofErr w:type="spellStart"/>
      <w:r w:rsidRPr="003919EF">
        <w:rPr>
          <w:rFonts w:cstheme="minorHAnsi"/>
          <w:i/>
          <w:iCs/>
          <w:color w:val="222222"/>
          <w:shd w:val="clear" w:color="auto" w:fill="FFFFFF"/>
        </w:rPr>
        <w:t>Synthese</w:t>
      </w:r>
      <w:proofErr w:type="spellEnd"/>
      <w:r w:rsidRPr="003919EF">
        <w:rPr>
          <w:rFonts w:cstheme="minorHAnsi"/>
          <w:color w:val="222222"/>
          <w:shd w:val="clear" w:color="auto" w:fill="FFFFFF"/>
        </w:rPr>
        <w:t> 190</w:t>
      </w:r>
      <w:r w:rsidR="00632CA8" w:rsidRPr="003919EF">
        <w:rPr>
          <w:rFonts w:cstheme="minorHAnsi"/>
          <w:color w:val="222222"/>
          <w:shd w:val="clear" w:color="auto" w:fill="FFFFFF"/>
        </w:rPr>
        <w:t xml:space="preserve">: </w:t>
      </w:r>
      <w:r w:rsidRPr="003919EF">
        <w:rPr>
          <w:rFonts w:cstheme="minorHAnsi"/>
          <w:color w:val="222222"/>
          <w:shd w:val="clear" w:color="auto" w:fill="FFFFFF"/>
        </w:rPr>
        <w:t>1293-1316.</w:t>
      </w:r>
    </w:p>
    <w:p w14:paraId="6D243558" w14:textId="62400E24" w:rsidR="00B33EE6" w:rsidRPr="00571297" w:rsidRDefault="00B33EE6" w:rsidP="00A9639B">
      <w:pPr>
        <w:spacing w:after="0" w:line="240" w:lineRule="auto"/>
        <w:ind w:left="720" w:hanging="720"/>
        <w:contextualSpacing/>
        <w:rPr>
          <w:rFonts w:cstheme="minorHAnsi"/>
          <w:i/>
          <w:iCs/>
          <w:color w:val="000000"/>
        </w:rPr>
      </w:pPr>
      <w:r w:rsidRPr="00B4772B">
        <w:rPr>
          <w:rFonts w:ascii="Calibri" w:eastAsia="Times New Roman" w:hAnsi="Calibri" w:cs="Calibri"/>
          <w:color w:val="1D1D1D"/>
          <w:shd w:val="clear" w:color="auto" w:fill="FFFFFF"/>
        </w:rPr>
        <w:t xml:space="preserve">Miller, B. 2014. Catching the WAVE: The </w:t>
      </w:r>
      <w:r>
        <w:rPr>
          <w:rFonts w:ascii="Calibri" w:eastAsia="Times New Roman" w:hAnsi="Calibri" w:cs="Calibri"/>
          <w:color w:val="1D1D1D"/>
          <w:shd w:val="clear" w:color="auto" w:fill="FFFFFF"/>
        </w:rPr>
        <w:t>W</w:t>
      </w:r>
      <w:r w:rsidRPr="00B4772B">
        <w:rPr>
          <w:rFonts w:ascii="Calibri" w:eastAsia="Times New Roman" w:hAnsi="Calibri" w:cs="Calibri"/>
          <w:color w:val="1D1D1D"/>
          <w:shd w:val="clear" w:color="auto" w:fill="FFFFFF"/>
        </w:rPr>
        <w:t>eight-</w:t>
      </w:r>
      <w:r>
        <w:rPr>
          <w:rFonts w:ascii="Calibri" w:eastAsia="Times New Roman" w:hAnsi="Calibri" w:cs="Calibri"/>
          <w:color w:val="1D1D1D"/>
          <w:shd w:val="clear" w:color="auto" w:fill="FFFFFF"/>
        </w:rPr>
        <w:t>A</w:t>
      </w:r>
      <w:r w:rsidRPr="00B4772B">
        <w:rPr>
          <w:rFonts w:ascii="Calibri" w:eastAsia="Times New Roman" w:hAnsi="Calibri" w:cs="Calibri"/>
          <w:color w:val="1D1D1D"/>
          <w:shd w:val="clear" w:color="auto" w:fill="FFFFFF"/>
        </w:rPr>
        <w:t xml:space="preserve">djusting </w:t>
      </w:r>
      <w:r>
        <w:rPr>
          <w:rFonts w:ascii="Calibri" w:eastAsia="Times New Roman" w:hAnsi="Calibri" w:cs="Calibri"/>
          <w:color w:val="1D1D1D"/>
          <w:shd w:val="clear" w:color="auto" w:fill="FFFFFF"/>
        </w:rPr>
        <w:t>A</w:t>
      </w:r>
      <w:r w:rsidRPr="00B4772B">
        <w:rPr>
          <w:rFonts w:ascii="Calibri" w:eastAsia="Times New Roman" w:hAnsi="Calibri" w:cs="Calibri"/>
          <w:color w:val="1D1D1D"/>
          <w:shd w:val="clear" w:color="auto" w:fill="FFFFFF"/>
        </w:rPr>
        <w:t xml:space="preserve">ccount of </w:t>
      </w:r>
      <w:r>
        <w:rPr>
          <w:rFonts w:ascii="Calibri" w:eastAsia="Times New Roman" w:hAnsi="Calibri" w:cs="Calibri"/>
          <w:color w:val="1D1D1D"/>
          <w:shd w:val="clear" w:color="auto" w:fill="FFFFFF"/>
        </w:rPr>
        <w:t>V</w:t>
      </w:r>
      <w:r w:rsidRPr="00B4772B">
        <w:rPr>
          <w:rFonts w:ascii="Calibri" w:eastAsia="Times New Roman" w:hAnsi="Calibri" w:cs="Calibri"/>
          <w:color w:val="1D1D1D"/>
          <w:shd w:val="clear" w:color="auto" w:fill="FFFFFF"/>
        </w:rPr>
        <w:t xml:space="preserve">alues and </w:t>
      </w:r>
      <w:r>
        <w:rPr>
          <w:rFonts w:ascii="Calibri" w:eastAsia="Times New Roman" w:hAnsi="Calibri" w:cs="Calibri"/>
          <w:color w:val="1D1D1D"/>
          <w:shd w:val="clear" w:color="auto" w:fill="FFFFFF"/>
        </w:rPr>
        <w:t>E</w:t>
      </w:r>
      <w:r w:rsidRPr="00B4772B">
        <w:rPr>
          <w:rFonts w:ascii="Calibri" w:eastAsia="Times New Roman" w:hAnsi="Calibri" w:cs="Calibri"/>
          <w:color w:val="1D1D1D"/>
          <w:shd w:val="clear" w:color="auto" w:fill="FFFFFF"/>
        </w:rPr>
        <w:t>vidence. ‎</w:t>
      </w:r>
      <w:r w:rsidRPr="00571297">
        <w:rPr>
          <w:rFonts w:ascii="Calibri" w:eastAsia="Times New Roman" w:hAnsi="Calibri" w:cs="Calibri"/>
          <w:i/>
          <w:iCs/>
          <w:color w:val="1D1D1D"/>
          <w:shd w:val="clear" w:color="auto" w:fill="FFFFFF"/>
        </w:rPr>
        <w:t>Studies in History and Philosophy of Science</w:t>
      </w:r>
      <w:r w:rsidRPr="00B4772B">
        <w:rPr>
          <w:rFonts w:ascii="Calibri" w:eastAsia="Times New Roman" w:hAnsi="Calibri" w:cs="Calibri"/>
          <w:color w:val="1D1D1D"/>
          <w:shd w:val="clear" w:color="auto" w:fill="FFFFFF"/>
        </w:rPr>
        <w:t xml:space="preserve"> 47</w:t>
      </w:r>
      <w:r>
        <w:rPr>
          <w:rFonts w:ascii="Calibri" w:eastAsia="Times New Roman" w:hAnsi="Calibri" w:cs="Calibri"/>
          <w:color w:val="1D1D1D"/>
          <w:shd w:val="clear" w:color="auto" w:fill="FFFFFF"/>
        </w:rPr>
        <w:t>:</w:t>
      </w:r>
      <w:r w:rsidRPr="00B4772B">
        <w:rPr>
          <w:rFonts w:ascii="Calibri" w:eastAsia="Times New Roman" w:hAnsi="Calibri" w:cs="Calibri"/>
          <w:color w:val="1D1D1D"/>
          <w:shd w:val="clear" w:color="auto" w:fill="FFFFFF"/>
        </w:rPr>
        <w:t xml:space="preserve"> 69-80.‎</w:t>
      </w:r>
    </w:p>
    <w:p w14:paraId="3E486DC2" w14:textId="3294D600" w:rsidR="00546079" w:rsidRDefault="00546079" w:rsidP="00A9639B">
      <w:pPr>
        <w:spacing w:after="0" w:line="240" w:lineRule="auto"/>
        <w:ind w:left="720" w:hanging="720"/>
        <w:contextualSpacing/>
        <w:rPr>
          <w:rFonts w:cstheme="minorHAnsi"/>
          <w:color w:val="000000"/>
        </w:rPr>
      </w:pPr>
      <w:r w:rsidRPr="003919EF">
        <w:rPr>
          <w:rFonts w:cstheme="minorHAnsi"/>
          <w:color w:val="000000"/>
        </w:rPr>
        <w:t xml:space="preserve">Miller, B. 2021. When Is Scientific Dissent Epistemically Inappropriate? </w:t>
      </w:r>
      <w:r w:rsidRPr="003919EF">
        <w:rPr>
          <w:rFonts w:cstheme="minorHAnsi"/>
          <w:i/>
          <w:color w:val="000000"/>
        </w:rPr>
        <w:t xml:space="preserve">Philosophy of Science </w:t>
      </w:r>
      <w:r w:rsidRPr="003919EF">
        <w:rPr>
          <w:rFonts w:cstheme="minorHAnsi"/>
          <w:color w:val="000000"/>
        </w:rPr>
        <w:t>88: 918-928.</w:t>
      </w:r>
    </w:p>
    <w:p w14:paraId="157F27EE" w14:textId="65CDE738" w:rsidR="00A308AA" w:rsidRPr="00061A91" w:rsidRDefault="00A308AA" w:rsidP="00A9639B">
      <w:pPr>
        <w:spacing w:after="0" w:line="240" w:lineRule="auto"/>
        <w:ind w:left="720" w:hanging="720"/>
        <w:contextualSpacing/>
        <w:rPr>
          <w:rFonts w:cstheme="minorHAnsi"/>
          <w:color w:val="000000"/>
        </w:rPr>
      </w:pPr>
      <w:r>
        <w:rPr>
          <w:rFonts w:cstheme="minorHAnsi"/>
          <w:color w:val="000000"/>
        </w:rPr>
        <w:t xml:space="preserve">Miller, </w:t>
      </w:r>
      <w:proofErr w:type="gramStart"/>
      <w:r>
        <w:rPr>
          <w:rFonts w:cstheme="minorHAnsi"/>
          <w:color w:val="000000"/>
        </w:rPr>
        <w:t>B.</w:t>
      </w:r>
      <w:proofErr w:type="gramEnd"/>
      <w:r>
        <w:rPr>
          <w:rFonts w:cstheme="minorHAnsi"/>
          <w:color w:val="000000"/>
        </w:rPr>
        <w:t xml:space="preserve"> and Pinto M. 2022. </w:t>
      </w:r>
      <w:r w:rsidR="00061A91">
        <w:rPr>
          <w:rFonts w:cstheme="minorHAnsi"/>
          <w:color w:val="000000"/>
        </w:rPr>
        <w:t xml:space="preserve">Epistemic Equality: Distributive Epistemic Justice in the Context of Justification. </w:t>
      </w:r>
      <w:r w:rsidR="00061A91">
        <w:rPr>
          <w:rFonts w:cstheme="minorHAnsi"/>
          <w:i/>
          <w:iCs/>
          <w:color w:val="000000"/>
        </w:rPr>
        <w:t xml:space="preserve">Kennedy Institute of Ethics Journal </w:t>
      </w:r>
      <w:r w:rsidR="0085382A">
        <w:rPr>
          <w:rFonts w:cstheme="minorHAnsi"/>
          <w:color w:val="000000"/>
        </w:rPr>
        <w:t>32: 173-203.</w:t>
      </w:r>
    </w:p>
    <w:p w14:paraId="06BEB488" w14:textId="4B305BA4" w:rsidR="00C74EA7" w:rsidRPr="003919EF" w:rsidRDefault="00C74EA7" w:rsidP="00A9639B">
      <w:pPr>
        <w:spacing w:line="240" w:lineRule="auto"/>
        <w:ind w:left="720" w:hanging="720"/>
        <w:contextualSpacing/>
        <w:rPr>
          <w:rFonts w:cstheme="minorHAnsi"/>
          <w:color w:val="000000"/>
        </w:rPr>
      </w:pPr>
      <w:r w:rsidRPr="003919EF">
        <w:rPr>
          <w:rFonts w:cstheme="minorHAnsi"/>
          <w:color w:val="000000"/>
        </w:rPr>
        <w:t>NIH (National Institutes of Health)</w:t>
      </w:r>
      <w:r w:rsidR="00FD4C24" w:rsidRPr="003919EF">
        <w:rPr>
          <w:rFonts w:cstheme="minorHAnsi"/>
          <w:color w:val="000000"/>
        </w:rPr>
        <w:t xml:space="preserve">. 2018. Lyme Disease Antibiotic Treatment Research. Available at: </w:t>
      </w:r>
      <w:hyperlink r:id="rId10" w:history="1">
        <w:r w:rsidR="00787FE5" w:rsidRPr="003919EF">
          <w:rPr>
            <w:rStyle w:val="Hyperlink"/>
            <w:rFonts w:cstheme="minorHAnsi"/>
          </w:rPr>
          <w:t>https://www.niaid.nih.gov/diseases-conditions/lyme-disease-antibiotic-treatment-research</w:t>
        </w:r>
      </w:hyperlink>
      <w:r w:rsidR="00FD4C24" w:rsidRPr="003919EF">
        <w:rPr>
          <w:rFonts w:cstheme="minorHAnsi"/>
          <w:color w:val="000000"/>
        </w:rPr>
        <w:t>. Last accessed October 1, 2022</w:t>
      </w:r>
      <w:r w:rsidR="00654103" w:rsidRPr="003919EF">
        <w:rPr>
          <w:rFonts w:cstheme="minorHAnsi"/>
          <w:color w:val="000000"/>
          <w:u w:val="single"/>
        </w:rPr>
        <w:t>.</w:t>
      </w:r>
    </w:p>
    <w:p w14:paraId="539F21F6" w14:textId="2BA30307" w:rsidR="004B26B2" w:rsidRPr="003919EF" w:rsidRDefault="004B26B2" w:rsidP="00A9639B">
      <w:pPr>
        <w:spacing w:after="0" w:line="240" w:lineRule="auto"/>
        <w:ind w:left="720" w:hanging="720"/>
        <w:contextualSpacing/>
        <w:rPr>
          <w:rFonts w:cstheme="minorHAnsi"/>
          <w:color w:val="000000"/>
        </w:rPr>
      </w:pPr>
      <w:r w:rsidRPr="003919EF">
        <w:rPr>
          <w:rFonts w:cstheme="minorHAnsi"/>
          <w:color w:val="000000"/>
        </w:rPr>
        <w:t>O’Connor</w:t>
      </w:r>
      <w:r w:rsidR="00720795" w:rsidRPr="003919EF">
        <w:rPr>
          <w:rFonts w:cstheme="minorHAnsi"/>
          <w:color w:val="000000"/>
        </w:rPr>
        <w:t>, C.</w:t>
      </w:r>
      <w:r w:rsidRPr="003919EF">
        <w:rPr>
          <w:rFonts w:cstheme="minorHAnsi"/>
          <w:color w:val="000000"/>
        </w:rPr>
        <w:t xml:space="preserve"> and Weatherall</w:t>
      </w:r>
      <w:r w:rsidR="00720795" w:rsidRPr="003919EF">
        <w:rPr>
          <w:rFonts w:cstheme="minorHAnsi"/>
          <w:color w:val="000000"/>
        </w:rPr>
        <w:t>, J</w:t>
      </w:r>
      <w:r w:rsidRPr="003919EF">
        <w:rPr>
          <w:rFonts w:cstheme="minorHAnsi"/>
          <w:color w:val="000000"/>
        </w:rPr>
        <w:t>.</w:t>
      </w:r>
      <w:r w:rsidR="00720795" w:rsidRPr="003919EF">
        <w:rPr>
          <w:rFonts w:cstheme="minorHAnsi"/>
          <w:color w:val="000000"/>
        </w:rPr>
        <w:t xml:space="preserve"> 2019. </w:t>
      </w:r>
      <w:r w:rsidR="00720795" w:rsidRPr="003919EF">
        <w:rPr>
          <w:rFonts w:cstheme="minorHAnsi"/>
          <w:i/>
          <w:iCs/>
          <w:color w:val="000000"/>
        </w:rPr>
        <w:t xml:space="preserve">The Misinformation Age. </w:t>
      </w:r>
      <w:r w:rsidR="00976DFA" w:rsidRPr="003919EF">
        <w:rPr>
          <w:rFonts w:cstheme="minorHAnsi"/>
          <w:color w:val="000000"/>
        </w:rPr>
        <w:t>New Haven: Yale University Press.</w:t>
      </w:r>
    </w:p>
    <w:p w14:paraId="7E918224" w14:textId="4DA65266" w:rsidR="00FB4896" w:rsidRPr="003919EF" w:rsidRDefault="00FB4896" w:rsidP="00A9639B">
      <w:pPr>
        <w:spacing w:after="0" w:line="240" w:lineRule="auto"/>
        <w:ind w:left="720" w:hanging="720"/>
        <w:contextualSpacing/>
        <w:rPr>
          <w:rFonts w:cstheme="minorHAnsi"/>
          <w:color w:val="000000"/>
        </w:rPr>
      </w:pPr>
      <w:r w:rsidRPr="003919EF">
        <w:rPr>
          <w:rFonts w:cstheme="minorHAnsi"/>
          <w:color w:val="000000"/>
        </w:rPr>
        <w:t>Oreskes</w:t>
      </w:r>
      <w:r w:rsidR="002E6582" w:rsidRPr="003919EF">
        <w:rPr>
          <w:rFonts w:cstheme="minorHAnsi"/>
          <w:color w:val="000000"/>
        </w:rPr>
        <w:t xml:space="preserve">, N. 2019. </w:t>
      </w:r>
      <w:r w:rsidR="002E6582" w:rsidRPr="003919EF">
        <w:rPr>
          <w:rFonts w:cstheme="minorHAnsi"/>
          <w:i/>
          <w:iCs/>
          <w:color w:val="000000"/>
        </w:rPr>
        <w:t xml:space="preserve">Why Trust Science? </w:t>
      </w:r>
      <w:r w:rsidR="006F0A6E" w:rsidRPr="003919EF">
        <w:rPr>
          <w:rFonts w:cstheme="minorHAnsi"/>
          <w:color w:val="000000"/>
        </w:rPr>
        <w:t>Princeton: Princeton University Press.</w:t>
      </w:r>
    </w:p>
    <w:p w14:paraId="40698F9B" w14:textId="77777777" w:rsidR="009A5D7C" w:rsidRPr="003919EF" w:rsidRDefault="009A5D7C" w:rsidP="00A9639B">
      <w:pPr>
        <w:spacing w:after="0" w:line="240" w:lineRule="auto"/>
        <w:ind w:left="720" w:hanging="720"/>
        <w:contextualSpacing/>
        <w:rPr>
          <w:rFonts w:cstheme="minorHAnsi"/>
          <w:color w:val="000000"/>
        </w:rPr>
      </w:pPr>
      <w:r w:rsidRPr="003919EF">
        <w:rPr>
          <w:rFonts w:cstheme="minorHAnsi"/>
          <w:color w:val="000000"/>
        </w:rPr>
        <w:t xml:space="preserve">Oreskes, N., and E. Conway. 2010. </w:t>
      </w:r>
      <w:r w:rsidRPr="003919EF">
        <w:rPr>
          <w:rFonts w:cstheme="minorHAnsi"/>
          <w:i/>
          <w:color w:val="000000"/>
        </w:rPr>
        <w:t xml:space="preserve">Merchants of Doubt: How a Handful of Scientists Obscured the Truth on Issues from Tobacco Smoke to Global Warming. </w:t>
      </w:r>
      <w:r w:rsidRPr="003919EF">
        <w:rPr>
          <w:rFonts w:cstheme="minorHAnsi"/>
          <w:color w:val="000000"/>
        </w:rPr>
        <w:t xml:space="preserve">New York: Bloomsbury. </w:t>
      </w:r>
    </w:p>
    <w:p w14:paraId="5EEB4882" w14:textId="07FD1AAB" w:rsidR="00F06FF1" w:rsidRPr="003919EF" w:rsidRDefault="00F06FF1" w:rsidP="00A9639B">
      <w:pPr>
        <w:spacing w:after="0" w:line="240" w:lineRule="auto"/>
        <w:ind w:left="720" w:hanging="720"/>
        <w:contextualSpacing/>
        <w:rPr>
          <w:rFonts w:cstheme="minorHAnsi"/>
          <w:color w:val="000000"/>
        </w:rPr>
      </w:pPr>
      <w:r w:rsidRPr="003919EF">
        <w:rPr>
          <w:rFonts w:cstheme="minorHAnsi"/>
          <w:color w:val="000000"/>
        </w:rPr>
        <w:t>Orman, Neil. 2021. AAAS Voices: Countering Science Misinformation. Last accessed on February 19, 2023.</w:t>
      </w:r>
      <w:r w:rsidR="0003299B" w:rsidRPr="003919EF">
        <w:rPr>
          <w:rFonts w:cstheme="minorHAnsi"/>
          <w:color w:val="000000"/>
        </w:rPr>
        <w:t xml:space="preserve"> </w:t>
      </w:r>
      <w:hyperlink r:id="rId11" w:history="1">
        <w:r w:rsidR="003D0147" w:rsidRPr="003919EF">
          <w:rPr>
            <w:rStyle w:val="Hyperlink"/>
            <w:rFonts w:cstheme="minorHAnsi"/>
          </w:rPr>
          <w:t>https://www.aaas.org/news/misinformation?utm_campaign=Gadi&amp;utm_source=AAAS&amp;utm_medium=Twitter</w:t>
        </w:r>
      </w:hyperlink>
      <w:r w:rsidR="0003299B" w:rsidRPr="003919EF">
        <w:rPr>
          <w:rFonts w:cstheme="minorHAnsi"/>
          <w:color w:val="000000"/>
        </w:rPr>
        <w:t xml:space="preserve">. </w:t>
      </w:r>
    </w:p>
    <w:p w14:paraId="7AC6DB17" w14:textId="18AC6502" w:rsidR="00F650EB" w:rsidRPr="003919EF" w:rsidRDefault="00EA5342" w:rsidP="00A9639B">
      <w:pPr>
        <w:spacing w:after="0" w:line="240" w:lineRule="auto"/>
        <w:ind w:left="720" w:hanging="720"/>
        <w:contextualSpacing/>
        <w:rPr>
          <w:rFonts w:cstheme="minorHAnsi"/>
          <w:color w:val="000000"/>
        </w:rPr>
      </w:pPr>
      <w:proofErr w:type="spellStart"/>
      <w:r w:rsidRPr="003919EF">
        <w:rPr>
          <w:rFonts w:cstheme="minorHAnsi"/>
          <w:color w:val="000000"/>
        </w:rPr>
        <w:t>Ottinger</w:t>
      </w:r>
      <w:proofErr w:type="spellEnd"/>
      <w:r w:rsidR="00F650EB" w:rsidRPr="003919EF">
        <w:rPr>
          <w:rFonts w:cstheme="minorHAnsi"/>
          <w:color w:val="000000"/>
        </w:rPr>
        <w:t>, G.</w:t>
      </w:r>
      <w:r w:rsidRPr="003919EF">
        <w:rPr>
          <w:rFonts w:cstheme="minorHAnsi"/>
          <w:color w:val="000000"/>
        </w:rPr>
        <w:t xml:space="preserve"> and Cohen</w:t>
      </w:r>
      <w:r w:rsidR="00F650EB" w:rsidRPr="003919EF">
        <w:rPr>
          <w:rFonts w:cstheme="minorHAnsi"/>
          <w:color w:val="000000"/>
        </w:rPr>
        <w:t>, B.</w:t>
      </w:r>
      <w:r w:rsidR="00544EDD" w:rsidRPr="003919EF">
        <w:rPr>
          <w:rFonts w:cstheme="minorHAnsi"/>
          <w:color w:val="000000"/>
        </w:rPr>
        <w:t xml:space="preserve"> 2011.</w:t>
      </w:r>
      <w:r w:rsidR="00F650EB" w:rsidRPr="003919EF">
        <w:rPr>
          <w:rFonts w:cstheme="minorHAnsi"/>
          <w:color w:val="000000"/>
        </w:rPr>
        <w:t xml:space="preserve"> </w:t>
      </w:r>
      <w:r w:rsidR="00F650EB" w:rsidRPr="003919EF">
        <w:rPr>
          <w:rFonts w:cstheme="minorHAnsi"/>
          <w:i/>
          <w:iCs/>
          <w:color w:val="000000"/>
        </w:rPr>
        <w:t xml:space="preserve">Technoscience and Environmental Justice: </w:t>
      </w:r>
      <w:r w:rsidR="00AD1217" w:rsidRPr="003919EF">
        <w:rPr>
          <w:rFonts w:cstheme="minorHAnsi"/>
          <w:i/>
          <w:iCs/>
          <w:color w:val="000000"/>
        </w:rPr>
        <w:t xml:space="preserve">Expert Cultures in a Grassroots Movement. </w:t>
      </w:r>
      <w:r w:rsidR="00544EDD" w:rsidRPr="003919EF">
        <w:rPr>
          <w:rFonts w:cstheme="minorHAnsi"/>
          <w:color w:val="000000"/>
        </w:rPr>
        <w:t>Cambridge, MA: MIT Press.</w:t>
      </w:r>
    </w:p>
    <w:p w14:paraId="2F0374BA" w14:textId="316BA854" w:rsidR="00A53B8D" w:rsidRPr="003919EF" w:rsidRDefault="00A53B8D" w:rsidP="00A9639B">
      <w:pPr>
        <w:spacing w:line="240" w:lineRule="auto"/>
        <w:ind w:left="720" w:hanging="720"/>
        <w:contextualSpacing/>
        <w:rPr>
          <w:rFonts w:cstheme="minorHAnsi"/>
        </w:rPr>
      </w:pPr>
      <w:r w:rsidRPr="003919EF">
        <w:rPr>
          <w:rFonts w:cstheme="minorHAnsi"/>
          <w:color w:val="222222"/>
          <w:shd w:val="clear" w:color="auto" w:fill="FFFFFF"/>
        </w:rPr>
        <w:t>Pfeiffer, M.B. 2018. </w:t>
      </w:r>
      <w:r w:rsidRPr="003919EF">
        <w:rPr>
          <w:rFonts w:cstheme="minorHAnsi"/>
          <w:i/>
          <w:iCs/>
          <w:color w:val="222222"/>
          <w:shd w:val="clear" w:color="auto" w:fill="FFFFFF"/>
        </w:rPr>
        <w:t>Lyme: The First Epidemic of Climate Change</w:t>
      </w:r>
      <w:r w:rsidRPr="003919EF">
        <w:rPr>
          <w:rFonts w:cstheme="minorHAnsi"/>
          <w:color w:val="222222"/>
          <w:shd w:val="clear" w:color="auto" w:fill="FFFFFF"/>
        </w:rPr>
        <w:t>. Washington, DC: Island Press.</w:t>
      </w:r>
      <w:r w:rsidRPr="003919EF">
        <w:rPr>
          <w:rFonts w:cstheme="minorHAnsi"/>
        </w:rPr>
        <w:t xml:space="preserve"> </w:t>
      </w:r>
    </w:p>
    <w:p w14:paraId="022AF40A" w14:textId="363F21E1" w:rsidR="00FC758D" w:rsidRPr="003919EF" w:rsidRDefault="00882C1F" w:rsidP="00A9639B">
      <w:pPr>
        <w:spacing w:after="0" w:line="240" w:lineRule="auto"/>
        <w:ind w:left="720" w:hanging="720"/>
        <w:contextualSpacing/>
        <w:rPr>
          <w:rFonts w:eastAsia="Times New Roman" w:cstheme="minorHAnsi"/>
          <w:lang w:eastAsia="en-GB"/>
        </w:rPr>
      </w:pPr>
      <w:r w:rsidRPr="003919EF">
        <w:rPr>
          <w:rFonts w:eastAsia="Times New Roman" w:cstheme="minorHAnsi"/>
          <w:lang w:eastAsia="en-GB"/>
        </w:rPr>
        <w:t>Poppe</w:t>
      </w:r>
      <w:r w:rsidR="00020BE8" w:rsidRPr="003919EF">
        <w:rPr>
          <w:rFonts w:eastAsia="Times New Roman" w:cstheme="minorHAnsi"/>
          <w:lang w:eastAsia="en-GB"/>
        </w:rPr>
        <w:t>r</w:t>
      </w:r>
      <w:r w:rsidR="00FC758D" w:rsidRPr="003919EF">
        <w:rPr>
          <w:rFonts w:eastAsia="Times New Roman" w:cstheme="minorHAnsi"/>
          <w:lang w:eastAsia="en-GB"/>
        </w:rPr>
        <w:t xml:space="preserve">, K. 1963. </w:t>
      </w:r>
      <w:r w:rsidR="00FC758D" w:rsidRPr="003919EF">
        <w:rPr>
          <w:rFonts w:eastAsia="Times New Roman" w:cstheme="minorHAnsi"/>
          <w:i/>
          <w:iCs/>
          <w:lang w:eastAsia="en-GB"/>
        </w:rPr>
        <w:t xml:space="preserve">Conjectures and Refutations: </w:t>
      </w:r>
      <w:r w:rsidR="00AD021D" w:rsidRPr="003919EF">
        <w:rPr>
          <w:rFonts w:eastAsia="Times New Roman" w:cstheme="minorHAnsi"/>
          <w:i/>
          <w:iCs/>
          <w:lang w:eastAsia="en-GB"/>
        </w:rPr>
        <w:t xml:space="preserve">The Growth of Scientific Knowledge. </w:t>
      </w:r>
      <w:r w:rsidR="00AD021D" w:rsidRPr="003919EF">
        <w:rPr>
          <w:rFonts w:eastAsia="Times New Roman" w:cstheme="minorHAnsi"/>
          <w:lang w:eastAsia="en-GB"/>
        </w:rPr>
        <w:t>London: Routledge.</w:t>
      </w:r>
    </w:p>
    <w:p w14:paraId="654D19CC" w14:textId="3F37B37D" w:rsidR="00020BE8" w:rsidRPr="003919EF" w:rsidRDefault="00020BE8" w:rsidP="00A9639B">
      <w:pPr>
        <w:spacing w:after="0" w:line="240" w:lineRule="auto"/>
        <w:ind w:left="720" w:hanging="720"/>
        <w:contextualSpacing/>
        <w:rPr>
          <w:rFonts w:eastAsia="Times New Roman" w:cstheme="minorHAnsi"/>
          <w:lang w:eastAsia="en-GB"/>
        </w:rPr>
      </w:pPr>
      <w:r w:rsidRPr="003919EF">
        <w:rPr>
          <w:rFonts w:eastAsia="Times New Roman" w:cstheme="minorHAnsi"/>
          <w:lang w:eastAsia="en-GB"/>
        </w:rPr>
        <w:lastRenderedPageBreak/>
        <w:t>Proctor</w:t>
      </w:r>
      <w:r w:rsidR="006015E8" w:rsidRPr="003919EF">
        <w:rPr>
          <w:rFonts w:eastAsia="Times New Roman" w:cstheme="minorHAnsi"/>
          <w:lang w:eastAsia="en-GB"/>
        </w:rPr>
        <w:t xml:space="preserve">, R. 2011. </w:t>
      </w:r>
      <w:r w:rsidR="006015E8" w:rsidRPr="003919EF">
        <w:rPr>
          <w:rFonts w:eastAsia="Times New Roman" w:cstheme="minorHAnsi"/>
          <w:i/>
          <w:iCs/>
          <w:lang w:eastAsia="en-GB"/>
        </w:rPr>
        <w:t xml:space="preserve">Golden Holocaust: Origins of the Cigarette Catastrophe and the Case for Abolition. </w:t>
      </w:r>
      <w:r w:rsidR="006015E8" w:rsidRPr="003919EF">
        <w:rPr>
          <w:rFonts w:eastAsia="Times New Roman" w:cstheme="minorHAnsi"/>
          <w:lang w:eastAsia="en-GB"/>
        </w:rPr>
        <w:t>Berkeley: University of California Press.</w:t>
      </w:r>
    </w:p>
    <w:p w14:paraId="64D6D283" w14:textId="3457936C" w:rsidR="000518EE" w:rsidRPr="000518EE" w:rsidRDefault="000518EE" w:rsidP="00A9639B">
      <w:pPr>
        <w:spacing w:after="0" w:line="240" w:lineRule="auto"/>
        <w:ind w:left="720" w:hanging="720"/>
        <w:contextualSpacing/>
        <w:rPr>
          <w:rFonts w:eastAsia="Times New Roman" w:cstheme="minorHAnsi"/>
          <w:lang w:eastAsia="en-GB"/>
        </w:rPr>
      </w:pPr>
      <w:r w:rsidRPr="000518EE">
        <w:rPr>
          <w:rFonts w:cstheme="minorHAnsi"/>
          <w:color w:val="222222"/>
          <w:shd w:val="clear" w:color="auto" w:fill="FFFFFF"/>
        </w:rPr>
        <w:t>Resnik, D.B. and Elliott, K.C. 2019. Value-entanglement and the integrity of scientific research. </w:t>
      </w:r>
      <w:r w:rsidRPr="000518EE">
        <w:rPr>
          <w:rFonts w:cstheme="minorHAnsi"/>
          <w:i/>
          <w:iCs/>
          <w:color w:val="222222"/>
          <w:shd w:val="clear" w:color="auto" w:fill="FFFFFF"/>
        </w:rPr>
        <w:t>Studies in History and Philosophy of Science Part A</w:t>
      </w:r>
      <w:r w:rsidRPr="000518EE">
        <w:rPr>
          <w:rFonts w:cstheme="minorHAnsi"/>
          <w:color w:val="222222"/>
          <w:shd w:val="clear" w:color="auto" w:fill="FFFFFF"/>
        </w:rPr>
        <w:t> 75</w:t>
      </w:r>
      <w:r>
        <w:rPr>
          <w:rFonts w:cstheme="minorHAnsi"/>
          <w:color w:val="222222"/>
          <w:shd w:val="clear" w:color="auto" w:fill="FFFFFF"/>
        </w:rPr>
        <w:t xml:space="preserve">: </w:t>
      </w:r>
      <w:r w:rsidRPr="000518EE">
        <w:rPr>
          <w:rFonts w:cstheme="minorHAnsi"/>
          <w:color w:val="222222"/>
          <w:shd w:val="clear" w:color="auto" w:fill="FFFFFF"/>
        </w:rPr>
        <w:t>1-11.</w:t>
      </w:r>
    </w:p>
    <w:p w14:paraId="7B9E2EF2" w14:textId="15FEA399" w:rsidR="00643773" w:rsidRPr="003919EF" w:rsidRDefault="00643773" w:rsidP="00A9639B">
      <w:pPr>
        <w:spacing w:after="0" w:line="240" w:lineRule="auto"/>
        <w:ind w:left="720" w:hanging="720"/>
        <w:contextualSpacing/>
        <w:rPr>
          <w:rFonts w:eastAsia="Times New Roman" w:cstheme="minorHAnsi"/>
          <w:lang w:eastAsia="en-GB"/>
        </w:rPr>
      </w:pPr>
      <w:proofErr w:type="spellStart"/>
      <w:r w:rsidRPr="003919EF">
        <w:rPr>
          <w:rFonts w:eastAsia="Times New Roman" w:cstheme="minorHAnsi"/>
          <w:lang w:eastAsia="en-GB"/>
        </w:rPr>
        <w:t>Rolin</w:t>
      </w:r>
      <w:proofErr w:type="spellEnd"/>
      <w:r w:rsidR="00E95BFA" w:rsidRPr="003919EF">
        <w:rPr>
          <w:rFonts w:eastAsia="Times New Roman" w:cstheme="minorHAnsi"/>
          <w:lang w:eastAsia="en-GB"/>
        </w:rPr>
        <w:t xml:space="preserve">, K. 2017. </w:t>
      </w:r>
      <w:r w:rsidR="009D4AFE" w:rsidRPr="003919EF">
        <w:rPr>
          <w:rFonts w:eastAsia="Times New Roman" w:cstheme="minorHAnsi"/>
          <w:lang w:eastAsia="en-GB"/>
        </w:rPr>
        <w:t xml:space="preserve">Scientific Dissent and a Fair Distribution of Epistemic Responsibility. </w:t>
      </w:r>
      <w:r w:rsidR="00E166F3" w:rsidRPr="003919EF">
        <w:rPr>
          <w:rFonts w:eastAsia="Times New Roman" w:cstheme="minorHAnsi"/>
          <w:i/>
          <w:iCs/>
          <w:lang w:eastAsia="en-GB"/>
        </w:rPr>
        <w:t xml:space="preserve">Public Affairs Quarterly </w:t>
      </w:r>
      <w:r w:rsidR="007976F5" w:rsidRPr="003919EF">
        <w:rPr>
          <w:rFonts w:eastAsia="Times New Roman" w:cstheme="minorHAnsi"/>
          <w:lang w:eastAsia="en-GB"/>
        </w:rPr>
        <w:t>31: 209-230.</w:t>
      </w:r>
      <w:r w:rsidR="00C41D62" w:rsidRPr="003919EF">
        <w:rPr>
          <w:rFonts w:eastAsia="Times New Roman" w:cstheme="minorHAnsi"/>
          <w:lang w:eastAsia="en-GB"/>
        </w:rPr>
        <w:t xml:space="preserve"> </w:t>
      </w:r>
    </w:p>
    <w:p w14:paraId="0AC66C63" w14:textId="7C731EE3" w:rsidR="00C50E45" w:rsidRPr="003919EF" w:rsidRDefault="00B555A9" w:rsidP="00A9639B">
      <w:pPr>
        <w:spacing w:after="0" w:line="240" w:lineRule="auto"/>
        <w:ind w:left="720" w:hanging="720"/>
        <w:contextualSpacing/>
        <w:rPr>
          <w:rFonts w:cstheme="minorHAnsi"/>
          <w:i/>
          <w:iCs/>
          <w:color w:val="222222"/>
          <w:shd w:val="clear" w:color="auto" w:fill="FFFFFF"/>
        </w:rPr>
      </w:pPr>
      <w:r w:rsidRPr="003919EF">
        <w:rPr>
          <w:rFonts w:cstheme="minorHAnsi"/>
          <w:color w:val="222222"/>
          <w:shd w:val="clear" w:color="auto" w:fill="FFFFFF"/>
        </w:rPr>
        <w:t xml:space="preserve">Schroeder, S. A. 2021. Democratic Values: A Better Foundation for Public Trust in Science. </w:t>
      </w:r>
      <w:r w:rsidRPr="003919EF">
        <w:rPr>
          <w:rFonts w:cstheme="minorHAnsi"/>
          <w:i/>
          <w:color w:val="222222"/>
          <w:shd w:val="clear" w:color="auto" w:fill="FFFFFF"/>
        </w:rPr>
        <w:t>British Journal for the Philosophy of Science.</w:t>
      </w:r>
      <w:r w:rsidRPr="003919EF">
        <w:rPr>
          <w:rFonts w:cstheme="minorHAnsi"/>
          <w:color w:val="222222"/>
          <w:shd w:val="clear" w:color="auto" w:fill="FFFFFF"/>
        </w:rPr>
        <w:t xml:space="preserve"> </w:t>
      </w:r>
      <w:hyperlink r:id="rId12" w:history="1">
        <w:r w:rsidRPr="003919EF">
          <w:rPr>
            <w:rStyle w:val="Hyperlink"/>
            <w:rFonts w:cstheme="minorHAnsi"/>
            <w:shd w:val="clear" w:color="auto" w:fill="FFFFFF"/>
          </w:rPr>
          <w:t>https://doi.org/10.1093/bjps/axz023</w:t>
        </w:r>
      </w:hyperlink>
      <w:r w:rsidRPr="003919EF">
        <w:rPr>
          <w:rFonts w:cstheme="minorHAnsi"/>
          <w:color w:val="222222"/>
          <w:shd w:val="clear" w:color="auto" w:fill="FFFFFF"/>
        </w:rPr>
        <w:t xml:space="preserve">. </w:t>
      </w:r>
      <w:r w:rsidRPr="003919EF">
        <w:rPr>
          <w:rFonts w:cstheme="minorHAnsi"/>
          <w:i/>
          <w:color w:val="222222"/>
          <w:shd w:val="clear" w:color="auto" w:fill="FFFFFF"/>
        </w:rPr>
        <w:t xml:space="preserve"> </w:t>
      </w:r>
    </w:p>
    <w:p w14:paraId="6339945B" w14:textId="77777777" w:rsidR="00C840CC" w:rsidRPr="003919EF" w:rsidRDefault="00C840CC" w:rsidP="00A9639B">
      <w:pPr>
        <w:spacing w:after="0" w:line="240" w:lineRule="auto"/>
        <w:ind w:left="720" w:hanging="720"/>
        <w:contextualSpacing/>
        <w:rPr>
          <w:rFonts w:eastAsia="Times New Roman" w:cstheme="minorHAnsi"/>
          <w:iCs/>
          <w:lang w:eastAsia="en-GB"/>
        </w:rPr>
      </w:pPr>
      <w:proofErr w:type="spellStart"/>
      <w:r w:rsidRPr="003919EF">
        <w:rPr>
          <w:rFonts w:eastAsia="Times New Roman" w:cstheme="minorHAnsi"/>
          <w:lang w:eastAsia="en-GB"/>
        </w:rPr>
        <w:t>Sismondo</w:t>
      </w:r>
      <w:proofErr w:type="spellEnd"/>
      <w:r w:rsidRPr="003919EF">
        <w:rPr>
          <w:rFonts w:eastAsia="Times New Roman" w:cstheme="minorHAnsi"/>
          <w:lang w:eastAsia="en-GB"/>
        </w:rPr>
        <w:t xml:space="preserve">, S. 2018. </w:t>
      </w:r>
      <w:r w:rsidRPr="003919EF">
        <w:rPr>
          <w:rFonts w:eastAsia="Times New Roman" w:cstheme="minorHAnsi"/>
          <w:i/>
          <w:lang w:eastAsia="en-GB"/>
        </w:rPr>
        <w:t xml:space="preserve">Ghost-Managed Medicine: Big Pharma’s Invisible Hands. </w:t>
      </w:r>
      <w:r w:rsidRPr="003919EF">
        <w:rPr>
          <w:rFonts w:eastAsia="Times New Roman" w:cstheme="minorHAnsi"/>
          <w:lang w:eastAsia="en-GB"/>
        </w:rPr>
        <w:t>Manchester, UK: Mattering Press.</w:t>
      </w:r>
    </w:p>
    <w:p w14:paraId="6CF68E03" w14:textId="2E613B6D" w:rsidR="00143F24" w:rsidRPr="003919EF" w:rsidRDefault="00143F24" w:rsidP="00A9639B">
      <w:pPr>
        <w:spacing w:after="0" w:line="240" w:lineRule="auto"/>
        <w:ind w:left="720" w:hanging="720"/>
        <w:contextualSpacing/>
        <w:rPr>
          <w:rFonts w:eastAsia="Times New Roman" w:cstheme="minorHAnsi"/>
          <w:lang w:eastAsia="en-GB"/>
        </w:rPr>
      </w:pPr>
      <w:r w:rsidRPr="003919EF">
        <w:rPr>
          <w:rFonts w:eastAsia="Times New Roman" w:cstheme="minorHAnsi"/>
          <w:lang w:eastAsia="en-GB"/>
        </w:rPr>
        <w:t xml:space="preserve">Stanev, R. 2017. Inductive Risk and Values in Composite Outcome Measures. In: K.C. Elliott and T. Richards (eds.), </w:t>
      </w:r>
      <w:r w:rsidRPr="003919EF">
        <w:rPr>
          <w:rFonts w:eastAsia="Times New Roman" w:cstheme="minorHAnsi"/>
          <w:i/>
          <w:lang w:eastAsia="en-GB"/>
        </w:rPr>
        <w:t xml:space="preserve">Exploring Inductive Risk: Case Studies of Values in Science, </w:t>
      </w:r>
      <w:r w:rsidRPr="003919EF">
        <w:rPr>
          <w:rFonts w:eastAsia="Times New Roman" w:cstheme="minorHAnsi"/>
          <w:lang w:eastAsia="en-GB"/>
        </w:rPr>
        <w:t>171-191. New York: Oxford University Press.</w:t>
      </w:r>
    </w:p>
    <w:p w14:paraId="1AC25EF0" w14:textId="15584870" w:rsidR="0021509B" w:rsidRPr="003919EF" w:rsidRDefault="008D0389" w:rsidP="00A9639B">
      <w:pPr>
        <w:spacing w:after="0"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Thacker, P. 2021. The covid-19 lab leak hypothesis: did the media fall victim to a misinformation campaign? </w:t>
      </w:r>
      <w:r w:rsidRPr="003919EF">
        <w:rPr>
          <w:rFonts w:cstheme="minorHAnsi"/>
          <w:i/>
          <w:iCs/>
          <w:color w:val="222222"/>
          <w:shd w:val="clear" w:color="auto" w:fill="FFFFFF"/>
        </w:rPr>
        <w:t>BMJ</w:t>
      </w:r>
      <w:r w:rsidRPr="003919EF">
        <w:rPr>
          <w:rFonts w:cstheme="minorHAnsi"/>
          <w:color w:val="222222"/>
          <w:shd w:val="clear" w:color="auto" w:fill="FFFFFF"/>
        </w:rPr>
        <w:t> </w:t>
      </w:r>
      <w:r w:rsidR="00930485" w:rsidRPr="003919EF">
        <w:rPr>
          <w:rFonts w:cstheme="minorHAnsi"/>
          <w:color w:val="222222"/>
          <w:shd w:val="clear" w:color="auto" w:fill="FFFFFF"/>
        </w:rPr>
        <w:t>374: 1656.</w:t>
      </w:r>
    </w:p>
    <w:p w14:paraId="54D09BCA" w14:textId="7D6AB077" w:rsidR="00985B6C" w:rsidRPr="003919EF" w:rsidRDefault="00985B6C" w:rsidP="00A9639B">
      <w:pPr>
        <w:spacing w:after="0" w:line="240" w:lineRule="auto"/>
        <w:ind w:left="720" w:hanging="720"/>
        <w:contextualSpacing/>
        <w:rPr>
          <w:rFonts w:cstheme="minorHAnsi"/>
          <w:color w:val="222222"/>
          <w:shd w:val="clear" w:color="auto" w:fill="FFFFFF"/>
        </w:rPr>
      </w:pPr>
      <w:r w:rsidRPr="003919EF">
        <w:rPr>
          <w:rFonts w:cstheme="minorHAnsi"/>
          <w:color w:val="222222"/>
          <w:shd w:val="clear" w:color="auto" w:fill="FFFFFF"/>
        </w:rPr>
        <w:t xml:space="preserve">Woodward, J. 2010. </w:t>
      </w:r>
      <w:r w:rsidR="0056474E" w:rsidRPr="003919EF">
        <w:rPr>
          <w:rFonts w:cstheme="minorHAnsi"/>
          <w:color w:val="222222"/>
          <w:shd w:val="clear" w:color="auto" w:fill="FFFFFF"/>
        </w:rPr>
        <w:t xml:space="preserve">Causation and Biology: Stability, </w:t>
      </w:r>
      <w:r w:rsidR="00E36846" w:rsidRPr="003919EF">
        <w:rPr>
          <w:rFonts w:cstheme="minorHAnsi"/>
          <w:color w:val="222222"/>
          <w:shd w:val="clear" w:color="auto" w:fill="FFFFFF"/>
        </w:rPr>
        <w:t xml:space="preserve">Specificity, and the Choice of Levels of Explanation. </w:t>
      </w:r>
      <w:r w:rsidR="00C9192A" w:rsidRPr="003919EF">
        <w:rPr>
          <w:rFonts w:cstheme="minorHAnsi"/>
          <w:i/>
          <w:iCs/>
          <w:color w:val="222222"/>
          <w:shd w:val="clear" w:color="auto" w:fill="FFFFFF"/>
        </w:rPr>
        <w:t xml:space="preserve">Biology and Philosophy </w:t>
      </w:r>
      <w:r w:rsidR="00C9192A" w:rsidRPr="003919EF">
        <w:rPr>
          <w:rFonts w:cstheme="minorHAnsi"/>
          <w:color w:val="222222"/>
          <w:shd w:val="clear" w:color="auto" w:fill="FFFFFF"/>
        </w:rPr>
        <w:t>25: 287-318.</w:t>
      </w:r>
    </w:p>
    <w:p w14:paraId="403503FA" w14:textId="229BF5B3" w:rsidR="00143AB6" w:rsidRPr="003919EF" w:rsidRDefault="00143AB6" w:rsidP="00A9639B">
      <w:pPr>
        <w:spacing w:after="0" w:line="240" w:lineRule="auto"/>
        <w:ind w:left="720" w:hanging="720"/>
        <w:contextualSpacing/>
        <w:rPr>
          <w:rFonts w:eastAsia="Times New Roman" w:cstheme="minorHAnsi"/>
          <w:lang w:eastAsia="en-GB"/>
        </w:rPr>
      </w:pPr>
      <w:r w:rsidRPr="003919EF">
        <w:rPr>
          <w:rFonts w:cstheme="minorHAnsi"/>
          <w:color w:val="222222"/>
          <w:shd w:val="clear" w:color="auto" w:fill="FFFFFF"/>
        </w:rPr>
        <w:t>World Health Organization. 2021. Fighting misinformation about COVID-19</w:t>
      </w:r>
      <w:r w:rsidR="00553124" w:rsidRPr="003919EF">
        <w:rPr>
          <w:rFonts w:cstheme="minorHAnsi"/>
          <w:color w:val="222222"/>
          <w:shd w:val="clear" w:color="auto" w:fill="FFFFFF"/>
        </w:rPr>
        <w:t xml:space="preserve">, one </w:t>
      </w:r>
      <w:proofErr w:type="gramStart"/>
      <w:r w:rsidR="00553124" w:rsidRPr="003919EF">
        <w:rPr>
          <w:rFonts w:cstheme="minorHAnsi"/>
          <w:color w:val="222222"/>
          <w:shd w:val="clear" w:color="auto" w:fill="FFFFFF"/>
        </w:rPr>
        <w:t>click</w:t>
      </w:r>
      <w:proofErr w:type="gramEnd"/>
      <w:r w:rsidR="00553124" w:rsidRPr="003919EF">
        <w:rPr>
          <w:rFonts w:cstheme="minorHAnsi"/>
          <w:color w:val="222222"/>
          <w:shd w:val="clear" w:color="auto" w:fill="FFFFFF"/>
        </w:rPr>
        <w:t xml:space="preserve"> at a time. Last accessed on February 19, 2023. </w:t>
      </w:r>
      <w:hyperlink r:id="rId13" w:history="1">
        <w:r w:rsidR="00553124" w:rsidRPr="003919EF">
          <w:rPr>
            <w:rStyle w:val="Hyperlink"/>
            <w:rFonts w:cstheme="minorHAnsi"/>
            <w:shd w:val="clear" w:color="auto" w:fill="FFFFFF"/>
          </w:rPr>
          <w:t>https://www.who.int/news-room/feature-stories/detail/fighting-misinformation-in-the-time-of-covid-19-one-click-at-a-time</w:t>
        </w:r>
      </w:hyperlink>
      <w:r w:rsidR="00553124" w:rsidRPr="003919EF">
        <w:rPr>
          <w:rFonts w:cstheme="minorHAnsi"/>
          <w:color w:val="222222"/>
          <w:shd w:val="clear" w:color="auto" w:fill="FFFFFF"/>
        </w:rPr>
        <w:t xml:space="preserve">. </w:t>
      </w:r>
    </w:p>
    <w:sectPr w:rsidR="00143AB6" w:rsidRPr="003919EF" w:rsidSect="00571297">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AD604" w14:textId="77777777" w:rsidR="009D174D" w:rsidRDefault="009D174D" w:rsidP="001D661B">
      <w:pPr>
        <w:spacing w:after="0" w:line="240" w:lineRule="auto"/>
      </w:pPr>
      <w:r>
        <w:separator/>
      </w:r>
    </w:p>
  </w:endnote>
  <w:endnote w:type="continuationSeparator" w:id="0">
    <w:p w14:paraId="22A5C826" w14:textId="77777777" w:rsidR="009D174D" w:rsidRDefault="009D174D" w:rsidP="001D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8943394"/>
      <w:docPartObj>
        <w:docPartGallery w:val="Page Numbers (Bottom of Page)"/>
        <w:docPartUnique/>
      </w:docPartObj>
    </w:sdtPr>
    <w:sdtContent>
      <w:p w14:paraId="268E7D04" w14:textId="258FC4F3" w:rsidR="002B0E7F" w:rsidRDefault="002B0E7F" w:rsidP="005712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A0FECE" w14:textId="77777777" w:rsidR="002B0E7F" w:rsidRDefault="002B0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254827"/>
      <w:docPartObj>
        <w:docPartGallery w:val="Page Numbers (Bottom of Page)"/>
        <w:docPartUnique/>
      </w:docPartObj>
    </w:sdtPr>
    <w:sdtContent>
      <w:p w14:paraId="1816EA02" w14:textId="2EFED79B" w:rsidR="002B0E7F" w:rsidRDefault="002B0E7F" w:rsidP="005712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5CAD2EDA" w14:textId="17423EAA" w:rsidR="002B0E7F" w:rsidRDefault="002B0E7F">
    <w:pPr>
      <w:pStyle w:val="Footer"/>
    </w:pPr>
  </w:p>
  <w:p w14:paraId="3A04C10B" w14:textId="77777777" w:rsidR="002B0E7F" w:rsidRDefault="002B0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4031C" w14:textId="77777777" w:rsidR="009D174D" w:rsidRDefault="009D174D" w:rsidP="001D661B">
      <w:pPr>
        <w:spacing w:after="0" w:line="240" w:lineRule="auto"/>
      </w:pPr>
      <w:r>
        <w:separator/>
      </w:r>
    </w:p>
  </w:footnote>
  <w:footnote w:type="continuationSeparator" w:id="0">
    <w:p w14:paraId="2AF56CA6" w14:textId="77777777" w:rsidR="009D174D" w:rsidRDefault="009D174D" w:rsidP="001D661B">
      <w:pPr>
        <w:spacing w:after="0" w:line="240" w:lineRule="auto"/>
      </w:pPr>
      <w:r>
        <w:continuationSeparator/>
      </w:r>
    </w:p>
  </w:footnote>
  <w:footnote w:id="1">
    <w:p w14:paraId="4F7BE46D" w14:textId="157A4910" w:rsidR="00EA1539" w:rsidRDefault="00EA1539">
      <w:pPr>
        <w:pStyle w:val="FootnoteText"/>
      </w:pPr>
      <w:r>
        <w:rPr>
          <w:rStyle w:val="FootnoteReference"/>
        </w:rPr>
        <w:footnoteRef/>
      </w:r>
      <w:r>
        <w:t xml:space="preserve"> Throughout this paper, I will </w:t>
      </w:r>
      <w:r w:rsidR="00DE5E39">
        <w:t xml:space="preserve">typically </w:t>
      </w:r>
      <w:r>
        <w:t xml:space="preserve">refer to “appropriate” and “inappropriate” </w:t>
      </w:r>
      <w:r w:rsidR="006875AC">
        <w:t xml:space="preserve">dissent rather than </w:t>
      </w:r>
      <w:r w:rsidR="00B81873">
        <w:t xml:space="preserve">using </w:t>
      </w:r>
      <w:r w:rsidR="006875AC">
        <w:t>Biddle and Leuschner’s language of “epistemically detrimental” dissent</w:t>
      </w:r>
      <w:r w:rsidR="00B81873">
        <w:t xml:space="preserve">. </w:t>
      </w:r>
      <w:r w:rsidR="004C684C">
        <w:t>I think it is at least possible that dissent could be inappropriate for reasons other than being epistemically detrimental, and dissent could potentially be appropriate in some cases even if it is epistemically detrim</w:t>
      </w:r>
      <w:r w:rsidR="004B7432">
        <w:t xml:space="preserve">ental. </w:t>
      </w:r>
      <w:r w:rsidR="000135D2">
        <w:t xml:space="preserve">See also </w:t>
      </w:r>
      <w:r w:rsidR="00C07BE7">
        <w:t>de Melo-Mart</w:t>
      </w:r>
      <w:r w:rsidR="005F2224">
        <w:t>í</w:t>
      </w:r>
      <w:r w:rsidR="00C07BE7">
        <w:t>n and Intemann’s (2018) concept of “normat</w:t>
      </w:r>
      <w:r w:rsidR="005F2224">
        <w:t>ively inappropriate dissent.”</w:t>
      </w:r>
      <w:r w:rsidR="006875AC">
        <w:t xml:space="preserve"> </w:t>
      </w:r>
    </w:p>
  </w:footnote>
  <w:footnote w:id="2">
    <w:p w14:paraId="4AE33D9A" w14:textId="5A1D9094" w:rsidR="005B7788" w:rsidRDefault="005B7788">
      <w:pPr>
        <w:pStyle w:val="FootnoteText"/>
      </w:pPr>
      <w:r>
        <w:rPr>
          <w:rStyle w:val="FootnoteReference"/>
        </w:rPr>
        <w:footnoteRef/>
      </w:r>
      <w:r>
        <w:t xml:space="preserve"> See </w:t>
      </w:r>
      <w:hyperlink r:id="rId1" w:history="1">
        <w:r w:rsidRPr="002268D6">
          <w:rPr>
            <w:rStyle w:val="Hyperlink"/>
          </w:rPr>
          <w:t>https://www.hhs.gov/ash/advisory-committees/tickbornedisease/index.html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329308"/>
      <w:docPartObj>
        <w:docPartGallery w:val="Page Numbers (Top of Page)"/>
        <w:docPartUnique/>
      </w:docPartObj>
    </w:sdtPr>
    <w:sdtContent>
      <w:p w14:paraId="79130E9E" w14:textId="79713F25" w:rsidR="00D80274" w:rsidRDefault="00D80274" w:rsidP="00282B0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6677E9" w14:textId="77777777" w:rsidR="00D80274" w:rsidRDefault="00D80274" w:rsidP="00D802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834146"/>
      <w:docPartObj>
        <w:docPartGallery w:val="Page Numbers (Top of Page)"/>
        <w:docPartUnique/>
      </w:docPartObj>
    </w:sdtPr>
    <w:sdtContent>
      <w:p w14:paraId="03A2009F" w14:textId="2E2DC4A2" w:rsidR="00D80274" w:rsidRDefault="00D80274" w:rsidP="00282B0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A114A7" w14:textId="77777777" w:rsidR="00D80274" w:rsidRDefault="00D80274" w:rsidP="00D8027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FB08" w14:textId="505986F1" w:rsidR="00D80274" w:rsidRDefault="005E66AF" w:rsidP="00D56A62">
    <w:pPr>
      <w:pStyle w:val="Header"/>
      <w:jc w:val="center"/>
    </w:pPr>
    <w:r>
      <w:t>T</w:t>
    </w:r>
    <w:r w:rsidR="00D56A62">
      <w:t>his is a preprint; t</w:t>
    </w:r>
    <w:r>
      <w:t xml:space="preserve">he final version of this paper will be published in </w:t>
    </w:r>
    <w:proofErr w:type="spellStart"/>
    <w:proofErr w:type="gramStart"/>
    <w:r w:rsidRPr="005E66AF">
      <w:rPr>
        <w:i/>
        <w:iCs/>
      </w:rPr>
      <w:t>Synthese</w:t>
    </w:r>
    <w:proofErr w:type="spellEnd"/>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E83"/>
    <w:multiLevelType w:val="hybridMultilevel"/>
    <w:tmpl w:val="25F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C6906"/>
    <w:multiLevelType w:val="hybridMultilevel"/>
    <w:tmpl w:val="D4F4411A"/>
    <w:lvl w:ilvl="0" w:tplc="C494E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D2EA0"/>
    <w:multiLevelType w:val="hybridMultilevel"/>
    <w:tmpl w:val="7BC6E9BC"/>
    <w:lvl w:ilvl="0" w:tplc="8C203E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F1B88"/>
    <w:multiLevelType w:val="hybridMultilevel"/>
    <w:tmpl w:val="EF007ADE"/>
    <w:lvl w:ilvl="0" w:tplc="85B87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74DC1"/>
    <w:multiLevelType w:val="hybridMultilevel"/>
    <w:tmpl w:val="79BEDA50"/>
    <w:lvl w:ilvl="0" w:tplc="C0C02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832F1"/>
    <w:multiLevelType w:val="hybridMultilevel"/>
    <w:tmpl w:val="F01C0B9A"/>
    <w:lvl w:ilvl="0" w:tplc="50E27DDA">
      <w:start w:val="1"/>
      <w:numFmt w:val="bullet"/>
      <w:lvlText w:val=""/>
      <w:lvlJc w:val="left"/>
      <w:pPr>
        <w:tabs>
          <w:tab w:val="num" w:pos="720"/>
        </w:tabs>
        <w:ind w:left="720" w:hanging="360"/>
      </w:pPr>
      <w:rPr>
        <w:rFonts w:ascii="Wingdings 2" w:hAnsi="Wingdings 2" w:hint="default"/>
      </w:rPr>
    </w:lvl>
    <w:lvl w:ilvl="1" w:tplc="B772122C" w:tentative="1">
      <w:start w:val="1"/>
      <w:numFmt w:val="bullet"/>
      <w:lvlText w:val=""/>
      <w:lvlJc w:val="left"/>
      <w:pPr>
        <w:tabs>
          <w:tab w:val="num" w:pos="1440"/>
        </w:tabs>
        <w:ind w:left="1440" w:hanging="360"/>
      </w:pPr>
      <w:rPr>
        <w:rFonts w:ascii="Wingdings 2" w:hAnsi="Wingdings 2" w:hint="default"/>
      </w:rPr>
    </w:lvl>
    <w:lvl w:ilvl="2" w:tplc="93F2359A">
      <w:start w:val="1"/>
      <w:numFmt w:val="bullet"/>
      <w:lvlText w:val=""/>
      <w:lvlJc w:val="left"/>
      <w:pPr>
        <w:tabs>
          <w:tab w:val="num" w:pos="2160"/>
        </w:tabs>
        <w:ind w:left="2160" w:hanging="360"/>
      </w:pPr>
      <w:rPr>
        <w:rFonts w:ascii="Wingdings 2" w:hAnsi="Wingdings 2" w:hint="default"/>
      </w:rPr>
    </w:lvl>
    <w:lvl w:ilvl="3" w:tplc="BBAC4EC0" w:tentative="1">
      <w:start w:val="1"/>
      <w:numFmt w:val="bullet"/>
      <w:lvlText w:val=""/>
      <w:lvlJc w:val="left"/>
      <w:pPr>
        <w:tabs>
          <w:tab w:val="num" w:pos="2880"/>
        </w:tabs>
        <w:ind w:left="2880" w:hanging="360"/>
      </w:pPr>
      <w:rPr>
        <w:rFonts w:ascii="Wingdings 2" w:hAnsi="Wingdings 2" w:hint="default"/>
      </w:rPr>
    </w:lvl>
    <w:lvl w:ilvl="4" w:tplc="A16C1362" w:tentative="1">
      <w:start w:val="1"/>
      <w:numFmt w:val="bullet"/>
      <w:lvlText w:val=""/>
      <w:lvlJc w:val="left"/>
      <w:pPr>
        <w:tabs>
          <w:tab w:val="num" w:pos="3600"/>
        </w:tabs>
        <w:ind w:left="3600" w:hanging="360"/>
      </w:pPr>
      <w:rPr>
        <w:rFonts w:ascii="Wingdings 2" w:hAnsi="Wingdings 2" w:hint="default"/>
      </w:rPr>
    </w:lvl>
    <w:lvl w:ilvl="5" w:tplc="DFAA008C" w:tentative="1">
      <w:start w:val="1"/>
      <w:numFmt w:val="bullet"/>
      <w:lvlText w:val=""/>
      <w:lvlJc w:val="left"/>
      <w:pPr>
        <w:tabs>
          <w:tab w:val="num" w:pos="4320"/>
        </w:tabs>
        <w:ind w:left="4320" w:hanging="360"/>
      </w:pPr>
      <w:rPr>
        <w:rFonts w:ascii="Wingdings 2" w:hAnsi="Wingdings 2" w:hint="default"/>
      </w:rPr>
    </w:lvl>
    <w:lvl w:ilvl="6" w:tplc="60E0D676" w:tentative="1">
      <w:start w:val="1"/>
      <w:numFmt w:val="bullet"/>
      <w:lvlText w:val=""/>
      <w:lvlJc w:val="left"/>
      <w:pPr>
        <w:tabs>
          <w:tab w:val="num" w:pos="5040"/>
        </w:tabs>
        <w:ind w:left="5040" w:hanging="360"/>
      </w:pPr>
      <w:rPr>
        <w:rFonts w:ascii="Wingdings 2" w:hAnsi="Wingdings 2" w:hint="default"/>
      </w:rPr>
    </w:lvl>
    <w:lvl w:ilvl="7" w:tplc="18143BE8" w:tentative="1">
      <w:start w:val="1"/>
      <w:numFmt w:val="bullet"/>
      <w:lvlText w:val=""/>
      <w:lvlJc w:val="left"/>
      <w:pPr>
        <w:tabs>
          <w:tab w:val="num" w:pos="5760"/>
        </w:tabs>
        <w:ind w:left="5760" w:hanging="360"/>
      </w:pPr>
      <w:rPr>
        <w:rFonts w:ascii="Wingdings 2" w:hAnsi="Wingdings 2" w:hint="default"/>
      </w:rPr>
    </w:lvl>
    <w:lvl w:ilvl="8" w:tplc="8A1A994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D224F54"/>
    <w:multiLevelType w:val="hybridMultilevel"/>
    <w:tmpl w:val="11427616"/>
    <w:lvl w:ilvl="0" w:tplc="4CFA8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4769E7"/>
    <w:multiLevelType w:val="hybridMultilevel"/>
    <w:tmpl w:val="579C612C"/>
    <w:lvl w:ilvl="0" w:tplc="3D460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276C20"/>
    <w:multiLevelType w:val="hybridMultilevel"/>
    <w:tmpl w:val="2EEA1D52"/>
    <w:lvl w:ilvl="0" w:tplc="22B84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908876">
    <w:abstractNumId w:val="2"/>
  </w:num>
  <w:num w:numId="2" w16cid:durableId="1760246936">
    <w:abstractNumId w:val="4"/>
  </w:num>
  <w:num w:numId="3" w16cid:durableId="481971997">
    <w:abstractNumId w:val="1"/>
  </w:num>
  <w:num w:numId="4" w16cid:durableId="1436319232">
    <w:abstractNumId w:val="6"/>
  </w:num>
  <w:num w:numId="5" w16cid:durableId="785778194">
    <w:abstractNumId w:val="8"/>
  </w:num>
  <w:num w:numId="6" w16cid:durableId="1213543482">
    <w:abstractNumId w:val="3"/>
  </w:num>
  <w:num w:numId="7" w16cid:durableId="937104028">
    <w:abstractNumId w:val="7"/>
  </w:num>
  <w:num w:numId="8" w16cid:durableId="1536119703">
    <w:abstractNumId w:val="0"/>
  </w:num>
  <w:num w:numId="9" w16cid:durableId="237324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BF"/>
    <w:rsid w:val="0000102B"/>
    <w:rsid w:val="00002EEB"/>
    <w:rsid w:val="00003219"/>
    <w:rsid w:val="000039F7"/>
    <w:rsid w:val="00003B16"/>
    <w:rsid w:val="00005D56"/>
    <w:rsid w:val="00006177"/>
    <w:rsid w:val="000066A3"/>
    <w:rsid w:val="00006AE2"/>
    <w:rsid w:val="0001019E"/>
    <w:rsid w:val="0001230C"/>
    <w:rsid w:val="000135D2"/>
    <w:rsid w:val="0001511B"/>
    <w:rsid w:val="0001577A"/>
    <w:rsid w:val="00015F06"/>
    <w:rsid w:val="00017AE0"/>
    <w:rsid w:val="00020BE8"/>
    <w:rsid w:val="00020CE2"/>
    <w:rsid w:val="0002108D"/>
    <w:rsid w:val="00022798"/>
    <w:rsid w:val="00023238"/>
    <w:rsid w:val="0003184C"/>
    <w:rsid w:val="000321E2"/>
    <w:rsid w:val="00032753"/>
    <w:rsid w:val="0003299B"/>
    <w:rsid w:val="000333D2"/>
    <w:rsid w:val="000345B0"/>
    <w:rsid w:val="00034F32"/>
    <w:rsid w:val="00036A21"/>
    <w:rsid w:val="0004243A"/>
    <w:rsid w:val="0004341D"/>
    <w:rsid w:val="000437F3"/>
    <w:rsid w:val="00043861"/>
    <w:rsid w:val="00044833"/>
    <w:rsid w:val="000449B8"/>
    <w:rsid w:val="00047E4A"/>
    <w:rsid w:val="00050A86"/>
    <w:rsid w:val="000518EE"/>
    <w:rsid w:val="00052469"/>
    <w:rsid w:val="00052CEB"/>
    <w:rsid w:val="00053E70"/>
    <w:rsid w:val="00054EC6"/>
    <w:rsid w:val="000560A4"/>
    <w:rsid w:val="000560E7"/>
    <w:rsid w:val="00056FB6"/>
    <w:rsid w:val="000602EA"/>
    <w:rsid w:val="00061A91"/>
    <w:rsid w:val="0006210F"/>
    <w:rsid w:val="00062F4C"/>
    <w:rsid w:val="00064A37"/>
    <w:rsid w:val="000656CE"/>
    <w:rsid w:val="000719E7"/>
    <w:rsid w:val="000724B8"/>
    <w:rsid w:val="0007261A"/>
    <w:rsid w:val="00073C71"/>
    <w:rsid w:val="00073EE4"/>
    <w:rsid w:val="00075230"/>
    <w:rsid w:val="0007601E"/>
    <w:rsid w:val="0007604B"/>
    <w:rsid w:val="000764C4"/>
    <w:rsid w:val="00077087"/>
    <w:rsid w:val="000774CF"/>
    <w:rsid w:val="00081548"/>
    <w:rsid w:val="00083889"/>
    <w:rsid w:val="00084950"/>
    <w:rsid w:val="00085123"/>
    <w:rsid w:val="000860DF"/>
    <w:rsid w:val="000860E1"/>
    <w:rsid w:val="00086CCA"/>
    <w:rsid w:val="00090534"/>
    <w:rsid w:val="000911A9"/>
    <w:rsid w:val="00091460"/>
    <w:rsid w:val="00094359"/>
    <w:rsid w:val="0009589E"/>
    <w:rsid w:val="00095921"/>
    <w:rsid w:val="00097662"/>
    <w:rsid w:val="00097EDE"/>
    <w:rsid w:val="000A052B"/>
    <w:rsid w:val="000A0A6D"/>
    <w:rsid w:val="000A0D47"/>
    <w:rsid w:val="000A1E02"/>
    <w:rsid w:val="000A24C7"/>
    <w:rsid w:val="000A3D34"/>
    <w:rsid w:val="000A45E6"/>
    <w:rsid w:val="000A462B"/>
    <w:rsid w:val="000A4ED2"/>
    <w:rsid w:val="000B02F7"/>
    <w:rsid w:val="000B0312"/>
    <w:rsid w:val="000B0E60"/>
    <w:rsid w:val="000B18D0"/>
    <w:rsid w:val="000B26DB"/>
    <w:rsid w:val="000B2C8E"/>
    <w:rsid w:val="000B417E"/>
    <w:rsid w:val="000B53E3"/>
    <w:rsid w:val="000B562E"/>
    <w:rsid w:val="000B64A8"/>
    <w:rsid w:val="000B7A8A"/>
    <w:rsid w:val="000C0D44"/>
    <w:rsid w:val="000C12A4"/>
    <w:rsid w:val="000C439C"/>
    <w:rsid w:val="000C4D16"/>
    <w:rsid w:val="000C5078"/>
    <w:rsid w:val="000C5149"/>
    <w:rsid w:val="000C6029"/>
    <w:rsid w:val="000D0638"/>
    <w:rsid w:val="000D6B90"/>
    <w:rsid w:val="000D6CFD"/>
    <w:rsid w:val="000E07FD"/>
    <w:rsid w:val="000E28BD"/>
    <w:rsid w:val="000E3075"/>
    <w:rsid w:val="000E383F"/>
    <w:rsid w:val="000E4D88"/>
    <w:rsid w:val="000E750E"/>
    <w:rsid w:val="000F018B"/>
    <w:rsid w:val="000F0A04"/>
    <w:rsid w:val="000F120E"/>
    <w:rsid w:val="000F1DD1"/>
    <w:rsid w:val="000F1DEA"/>
    <w:rsid w:val="000F36F8"/>
    <w:rsid w:val="000F39B9"/>
    <w:rsid w:val="000F7F16"/>
    <w:rsid w:val="00101C21"/>
    <w:rsid w:val="0010220F"/>
    <w:rsid w:val="00102511"/>
    <w:rsid w:val="001027D9"/>
    <w:rsid w:val="001044C6"/>
    <w:rsid w:val="001063FF"/>
    <w:rsid w:val="0011131B"/>
    <w:rsid w:val="00111888"/>
    <w:rsid w:val="0011221F"/>
    <w:rsid w:val="00112883"/>
    <w:rsid w:val="00113A94"/>
    <w:rsid w:val="00114376"/>
    <w:rsid w:val="00115E6B"/>
    <w:rsid w:val="0012074C"/>
    <w:rsid w:val="001234AE"/>
    <w:rsid w:val="00125EEB"/>
    <w:rsid w:val="001260C5"/>
    <w:rsid w:val="00126222"/>
    <w:rsid w:val="001264F2"/>
    <w:rsid w:val="00127916"/>
    <w:rsid w:val="00127FA4"/>
    <w:rsid w:val="001302E6"/>
    <w:rsid w:val="00130E9C"/>
    <w:rsid w:val="00132A3B"/>
    <w:rsid w:val="00133812"/>
    <w:rsid w:val="00133A70"/>
    <w:rsid w:val="001343D9"/>
    <w:rsid w:val="00137BAC"/>
    <w:rsid w:val="00137C69"/>
    <w:rsid w:val="00137ED4"/>
    <w:rsid w:val="00137F68"/>
    <w:rsid w:val="00141125"/>
    <w:rsid w:val="001412D4"/>
    <w:rsid w:val="00141938"/>
    <w:rsid w:val="00141BF8"/>
    <w:rsid w:val="00142698"/>
    <w:rsid w:val="00143432"/>
    <w:rsid w:val="0014355B"/>
    <w:rsid w:val="00143AB6"/>
    <w:rsid w:val="00143C40"/>
    <w:rsid w:val="00143F24"/>
    <w:rsid w:val="00144EBD"/>
    <w:rsid w:val="00145F36"/>
    <w:rsid w:val="00147054"/>
    <w:rsid w:val="001472A0"/>
    <w:rsid w:val="001478E4"/>
    <w:rsid w:val="0015184F"/>
    <w:rsid w:val="001519AF"/>
    <w:rsid w:val="001534C5"/>
    <w:rsid w:val="00153516"/>
    <w:rsid w:val="0015402D"/>
    <w:rsid w:val="001564F7"/>
    <w:rsid w:val="00156517"/>
    <w:rsid w:val="001566B0"/>
    <w:rsid w:val="00160C89"/>
    <w:rsid w:val="00162B42"/>
    <w:rsid w:val="001639C1"/>
    <w:rsid w:val="0016407B"/>
    <w:rsid w:val="001647B3"/>
    <w:rsid w:val="00166700"/>
    <w:rsid w:val="0016703B"/>
    <w:rsid w:val="00167BF7"/>
    <w:rsid w:val="00170308"/>
    <w:rsid w:val="0017096F"/>
    <w:rsid w:val="001714AA"/>
    <w:rsid w:val="00173F74"/>
    <w:rsid w:val="00174FC2"/>
    <w:rsid w:val="001757C1"/>
    <w:rsid w:val="001773CA"/>
    <w:rsid w:val="00177A66"/>
    <w:rsid w:val="001816AF"/>
    <w:rsid w:val="0018176C"/>
    <w:rsid w:val="00181AE3"/>
    <w:rsid w:val="00182531"/>
    <w:rsid w:val="00182FD5"/>
    <w:rsid w:val="001834C1"/>
    <w:rsid w:val="00183F3D"/>
    <w:rsid w:val="0018596D"/>
    <w:rsid w:val="00185E9D"/>
    <w:rsid w:val="00186F6A"/>
    <w:rsid w:val="001876BC"/>
    <w:rsid w:val="00190213"/>
    <w:rsid w:val="0019166A"/>
    <w:rsid w:val="00192C70"/>
    <w:rsid w:val="001950D6"/>
    <w:rsid w:val="00195223"/>
    <w:rsid w:val="001958E7"/>
    <w:rsid w:val="00195AFC"/>
    <w:rsid w:val="00197171"/>
    <w:rsid w:val="001A033D"/>
    <w:rsid w:val="001A1D86"/>
    <w:rsid w:val="001A276F"/>
    <w:rsid w:val="001A31D2"/>
    <w:rsid w:val="001A3234"/>
    <w:rsid w:val="001A47E8"/>
    <w:rsid w:val="001A4E71"/>
    <w:rsid w:val="001A51B9"/>
    <w:rsid w:val="001A5C9A"/>
    <w:rsid w:val="001A65D5"/>
    <w:rsid w:val="001A6D55"/>
    <w:rsid w:val="001A6E1E"/>
    <w:rsid w:val="001B0741"/>
    <w:rsid w:val="001B0C59"/>
    <w:rsid w:val="001B0CE9"/>
    <w:rsid w:val="001B1AEE"/>
    <w:rsid w:val="001B35A0"/>
    <w:rsid w:val="001B5925"/>
    <w:rsid w:val="001B61EF"/>
    <w:rsid w:val="001B6E3A"/>
    <w:rsid w:val="001B6F86"/>
    <w:rsid w:val="001B703C"/>
    <w:rsid w:val="001B7C0E"/>
    <w:rsid w:val="001C1BAE"/>
    <w:rsid w:val="001C1BB4"/>
    <w:rsid w:val="001C21CE"/>
    <w:rsid w:val="001C2FA6"/>
    <w:rsid w:val="001C3642"/>
    <w:rsid w:val="001C3BB0"/>
    <w:rsid w:val="001C48D6"/>
    <w:rsid w:val="001C4DD2"/>
    <w:rsid w:val="001C6FDD"/>
    <w:rsid w:val="001C79ED"/>
    <w:rsid w:val="001C7DDA"/>
    <w:rsid w:val="001D048C"/>
    <w:rsid w:val="001D1940"/>
    <w:rsid w:val="001D2FAB"/>
    <w:rsid w:val="001D38A7"/>
    <w:rsid w:val="001D4BAC"/>
    <w:rsid w:val="001D50D3"/>
    <w:rsid w:val="001D661B"/>
    <w:rsid w:val="001E108B"/>
    <w:rsid w:val="001E3936"/>
    <w:rsid w:val="001E5118"/>
    <w:rsid w:val="001E5FE2"/>
    <w:rsid w:val="001E73DA"/>
    <w:rsid w:val="001E7976"/>
    <w:rsid w:val="001F032A"/>
    <w:rsid w:val="001F0406"/>
    <w:rsid w:val="001F108F"/>
    <w:rsid w:val="001F1FCC"/>
    <w:rsid w:val="001F2C86"/>
    <w:rsid w:val="001F3F4F"/>
    <w:rsid w:val="001F4F56"/>
    <w:rsid w:val="001F566E"/>
    <w:rsid w:val="001F68A8"/>
    <w:rsid w:val="002011FD"/>
    <w:rsid w:val="0020143D"/>
    <w:rsid w:val="002028D0"/>
    <w:rsid w:val="0020306D"/>
    <w:rsid w:val="002045E6"/>
    <w:rsid w:val="00204CD9"/>
    <w:rsid w:val="0020506C"/>
    <w:rsid w:val="00205F5A"/>
    <w:rsid w:val="00210EFA"/>
    <w:rsid w:val="00211D73"/>
    <w:rsid w:val="0021226B"/>
    <w:rsid w:val="002127EC"/>
    <w:rsid w:val="002137AC"/>
    <w:rsid w:val="00213BC1"/>
    <w:rsid w:val="00214116"/>
    <w:rsid w:val="002145BD"/>
    <w:rsid w:val="0021509B"/>
    <w:rsid w:val="00215260"/>
    <w:rsid w:val="00217BF5"/>
    <w:rsid w:val="0022019B"/>
    <w:rsid w:val="00220AB1"/>
    <w:rsid w:val="002233EE"/>
    <w:rsid w:val="00223801"/>
    <w:rsid w:val="00227530"/>
    <w:rsid w:val="00227C65"/>
    <w:rsid w:val="002304A3"/>
    <w:rsid w:val="00231257"/>
    <w:rsid w:val="0023201E"/>
    <w:rsid w:val="0023241E"/>
    <w:rsid w:val="002329E4"/>
    <w:rsid w:val="00232A3D"/>
    <w:rsid w:val="00234181"/>
    <w:rsid w:val="00234DFE"/>
    <w:rsid w:val="00236ADA"/>
    <w:rsid w:val="0024005B"/>
    <w:rsid w:val="002433E2"/>
    <w:rsid w:val="00247557"/>
    <w:rsid w:val="00247AD9"/>
    <w:rsid w:val="00250100"/>
    <w:rsid w:val="002525F3"/>
    <w:rsid w:val="00254EF0"/>
    <w:rsid w:val="00256361"/>
    <w:rsid w:val="00256DE3"/>
    <w:rsid w:val="002578C6"/>
    <w:rsid w:val="00257E82"/>
    <w:rsid w:val="002627CF"/>
    <w:rsid w:val="00265EEB"/>
    <w:rsid w:val="00267211"/>
    <w:rsid w:val="00267BC8"/>
    <w:rsid w:val="00267DBD"/>
    <w:rsid w:val="00270600"/>
    <w:rsid w:val="002714D5"/>
    <w:rsid w:val="00271FA7"/>
    <w:rsid w:val="00272934"/>
    <w:rsid w:val="0027594A"/>
    <w:rsid w:val="00282876"/>
    <w:rsid w:val="00282D5B"/>
    <w:rsid w:val="00283545"/>
    <w:rsid w:val="00283E42"/>
    <w:rsid w:val="0028440E"/>
    <w:rsid w:val="00285457"/>
    <w:rsid w:val="0028605C"/>
    <w:rsid w:val="0028695A"/>
    <w:rsid w:val="002900AE"/>
    <w:rsid w:val="002916A7"/>
    <w:rsid w:val="0029260B"/>
    <w:rsid w:val="00293497"/>
    <w:rsid w:val="002946E2"/>
    <w:rsid w:val="002947A3"/>
    <w:rsid w:val="00295BD0"/>
    <w:rsid w:val="00297615"/>
    <w:rsid w:val="00297DAE"/>
    <w:rsid w:val="002A12AE"/>
    <w:rsid w:val="002A1DD9"/>
    <w:rsid w:val="002A1F83"/>
    <w:rsid w:val="002A2E67"/>
    <w:rsid w:val="002A2F78"/>
    <w:rsid w:val="002A3124"/>
    <w:rsid w:val="002A3A1F"/>
    <w:rsid w:val="002A465C"/>
    <w:rsid w:val="002A504E"/>
    <w:rsid w:val="002A69B4"/>
    <w:rsid w:val="002B0257"/>
    <w:rsid w:val="002B0E7F"/>
    <w:rsid w:val="002B0F37"/>
    <w:rsid w:val="002B1EEB"/>
    <w:rsid w:val="002B29C4"/>
    <w:rsid w:val="002B60EA"/>
    <w:rsid w:val="002B7569"/>
    <w:rsid w:val="002B7D88"/>
    <w:rsid w:val="002C01B5"/>
    <w:rsid w:val="002C1BE3"/>
    <w:rsid w:val="002C22BB"/>
    <w:rsid w:val="002C3B97"/>
    <w:rsid w:val="002D0006"/>
    <w:rsid w:val="002D0FE8"/>
    <w:rsid w:val="002D2061"/>
    <w:rsid w:val="002D29B6"/>
    <w:rsid w:val="002D2D4A"/>
    <w:rsid w:val="002D4D6A"/>
    <w:rsid w:val="002E0297"/>
    <w:rsid w:val="002E0A85"/>
    <w:rsid w:val="002E1740"/>
    <w:rsid w:val="002E3FFF"/>
    <w:rsid w:val="002E4C0D"/>
    <w:rsid w:val="002E532B"/>
    <w:rsid w:val="002E5588"/>
    <w:rsid w:val="002E61C2"/>
    <w:rsid w:val="002E6582"/>
    <w:rsid w:val="002F00BC"/>
    <w:rsid w:val="002F226A"/>
    <w:rsid w:val="002F2AA7"/>
    <w:rsid w:val="002F2B6D"/>
    <w:rsid w:val="002F35D2"/>
    <w:rsid w:val="002F4726"/>
    <w:rsid w:val="002F4EED"/>
    <w:rsid w:val="002F55B3"/>
    <w:rsid w:val="002F571D"/>
    <w:rsid w:val="002F740F"/>
    <w:rsid w:val="003003A2"/>
    <w:rsid w:val="0030414B"/>
    <w:rsid w:val="00307BCF"/>
    <w:rsid w:val="00310A3B"/>
    <w:rsid w:val="00311084"/>
    <w:rsid w:val="0031276D"/>
    <w:rsid w:val="00312975"/>
    <w:rsid w:val="00317325"/>
    <w:rsid w:val="00317F3C"/>
    <w:rsid w:val="00317FC7"/>
    <w:rsid w:val="0032254B"/>
    <w:rsid w:val="00323B7C"/>
    <w:rsid w:val="0032525C"/>
    <w:rsid w:val="00326D3D"/>
    <w:rsid w:val="0032711B"/>
    <w:rsid w:val="00327EF6"/>
    <w:rsid w:val="00327FED"/>
    <w:rsid w:val="003302D9"/>
    <w:rsid w:val="003308F6"/>
    <w:rsid w:val="00330911"/>
    <w:rsid w:val="00331DBB"/>
    <w:rsid w:val="00331F75"/>
    <w:rsid w:val="00333B19"/>
    <w:rsid w:val="00333F9E"/>
    <w:rsid w:val="00334B37"/>
    <w:rsid w:val="00335061"/>
    <w:rsid w:val="003351B1"/>
    <w:rsid w:val="00336EFA"/>
    <w:rsid w:val="00337B9E"/>
    <w:rsid w:val="00340461"/>
    <w:rsid w:val="003406C0"/>
    <w:rsid w:val="00340DE1"/>
    <w:rsid w:val="00342FB6"/>
    <w:rsid w:val="00343844"/>
    <w:rsid w:val="00343CB4"/>
    <w:rsid w:val="0034455C"/>
    <w:rsid w:val="00345478"/>
    <w:rsid w:val="00347ACD"/>
    <w:rsid w:val="003503A4"/>
    <w:rsid w:val="00351681"/>
    <w:rsid w:val="00353989"/>
    <w:rsid w:val="00354163"/>
    <w:rsid w:val="00354485"/>
    <w:rsid w:val="003547EB"/>
    <w:rsid w:val="003571DD"/>
    <w:rsid w:val="00360AC3"/>
    <w:rsid w:val="00362002"/>
    <w:rsid w:val="0036251D"/>
    <w:rsid w:val="00363111"/>
    <w:rsid w:val="00363800"/>
    <w:rsid w:val="00365929"/>
    <w:rsid w:val="003675C7"/>
    <w:rsid w:val="00367FC1"/>
    <w:rsid w:val="0037281B"/>
    <w:rsid w:val="003730A1"/>
    <w:rsid w:val="00373841"/>
    <w:rsid w:val="0037385B"/>
    <w:rsid w:val="003738B9"/>
    <w:rsid w:val="0037398A"/>
    <w:rsid w:val="0037456F"/>
    <w:rsid w:val="003756FE"/>
    <w:rsid w:val="003758C5"/>
    <w:rsid w:val="003762F8"/>
    <w:rsid w:val="003766EB"/>
    <w:rsid w:val="0037794F"/>
    <w:rsid w:val="0038031F"/>
    <w:rsid w:val="0038043F"/>
    <w:rsid w:val="0038119A"/>
    <w:rsid w:val="00385331"/>
    <w:rsid w:val="00387BDD"/>
    <w:rsid w:val="00390133"/>
    <w:rsid w:val="00390564"/>
    <w:rsid w:val="00390664"/>
    <w:rsid w:val="00390CB2"/>
    <w:rsid w:val="00390D2F"/>
    <w:rsid w:val="00390FB3"/>
    <w:rsid w:val="00391489"/>
    <w:rsid w:val="003919EF"/>
    <w:rsid w:val="003926D1"/>
    <w:rsid w:val="00392C11"/>
    <w:rsid w:val="00392C1F"/>
    <w:rsid w:val="003949E3"/>
    <w:rsid w:val="003969A1"/>
    <w:rsid w:val="003977F5"/>
    <w:rsid w:val="00397A95"/>
    <w:rsid w:val="003A01DB"/>
    <w:rsid w:val="003A0211"/>
    <w:rsid w:val="003A1D71"/>
    <w:rsid w:val="003A464B"/>
    <w:rsid w:val="003A4896"/>
    <w:rsid w:val="003A524E"/>
    <w:rsid w:val="003A576D"/>
    <w:rsid w:val="003A61A1"/>
    <w:rsid w:val="003A649D"/>
    <w:rsid w:val="003A7689"/>
    <w:rsid w:val="003B004A"/>
    <w:rsid w:val="003B05DC"/>
    <w:rsid w:val="003B3562"/>
    <w:rsid w:val="003B3850"/>
    <w:rsid w:val="003B3CDE"/>
    <w:rsid w:val="003B50C8"/>
    <w:rsid w:val="003B6328"/>
    <w:rsid w:val="003B7C3E"/>
    <w:rsid w:val="003C08C9"/>
    <w:rsid w:val="003C1172"/>
    <w:rsid w:val="003C28C2"/>
    <w:rsid w:val="003C2A32"/>
    <w:rsid w:val="003C3DE7"/>
    <w:rsid w:val="003C5694"/>
    <w:rsid w:val="003C5936"/>
    <w:rsid w:val="003D003D"/>
    <w:rsid w:val="003D0147"/>
    <w:rsid w:val="003D2173"/>
    <w:rsid w:val="003D39BA"/>
    <w:rsid w:val="003D3ADB"/>
    <w:rsid w:val="003D4FD1"/>
    <w:rsid w:val="003D720E"/>
    <w:rsid w:val="003D7D9D"/>
    <w:rsid w:val="003E20EA"/>
    <w:rsid w:val="003E2718"/>
    <w:rsid w:val="003E4CC6"/>
    <w:rsid w:val="003E55BB"/>
    <w:rsid w:val="003E680F"/>
    <w:rsid w:val="003F093A"/>
    <w:rsid w:val="003F2418"/>
    <w:rsid w:val="003F4305"/>
    <w:rsid w:val="003F50C2"/>
    <w:rsid w:val="003F593A"/>
    <w:rsid w:val="003F6B05"/>
    <w:rsid w:val="003F6BA9"/>
    <w:rsid w:val="003F7098"/>
    <w:rsid w:val="00402171"/>
    <w:rsid w:val="004034D6"/>
    <w:rsid w:val="004043B1"/>
    <w:rsid w:val="00406D28"/>
    <w:rsid w:val="00406FA6"/>
    <w:rsid w:val="00407DAF"/>
    <w:rsid w:val="00410209"/>
    <w:rsid w:val="00411813"/>
    <w:rsid w:val="00413D31"/>
    <w:rsid w:val="00414168"/>
    <w:rsid w:val="00414EB5"/>
    <w:rsid w:val="0041506C"/>
    <w:rsid w:val="0041537E"/>
    <w:rsid w:val="004167A0"/>
    <w:rsid w:val="004209AD"/>
    <w:rsid w:val="00420FC0"/>
    <w:rsid w:val="00422E10"/>
    <w:rsid w:val="0042367F"/>
    <w:rsid w:val="00423B92"/>
    <w:rsid w:val="004268BF"/>
    <w:rsid w:val="00432028"/>
    <w:rsid w:val="00433739"/>
    <w:rsid w:val="00434611"/>
    <w:rsid w:val="00434DCE"/>
    <w:rsid w:val="00435035"/>
    <w:rsid w:val="00435F32"/>
    <w:rsid w:val="00437588"/>
    <w:rsid w:val="00440AAD"/>
    <w:rsid w:val="00443D16"/>
    <w:rsid w:val="00444358"/>
    <w:rsid w:val="004443C4"/>
    <w:rsid w:val="0044598D"/>
    <w:rsid w:val="004471AD"/>
    <w:rsid w:val="00450998"/>
    <w:rsid w:val="00450D02"/>
    <w:rsid w:val="0045112A"/>
    <w:rsid w:val="0045133E"/>
    <w:rsid w:val="0045171D"/>
    <w:rsid w:val="004532B5"/>
    <w:rsid w:val="004548A6"/>
    <w:rsid w:val="004566D0"/>
    <w:rsid w:val="00456833"/>
    <w:rsid w:val="0046036E"/>
    <w:rsid w:val="004612C3"/>
    <w:rsid w:val="004618E3"/>
    <w:rsid w:val="00462778"/>
    <w:rsid w:val="00463A94"/>
    <w:rsid w:val="00466CE6"/>
    <w:rsid w:val="00470AAD"/>
    <w:rsid w:val="004721C3"/>
    <w:rsid w:val="004741C1"/>
    <w:rsid w:val="00474205"/>
    <w:rsid w:val="0047538C"/>
    <w:rsid w:val="004755FB"/>
    <w:rsid w:val="004756BD"/>
    <w:rsid w:val="004774CD"/>
    <w:rsid w:val="0048030F"/>
    <w:rsid w:val="00480A06"/>
    <w:rsid w:val="00481771"/>
    <w:rsid w:val="004821E1"/>
    <w:rsid w:val="00483A72"/>
    <w:rsid w:val="00484177"/>
    <w:rsid w:val="004841E0"/>
    <w:rsid w:val="00485408"/>
    <w:rsid w:val="004903F4"/>
    <w:rsid w:val="004915A1"/>
    <w:rsid w:val="004947F2"/>
    <w:rsid w:val="00494EF2"/>
    <w:rsid w:val="0049588E"/>
    <w:rsid w:val="004975A7"/>
    <w:rsid w:val="00497954"/>
    <w:rsid w:val="004A082B"/>
    <w:rsid w:val="004A137B"/>
    <w:rsid w:val="004A1E2E"/>
    <w:rsid w:val="004A29EF"/>
    <w:rsid w:val="004A4B8A"/>
    <w:rsid w:val="004A4EDA"/>
    <w:rsid w:val="004A54AE"/>
    <w:rsid w:val="004A6738"/>
    <w:rsid w:val="004A6C8F"/>
    <w:rsid w:val="004A7C83"/>
    <w:rsid w:val="004B087D"/>
    <w:rsid w:val="004B0DB1"/>
    <w:rsid w:val="004B16E1"/>
    <w:rsid w:val="004B18E6"/>
    <w:rsid w:val="004B1AFA"/>
    <w:rsid w:val="004B26B2"/>
    <w:rsid w:val="004B4B8C"/>
    <w:rsid w:val="004B5D96"/>
    <w:rsid w:val="004B6904"/>
    <w:rsid w:val="004B7432"/>
    <w:rsid w:val="004B7BC5"/>
    <w:rsid w:val="004C01C8"/>
    <w:rsid w:val="004C1448"/>
    <w:rsid w:val="004C2B97"/>
    <w:rsid w:val="004C684C"/>
    <w:rsid w:val="004D0D5D"/>
    <w:rsid w:val="004D0D8E"/>
    <w:rsid w:val="004D1695"/>
    <w:rsid w:val="004D254C"/>
    <w:rsid w:val="004D27C4"/>
    <w:rsid w:val="004D28FB"/>
    <w:rsid w:val="004D332A"/>
    <w:rsid w:val="004D3AFF"/>
    <w:rsid w:val="004D3C1E"/>
    <w:rsid w:val="004D4D95"/>
    <w:rsid w:val="004D5366"/>
    <w:rsid w:val="004D6DD7"/>
    <w:rsid w:val="004D7875"/>
    <w:rsid w:val="004E18D8"/>
    <w:rsid w:val="004E24BA"/>
    <w:rsid w:val="004E2937"/>
    <w:rsid w:val="004E6421"/>
    <w:rsid w:val="004E665F"/>
    <w:rsid w:val="004E6710"/>
    <w:rsid w:val="004F0046"/>
    <w:rsid w:val="004F022E"/>
    <w:rsid w:val="004F02DD"/>
    <w:rsid w:val="004F085D"/>
    <w:rsid w:val="004F1605"/>
    <w:rsid w:val="004F1EA9"/>
    <w:rsid w:val="004F285F"/>
    <w:rsid w:val="004F2EC1"/>
    <w:rsid w:val="004F429E"/>
    <w:rsid w:val="004F4FF7"/>
    <w:rsid w:val="005019A6"/>
    <w:rsid w:val="00501E2D"/>
    <w:rsid w:val="00502B41"/>
    <w:rsid w:val="0050372D"/>
    <w:rsid w:val="00504AF9"/>
    <w:rsid w:val="005052E0"/>
    <w:rsid w:val="00505950"/>
    <w:rsid w:val="005064C0"/>
    <w:rsid w:val="00506C4A"/>
    <w:rsid w:val="00507B30"/>
    <w:rsid w:val="00510126"/>
    <w:rsid w:val="00510B45"/>
    <w:rsid w:val="0051207F"/>
    <w:rsid w:val="005121B4"/>
    <w:rsid w:val="00512271"/>
    <w:rsid w:val="00513349"/>
    <w:rsid w:val="00514643"/>
    <w:rsid w:val="00514975"/>
    <w:rsid w:val="00515D3C"/>
    <w:rsid w:val="00517AE0"/>
    <w:rsid w:val="00522983"/>
    <w:rsid w:val="00522EC3"/>
    <w:rsid w:val="00524A21"/>
    <w:rsid w:val="005252A1"/>
    <w:rsid w:val="00525840"/>
    <w:rsid w:val="005261C3"/>
    <w:rsid w:val="0052712E"/>
    <w:rsid w:val="00527A47"/>
    <w:rsid w:val="00530144"/>
    <w:rsid w:val="005306EC"/>
    <w:rsid w:val="00530DC0"/>
    <w:rsid w:val="00531721"/>
    <w:rsid w:val="00532156"/>
    <w:rsid w:val="00532E45"/>
    <w:rsid w:val="00532FB9"/>
    <w:rsid w:val="00533BC1"/>
    <w:rsid w:val="00534ADD"/>
    <w:rsid w:val="0053697B"/>
    <w:rsid w:val="00536A6F"/>
    <w:rsid w:val="00537229"/>
    <w:rsid w:val="00537F16"/>
    <w:rsid w:val="00540AB1"/>
    <w:rsid w:val="00540D51"/>
    <w:rsid w:val="00542754"/>
    <w:rsid w:val="00544EDD"/>
    <w:rsid w:val="005454B5"/>
    <w:rsid w:val="005455B8"/>
    <w:rsid w:val="00545A6A"/>
    <w:rsid w:val="00546079"/>
    <w:rsid w:val="005460BB"/>
    <w:rsid w:val="00546931"/>
    <w:rsid w:val="005478A6"/>
    <w:rsid w:val="005502B0"/>
    <w:rsid w:val="005503E5"/>
    <w:rsid w:val="00552C35"/>
    <w:rsid w:val="00553124"/>
    <w:rsid w:val="0055360F"/>
    <w:rsid w:val="005539BD"/>
    <w:rsid w:val="0055473E"/>
    <w:rsid w:val="005547AA"/>
    <w:rsid w:val="00554F0C"/>
    <w:rsid w:val="00555129"/>
    <w:rsid w:val="00557C2D"/>
    <w:rsid w:val="00560471"/>
    <w:rsid w:val="00562178"/>
    <w:rsid w:val="005626E6"/>
    <w:rsid w:val="00563D4A"/>
    <w:rsid w:val="00564736"/>
    <w:rsid w:val="0056474E"/>
    <w:rsid w:val="00566A17"/>
    <w:rsid w:val="00570E02"/>
    <w:rsid w:val="00570E4E"/>
    <w:rsid w:val="0057126A"/>
    <w:rsid w:val="00571297"/>
    <w:rsid w:val="00571F86"/>
    <w:rsid w:val="0057219A"/>
    <w:rsid w:val="005737FF"/>
    <w:rsid w:val="00576DD7"/>
    <w:rsid w:val="00577C52"/>
    <w:rsid w:val="0058000E"/>
    <w:rsid w:val="0058006A"/>
    <w:rsid w:val="00581181"/>
    <w:rsid w:val="00582A3B"/>
    <w:rsid w:val="00584221"/>
    <w:rsid w:val="005843D2"/>
    <w:rsid w:val="00586671"/>
    <w:rsid w:val="00587209"/>
    <w:rsid w:val="005874FB"/>
    <w:rsid w:val="00590091"/>
    <w:rsid w:val="005903AA"/>
    <w:rsid w:val="00590616"/>
    <w:rsid w:val="00590731"/>
    <w:rsid w:val="005909ED"/>
    <w:rsid w:val="005930E8"/>
    <w:rsid w:val="00594B49"/>
    <w:rsid w:val="00594EAC"/>
    <w:rsid w:val="00597CEC"/>
    <w:rsid w:val="005A1D72"/>
    <w:rsid w:val="005A1DAF"/>
    <w:rsid w:val="005A4240"/>
    <w:rsid w:val="005A44E1"/>
    <w:rsid w:val="005A4BC4"/>
    <w:rsid w:val="005A6C3D"/>
    <w:rsid w:val="005A7821"/>
    <w:rsid w:val="005A7FD5"/>
    <w:rsid w:val="005B0CF4"/>
    <w:rsid w:val="005B308C"/>
    <w:rsid w:val="005B4245"/>
    <w:rsid w:val="005B56B6"/>
    <w:rsid w:val="005B6011"/>
    <w:rsid w:val="005B7788"/>
    <w:rsid w:val="005B7AF7"/>
    <w:rsid w:val="005C040A"/>
    <w:rsid w:val="005C0F82"/>
    <w:rsid w:val="005C1B62"/>
    <w:rsid w:val="005C1FD8"/>
    <w:rsid w:val="005C22F4"/>
    <w:rsid w:val="005C2409"/>
    <w:rsid w:val="005C27BF"/>
    <w:rsid w:val="005C3DFA"/>
    <w:rsid w:val="005C4C8E"/>
    <w:rsid w:val="005D18C4"/>
    <w:rsid w:val="005D39FF"/>
    <w:rsid w:val="005D3CDA"/>
    <w:rsid w:val="005D5191"/>
    <w:rsid w:val="005D55E2"/>
    <w:rsid w:val="005D60E6"/>
    <w:rsid w:val="005D65F0"/>
    <w:rsid w:val="005D6BA3"/>
    <w:rsid w:val="005D6D9A"/>
    <w:rsid w:val="005D7BAB"/>
    <w:rsid w:val="005E271E"/>
    <w:rsid w:val="005E28F6"/>
    <w:rsid w:val="005E298A"/>
    <w:rsid w:val="005E37A5"/>
    <w:rsid w:val="005E5171"/>
    <w:rsid w:val="005E53F2"/>
    <w:rsid w:val="005E5AA9"/>
    <w:rsid w:val="005E5F63"/>
    <w:rsid w:val="005E66AF"/>
    <w:rsid w:val="005E778B"/>
    <w:rsid w:val="005F04DD"/>
    <w:rsid w:val="005F0731"/>
    <w:rsid w:val="005F2224"/>
    <w:rsid w:val="005F3570"/>
    <w:rsid w:val="005F3D92"/>
    <w:rsid w:val="005F4FBD"/>
    <w:rsid w:val="005F7DBA"/>
    <w:rsid w:val="00600D3A"/>
    <w:rsid w:val="00600D5A"/>
    <w:rsid w:val="00600EEB"/>
    <w:rsid w:val="006015E8"/>
    <w:rsid w:val="00605664"/>
    <w:rsid w:val="0060566A"/>
    <w:rsid w:val="006066BC"/>
    <w:rsid w:val="00606BA8"/>
    <w:rsid w:val="00606D50"/>
    <w:rsid w:val="00606FA2"/>
    <w:rsid w:val="0060732A"/>
    <w:rsid w:val="006109D5"/>
    <w:rsid w:val="00610E94"/>
    <w:rsid w:val="006123D8"/>
    <w:rsid w:val="00612F51"/>
    <w:rsid w:val="0061678C"/>
    <w:rsid w:val="00616A9F"/>
    <w:rsid w:val="006209C9"/>
    <w:rsid w:val="00623C14"/>
    <w:rsid w:val="006252EA"/>
    <w:rsid w:val="00626ED1"/>
    <w:rsid w:val="00627157"/>
    <w:rsid w:val="0063007B"/>
    <w:rsid w:val="006305E9"/>
    <w:rsid w:val="00630CEC"/>
    <w:rsid w:val="0063256A"/>
    <w:rsid w:val="00632CA8"/>
    <w:rsid w:val="0063343F"/>
    <w:rsid w:val="006347D3"/>
    <w:rsid w:val="0063637D"/>
    <w:rsid w:val="006372C2"/>
    <w:rsid w:val="00640E1C"/>
    <w:rsid w:val="00642D64"/>
    <w:rsid w:val="00643773"/>
    <w:rsid w:val="00645D1C"/>
    <w:rsid w:val="00645D8D"/>
    <w:rsid w:val="006478A3"/>
    <w:rsid w:val="00652451"/>
    <w:rsid w:val="00653207"/>
    <w:rsid w:val="00653E80"/>
    <w:rsid w:val="00654103"/>
    <w:rsid w:val="0065454A"/>
    <w:rsid w:val="00655D1F"/>
    <w:rsid w:val="00655E78"/>
    <w:rsid w:val="006564F4"/>
    <w:rsid w:val="006573A2"/>
    <w:rsid w:val="0065777B"/>
    <w:rsid w:val="00657A09"/>
    <w:rsid w:val="00661569"/>
    <w:rsid w:val="00661714"/>
    <w:rsid w:val="00662183"/>
    <w:rsid w:val="006636FE"/>
    <w:rsid w:val="00666D36"/>
    <w:rsid w:val="00667504"/>
    <w:rsid w:val="0066762F"/>
    <w:rsid w:val="00672A58"/>
    <w:rsid w:val="0067428D"/>
    <w:rsid w:val="00675973"/>
    <w:rsid w:val="006777ED"/>
    <w:rsid w:val="00677842"/>
    <w:rsid w:val="00680C7B"/>
    <w:rsid w:val="006818E6"/>
    <w:rsid w:val="00683860"/>
    <w:rsid w:val="00684827"/>
    <w:rsid w:val="006848D3"/>
    <w:rsid w:val="00684AFC"/>
    <w:rsid w:val="006863E6"/>
    <w:rsid w:val="00686697"/>
    <w:rsid w:val="00686722"/>
    <w:rsid w:val="00686EDA"/>
    <w:rsid w:val="00686F4F"/>
    <w:rsid w:val="006875AC"/>
    <w:rsid w:val="00691386"/>
    <w:rsid w:val="00691806"/>
    <w:rsid w:val="006926EA"/>
    <w:rsid w:val="00692813"/>
    <w:rsid w:val="00693D0A"/>
    <w:rsid w:val="00695BC4"/>
    <w:rsid w:val="006A1A72"/>
    <w:rsid w:val="006A377C"/>
    <w:rsid w:val="006A39FB"/>
    <w:rsid w:val="006A3FB7"/>
    <w:rsid w:val="006A4167"/>
    <w:rsid w:val="006A51ED"/>
    <w:rsid w:val="006A5FB7"/>
    <w:rsid w:val="006A6D2B"/>
    <w:rsid w:val="006A778E"/>
    <w:rsid w:val="006B1E9F"/>
    <w:rsid w:val="006B705E"/>
    <w:rsid w:val="006C2185"/>
    <w:rsid w:val="006C43B2"/>
    <w:rsid w:val="006C5259"/>
    <w:rsid w:val="006C5D2C"/>
    <w:rsid w:val="006C65A3"/>
    <w:rsid w:val="006C6A11"/>
    <w:rsid w:val="006D0ED8"/>
    <w:rsid w:val="006D1884"/>
    <w:rsid w:val="006D34AA"/>
    <w:rsid w:val="006D6EE7"/>
    <w:rsid w:val="006D6F00"/>
    <w:rsid w:val="006D7126"/>
    <w:rsid w:val="006E3A53"/>
    <w:rsid w:val="006E41DF"/>
    <w:rsid w:val="006E4854"/>
    <w:rsid w:val="006E4917"/>
    <w:rsid w:val="006E4D20"/>
    <w:rsid w:val="006E5B27"/>
    <w:rsid w:val="006E5E9E"/>
    <w:rsid w:val="006E619E"/>
    <w:rsid w:val="006E652F"/>
    <w:rsid w:val="006E739D"/>
    <w:rsid w:val="006F0A6E"/>
    <w:rsid w:val="006F0F7E"/>
    <w:rsid w:val="006F2729"/>
    <w:rsid w:val="006F4658"/>
    <w:rsid w:val="006F4F49"/>
    <w:rsid w:val="006F523F"/>
    <w:rsid w:val="006F7E13"/>
    <w:rsid w:val="00703B2E"/>
    <w:rsid w:val="00706FFA"/>
    <w:rsid w:val="007079C8"/>
    <w:rsid w:val="00710AD0"/>
    <w:rsid w:val="00710AE6"/>
    <w:rsid w:val="007116B5"/>
    <w:rsid w:val="00711BE9"/>
    <w:rsid w:val="007143E2"/>
    <w:rsid w:val="007154E8"/>
    <w:rsid w:val="0071558B"/>
    <w:rsid w:val="0071585D"/>
    <w:rsid w:val="00717D15"/>
    <w:rsid w:val="00720227"/>
    <w:rsid w:val="00720795"/>
    <w:rsid w:val="00722846"/>
    <w:rsid w:val="0072288F"/>
    <w:rsid w:val="007230D5"/>
    <w:rsid w:val="007233A0"/>
    <w:rsid w:val="00724F9F"/>
    <w:rsid w:val="00725337"/>
    <w:rsid w:val="00725630"/>
    <w:rsid w:val="007263F5"/>
    <w:rsid w:val="00726D33"/>
    <w:rsid w:val="00730258"/>
    <w:rsid w:val="00731096"/>
    <w:rsid w:val="007331D9"/>
    <w:rsid w:val="007352B7"/>
    <w:rsid w:val="00735D5A"/>
    <w:rsid w:val="00740D34"/>
    <w:rsid w:val="00744F0B"/>
    <w:rsid w:val="00745739"/>
    <w:rsid w:val="00745A46"/>
    <w:rsid w:val="00746845"/>
    <w:rsid w:val="00747A1F"/>
    <w:rsid w:val="007534BC"/>
    <w:rsid w:val="0075510E"/>
    <w:rsid w:val="00756458"/>
    <w:rsid w:val="00760301"/>
    <w:rsid w:val="0076146F"/>
    <w:rsid w:val="0076195A"/>
    <w:rsid w:val="00762EB4"/>
    <w:rsid w:val="00763164"/>
    <w:rsid w:val="0076457C"/>
    <w:rsid w:val="007657CD"/>
    <w:rsid w:val="00766A55"/>
    <w:rsid w:val="00766BC4"/>
    <w:rsid w:val="00767016"/>
    <w:rsid w:val="007673BE"/>
    <w:rsid w:val="00770BB1"/>
    <w:rsid w:val="00771815"/>
    <w:rsid w:val="007725E7"/>
    <w:rsid w:val="00773665"/>
    <w:rsid w:val="007743B4"/>
    <w:rsid w:val="00774947"/>
    <w:rsid w:val="00774AA2"/>
    <w:rsid w:val="00776312"/>
    <w:rsid w:val="00776EAA"/>
    <w:rsid w:val="00777F71"/>
    <w:rsid w:val="00781EF6"/>
    <w:rsid w:val="00784686"/>
    <w:rsid w:val="00784D52"/>
    <w:rsid w:val="00787FE5"/>
    <w:rsid w:val="00791431"/>
    <w:rsid w:val="00791B33"/>
    <w:rsid w:val="00792038"/>
    <w:rsid w:val="00793F88"/>
    <w:rsid w:val="007956C0"/>
    <w:rsid w:val="007976F5"/>
    <w:rsid w:val="007A13C3"/>
    <w:rsid w:val="007A2B2C"/>
    <w:rsid w:val="007A3730"/>
    <w:rsid w:val="007A38B8"/>
    <w:rsid w:val="007A68C5"/>
    <w:rsid w:val="007A6C88"/>
    <w:rsid w:val="007B0A26"/>
    <w:rsid w:val="007B1FAC"/>
    <w:rsid w:val="007B3BCF"/>
    <w:rsid w:val="007B4548"/>
    <w:rsid w:val="007B7A4B"/>
    <w:rsid w:val="007C0874"/>
    <w:rsid w:val="007C23CD"/>
    <w:rsid w:val="007C265F"/>
    <w:rsid w:val="007C3193"/>
    <w:rsid w:val="007C3840"/>
    <w:rsid w:val="007C3BD8"/>
    <w:rsid w:val="007C446A"/>
    <w:rsid w:val="007C54B2"/>
    <w:rsid w:val="007C5FF0"/>
    <w:rsid w:val="007D1E26"/>
    <w:rsid w:val="007D1E32"/>
    <w:rsid w:val="007D3CB4"/>
    <w:rsid w:val="007D6232"/>
    <w:rsid w:val="007D706E"/>
    <w:rsid w:val="007E0CE8"/>
    <w:rsid w:val="007E1790"/>
    <w:rsid w:val="007E27F4"/>
    <w:rsid w:val="007E3184"/>
    <w:rsid w:val="007E49D1"/>
    <w:rsid w:val="007E51AB"/>
    <w:rsid w:val="007F02E3"/>
    <w:rsid w:val="007F40F7"/>
    <w:rsid w:val="007F72D7"/>
    <w:rsid w:val="007F7622"/>
    <w:rsid w:val="007F7843"/>
    <w:rsid w:val="00800206"/>
    <w:rsid w:val="00801AC0"/>
    <w:rsid w:val="00802F5D"/>
    <w:rsid w:val="008052A4"/>
    <w:rsid w:val="00805CEB"/>
    <w:rsid w:val="00805E49"/>
    <w:rsid w:val="00807B74"/>
    <w:rsid w:val="00810884"/>
    <w:rsid w:val="00811E87"/>
    <w:rsid w:val="008129C3"/>
    <w:rsid w:val="0081346E"/>
    <w:rsid w:val="00815D70"/>
    <w:rsid w:val="008166C5"/>
    <w:rsid w:val="00821397"/>
    <w:rsid w:val="00822BC0"/>
    <w:rsid w:val="00822DD9"/>
    <w:rsid w:val="00824B77"/>
    <w:rsid w:val="00825B61"/>
    <w:rsid w:val="00827B49"/>
    <w:rsid w:val="0083110B"/>
    <w:rsid w:val="0083142F"/>
    <w:rsid w:val="0083481E"/>
    <w:rsid w:val="008350BE"/>
    <w:rsid w:val="00835591"/>
    <w:rsid w:val="008363E0"/>
    <w:rsid w:val="0083692F"/>
    <w:rsid w:val="008374C3"/>
    <w:rsid w:val="0083769B"/>
    <w:rsid w:val="0083788A"/>
    <w:rsid w:val="0083799A"/>
    <w:rsid w:val="008402F6"/>
    <w:rsid w:val="00841D61"/>
    <w:rsid w:val="008433F8"/>
    <w:rsid w:val="008434B6"/>
    <w:rsid w:val="00843DAC"/>
    <w:rsid w:val="0084437D"/>
    <w:rsid w:val="00845089"/>
    <w:rsid w:val="00845D8C"/>
    <w:rsid w:val="00846309"/>
    <w:rsid w:val="008467B2"/>
    <w:rsid w:val="00847517"/>
    <w:rsid w:val="00850BD2"/>
    <w:rsid w:val="00852625"/>
    <w:rsid w:val="0085382A"/>
    <w:rsid w:val="00853E10"/>
    <w:rsid w:val="00854C92"/>
    <w:rsid w:val="0085551D"/>
    <w:rsid w:val="00860134"/>
    <w:rsid w:val="008618EA"/>
    <w:rsid w:val="008621D0"/>
    <w:rsid w:val="0086345E"/>
    <w:rsid w:val="00863A1D"/>
    <w:rsid w:val="00870041"/>
    <w:rsid w:val="00871FA1"/>
    <w:rsid w:val="00872A1C"/>
    <w:rsid w:val="00872D63"/>
    <w:rsid w:val="00874381"/>
    <w:rsid w:val="008757B5"/>
    <w:rsid w:val="008759C4"/>
    <w:rsid w:val="008768C0"/>
    <w:rsid w:val="008810B2"/>
    <w:rsid w:val="00881F19"/>
    <w:rsid w:val="00882C1F"/>
    <w:rsid w:val="008839BB"/>
    <w:rsid w:val="00883A00"/>
    <w:rsid w:val="00885218"/>
    <w:rsid w:val="0088586B"/>
    <w:rsid w:val="0088796B"/>
    <w:rsid w:val="0089074F"/>
    <w:rsid w:val="00890D65"/>
    <w:rsid w:val="00891205"/>
    <w:rsid w:val="008916CF"/>
    <w:rsid w:val="00891B59"/>
    <w:rsid w:val="00891C57"/>
    <w:rsid w:val="0089400B"/>
    <w:rsid w:val="0089450E"/>
    <w:rsid w:val="00894EB3"/>
    <w:rsid w:val="0089580E"/>
    <w:rsid w:val="008959F2"/>
    <w:rsid w:val="008963A5"/>
    <w:rsid w:val="00896525"/>
    <w:rsid w:val="00896A1C"/>
    <w:rsid w:val="00897BD3"/>
    <w:rsid w:val="008A1891"/>
    <w:rsid w:val="008A5981"/>
    <w:rsid w:val="008A6F7E"/>
    <w:rsid w:val="008A7D23"/>
    <w:rsid w:val="008A7F45"/>
    <w:rsid w:val="008B1C51"/>
    <w:rsid w:val="008B200C"/>
    <w:rsid w:val="008B2CA3"/>
    <w:rsid w:val="008B3EF9"/>
    <w:rsid w:val="008B673E"/>
    <w:rsid w:val="008B6AFE"/>
    <w:rsid w:val="008C1040"/>
    <w:rsid w:val="008C113D"/>
    <w:rsid w:val="008C18CB"/>
    <w:rsid w:val="008C2157"/>
    <w:rsid w:val="008C3E2A"/>
    <w:rsid w:val="008C4241"/>
    <w:rsid w:val="008C5B7F"/>
    <w:rsid w:val="008D0389"/>
    <w:rsid w:val="008D0F5F"/>
    <w:rsid w:val="008D16B5"/>
    <w:rsid w:val="008D245B"/>
    <w:rsid w:val="008D256E"/>
    <w:rsid w:val="008E114D"/>
    <w:rsid w:val="008E224B"/>
    <w:rsid w:val="008E2395"/>
    <w:rsid w:val="008E4A35"/>
    <w:rsid w:val="008E5098"/>
    <w:rsid w:val="008E5BB6"/>
    <w:rsid w:val="008E5F4E"/>
    <w:rsid w:val="008E6ADB"/>
    <w:rsid w:val="008E763E"/>
    <w:rsid w:val="008F078B"/>
    <w:rsid w:val="008F199B"/>
    <w:rsid w:val="008F31F9"/>
    <w:rsid w:val="008F473E"/>
    <w:rsid w:val="008F54B6"/>
    <w:rsid w:val="008F57CD"/>
    <w:rsid w:val="008F5BC5"/>
    <w:rsid w:val="008F7A25"/>
    <w:rsid w:val="0090036C"/>
    <w:rsid w:val="00901EC1"/>
    <w:rsid w:val="009048B5"/>
    <w:rsid w:val="0090694E"/>
    <w:rsid w:val="00906A43"/>
    <w:rsid w:val="009071CD"/>
    <w:rsid w:val="00907476"/>
    <w:rsid w:val="00907FCE"/>
    <w:rsid w:val="00910758"/>
    <w:rsid w:val="00910FE0"/>
    <w:rsid w:val="00914A33"/>
    <w:rsid w:val="00914BE2"/>
    <w:rsid w:val="00914D75"/>
    <w:rsid w:val="00914FF7"/>
    <w:rsid w:val="00915DFE"/>
    <w:rsid w:val="009165AC"/>
    <w:rsid w:val="009165BD"/>
    <w:rsid w:val="00916EDA"/>
    <w:rsid w:val="00921AF2"/>
    <w:rsid w:val="00921E62"/>
    <w:rsid w:val="00923AD7"/>
    <w:rsid w:val="00924472"/>
    <w:rsid w:val="00926C17"/>
    <w:rsid w:val="00927480"/>
    <w:rsid w:val="00927EAC"/>
    <w:rsid w:val="00930485"/>
    <w:rsid w:val="00930DA5"/>
    <w:rsid w:val="009315A0"/>
    <w:rsid w:val="00935391"/>
    <w:rsid w:val="00935643"/>
    <w:rsid w:val="00936576"/>
    <w:rsid w:val="00936E13"/>
    <w:rsid w:val="009371FB"/>
    <w:rsid w:val="00937B24"/>
    <w:rsid w:val="00940A33"/>
    <w:rsid w:val="009418E7"/>
    <w:rsid w:val="00942804"/>
    <w:rsid w:val="009429D0"/>
    <w:rsid w:val="00946255"/>
    <w:rsid w:val="00947900"/>
    <w:rsid w:val="00947A88"/>
    <w:rsid w:val="00952049"/>
    <w:rsid w:val="0095217F"/>
    <w:rsid w:val="00952D9A"/>
    <w:rsid w:val="0095442E"/>
    <w:rsid w:val="00956840"/>
    <w:rsid w:val="0095771E"/>
    <w:rsid w:val="00960579"/>
    <w:rsid w:val="00961B4F"/>
    <w:rsid w:val="0096248D"/>
    <w:rsid w:val="009626BE"/>
    <w:rsid w:val="00963524"/>
    <w:rsid w:val="0096357B"/>
    <w:rsid w:val="00963F67"/>
    <w:rsid w:val="00967A57"/>
    <w:rsid w:val="00967CCD"/>
    <w:rsid w:val="00972F0A"/>
    <w:rsid w:val="00974570"/>
    <w:rsid w:val="00976DFA"/>
    <w:rsid w:val="00976E5B"/>
    <w:rsid w:val="0097784D"/>
    <w:rsid w:val="00977947"/>
    <w:rsid w:val="00977E6B"/>
    <w:rsid w:val="00981CD7"/>
    <w:rsid w:val="0098207E"/>
    <w:rsid w:val="0098313D"/>
    <w:rsid w:val="009838FD"/>
    <w:rsid w:val="009851DD"/>
    <w:rsid w:val="00985B5C"/>
    <w:rsid w:val="00985B6C"/>
    <w:rsid w:val="00986114"/>
    <w:rsid w:val="00990482"/>
    <w:rsid w:val="009907B0"/>
    <w:rsid w:val="00992CB4"/>
    <w:rsid w:val="0099443F"/>
    <w:rsid w:val="00995641"/>
    <w:rsid w:val="00995678"/>
    <w:rsid w:val="009969F7"/>
    <w:rsid w:val="009A17E4"/>
    <w:rsid w:val="009A2727"/>
    <w:rsid w:val="009A380D"/>
    <w:rsid w:val="009A3CC7"/>
    <w:rsid w:val="009A49FB"/>
    <w:rsid w:val="009A5D7C"/>
    <w:rsid w:val="009A6615"/>
    <w:rsid w:val="009A673F"/>
    <w:rsid w:val="009B3642"/>
    <w:rsid w:val="009B49BE"/>
    <w:rsid w:val="009B4C18"/>
    <w:rsid w:val="009B5546"/>
    <w:rsid w:val="009B625A"/>
    <w:rsid w:val="009B639C"/>
    <w:rsid w:val="009B6421"/>
    <w:rsid w:val="009C0CFA"/>
    <w:rsid w:val="009C310A"/>
    <w:rsid w:val="009C4189"/>
    <w:rsid w:val="009C4F6A"/>
    <w:rsid w:val="009C5407"/>
    <w:rsid w:val="009C6860"/>
    <w:rsid w:val="009C6DB6"/>
    <w:rsid w:val="009C721A"/>
    <w:rsid w:val="009C755D"/>
    <w:rsid w:val="009C7BA6"/>
    <w:rsid w:val="009D174D"/>
    <w:rsid w:val="009D206B"/>
    <w:rsid w:val="009D2798"/>
    <w:rsid w:val="009D2C7F"/>
    <w:rsid w:val="009D3621"/>
    <w:rsid w:val="009D436F"/>
    <w:rsid w:val="009D4AFE"/>
    <w:rsid w:val="009D5493"/>
    <w:rsid w:val="009D57A9"/>
    <w:rsid w:val="009D5956"/>
    <w:rsid w:val="009D6AED"/>
    <w:rsid w:val="009E0163"/>
    <w:rsid w:val="009E0212"/>
    <w:rsid w:val="009E0D59"/>
    <w:rsid w:val="009E10B8"/>
    <w:rsid w:val="009E3037"/>
    <w:rsid w:val="009E31B0"/>
    <w:rsid w:val="009E3A83"/>
    <w:rsid w:val="009E4E46"/>
    <w:rsid w:val="009E4F7D"/>
    <w:rsid w:val="009E57DF"/>
    <w:rsid w:val="009E5A15"/>
    <w:rsid w:val="009E741B"/>
    <w:rsid w:val="009F0B41"/>
    <w:rsid w:val="009F232A"/>
    <w:rsid w:val="009F39E2"/>
    <w:rsid w:val="00A025A3"/>
    <w:rsid w:val="00A05484"/>
    <w:rsid w:val="00A06007"/>
    <w:rsid w:val="00A07BBA"/>
    <w:rsid w:val="00A07FA3"/>
    <w:rsid w:val="00A1069E"/>
    <w:rsid w:val="00A120E6"/>
    <w:rsid w:val="00A135FE"/>
    <w:rsid w:val="00A1456B"/>
    <w:rsid w:val="00A16C1E"/>
    <w:rsid w:val="00A16E32"/>
    <w:rsid w:val="00A17331"/>
    <w:rsid w:val="00A17BC5"/>
    <w:rsid w:val="00A17FE4"/>
    <w:rsid w:val="00A20B3E"/>
    <w:rsid w:val="00A21F1D"/>
    <w:rsid w:val="00A226A9"/>
    <w:rsid w:val="00A236F8"/>
    <w:rsid w:val="00A23CBE"/>
    <w:rsid w:val="00A25265"/>
    <w:rsid w:val="00A257E7"/>
    <w:rsid w:val="00A258D2"/>
    <w:rsid w:val="00A26515"/>
    <w:rsid w:val="00A308AA"/>
    <w:rsid w:val="00A30B1D"/>
    <w:rsid w:val="00A321BE"/>
    <w:rsid w:val="00A35228"/>
    <w:rsid w:val="00A35433"/>
    <w:rsid w:val="00A357E6"/>
    <w:rsid w:val="00A35E4D"/>
    <w:rsid w:val="00A40C5D"/>
    <w:rsid w:val="00A418A9"/>
    <w:rsid w:val="00A4213D"/>
    <w:rsid w:val="00A44D08"/>
    <w:rsid w:val="00A46C16"/>
    <w:rsid w:val="00A512C2"/>
    <w:rsid w:val="00A539CE"/>
    <w:rsid w:val="00A53B8D"/>
    <w:rsid w:val="00A54351"/>
    <w:rsid w:val="00A54959"/>
    <w:rsid w:val="00A55894"/>
    <w:rsid w:val="00A577B4"/>
    <w:rsid w:val="00A57E6E"/>
    <w:rsid w:val="00A61246"/>
    <w:rsid w:val="00A61E8A"/>
    <w:rsid w:val="00A6316F"/>
    <w:rsid w:val="00A632C2"/>
    <w:rsid w:val="00A63BC9"/>
    <w:rsid w:val="00A64535"/>
    <w:rsid w:val="00A658CC"/>
    <w:rsid w:val="00A65FC8"/>
    <w:rsid w:val="00A66A54"/>
    <w:rsid w:val="00A73164"/>
    <w:rsid w:val="00A7417B"/>
    <w:rsid w:val="00A74782"/>
    <w:rsid w:val="00A755D3"/>
    <w:rsid w:val="00A75CEE"/>
    <w:rsid w:val="00A7733C"/>
    <w:rsid w:val="00A77A30"/>
    <w:rsid w:val="00A77C26"/>
    <w:rsid w:val="00A82217"/>
    <w:rsid w:val="00A846A0"/>
    <w:rsid w:val="00A8585B"/>
    <w:rsid w:val="00A86522"/>
    <w:rsid w:val="00A86850"/>
    <w:rsid w:val="00A870B8"/>
    <w:rsid w:val="00A875A4"/>
    <w:rsid w:val="00A876CE"/>
    <w:rsid w:val="00A9195F"/>
    <w:rsid w:val="00A941A9"/>
    <w:rsid w:val="00A942D6"/>
    <w:rsid w:val="00A9442F"/>
    <w:rsid w:val="00A94596"/>
    <w:rsid w:val="00A94E64"/>
    <w:rsid w:val="00A95A11"/>
    <w:rsid w:val="00A9639B"/>
    <w:rsid w:val="00A97E22"/>
    <w:rsid w:val="00AA0A69"/>
    <w:rsid w:val="00AA4DB9"/>
    <w:rsid w:val="00AA5089"/>
    <w:rsid w:val="00AA5743"/>
    <w:rsid w:val="00AB14F3"/>
    <w:rsid w:val="00AB25A1"/>
    <w:rsid w:val="00AB3D09"/>
    <w:rsid w:val="00AB485B"/>
    <w:rsid w:val="00AB4A97"/>
    <w:rsid w:val="00AB5E3B"/>
    <w:rsid w:val="00AB5F89"/>
    <w:rsid w:val="00AB6068"/>
    <w:rsid w:val="00AB6794"/>
    <w:rsid w:val="00AC02D8"/>
    <w:rsid w:val="00AC1FCA"/>
    <w:rsid w:val="00AC2530"/>
    <w:rsid w:val="00AC2909"/>
    <w:rsid w:val="00AC3634"/>
    <w:rsid w:val="00AC7997"/>
    <w:rsid w:val="00AD021D"/>
    <w:rsid w:val="00AD1217"/>
    <w:rsid w:val="00AD1A96"/>
    <w:rsid w:val="00AD37C6"/>
    <w:rsid w:val="00AD37F9"/>
    <w:rsid w:val="00AD385F"/>
    <w:rsid w:val="00AD3AB7"/>
    <w:rsid w:val="00AD4F74"/>
    <w:rsid w:val="00AD587A"/>
    <w:rsid w:val="00AD5944"/>
    <w:rsid w:val="00AD7ACF"/>
    <w:rsid w:val="00AE0AB8"/>
    <w:rsid w:val="00AE0CDB"/>
    <w:rsid w:val="00AE0E9B"/>
    <w:rsid w:val="00AE202A"/>
    <w:rsid w:val="00AE2213"/>
    <w:rsid w:val="00AE233D"/>
    <w:rsid w:val="00AE2984"/>
    <w:rsid w:val="00AE49FB"/>
    <w:rsid w:val="00AE55D2"/>
    <w:rsid w:val="00AE6E4D"/>
    <w:rsid w:val="00AE7823"/>
    <w:rsid w:val="00AF2CA4"/>
    <w:rsid w:val="00AF319C"/>
    <w:rsid w:val="00AF3E65"/>
    <w:rsid w:val="00B00AA3"/>
    <w:rsid w:val="00B01139"/>
    <w:rsid w:val="00B024FA"/>
    <w:rsid w:val="00B03119"/>
    <w:rsid w:val="00B03237"/>
    <w:rsid w:val="00B03F6F"/>
    <w:rsid w:val="00B04D48"/>
    <w:rsid w:val="00B05D56"/>
    <w:rsid w:val="00B062D4"/>
    <w:rsid w:val="00B06D01"/>
    <w:rsid w:val="00B10188"/>
    <w:rsid w:val="00B104E3"/>
    <w:rsid w:val="00B10A23"/>
    <w:rsid w:val="00B1237E"/>
    <w:rsid w:val="00B1248D"/>
    <w:rsid w:val="00B13441"/>
    <w:rsid w:val="00B1531D"/>
    <w:rsid w:val="00B2251E"/>
    <w:rsid w:val="00B2323F"/>
    <w:rsid w:val="00B25707"/>
    <w:rsid w:val="00B2742B"/>
    <w:rsid w:val="00B312D1"/>
    <w:rsid w:val="00B31FAF"/>
    <w:rsid w:val="00B33786"/>
    <w:rsid w:val="00B33EE6"/>
    <w:rsid w:val="00B35D3F"/>
    <w:rsid w:val="00B37E05"/>
    <w:rsid w:val="00B40900"/>
    <w:rsid w:val="00B40BF6"/>
    <w:rsid w:val="00B4469D"/>
    <w:rsid w:val="00B44ED3"/>
    <w:rsid w:val="00B45B44"/>
    <w:rsid w:val="00B46A74"/>
    <w:rsid w:val="00B470F2"/>
    <w:rsid w:val="00B4759A"/>
    <w:rsid w:val="00B47BF6"/>
    <w:rsid w:val="00B50949"/>
    <w:rsid w:val="00B51D72"/>
    <w:rsid w:val="00B5266C"/>
    <w:rsid w:val="00B52A32"/>
    <w:rsid w:val="00B5310B"/>
    <w:rsid w:val="00B5335A"/>
    <w:rsid w:val="00B555A9"/>
    <w:rsid w:val="00B55BB7"/>
    <w:rsid w:val="00B618E7"/>
    <w:rsid w:val="00B62F86"/>
    <w:rsid w:val="00B64F15"/>
    <w:rsid w:val="00B66A7E"/>
    <w:rsid w:val="00B66DDA"/>
    <w:rsid w:val="00B70113"/>
    <w:rsid w:val="00B703BD"/>
    <w:rsid w:val="00B710FE"/>
    <w:rsid w:val="00B724FF"/>
    <w:rsid w:val="00B72C71"/>
    <w:rsid w:val="00B74120"/>
    <w:rsid w:val="00B7425F"/>
    <w:rsid w:val="00B763DA"/>
    <w:rsid w:val="00B765BD"/>
    <w:rsid w:val="00B768D3"/>
    <w:rsid w:val="00B8135B"/>
    <w:rsid w:val="00B81873"/>
    <w:rsid w:val="00B8244F"/>
    <w:rsid w:val="00B8348E"/>
    <w:rsid w:val="00B85411"/>
    <w:rsid w:val="00B858D8"/>
    <w:rsid w:val="00B870C9"/>
    <w:rsid w:val="00B87380"/>
    <w:rsid w:val="00B95C5E"/>
    <w:rsid w:val="00B95FFA"/>
    <w:rsid w:val="00B97F55"/>
    <w:rsid w:val="00BA0048"/>
    <w:rsid w:val="00BA0F28"/>
    <w:rsid w:val="00BA307F"/>
    <w:rsid w:val="00BA587E"/>
    <w:rsid w:val="00BA5924"/>
    <w:rsid w:val="00BA6BE1"/>
    <w:rsid w:val="00BB08B4"/>
    <w:rsid w:val="00BB0E26"/>
    <w:rsid w:val="00BB1E3F"/>
    <w:rsid w:val="00BB58E1"/>
    <w:rsid w:val="00BB7A3B"/>
    <w:rsid w:val="00BB7AF0"/>
    <w:rsid w:val="00BC235A"/>
    <w:rsid w:val="00BC2A26"/>
    <w:rsid w:val="00BC3200"/>
    <w:rsid w:val="00BC33F8"/>
    <w:rsid w:val="00BC5DFA"/>
    <w:rsid w:val="00BC6AD6"/>
    <w:rsid w:val="00BC77EC"/>
    <w:rsid w:val="00BD0DFD"/>
    <w:rsid w:val="00BD1F6B"/>
    <w:rsid w:val="00BD2040"/>
    <w:rsid w:val="00BD377D"/>
    <w:rsid w:val="00BD6D1E"/>
    <w:rsid w:val="00BD71D9"/>
    <w:rsid w:val="00BD7A5C"/>
    <w:rsid w:val="00BE1271"/>
    <w:rsid w:val="00BE1665"/>
    <w:rsid w:val="00BE2DD1"/>
    <w:rsid w:val="00BE3B2F"/>
    <w:rsid w:val="00BE4CF4"/>
    <w:rsid w:val="00BE685A"/>
    <w:rsid w:val="00BE7378"/>
    <w:rsid w:val="00BF120C"/>
    <w:rsid w:val="00BF3EBB"/>
    <w:rsid w:val="00BF4A16"/>
    <w:rsid w:val="00BF6190"/>
    <w:rsid w:val="00BF6314"/>
    <w:rsid w:val="00BF6ED4"/>
    <w:rsid w:val="00C014D9"/>
    <w:rsid w:val="00C018B3"/>
    <w:rsid w:val="00C05B2D"/>
    <w:rsid w:val="00C0646D"/>
    <w:rsid w:val="00C07BE7"/>
    <w:rsid w:val="00C109D0"/>
    <w:rsid w:val="00C115CA"/>
    <w:rsid w:val="00C118EA"/>
    <w:rsid w:val="00C12A41"/>
    <w:rsid w:val="00C13385"/>
    <w:rsid w:val="00C15B3E"/>
    <w:rsid w:val="00C16B05"/>
    <w:rsid w:val="00C173BD"/>
    <w:rsid w:val="00C17614"/>
    <w:rsid w:val="00C2338D"/>
    <w:rsid w:val="00C23E92"/>
    <w:rsid w:val="00C2454C"/>
    <w:rsid w:val="00C255C6"/>
    <w:rsid w:val="00C25778"/>
    <w:rsid w:val="00C263D1"/>
    <w:rsid w:val="00C312EB"/>
    <w:rsid w:val="00C31C4B"/>
    <w:rsid w:val="00C34297"/>
    <w:rsid w:val="00C34A0F"/>
    <w:rsid w:val="00C36421"/>
    <w:rsid w:val="00C36583"/>
    <w:rsid w:val="00C36856"/>
    <w:rsid w:val="00C3715A"/>
    <w:rsid w:val="00C378D1"/>
    <w:rsid w:val="00C41AE3"/>
    <w:rsid w:val="00C41D62"/>
    <w:rsid w:val="00C42565"/>
    <w:rsid w:val="00C4262D"/>
    <w:rsid w:val="00C43287"/>
    <w:rsid w:val="00C4443F"/>
    <w:rsid w:val="00C44A1D"/>
    <w:rsid w:val="00C44FAA"/>
    <w:rsid w:val="00C453DB"/>
    <w:rsid w:val="00C45C55"/>
    <w:rsid w:val="00C4618C"/>
    <w:rsid w:val="00C468D8"/>
    <w:rsid w:val="00C47B81"/>
    <w:rsid w:val="00C50521"/>
    <w:rsid w:val="00C50E45"/>
    <w:rsid w:val="00C51206"/>
    <w:rsid w:val="00C51EBB"/>
    <w:rsid w:val="00C52498"/>
    <w:rsid w:val="00C531EE"/>
    <w:rsid w:val="00C55297"/>
    <w:rsid w:val="00C553EE"/>
    <w:rsid w:val="00C55400"/>
    <w:rsid w:val="00C5552F"/>
    <w:rsid w:val="00C55D94"/>
    <w:rsid w:val="00C61065"/>
    <w:rsid w:val="00C61560"/>
    <w:rsid w:val="00C630F2"/>
    <w:rsid w:val="00C63588"/>
    <w:rsid w:val="00C64299"/>
    <w:rsid w:val="00C65F26"/>
    <w:rsid w:val="00C662E2"/>
    <w:rsid w:val="00C7081E"/>
    <w:rsid w:val="00C71954"/>
    <w:rsid w:val="00C74EA7"/>
    <w:rsid w:val="00C75693"/>
    <w:rsid w:val="00C75D37"/>
    <w:rsid w:val="00C76C1B"/>
    <w:rsid w:val="00C7713B"/>
    <w:rsid w:val="00C800F8"/>
    <w:rsid w:val="00C80826"/>
    <w:rsid w:val="00C80999"/>
    <w:rsid w:val="00C81EF5"/>
    <w:rsid w:val="00C82345"/>
    <w:rsid w:val="00C840CC"/>
    <w:rsid w:val="00C86C6A"/>
    <w:rsid w:val="00C902D9"/>
    <w:rsid w:val="00C903C4"/>
    <w:rsid w:val="00C9192A"/>
    <w:rsid w:val="00C93555"/>
    <w:rsid w:val="00C93D05"/>
    <w:rsid w:val="00C93E98"/>
    <w:rsid w:val="00C94F64"/>
    <w:rsid w:val="00C9617B"/>
    <w:rsid w:val="00C961BD"/>
    <w:rsid w:val="00C971C0"/>
    <w:rsid w:val="00CA01B8"/>
    <w:rsid w:val="00CA0AFB"/>
    <w:rsid w:val="00CA106D"/>
    <w:rsid w:val="00CA1848"/>
    <w:rsid w:val="00CA3A2C"/>
    <w:rsid w:val="00CA4F78"/>
    <w:rsid w:val="00CA643F"/>
    <w:rsid w:val="00CA660B"/>
    <w:rsid w:val="00CA794E"/>
    <w:rsid w:val="00CA7A0B"/>
    <w:rsid w:val="00CB0065"/>
    <w:rsid w:val="00CB1A41"/>
    <w:rsid w:val="00CB2E57"/>
    <w:rsid w:val="00CB3537"/>
    <w:rsid w:val="00CB3A11"/>
    <w:rsid w:val="00CB3D9A"/>
    <w:rsid w:val="00CB3FB9"/>
    <w:rsid w:val="00CB50A8"/>
    <w:rsid w:val="00CB54BB"/>
    <w:rsid w:val="00CB5747"/>
    <w:rsid w:val="00CB7EEC"/>
    <w:rsid w:val="00CC05B1"/>
    <w:rsid w:val="00CC1D68"/>
    <w:rsid w:val="00CC2598"/>
    <w:rsid w:val="00CC5B2A"/>
    <w:rsid w:val="00CC65F3"/>
    <w:rsid w:val="00CC6AB0"/>
    <w:rsid w:val="00CC730C"/>
    <w:rsid w:val="00CC7342"/>
    <w:rsid w:val="00CC73CC"/>
    <w:rsid w:val="00CC7511"/>
    <w:rsid w:val="00CD05D1"/>
    <w:rsid w:val="00CD161D"/>
    <w:rsid w:val="00CD1A0C"/>
    <w:rsid w:val="00CD33F7"/>
    <w:rsid w:val="00CD52CF"/>
    <w:rsid w:val="00CD5B70"/>
    <w:rsid w:val="00CD5F61"/>
    <w:rsid w:val="00CD6500"/>
    <w:rsid w:val="00CD7286"/>
    <w:rsid w:val="00CD77A8"/>
    <w:rsid w:val="00CD7D74"/>
    <w:rsid w:val="00CE07AE"/>
    <w:rsid w:val="00CE193C"/>
    <w:rsid w:val="00CE4165"/>
    <w:rsid w:val="00CE71F1"/>
    <w:rsid w:val="00CF140F"/>
    <w:rsid w:val="00CF1FD7"/>
    <w:rsid w:val="00CF28D0"/>
    <w:rsid w:val="00CF2C8A"/>
    <w:rsid w:val="00CF4B78"/>
    <w:rsid w:val="00CF57D6"/>
    <w:rsid w:val="00CF6386"/>
    <w:rsid w:val="00CF74F7"/>
    <w:rsid w:val="00D00BC5"/>
    <w:rsid w:val="00D017CB"/>
    <w:rsid w:val="00D04A2C"/>
    <w:rsid w:val="00D04A54"/>
    <w:rsid w:val="00D0778A"/>
    <w:rsid w:val="00D12EB1"/>
    <w:rsid w:val="00D13972"/>
    <w:rsid w:val="00D14AB3"/>
    <w:rsid w:val="00D14D52"/>
    <w:rsid w:val="00D16340"/>
    <w:rsid w:val="00D163A3"/>
    <w:rsid w:val="00D170F5"/>
    <w:rsid w:val="00D175E7"/>
    <w:rsid w:val="00D17B62"/>
    <w:rsid w:val="00D211C5"/>
    <w:rsid w:val="00D23583"/>
    <w:rsid w:val="00D27032"/>
    <w:rsid w:val="00D27A3B"/>
    <w:rsid w:val="00D30111"/>
    <w:rsid w:val="00D325D1"/>
    <w:rsid w:val="00D326AB"/>
    <w:rsid w:val="00D337A0"/>
    <w:rsid w:val="00D348E9"/>
    <w:rsid w:val="00D3498E"/>
    <w:rsid w:val="00D3511F"/>
    <w:rsid w:val="00D3559A"/>
    <w:rsid w:val="00D40B24"/>
    <w:rsid w:val="00D4108B"/>
    <w:rsid w:val="00D41BF2"/>
    <w:rsid w:val="00D41C7E"/>
    <w:rsid w:val="00D44680"/>
    <w:rsid w:val="00D44C3C"/>
    <w:rsid w:val="00D4569B"/>
    <w:rsid w:val="00D4734E"/>
    <w:rsid w:val="00D477E3"/>
    <w:rsid w:val="00D50C28"/>
    <w:rsid w:val="00D51201"/>
    <w:rsid w:val="00D52215"/>
    <w:rsid w:val="00D5259C"/>
    <w:rsid w:val="00D5296C"/>
    <w:rsid w:val="00D5345B"/>
    <w:rsid w:val="00D5348E"/>
    <w:rsid w:val="00D54194"/>
    <w:rsid w:val="00D552C9"/>
    <w:rsid w:val="00D5597B"/>
    <w:rsid w:val="00D55DF4"/>
    <w:rsid w:val="00D56075"/>
    <w:rsid w:val="00D561C2"/>
    <w:rsid w:val="00D56A62"/>
    <w:rsid w:val="00D56EB7"/>
    <w:rsid w:val="00D57A47"/>
    <w:rsid w:val="00D60D0F"/>
    <w:rsid w:val="00D619E2"/>
    <w:rsid w:val="00D62384"/>
    <w:rsid w:val="00D62D59"/>
    <w:rsid w:val="00D62E23"/>
    <w:rsid w:val="00D63330"/>
    <w:rsid w:val="00D70115"/>
    <w:rsid w:val="00D729A2"/>
    <w:rsid w:val="00D772C1"/>
    <w:rsid w:val="00D80274"/>
    <w:rsid w:val="00D80D36"/>
    <w:rsid w:val="00D80E11"/>
    <w:rsid w:val="00D818A7"/>
    <w:rsid w:val="00D82269"/>
    <w:rsid w:val="00D836BF"/>
    <w:rsid w:val="00D85B03"/>
    <w:rsid w:val="00D87A05"/>
    <w:rsid w:val="00D9078C"/>
    <w:rsid w:val="00D91196"/>
    <w:rsid w:val="00D94719"/>
    <w:rsid w:val="00D9696E"/>
    <w:rsid w:val="00D97767"/>
    <w:rsid w:val="00DA140D"/>
    <w:rsid w:val="00DA1613"/>
    <w:rsid w:val="00DA1632"/>
    <w:rsid w:val="00DA354C"/>
    <w:rsid w:val="00DA363A"/>
    <w:rsid w:val="00DA3ECA"/>
    <w:rsid w:val="00DA580F"/>
    <w:rsid w:val="00DA5DE7"/>
    <w:rsid w:val="00DA6CDA"/>
    <w:rsid w:val="00DA7CAA"/>
    <w:rsid w:val="00DB0031"/>
    <w:rsid w:val="00DB094F"/>
    <w:rsid w:val="00DB1FFD"/>
    <w:rsid w:val="00DB26FC"/>
    <w:rsid w:val="00DB2C65"/>
    <w:rsid w:val="00DB2E7D"/>
    <w:rsid w:val="00DB303C"/>
    <w:rsid w:val="00DB4A07"/>
    <w:rsid w:val="00DB4F38"/>
    <w:rsid w:val="00DB5AD6"/>
    <w:rsid w:val="00DB69BB"/>
    <w:rsid w:val="00DB7112"/>
    <w:rsid w:val="00DB7C75"/>
    <w:rsid w:val="00DC0BAB"/>
    <w:rsid w:val="00DC1AAF"/>
    <w:rsid w:val="00DC1FB4"/>
    <w:rsid w:val="00DC336B"/>
    <w:rsid w:val="00DD10C9"/>
    <w:rsid w:val="00DD207C"/>
    <w:rsid w:val="00DD2199"/>
    <w:rsid w:val="00DD4047"/>
    <w:rsid w:val="00DD4778"/>
    <w:rsid w:val="00DD6009"/>
    <w:rsid w:val="00DE0741"/>
    <w:rsid w:val="00DE239D"/>
    <w:rsid w:val="00DE3154"/>
    <w:rsid w:val="00DE3CD5"/>
    <w:rsid w:val="00DE3DC2"/>
    <w:rsid w:val="00DE53A8"/>
    <w:rsid w:val="00DE5E39"/>
    <w:rsid w:val="00DE761F"/>
    <w:rsid w:val="00DE7BE7"/>
    <w:rsid w:val="00DE7CC6"/>
    <w:rsid w:val="00DF0884"/>
    <w:rsid w:val="00DF0C52"/>
    <w:rsid w:val="00DF1761"/>
    <w:rsid w:val="00DF2A6A"/>
    <w:rsid w:val="00DF3664"/>
    <w:rsid w:val="00DF42BF"/>
    <w:rsid w:val="00DF4816"/>
    <w:rsid w:val="00DF48F1"/>
    <w:rsid w:val="00DF657C"/>
    <w:rsid w:val="00E0051C"/>
    <w:rsid w:val="00E02E7B"/>
    <w:rsid w:val="00E05451"/>
    <w:rsid w:val="00E05875"/>
    <w:rsid w:val="00E059F9"/>
    <w:rsid w:val="00E1062F"/>
    <w:rsid w:val="00E10FE4"/>
    <w:rsid w:val="00E11D44"/>
    <w:rsid w:val="00E11FE3"/>
    <w:rsid w:val="00E12D52"/>
    <w:rsid w:val="00E153C8"/>
    <w:rsid w:val="00E166F3"/>
    <w:rsid w:val="00E17639"/>
    <w:rsid w:val="00E17FB2"/>
    <w:rsid w:val="00E21707"/>
    <w:rsid w:val="00E21ACA"/>
    <w:rsid w:val="00E2228E"/>
    <w:rsid w:val="00E22582"/>
    <w:rsid w:val="00E225B3"/>
    <w:rsid w:val="00E22D9C"/>
    <w:rsid w:val="00E26CB1"/>
    <w:rsid w:val="00E278C2"/>
    <w:rsid w:val="00E27F29"/>
    <w:rsid w:val="00E319A1"/>
    <w:rsid w:val="00E319E5"/>
    <w:rsid w:val="00E32B3F"/>
    <w:rsid w:val="00E35B29"/>
    <w:rsid w:val="00E35EC3"/>
    <w:rsid w:val="00E36846"/>
    <w:rsid w:val="00E36BFD"/>
    <w:rsid w:val="00E36C12"/>
    <w:rsid w:val="00E370E4"/>
    <w:rsid w:val="00E372A6"/>
    <w:rsid w:val="00E37995"/>
    <w:rsid w:val="00E410F3"/>
    <w:rsid w:val="00E416C2"/>
    <w:rsid w:val="00E42D70"/>
    <w:rsid w:val="00E47CAB"/>
    <w:rsid w:val="00E50816"/>
    <w:rsid w:val="00E50878"/>
    <w:rsid w:val="00E50B65"/>
    <w:rsid w:val="00E52941"/>
    <w:rsid w:val="00E55459"/>
    <w:rsid w:val="00E603A9"/>
    <w:rsid w:val="00E60573"/>
    <w:rsid w:val="00E60A2C"/>
    <w:rsid w:val="00E60C8F"/>
    <w:rsid w:val="00E60D68"/>
    <w:rsid w:val="00E6100A"/>
    <w:rsid w:val="00E6230B"/>
    <w:rsid w:val="00E635BD"/>
    <w:rsid w:val="00E645D6"/>
    <w:rsid w:val="00E648DC"/>
    <w:rsid w:val="00E64FF7"/>
    <w:rsid w:val="00E6526D"/>
    <w:rsid w:val="00E726FD"/>
    <w:rsid w:val="00E7340B"/>
    <w:rsid w:val="00E73E57"/>
    <w:rsid w:val="00E75507"/>
    <w:rsid w:val="00E75541"/>
    <w:rsid w:val="00E75745"/>
    <w:rsid w:val="00E7682E"/>
    <w:rsid w:val="00E77F59"/>
    <w:rsid w:val="00E80756"/>
    <w:rsid w:val="00E8136D"/>
    <w:rsid w:val="00E84170"/>
    <w:rsid w:val="00E84D54"/>
    <w:rsid w:val="00E85530"/>
    <w:rsid w:val="00E86598"/>
    <w:rsid w:val="00E87D0A"/>
    <w:rsid w:val="00E90612"/>
    <w:rsid w:val="00E90CB1"/>
    <w:rsid w:val="00E92D88"/>
    <w:rsid w:val="00E92E38"/>
    <w:rsid w:val="00E93825"/>
    <w:rsid w:val="00E93B67"/>
    <w:rsid w:val="00E940E7"/>
    <w:rsid w:val="00E94638"/>
    <w:rsid w:val="00E94C9C"/>
    <w:rsid w:val="00E95BFA"/>
    <w:rsid w:val="00E97367"/>
    <w:rsid w:val="00EA0EEA"/>
    <w:rsid w:val="00EA1505"/>
    <w:rsid w:val="00EA1539"/>
    <w:rsid w:val="00EA210E"/>
    <w:rsid w:val="00EA33AA"/>
    <w:rsid w:val="00EA405E"/>
    <w:rsid w:val="00EA4569"/>
    <w:rsid w:val="00EA5342"/>
    <w:rsid w:val="00EA5CF8"/>
    <w:rsid w:val="00EA5D2E"/>
    <w:rsid w:val="00EA60FC"/>
    <w:rsid w:val="00EA6556"/>
    <w:rsid w:val="00EA7C3B"/>
    <w:rsid w:val="00EB1974"/>
    <w:rsid w:val="00EB1BF2"/>
    <w:rsid w:val="00EB259C"/>
    <w:rsid w:val="00EB2B15"/>
    <w:rsid w:val="00EB2B74"/>
    <w:rsid w:val="00EB3369"/>
    <w:rsid w:val="00EB33D7"/>
    <w:rsid w:val="00EB4905"/>
    <w:rsid w:val="00EB4B48"/>
    <w:rsid w:val="00EB52F4"/>
    <w:rsid w:val="00EB76D4"/>
    <w:rsid w:val="00EC0615"/>
    <w:rsid w:val="00EC1A6A"/>
    <w:rsid w:val="00EC30A8"/>
    <w:rsid w:val="00EC384A"/>
    <w:rsid w:val="00EC3B00"/>
    <w:rsid w:val="00EC44B9"/>
    <w:rsid w:val="00EC4754"/>
    <w:rsid w:val="00EC51D1"/>
    <w:rsid w:val="00EC6700"/>
    <w:rsid w:val="00EC6B2D"/>
    <w:rsid w:val="00EC77B5"/>
    <w:rsid w:val="00ED19B7"/>
    <w:rsid w:val="00ED5368"/>
    <w:rsid w:val="00ED53BD"/>
    <w:rsid w:val="00ED7BE5"/>
    <w:rsid w:val="00EE1CB1"/>
    <w:rsid w:val="00EE2372"/>
    <w:rsid w:val="00EE272C"/>
    <w:rsid w:val="00EE413A"/>
    <w:rsid w:val="00EE6DC1"/>
    <w:rsid w:val="00EE7A30"/>
    <w:rsid w:val="00EE7F51"/>
    <w:rsid w:val="00EF105A"/>
    <w:rsid w:val="00EF19D1"/>
    <w:rsid w:val="00EF44B1"/>
    <w:rsid w:val="00EF72EF"/>
    <w:rsid w:val="00EF7B6D"/>
    <w:rsid w:val="00F00D69"/>
    <w:rsid w:val="00F02390"/>
    <w:rsid w:val="00F02761"/>
    <w:rsid w:val="00F06FF1"/>
    <w:rsid w:val="00F11463"/>
    <w:rsid w:val="00F115B5"/>
    <w:rsid w:val="00F164DC"/>
    <w:rsid w:val="00F16F0D"/>
    <w:rsid w:val="00F17101"/>
    <w:rsid w:val="00F20AD6"/>
    <w:rsid w:val="00F20BCD"/>
    <w:rsid w:val="00F22AA2"/>
    <w:rsid w:val="00F22F6E"/>
    <w:rsid w:val="00F251E4"/>
    <w:rsid w:val="00F25A67"/>
    <w:rsid w:val="00F25C0B"/>
    <w:rsid w:val="00F2603B"/>
    <w:rsid w:val="00F263F6"/>
    <w:rsid w:val="00F31135"/>
    <w:rsid w:val="00F35147"/>
    <w:rsid w:val="00F36B71"/>
    <w:rsid w:val="00F405C1"/>
    <w:rsid w:val="00F41194"/>
    <w:rsid w:val="00F4171E"/>
    <w:rsid w:val="00F44A34"/>
    <w:rsid w:val="00F4761A"/>
    <w:rsid w:val="00F51115"/>
    <w:rsid w:val="00F5178A"/>
    <w:rsid w:val="00F521D6"/>
    <w:rsid w:val="00F53352"/>
    <w:rsid w:val="00F540A9"/>
    <w:rsid w:val="00F57626"/>
    <w:rsid w:val="00F624BA"/>
    <w:rsid w:val="00F6299C"/>
    <w:rsid w:val="00F629DE"/>
    <w:rsid w:val="00F634D0"/>
    <w:rsid w:val="00F63595"/>
    <w:rsid w:val="00F64C62"/>
    <w:rsid w:val="00F650EB"/>
    <w:rsid w:val="00F65CAB"/>
    <w:rsid w:val="00F66708"/>
    <w:rsid w:val="00F73505"/>
    <w:rsid w:val="00F736E4"/>
    <w:rsid w:val="00F7398A"/>
    <w:rsid w:val="00F7475B"/>
    <w:rsid w:val="00F74891"/>
    <w:rsid w:val="00F7490D"/>
    <w:rsid w:val="00F804AA"/>
    <w:rsid w:val="00F83069"/>
    <w:rsid w:val="00F83DE6"/>
    <w:rsid w:val="00F83F8E"/>
    <w:rsid w:val="00F85214"/>
    <w:rsid w:val="00F85EBF"/>
    <w:rsid w:val="00F86BD7"/>
    <w:rsid w:val="00F874A9"/>
    <w:rsid w:val="00F87D58"/>
    <w:rsid w:val="00F91538"/>
    <w:rsid w:val="00F9242D"/>
    <w:rsid w:val="00F930D5"/>
    <w:rsid w:val="00F93470"/>
    <w:rsid w:val="00F93942"/>
    <w:rsid w:val="00F95390"/>
    <w:rsid w:val="00F96388"/>
    <w:rsid w:val="00F96F3B"/>
    <w:rsid w:val="00F96F84"/>
    <w:rsid w:val="00F9755D"/>
    <w:rsid w:val="00F97FAE"/>
    <w:rsid w:val="00FA13ED"/>
    <w:rsid w:val="00FA1931"/>
    <w:rsid w:val="00FA587A"/>
    <w:rsid w:val="00FA5D13"/>
    <w:rsid w:val="00FA65ED"/>
    <w:rsid w:val="00FA6A53"/>
    <w:rsid w:val="00FA79B2"/>
    <w:rsid w:val="00FA7A86"/>
    <w:rsid w:val="00FA7B39"/>
    <w:rsid w:val="00FB294F"/>
    <w:rsid w:val="00FB3CC3"/>
    <w:rsid w:val="00FB3D81"/>
    <w:rsid w:val="00FB4534"/>
    <w:rsid w:val="00FB4896"/>
    <w:rsid w:val="00FB5467"/>
    <w:rsid w:val="00FB6319"/>
    <w:rsid w:val="00FB680C"/>
    <w:rsid w:val="00FB734E"/>
    <w:rsid w:val="00FB795A"/>
    <w:rsid w:val="00FC0D48"/>
    <w:rsid w:val="00FC0F56"/>
    <w:rsid w:val="00FC10D1"/>
    <w:rsid w:val="00FC1351"/>
    <w:rsid w:val="00FC1B53"/>
    <w:rsid w:val="00FC29A3"/>
    <w:rsid w:val="00FC31F1"/>
    <w:rsid w:val="00FC4380"/>
    <w:rsid w:val="00FC60DF"/>
    <w:rsid w:val="00FC758D"/>
    <w:rsid w:val="00FC7846"/>
    <w:rsid w:val="00FC796F"/>
    <w:rsid w:val="00FD0712"/>
    <w:rsid w:val="00FD4C24"/>
    <w:rsid w:val="00FD5B84"/>
    <w:rsid w:val="00FD7045"/>
    <w:rsid w:val="00FD732A"/>
    <w:rsid w:val="00FE0C7B"/>
    <w:rsid w:val="00FE3C11"/>
    <w:rsid w:val="00FE6CB8"/>
    <w:rsid w:val="00FE7D11"/>
    <w:rsid w:val="00FF0415"/>
    <w:rsid w:val="00FF055D"/>
    <w:rsid w:val="00FF08D2"/>
    <w:rsid w:val="00FF1998"/>
    <w:rsid w:val="00FF22AD"/>
    <w:rsid w:val="00FF2674"/>
    <w:rsid w:val="00FF2B15"/>
    <w:rsid w:val="00FF36BF"/>
    <w:rsid w:val="00FF485D"/>
    <w:rsid w:val="00FF4C2F"/>
    <w:rsid w:val="00FF57A8"/>
    <w:rsid w:val="00FF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B73"/>
  <w15:chartTrackingRefBased/>
  <w15:docId w15:val="{77FDB160-E151-42F6-A90B-E2F10CD3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626"/>
    <w:pPr>
      <w:ind w:left="720"/>
      <w:contextualSpacing/>
    </w:pPr>
  </w:style>
  <w:style w:type="character" w:styleId="Hyperlink">
    <w:name w:val="Hyperlink"/>
    <w:basedOn w:val="DefaultParagraphFont"/>
    <w:uiPriority w:val="99"/>
    <w:unhideWhenUsed/>
    <w:rsid w:val="00B52A32"/>
    <w:rPr>
      <w:color w:val="0563C1" w:themeColor="hyperlink"/>
      <w:u w:val="single"/>
    </w:rPr>
  </w:style>
  <w:style w:type="paragraph" w:styleId="FootnoteText">
    <w:name w:val="footnote text"/>
    <w:basedOn w:val="Normal"/>
    <w:link w:val="FootnoteTextChar"/>
    <w:uiPriority w:val="99"/>
    <w:semiHidden/>
    <w:unhideWhenUsed/>
    <w:rsid w:val="001D66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661B"/>
    <w:rPr>
      <w:sz w:val="20"/>
      <w:szCs w:val="20"/>
    </w:rPr>
  </w:style>
  <w:style w:type="character" w:styleId="FootnoteReference">
    <w:name w:val="footnote reference"/>
    <w:basedOn w:val="DefaultParagraphFont"/>
    <w:uiPriority w:val="99"/>
    <w:semiHidden/>
    <w:unhideWhenUsed/>
    <w:rsid w:val="001D661B"/>
    <w:rPr>
      <w:vertAlign w:val="superscript"/>
    </w:rPr>
  </w:style>
  <w:style w:type="character" w:styleId="UnresolvedMention">
    <w:name w:val="Unresolved Mention"/>
    <w:basedOn w:val="DefaultParagraphFont"/>
    <w:uiPriority w:val="99"/>
    <w:semiHidden/>
    <w:unhideWhenUsed/>
    <w:rsid w:val="005B7788"/>
    <w:rPr>
      <w:color w:val="605E5C"/>
      <w:shd w:val="clear" w:color="auto" w:fill="E1DFDD"/>
    </w:rPr>
  </w:style>
  <w:style w:type="character" w:styleId="FollowedHyperlink">
    <w:name w:val="FollowedHyperlink"/>
    <w:basedOn w:val="DefaultParagraphFont"/>
    <w:uiPriority w:val="99"/>
    <w:semiHidden/>
    <w:unhideWhenUsed/>
    <w:rsid w:val="0003299B"/>
    <w:rPr>
      <w:color w:val="954F72" w:themeColor="followedHyperlink"/>
      <w:u w:val="single"/>
    </w:rPr>
  </w:style>
  <w:style w:type="paragraph" w:styleId="Revision">
    <w:name w:val="Revision"/>
    <w:hidden/>
    <w:uiPriority w:val="99"/>
    <w:semiHidden/>
    <w:rsid w:val="007E3184"/>
    <w:pPr>
      <w:spacing w:after="0" w:line="240" w:lineRule="auto"/>
    </w:pPr>
  </w:style>
  <w:style w:type="paragraph" w:styleId="Header">
    <w:name w:val="header"/>
    <w:basedOn w:val="Normal"/>
    <w:link w:val="HeaderChar"/>
    <w:uiPriority w:val="99"/>
    <w:unhideWhenUsed/>
    <w:rsid w:val="002B0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E7F"/>
  </w:style>
  <w:style w:type="paragraph" w:styleId="Footer">
    <w:name w:val="footer"/>
    <w:basedOn w:val="Normal"/>
    <w:link w:val="FooterChar"/>
    <w:uiPriority w:val="99"/>
    <w:unhideWhenUsed/>
    <w:rsid w:val="002B0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E7F"/>
  </w:style>
  <w:style w:type="character" w:styleId="PageNumber">
    <w:name w:val="page number"/>
    <w:basedOn w:val="DefaultParagraphFont"/>
    <w:uiPriority w:val="99"/>
    <w:semiHidden/>
    <w:unhideWhenUsed/>
    <w:rsid w:val="002B0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81644">
      <w:bodyDiv w:val="1"/>
      <w:marLeft w:val="0"/>
      <w:marRight w:val="0"/>
      <w:marTop w:val="0"/>
      <w:marBottom w:val="0"/>
      <w:divBdr>
        <w:top w:val="none" w:sz="0" w:space="0" w:color="auto"/>
        <w:left w:val="none" w:sz="0" w:space="0" w:color="auto"/>
        <w:bottom w:val="none" w:sz="0" w:space="0" w:color="auto"/>
        <w:right w:val="none" w:sz="0" w:space="0" w:color="auto"/>
      </w:divBdr>
      <w:divsChild>
        <w:div w:id="1944072874">
          <w:marLeft w:val="139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e@msu.edu" TargetMode="External"/><Relationship Id="rId13" Type="http://schemas.openxmlformats.org/officeDocument/2006/relationships/hyperlink" Target="https://www.who.int/news-room/feature-stories/detail/fighting-misinformation-in-the-time-of-covid-19-one-click-at-a-time"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bjps/axz0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as.org/news/misinformation?utm_campaign=Gadi&amp;utm_source=AAAS&amp;utm_medium=Twitt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iaid.nih.gov/diseases-conditions/lyme-disease-antibiotic-treatment-resear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hn.org/european-parliament-endocrine-disruptors-2646227143.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ash/advisory-committees/tickbornediseas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FE119-AD92-46AC-97CD-9F91C1CE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11044</Words>
  <Characters>62955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Elliott</dc:creator>
  <cp:keywords/>
  <dc:description/>
  <cp:lastModifiedBy>Elliott, Kevin</cp:lastModifiedBy>
  <cp:revision>6</cp:revision>
  <dcterms:created xsi:type="dcterms:W3CDTF">2023-09-30T16:43:00Z</dcterms:created>
  <dcterms:modified xsi:type="dcterms:W3CDTF">2023-09-30T16:47:00Z</dcterms:modified>
</cp:coreProperties>
</file>