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r w:rsidRPr="005D02EB">
        <w:rPr>
          <w:rFonts w:ascii="Calibri" w:hAnsi="Calibri" w:cs="Calibri"/>
          <w:b/>
          <w:color w:val="000000"/>
          <w:lang w:val="en-US"/>
        </w:rPr>
        <w:t>A Use / Disuse Para</w:t>
      </w:r>
      <w:r>
        <w:rPr>
          <w:rFonts w:ascii="Calibri" w:hAnsi="Calibri" w:cs="Calibri"/>
          <w:b/>
          <w:color w:val="000000"/>
          <w:lang w:val="en-US"/>
        </w:rPr>
        <w:t>d</w:t>
      </w:r>
      <w:r w:rsidRPr="005D02EB">
        <w:rPr>
          <w:rFonts w:ascii="Calibri" w:hAnsi="Calibri" w:cs="Calibri"/>
          <w:b/>
          <w:color w:val="000000"/>
          <w:lang w:val="en-US"/>
        </w:rPr>
        <w:t>igm for CRISPR-Cas Systems</w:t>
      </w:r>
    </w:p>
    <w:p w:rsid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 xml:space="preserve">In his insightful review, Eugene V.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Koonin</w:t>
      </w:r>
      <w:proofErr w:type="spellEnd"/>
      <w:r w:rsidRPr="005D02EB">
        <w:rPr>
          <w:rFonts w:ascii="Calibri" w:hAnsi="Calibri" w:cs="Calibri"/>
          <w:color w:val="000000"/>
          <w:lang w:val="en-US"/>
        </w:rPr>
        <w:t xml:space="preserve"> discusses various aspects of CRISPR-Cas systems with a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strong focus on their qualities as “</w:t>
      </w:r>
      <w:r w:rsidRPr="005D02EB">
        <w:rPr>
          <w:rFonts w:ascii="Calibri" w:hAnsi="Calibri" w:cs="Calibri"/>
          <w:color w:val="000000"/>
          <w:sz w:val="23"/>
          <w:szCs w:val="23"/>
          <w:lang w:val="en-US"/>
        </w:rPr>
        <w:t xml:space="preserve">adaptive (acquired) immune </w:t>
      </w:r>
      <w:proofErr w:type="gramStart"/>
      <w:r w:rsidRPr="005D02EB">
        <w:rPr>
          <w:rFonts w:ascii="Calibri" w:hAnsi="Calibri" w:cs="Calibri"/>
          <w:color w:val="000000"/>
          <w:sz w:val="23"/>
          <w:szCs w:val="23"/>
          <w:lang w:val="en-US"/>
        </w:rPr>
        <w:t>systems“ (</w:t>
      </w:r>
      <w:proofErr w:type="spellStart"/>
      <w:proofErr w:type="gramEnd"/>
      <w:r w:rsidRPr="005D02EB">
        <w:rPr>
          <w:rFonts w:ascii="Calibri" w:hAnsi="Calibri" w:cs="Calibri"/>
          <w:color w:val="000000"/>
          <w:sz w:val="23"/>
          <w:szCs w:val="23"/>
          <w:lang w:val="en-US"/>
        </w:rPr>
        <w:t>Koonin</w:t>
      </w:r>
      <w:proofErr w:type="spellEnd"/>
      <w:r w:rsidRPr="005D02EB">
        <w:rPr>
          <w:rFonts w:ascii="Calibri" w:hAnsi="Calibri" w:cs="Calibri"/>
          <w:color w:val="000000"/>
          <w:sz w:val="23"/>
          <w:szCs w:val="23"/>
          <w:lang w:val="en-US"/>
        </w:rPr>
        <w:t xml:space="preserve"> 2018, 3)</w:t>
      </w:r>
      <w:r w:rsidRPr="005D02EB">
        <w:rPr>
          <w:rFonts w:ascii="Calibri" w:hAnsi="Calibri" w:cs="Calibri"/>
          <w:color w:val="000000"/>
          <w:lang w:val="en-US"/>
        </w:rPr>
        <w:t>. The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 xml:space="preserve">CRISPR-Cas system is most famous for its application as a gene-editing tool.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Koonin</w:t>
      </w:r>
      <w:proofErr w:type="spellEnd"/>
      <w:r w:rsidRPr="005D02EB">
        <w:rPr>
          <w:rFonts w:ascii="Calibri" w:hAnsi="Calibri" w:cs="Calibri"/>
          <w:color w:val="000000"/>
          <w:lang w:val="en-US"/>
        </w:rPr>
        <w:t xml:space="preserve"> provides a deeper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insight into its biological function in bacteria, which is to immunize the cell against parasite DNA. I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shall comment on one issue discussed in the text, in two steps. First, I shall elaborate on CRISPR-Cas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systems and their supposed Lamarckian character. Criteria for calling biological phenomena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genuinely Lamarckian will be narrowed down and then applied to the CRISPR-Cas system, considering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interference-driven spacer acquisition (IDSA) as an instantiation of a truly Lamarckian paradigm.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Second, I shall consider whether Lamarckian and “canonical” instances of inheritance are a case of</w:t>
      </w:r>
    </w:p>
    <w:p w:rsid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theoretical pluralism, being two non-reducible, yet interconnected paradigms.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proofErr w:type="spellStart"/>
      <w:r w:rsidRPr="005D02EB">
        <w:rPr>
          <w:rFonts w:ascii="Calibri" w:hAnsi="Calibri" w:cs="Calibri"/>
          <w:color w:val="000000"/>
          <w:lang w:val="en-US"/>
        </w:rPr>
        <w:t>Koonin</w:t>
      </w:r>
      <w:proofErr w:type="spellEnd"/>
      <w:r w:rsidRPr="005D02EB">
        <w:rPr>
          <w:rFonts w:ascii="Calibri" w:hAnsi="Calibri" w:cs="Calibri"/>
          <w:color w:val="000000"/>
          <w:lang w:val="en-US"/>
        </w:rPr>
        <w:t xml:space="preserve"> suggests that CRISPR-Cas based inheritance of acquired traits (IAC) might be an example for a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genuine Lamarckian mechanism, because it operates by “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i</w:t>
      </w:r>
      <w:proofErr w:type="spellEnd"/>
      <w:r w:rsidRPr="005D02EB">
        <w:rPr>
          <w:rFonts w:ascii="Calibri" w:hAnsi="Calibri" w:cs="Calibri"/>
          <w:color w:val="000000"/>
          <w:lang w:val="en-US"/>
        </w:rPr>
        <w:t>) specific, heritable changes in the genome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caused by an external factor, ii) specific phenotypic effect of those changes that constitutes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adaptation to the causative factor” (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Koonin</w:t>
      </w:r>
      <w:proofErr w:type="spellEnd"/>
      <w:r w:rsidRPr="005D02EB">
        <w:rPr>
          <w:rFonts w:ascii="Calibri" w:hAnsi="Calibri" w:cs="Calibri"/>
          <w:color w:val="000000"/>
          <w:lang w:val="en-US"/>
        </w:rPr>
        <w:t>, 2018, 6f). Yet, this definition is not exclusively referring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to Lamarck’s musings. For example, such properties are also associated with Darwin’s “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gemmuli</w:t>
      </w:r>
      <w:proofErr w:type="spellEnd"/>
      <w:r w:rsidRPr="005D02EB">
        <w:rPr>
          <w:rFonts w:ascii="Calibri" w:hAnsi="Calibri" w:cs="Calibri"/>
          <w:color w:val="000000"/>
          <w:lang w:val="en-US"/>
        </w:rPr>
        <w:t>” or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“pangenesis” (which have recently been quite more beloved metaphors than any of Lamarck’s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concepts (Chen et al., 2016)). Nevertheless, it is possible to differentiate the general idea of IAC from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a genuinely Lamarckian theme. Lamarck proposed a mechanistic paradigm that coordinates the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inheritance of acquired traits: the “use/disuse paradigm.” This paradigm postulates that through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continuous “use” of certain “organs” these “organs” will be augmented. Contrarily, through “disuse”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of certain “organs”, these “organs” will be reduced (Lamarck, 1809 cited in Burkhardt, 1995).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 xml:space="preserve">Naturally, we need to grant some interpretative charity when working with the </w:t>
      </w:r>
      <w:proofErr w:type="gramStart"/>
      <w:r w:rsidRPr="005D02EB">
        <w:rPr>
          <w:rFonts w:ascii="Calibri" w:hAnsi="Calibri" w:cs="Calibri"/>
          <w:color w:val="000000"/>
          <w:lang w:val="en-US"/>
        </w:rPr>
        <w:t>terms</w:t>
      </w:r>
      <w:proofErr w:type="gramEnd"/>
      <w:r w:rsidRPr="005D02EB">
        <w:rPr>
          <w:rFonts w:ascii="Calibri" w:hAnsi="Calibri" w:cs="Calibri"/>
          <w:color w:val="000000"/>
          <w:lang w:val="en-US"/>
        </w:rPr>
        <w:t xml:space="preserve"> “organ” and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“use/disuse”. Notably, working with Lamarck’s use/disuse paradigm is of great epistemological value</w:t>
      </w:r>
    </w:p>
    <w:p w:rsid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for understanding other instances of IAC (Veigl, 2017).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I want to propose a way how one could fit CRISPR-Cas into a use/disuse paradigm. In so doing, we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must shift our attention to one distinct feature of use/disuse, namely its focus on the quantitative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aspects of the process. In a use/disuse scenario, we do not primarily deal with qualitative yes/no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phenomena, but with gradual processes. Therefore, we shall consider pools of crRNA species instead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of discrete spacers in CRISPR arrays. This should also help to understand the continuum between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Darwinian and Lamarckian types of inheritance (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Koonin</w:t>
      </w:r>
      <w:proofErr w:type="spellEnd"/>
      <w:r w:rsidRPr="005D02EB">
        <w:rPr>
          <w:rFonts w:ascii="Calibri" w:hAnsi="Calibri" w:cs="Calibri"/>
          <w:color w:val="000000"/>
          <w:lang w:val="en-US"/>
        </w:rPr>
        <w:t>, 13), as they might work upon different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substrates (DNA vs. RNA), integrating differently from case to case. One instance of the use/disuse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lastRenderedPageBreak/>
        <w:t>paradigm is interference-driven spacer acquisition (IDSA) (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Staals</w:t>
      </w:r>
      <w:proofErr w:type="spellEnd"/>
      <w:r w:rsidRPr="005D02EB">
        <w:rPr>
          <w:rFonts w:ascii="Calibri" w:hAnsi="Calibri" w:cs="Calibri"/>
          <w:color w:val="000000"/>
          <w:lang w:val="en-US"/>
        </w:rPr>
        <w:t xml:space="preserve"> et al., 2016;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Hille</w:t>
      </w:r>
      <w:proofErr w:type="spellEnd"/>
      <w:r w:rsidRPr="005D02EB">
        <w:rPr>
          <w:rFonts w:ascii="Calibri" w:hAnsi="Calibri" w:cs="Calibri"/>
          <w:color w:val="000000"/>
          <w:lang w:val="en-US"/>
        </w:rPr>
        <w:t xml:space="preserve"> et al. 2018). IDSA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links interference to adaption, meaning that crRNA/CRISPR targeted parasite DNA becomes a source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for new spacers which are integrated into the CRISPR array. The newly acquired spacers are slightly</w:t>
      </w:r>
    </w:p>
    <w:p w:rsid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different in sequence but target the same parasite DNA.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With IDSA and the use/disuse paradigm at hand I shall now analyze the phase of interference. Here,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we have to consider that Cas molecules as well as their targets (nucleic acids) are present in different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concentrations. There is a pool of Cas proteins, and there is a pool of crRNAs. As a result of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differences in sequence, each crRNA deriving from a spacer region has slightly different biochemical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properties. Such differences might facilitate or impede binding. Ensuing expression, a pool of various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 xml:space="preserve">crRNAs </w:t>
      </w:r>
      <w:proofErr w:type="gramStart"/>
      <w:r w:rsidRPr="005D02EB">
        <w:rPr>
          <w:rFonts w:ascii="Calibri" w:hAnsi="Calibri" w:cs="Calibri"/>
          <w:color w:val="000000"/>
          <w:lang w:val="en-US"/>
        </w:rPr>
        <w:t>competes</w:t>
      </w:r>
      <w:proofErr w:type="gramEnd"/>
      <w:r w:rsidRPr="005D02EB">
        <w:rPr>
          <w:rFonts w:ascii="Calibri" w:hAnsi="Calibri" w:cs="Calibri"/>
          <w:color w:val="000000"/>
          <w:lang w:val="en-US"/>
        </w:rPr>
        <w:t xml:space="preserve"> for binding to Cas molecules. What we shall define as “use” is a situation in which a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specific crRNA (crRNA 1) binds a Cas protein and targets a parasite DNA sequence (thus both, binding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to Cas and the parasite DNA, are required for “use”). Protospacers will be salvaged and inserted into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the CRISPR array during elimination of the parasite nucleic acid. In the next round of expression,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there will be a higher concentration of crRNA 1-associated crRNAs, and this subspecies is more likely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to bind to a Cas protein again, as a result of its higher abundance. Thus, we have augmentation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through use. Of course, use and disuse go hand in hand, as more use of one subspecies implies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disuse of other species and their relative reduction in abundance. It has been shown that CRISPR-Cas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complexes show a preference for more recently acquired spacers, cementing disuse and reduction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on the RNA level for less used spacers. In addition, there are optimal numbers for spacers in CRISPR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arrays (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Koonin</w:t>
      </w:r>
      <w:proofErr w:type="spellEnd"/>
      <w:r w:rsidRPr="005D02EB">
        <w:rPr>
          <w:rFonts w:ascii="Calibri" w:hAnsi="Calibri" w:cs="Calibri"/>
          <w:color w:val="000000"/>
          <w:lang w:val="en-US"/>
        </w:rPr>
        <w:t xml:space="preserve">, 2018, p15,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Martynov</w:t>
      </w:r>
      <w:proofErr w:type="spellEnd"/>
      <w:r w:rsidRPr="005D02EB">
        <w:rPr>
          <w:rFonts w:ascii="Calibri" w:hAnsi="Calibri" w:cs="Calibri"/>
          <w:color w:val="000000"/>
          <w:lang w:val="en-US"/>
        </w:rPr>
        <w:t xml:space="preserve"> et al. 2017) and thus, spacers must be lost over time.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The case of IDSA shows that shifting our attention to other phases than the DNA phase of CRISPR will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help us to find resonance with a modern interpretation of Lamarck’s “use/disuse paradigm.” DNA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might be the genuine playground of Darwinian paradigms, yet this does not mean that other material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sources are not present. It is often claimed that all forms of inheritance are in the end reducible to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DNA-based mechanisms, as the relevant biomolecules, such as the crRNAs, derive from it. Yet one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must not confuse DNA’s primacy in biochemistry with that in inheritance and evolution, as here,</w:t>
      </w:r>
    </w:p>
    <w:p w:rsid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clearly, other levels can play a role, as shows use/disuse of crRNAs.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I want to highlight one possible implication of CRISPR-Cas for philosophical problems, namely its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potential for discussions centering around scientific pluralism. I define scientific pluralism here very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broadly as the claim that to approach a certain phenomenon, several non-reducible theories,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explanations or methods are, might be or should be required (see Kellert et al., 2006). For the case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considered, we shall adopt the pluralist attitude that there are (at least) two non-reducible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mechanistic paradigms that govern the processes of inheritance. These two mechanistic paradigms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lastRenderedPageBreak/>
        <w:t>are based on two different theoretical approaches: IAC vs. Natural Selection through Random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Variation. In addition, both approaches have a different understanding of the interplay between the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(inducing as well as selecting) environment, inheritance and evolution. We will add, to be fully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5D02EB">
        <w:rPr>
          <w:rFonts w:ascii="Calibri" w:hAnsi="Calibri" w:cs="Calibri"/>
          <w:color w:val="000000"/>
          <w:lang w:val="en-US"/>
        </w:rPr>
        <w:t>fledged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5D02EB">
        <w:rPr>
          <w:rFonts w:ascii="Calibri" w:hAnsi="Calibri" w:cs="Calibri"/>
          <w:color w:val="000000"/>
          <w:lang w:val="en-US"/>
        </w:rPr>
        <w:t>pluralists, that we are approving of this situation, because we find it either epistemologically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5D02EB">
        <w:rPr>
          <w:rFonts w:ascii="Calibri" w:hAnsi="Calibri" w:cs="Calibri"/>
          <w:color w:val="000000"/>
          <w:lang w:val="en-US"/>
        </w:rPr>
        <w:t>beneficial or claim that this kind of plurality is metaphysically resonant with what the world is like. (I,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5D02EB">
        <w:rPr>
          <w:rFonts w:ascii="Calibri" w:hAnsi="Calibri" w:cs="Calibri"/>
          <w:color w:val="000000"/>
          <w:lang w:val="en-US"/>
        </w:rPr>
        <w:t>personally, refrain from the latter and find the former sufficiently desirable.) Now we shall turn again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5D02EB">
        <w:rPr>
          <w:rFonts w:ascii="Calibri" w:hAnsi="Calibri" w:cs="Calibri"/>
          <w:color w:val="000000"/>
          <w:lang w:val="en-US"/>
        </w:rPr>
        <w:t>to the phenomenon at stake: CRISPR-Cas systems produce types of inheritance (that might have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5D02EB">
        <w:rPr>
          <w:rFonts w:ascii="Calibri" w:hAnsi="Calibri" w:cs="Calibri"/>
          <w:color w:val="000000"/>
          <w:lang w:val="en-US"/>
        </w:rPr>
        <w:t>evolutionary impact) which are not included in an up-to-date version of the modern synthesis.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5D02EB">
        <w:rPr>
          <w:rFonts w:ascii="Calibri" w:hAnsi="Calibri" w:cs="Calibri"/>
          <w:color w:val="000000"/>
          <w:lang w:val="en-US"/>
        </w:rPr>
        <w:t>Although CRISPR arrays are subjected to Darwinian random mutation, the arrays also adapt through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5D02EB">
        <w:rPr>
          <w:rFonts w:ascii="Calibri" w:hAnsi="Calibri" w:cs="Calibri"/>
          <w:color w:val="000000"/>
          <w:lang w:val="en-US"/>
        </w:rPr>
        <w:t>a Lamarckian type, directed adaption, orchestrated by a use/disuse paradigm. Of course, both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5D02EB">
        <w:rPr>
          <w:rFonts w:ascii="Calibri" w:hAnsi="Calibri" w:cs="Calibri"/>
          <w:color w:val="000000"/>
          <w:lang w:val="en-US"/>
        </w:rPr>
        <w:t>processes do not exclude each other, in principle. Yet, it is one key feature of the modern synthesis’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supporters to exclude any instances of IAC, especially forms that can be associated with Lamarck’s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theory.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Now, how shall we characterize this instance of pluralism? What kind of attack on orthodoxy does it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pose if one shows that some core theoretical assumptions do not universally apply? Let me draw an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analogy from a core theoretical assumption in physics: the first law of thermodynamics. Is claiming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“sometimes Lamarckian inheritance is instantiated” the same as claiming “sometimes energy is not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conserved”? What is now key here is that the answer might be “yes” and “no”. To some, such an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 xml:space="preserve">analogy is valid (Haig, 2007). I would call these researchers “Neo-Darwinian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singularists</w:t>
      </w:r>
      <w:proofErr w:type="spellEnd"/>
      <w:r w:rsidRPr="005D02EB">
        <w:rPr>
          <w:rFonts w:ascii="Calibri" w:hAnsi="Calibri" w:cs="Calibri"/>
          <w:color w:val="000000"/>
          <w:lang w:val="en-US"/>
        </w:rPr>
        <w:t>.” Yet, to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others the answer is clearly “no”: Scientists insisting on instances of Lamarckian inheritance usually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accept all instances where a Darwinian framework has more explanatory power and also accept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“compound cases”, where integration of both modes explains a phenotype (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Koonin</w:t>
      </w:r>
      <w:proofErr w:type="spellEnd"/>
      <w:r w:rsidRPr="005D02EB">
        <w:rPr>
          <w:rFonts w:ascii="Calibri" w:hAnsi="Calibri" w:cs="Calibri"/>
          <w:color w:val="000000"/>
          <w:lang w:val="en-US"/>
        </w:rPr>
        <w:t>, 2018, 13). I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suggest calling these actors “dualists”. I am not conscious of actors who would fit the definition of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 xml:space="preserve">“Lamarckian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singularists</w:t>
      </w:r>
      <w:proofErr w:type="spellEnd"/>
      <w:r w:rsidRPr="005D02EB">
        <w:rPr>
          <w:rFonts w:ascii="Calibri" w:hAnsi="Calibri" w:cs="Calibri"/>
          <w:color w:val="000000"/>
          <w:lang w:val="en-US"/>
        </w:rPr>
        <w:t>”, insisting that all instances of inheritance and evolution are strictly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 xml:space="preserve">Lamarckian. Thus, we are encountering certain tensions and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assymetries</w:t>
      </w:r>
      <w:proofErr w:type="spellEnd"/>
      <w:r w:rsidRPr="005D02EB">
        <w:rPr>
          <w:rFonts w:ascii="Calibri" w:hAnsi="Calibri" w:cs="Calibri"/>
          <w:color w:val="000000"/>
          <w:lang w:val="en-US"/>
        </w:rPr>
        <w:t>, both for the perspective of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the philosopher vs. actors in the research field, as well as within the scientific community. Whereas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“pluralism” seems to be a category mainly used by philosophers, the categories of “dualism” and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“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singularism</w:t>
      </w:r>
      <w:proofErr w:type="spellEnd"/>
      <w:r w:rsidRPr="005D02EB">
        <w:rPr>
          <w:rFonts w:ascii="Calibri" w:hAnsi="Calibri" w:cs="Calibri"/>
          <w:color w:val="000000"/>
          <w:lang w:val="en-US"/>
        </w:rPr>
        <w:t>” might better describe the positions researchers take. Individual takes of researchers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 xml:space="preserve">concerning pluralism are not defined by them being dualist or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singularist</w:t>
      </w:r>
      <w:proofErr w:type="spellEnd"/>
      <w:r w:rsidRPr="005D02EB">
        <w:rPr>
          <w:rFonts w:ascii="Calibri" w:hAnsi="Calibri" w:cs="Calibri"/>
          <w:color w:val="000000"/>
          <w:lang w:val="en-US"/>
        </w:rPr>
        <w:t>. Yet one could suspect that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dualism might invite a pluralist interpretation of the phenomenon at stake. To conclude, CRISPR-Cas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 xml:space="preserve">teaches us a lot about alternative trajectories of inheritance, which might constitute an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assymmetric</w:t>
      </w:r>
      <w:proofErr w:type="spellEnd"/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case for theoretical pluralism. Nevertheless, we should pay close attention to the actors within the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respective field, who will finally negotiate the rise and decline of plurality in their research area.</w:t>
      </w:r>
      <w:bookmarkStart w:id="0" w:name="_GoBack"/>
      <w:bookmarkEnd w:id="0"/>
    </w:p>
    <w:p w:rsid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Burkhardt, Richard Wellington (1995): “The Spirit of System: Lamarck and Evolutionary Biology: Now</w:t>
      </w:r>
    </w:p>
    <w:p w:rsid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lastRenderedPageBreak/>
        <w:t>with" Lamarck in 1995"” Harvard University Press.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 xml:space="preserve">Chen, Qi, Wei Yan, and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Enkui</w:t>
      </w:r>
      <w:proofErr w:type="spellEnd"/>
      <w:r w:rsidRPr="005D02EB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Duan</w:t>
      </w:r>
      <w:proofErr w:type="spellEnd"/>
      <w:r w:rsidRPr="005D02EB">
        <w:rPr>
          <w:rFonts w:ascii="Calibri" w:hAnsi="Calibri" w:cs="Calibri"/>
          <w:color w:val="000000"/>
          <w:lang w:val="en-US"/>
        </w:rPr>
        <w:t xml:space="preserve"> (2016): "Epigenetic inheritance of acquired traits through sperm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 xml:space="preserve">RNAs and sperm RNA modifications." </w:t>
      </w:r>
      <w:r w:rsidRPr="005D02EB">
        <w:rPr>
          <w:rFonts w:ascii="Calibri,Italic" w:hAnsi="Calibri,Italic" w:cs="Calibri,Italic"/>
          <w:i/>
          <w:iCs/>
          <w:color w:val="000000"/>
          <w:lang w:val="en-US"/>
        </w:rPr>
        <w:t xml:space="preserve">Nature Reviews Genetics </w:t>
      </w:r>
      <w:r w:rsidRPr="005D02EB">
        <w:rPr>
          <w:rFonts w:ascii="Calibri" w:hAnsi="Calibri" w:cs="Calibri"/>
          <w:color w:val="000000"/>
          <w:lang w:val="en-US"/>
        </w:rPr>
        <w:t>17.12: 733-743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Haig, David (2007): "Weismann rules! OK? Epigenetics and the Lamarckian temptation." Biology &amp;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Philosophy 22.3: 415-428.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proofErr w:type="spellStart"/>
      <w:r w:rsidRPr="005D02EB">
        <w:rPr>
          <w:rFonts w:ascii="Calibri" w:hAnsi="Calibri" w:cs="Calibri"/>
          <w:color w:val="000000"/>
          <w:lang w:val="en-US"/>
        </w:rPr>
        <w:t>Hille</w:t>
      </w:r>
      <w:proofErr w:type="spellEnd"/>
      <w:r w:rsidRPr="005D02EB">
        <w:rPr>
          <w:rFonts w:ascii="Calibri" w:hAnsi="Calibri" w:cs="Calibri"/>
          <w:color w:val="000000"/>
          <w:lang w:val="en-US"/>
        </w:rPr>
        <w:t xml:space="preserve">, Frank, et al. (2018): "The biology of CRISPR-Cas: backward and forward." </w:t>
      </w:r>
      <w:r w:rsidRPr="005D02EB">
        <w:rPr>
          <w:rFonts w:ascii="Calibri,Italic" w:hAnsi="Calibri,Italic" w:cs="Calibri,Italic"/>
          <w:i/>
          <w:iCs/>
          <w:color w:val="000000"/>
          <w:lang w:val="en-US"/>
        </w:rPr>
        <w:t xml:space="preserve">Cell </w:t>
      </w:r>
      <w:r w:rsidRPr="005D02EB">
        <w:rPr>
          <w:rFonts w:ascii="Calibri" w:hAnsi="Calibri" w:cs="Calibri"/>
          <w:color w:val="000000"/>
          <w:lang w:val="en-US"/>
        </w:rPr>
        <w:t>172.6: 1239-1259.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 xml:space="preserve">Kellert, Stephen H., Helen E.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Longino</w:t>
      </w:r>
      <w:proofErr w:type="spellEnd"/>
      <w:r w:rsidRPr="005D02EB">
        <w:rPr>
          <w:rFonts w:ascii="Calibri" w:hAnsi="Calibri" w:cs="Calibri"/>
          <w:color w:val="000000"/>
          <w:lang w:val="en-US"/>
        </w:rPr>
        <w:t>, and C. Kenneth Waters, eds. (2006): “Scientific pluralism” Vol.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19. U of Minnesota Press, 2006.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proofErr w:type="spellStart"/>
      <w:r w:rsidRPr="005D02EB">
        <w:rPr>
          <w:rFonts w:ascii="Calibri" w:hAnsi="Calibri" w:cs="Calibri"/>
          <w:color w:val="000000"/>
          <w:lang w:val="en-US"/>
        </w:rPr>
        <w:t>Martynov</w:t>
      </w:r>
      <w:proofErr w:type="spellEnd"/>
      <w:r w:rsidRPr="005D02EB">
        <w:rPr>
          <w:rFonts w:ascii="Calibri" w:hAnsi="Calibri" w:cs="Calibri"/>
          <w:color w:val="000000"/>
          <w:lang w:val="en-US"/>
        </w:rPr>
        <w:t xml:space="preserve">, Alexander, Konstantin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Severinov</w:t>
      </w:r>
      <w:proofErr w:type="spellEnd"/>
      <w:r w:rsidRPr="005D02EB">
        <w:rPr>
          <w:rFonts w:ascii="Calibri" w:hAnsi="Calibri" w:cs="Calibri"/>
          <w:color w:val="000000"/>
          <w:lang w:val="en-US"/>
        </w:rPr>
        <w:t xml:space="preserve">, and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Iaroslav</w:t>
      </w:r>
      <w:proofErr w:type="spellEnd"/>
      <w:r w:rsidRPr="005D02EB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Ispolatov</w:t>
      </w:r>
      <w:proofErr w:type="spellEnd"/>
      <w:r w:rsidRPr="005D02EB">
        <w:rPr>
          <w:rFonts w:ascii="Calibri" w:hAnsi="Calibri" w:cs="Calibri"/>
          <w:color w:val="000000"/>
          <w:lang w:val="en-US"/>
        </w:rPr>
        <w:t xml:space="preserve"> (2017) "Optimal number of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 xml:space="preserve">spacers in CRISPR arrays." </w:t>
      </w:r>
      <w:proofErr w:type="spellStart"/>
      <w:r w:rsidRPr="005D02EB">
        <w:rPr>
          <w:rFonts w:ascii="Calibri" w:hAnsi="Calibri" w:cs="Calibri"/>
          <w:color w:val="000000"/>
          <w:lang w:val="en-US"/>
        </w:rPr>
        <w:t>PLoS</w:t>
      </w:r>
      <w:proofErr w:type="spellEnd"/>
      <w:r w:rsidRPr="005D02EB">
        <w:rPr>
          <w:rFonts w:ascii="Calibri" w:hAnsi="Calibri" w:cs="Calibri"/>
          <w:color w:val="000000"/>
          <w:lang w:val="en-US"/>
        </w:rPr>
        <w:t xml:space="preserve"> computational biology 13.12: e1005891.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proofErr w:type="spellStart"/>
      <w:r w:rsidRPr="005D02EB">
        <w:rPr>
          <w:rFonts w:ascii="Calibri" w:hAnsi="Calibri" w:cs="Calibri"/>
          <w:color w:val="000000"/>
          <w:lang w:val="en-US"/>
        </w:rPr>
        <w:t>Staals</w:t>
      </w:r>
      <w:proofErr w:type="spellEnd"/>
      <w:r w:rsidRPr="005D02EB">
        <w:rPr>
          <w:rFonts w:ascii="Calibri" w:hAnsi="Calibri" w:cs="Calibri"/>
          <w:color w:val="000000"/>
          <w:lang w:val="en-US"/>
        </w:rPr>
        <w:t>, Raymond HJ, et al. (2016): "Interference-driven spacer acquisition is dominant over naive and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primed adaptation in a native CRISPR–Cas system." Nature communications 7: 12853.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>Veigl, Sophie Juliane (2017): "Use/disuse paradigms are ubiquitous concepts in characterizing the</w:t>
      </w:r>
    </w:p>
    <w:p w:rsidR="005D02EB" w:rsidRPr="005D02EB" w:rsidRDefault="005D02EB" w:rsidP="005D02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5D02EB">
        <w:rPr>
          <w:rFonts w:ascii="Calibri" w:hAnsi="Calibri" w:cs="Calibri"/>
          <w:color w:val="000000"/>
          <w:lang w:val="en-US"/>
        </w:rPr>
        <w:t xml:space="preserve">process of inheritance." </w:t>
      </w:r>
      <w:r w:rsidRPr="005D02EB">
        <w:rPr>
          <w:rFonts w:ascii="Calibri,Italic" w:hAnsi="Calibri,Italic" w:cs="Calibri,Italic"/>
          <w:i/>
          <w:iCs/>
          <w:color w:val="000000"/>
          <w:lang w:val="en-US"/>
        </w:rPr>
        <w:t xml:space="preserve">RNA biology </w:t>
      </w:r>
      <w:r w:rsidRPr="005D02EB">
        <w:rPr>
          <w:rFonts w:ascii="Calibri" w:hAnsi="Calibri" w:cs="Calibri"/>
          <w:color w:val="000000"/>
          <w:lang w:val="en-US"/>
        </w:rPr>
        <w:t>14.12: 1700-1704.</w:t>
      </w:r>
    </w:p>
    <w:p w:rsidR="00F7141E" w:rsidRPr="005D02EB" w:rsidRDefault="00F7141E" w:rsidP="005D02E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</w:rPr>
      </w:pPr>
    </w:p>
    <w:sectPr w:rsidR="00F7141E" w:rsidRPr="005D0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EB"/>
    <w:rsid w:val="005D02EB"/>
    <w:rsid w:val="00F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4BB5"/>
  <w15:chartTrackingRefBased/>
  <w15:docId w15:val="{D9E4E25F-6B79-400A-B9DD-EC192A6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Veigl</dc:creator>
  <cp:keywords/>
  <dc:description/>
  <cp:lastModifiedBy>Sophie Veigl</cp:lastModifiedBy>
  <cp:revision>1</cp:revision>
  <dcterms:created xsi:type="dcterms:W3CDTF">2018-11-26T12:36:00Z</dcterms:created>
  <dcterms:modified xsi:type="dcterms:W3CDTF">2018-11-26T12:40:00Z</dcterms:modified>
</cp:coreProperties>
</file>