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2A0F9" w14:textId="77777777" w:rsidR="00C8305E" w:rsidRDefault="00C8305E" w:rsidP="00C8305E">
      <w:pPr>
        <w:pStyle w:val="Title"/>
        <w:spacing w:line="240" w:lineRule="auto"/>
      </w:pPr>
      <w:r>
        <w:t xml:space="preserve">Representation Wars: </w:t>
      </w:r>
    </w:p>
    <w:p w14:paraId="2918811B" w14:textId="1374CABD" w:rsidR="00C8305E" w:rsidRDefault="00C8305E" w:rsidP="00C8305E">
      <w:pPr>
        <w:pStyle w:val="Subtitle"/>
        <w:spacing w:line="240" w:lineRule="auto"/>
      </w:pPr>
      <w:r>
        <w:t xml:space="preserve">Enacting an </w:t>
      </w:r>
      <w:r w:rsidRPr="00C8305E">
        <w:t>Armistice</w:t>
      </w:r>
      <w:r>
        <w:t xml:space="preserve"> </w:t>
      </w:r>
      <w:r w:rsidR="00A3191C">
        <w:t>t</w:t>
      </w:r>
      <w:r>
        <w:t xml:space="preserve">hrough Active Inference </w:t>
      </w:r>
    </w:p>
    <w:p w14:paraId="0837811F" w14:textId="77777777" w:rsidR="00C8305E" w:rsidRDefault="00C8305E" w:rsidP="00C8305E">
      <w:pPr>
        <w:jc w:val="both"/>
        <w:rPr>
          <w:rFonts w:asciiTheme="majorHAnsi" w:eastAsia="Calibri" w:hAnsiTheme="majorHAnsi" w:cstheme="majorHAnsi"/>
          <w:b/>
          <w:bCs/>
          <w:sz w:val="22"/>
          <w:szCs w:val="22"/>
        </w:rPr>
      </w:pPr>
    </w:p>
    <w:p w14:paraId="059A287E" w14:textId="52790812"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Authors</w:t>
      </w:r>
    </w:p>
    <w:p w14:paraId="06102EC9" w14:textId="77777777" w:rsidR="00C8305E" w:rsidRPr="00C8305E" w:rsidRDefault="00C8305E" w:rsidP="00C8305E">
      <w:pPr>
        <w:jc w:val="both"/>
        <w:rPr>
          <w:rFonts w:asciiTheme="majorHAnsi" w:eastAsia="Calibri" w:hAnsiTheme="majorHAnsi" w:cstheme="majorHAnsi"/>
          <w:sz w:val="22"/>
          <w:szCs w:val="22"/>
          <w:vertAlign w:val="superscript"/>
        </w:rPr>
      </w:pPr>
      <w:r w:rsidRPr="00C8305E">
        <w:rPr>
          <w:rFonts w:asciiTheme="majorHAnsi" w:eastAsia="Calibri" w:hAnsiTheme="majorHAnsi" w:cstheme="majorHAnsi"/>
          <w:sz w:val="22"/>
          <w:szCs w:val="22"/>
        </w:rPr>
        <w:t>Axel Constant</w:t>
      </w:r>
      <w:r w:rsidRPr="00C8305E">
        <w:rPr>
          <w:rFonts w:asciiTheme="majorHAnsi" w:eastAsia="Calibri" w:hAnsiTheme="majorHAnsi" w:cstheme="majorHAnsi"/>
          <w:sz w:val="22"/>
          <w:szCs w:val="22"/>
          <w:vertAlign w:val="superscript"/>
        </w:rPr>
        <w:t>1,2,3*</w:t>
      </w:r>
    </w:p>
    <w:p w14:paraId="35DF93A9"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Andy Clark</w:t>
      </w:r>
      <w:r w:rsidRPr="00C8305E">
        <w:rPr>
          <w:rFonts w:asciiTheme="majorHAnsi" w:eastAsia="Calibri" w:hAnsiTheme="majorHAnsi" w:cstheme="majorHAnsi"/>
          <w:sz w:val="22"/>
          <w:szCs w:val="22"/>
          <w:vertAlign w:val="superscript"/>
        </w:rPr>
        <w:t>4,5,6</w:t>
      </w:r>
    </w:p>
    <w:p w14:paraId="5D308E8A"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Karl J. Friston</w:t>
      </w:r>
      <w:r w:rsidRPr="00C8305E">
        <w:rPr>
          <w:rFonts w:asciiTheme="majorHAnsi" w:eastAsia="Calibri" w:hAnsiTheme="majorHAnsi" w:cstheme="majorHAnsi"/>
          <w:sz w:val="22"/>
          <w:szCs w:val="22"/>
          <w:vertAlign w:val="superscript"/>
        </w:rPr>
        <w:t>3</w:t>
      </w:r>
    </w:p>
    <w:p w14:paraId="2AD91D4D" w14:textId="77777777" w:rsidR="00C8305E" w:rsidRPr="00C8305E" w:rsidRDefault="00C8305E" w:rsidP="00C8305E">
      <w:pPr>
        <w:jc w:val="both"/>
        <w:rPr>
          <w:rFonts w:asciiTheme="majorHAnsi" w:eastAsia="Calibri" w:hAnsiTheme="majorHAnsi" w:cstheme="majorHAnsi"/>
          <w:sz w:val="22"/>
          <w:szCs w:val="22"/>
        </w:rPr>
      </w:pPr>
    </w:p>
    <w:p w14:paraId="6645CC4A" w14:textId="77777777"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Institutions</w:t>
      </w:r>
    </w:p>
    <w:p w14:paraId="1EBB315D"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1. Charles Perkins Centre, The University of Sydney, John Hopkins, AU.</w:t>
      </w:r>
    </w:p>
    <w:p w14:paraId="0E6187A4"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2. Culture, Mind, and Brain Program, McGill University, CA.</w:t>
      </w:r>
    </w:p>
    <w:p w14:paraId="4E9D63A9"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3. Wellcome Trust Centre for Human Neuroimaging, University College London, UK.</w:t>
      </w:r>
    </w:p>
    <w:p w14:paraId="0705365F"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 xml:space="preserve">4. Department of Philosophy, The University of Sussex, UK. </w:t>
      </w:r>
    </w:p>
    <w:p w14:paraId="6E03842B"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5. Department of Informatics, The University of Sussex, UK.</w:t>
      </w:r>
    </w:p>
    <w:p w14:paraId="17F26587"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6. Department of Philosophy, Macquarie University, AU.</w:t>
      </w:r>
    </w:p>
    <w:p w14:paraId="492DA1EB" w14:textId="77777777" w:rsidR="00C8305E" w:rsidRPr="00C8305E" w:rsidRDefault="00C8305E" w:rsidP="00C8305E">
      <w:pPr>
        <w:jc w:val="both"/>
        <w:rPr>
          <w:rFonts w:asciiTheme="majorHAnsi" w:eastAsia="Calibri" w:hAnsiTheme="majorHAnsi" w:cstheme="majorHAnsi"/>
          <w:sz w:val="22"/>
          <w:szCs w:val="22"/>
        </w:rPr>
      </w:pPr>
    </w:p>
    <w:p w14:paraId="76A97ED9" w14:textId="77777777"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 xml:space="preserve">*Corresponding author </w:t>
      </w:r>
    </w:p>
    <w:p w14:paraId="5F7439CD"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 xml:space="preserve">axel.constant.pruvost@gmail.com, Theory and Method in Biosciences, Level 6, Charles Perkins Centre D17, Johns Hopkins Drive (off Missenden Road), The University of Sydney, NSW 2006 Australia, phone: +610410756661 </w:t>
      </w:r>
    </w:p>
    <w:p w14:paraId="08DA47C4" w14:textId="77777777" w:rsidR="00C8305E" w:rsidRPr="00C8305E" w:rsidRDefault="00C8305E" w:rsidP="00C8305E">
      <w:pPr>
        <w:jc w:val="both"/>
        <w:rPr>
          <w:rFonts w:asciiTheme="majorHAnsi" w:eastAsia="Calibri" w:hAnsiTheme="majorHAnsi" w:cstheme="majorHAnsi"/>
          <w:sz w:val="22"/>
          <w:szCs w:val="22"/>
        </w:rPr>
      </w:pPr>
    </w:p>
    <w:p w14:paraId="38FFD8F6" w14:textId="77777777"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Funding Acknowledgements</w:t>
      </w:r>
    </w:p>
    <w:p w14:paraId="4A331608"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Work on this article was supported by the Australian Laureate Fellowship project A Philosophy of Medicine for the 21st Century (Ref: FL170100160) (AConstant), by a Social Sciences and Humanities Research Council (SSHRC) doctoral fellowship (Ref: 752-2019-0065) (AConstant), by the European Research Council (ERC) Advanced Grant XSPECT - DLV-692739 (AClark), and by a Wellcome Trust Principal Research Fellowship (Ref: 088130/Z/09/Z) (KJF).</w:t>
      </w:r>
    </w:p>
    <w:p w14:paraId="24E10162" w14:textId="77777777" w:rsidR="00C8305E" w:rsidRPr="00C8305E" w:rsidRDefault="00C8305E" w:rsidP="00C8305E">
      <w:pPr>
        <w:jc w:val="both"/>
        <w:rPr>
          <w:rFonts w:asciiTheme="majorHAnsi" w:eastAsia="Calibri" w:hAnsiTheme="majorHAnsi" w:cstheme="majorHAnsi"/>
          <w:sz w:val="22"/>
          <w:szCs w:val="22"/>
        </w:rPr>
      </w:pPr>
    </w:p>
    <w:p w14:paraId="66FEC339" w14:textId="77777777"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General acknowledgements</w:t>
      </w:r>
    </w:p>
    <w:p w14:paraId="56944B81"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 xml:space="preserve">We thank Ian Robertson and Maxwell Ramstead for discussions that influenced this manuscript, and especially Paul Badcock for their comments on earlier versions of this manuscript. </w:t>
      </w:r>
    </w:p>
    <w:p w14:paraId="12217FFD" w14:textId="77777777" w:rsidR="00C8305E" w:rsidRPr="00C8305E" w:rsidRDefault="00C8305E" w:rsidP="00C8305E">
      <w:pPr>
        <w:jc w:val="both"/>
        <w:rPr>
          <w:rFonts w:asciiTheme="majorHAnsi" w:eastAsia="Calibri" w:hAnsiTheme="majorHAnsi" w:cstheme="majorHAnsi"/>
          <w:sz w:val="22"/>
          <w:szCs w:val="22"/>
        </w:rPr>
      </w:pPr>
    </w:p>
    <w:p w14:paraId="2A37C482" w14:textId="77777777"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Abstract</w:t>
      </w:r>
    </w:p>
    <w:p w14:paraId="387A8086"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 xml:space="preserve">Over the last 30 years, intellectualist and dynamicist positions in the philosophy of cognitive science have been arguing over whether neurocognitive processes should be viewed as representational or not. Major scientific and technological developments over the years have furnished both parties with ever more sophisticated conceptual weaponry. In recent years, an enactive generalisation of predictive processing – known as active inference – has been proposed as a unifying theory of brain functions. Since then, active inference has fuelled intellectualist and dynamicist campaigns. However, we believe that when diving into the formal details of active inference, one should be able to find a solution to the war; if not a peace treaty, surely an armistice of sort. Based on an analysis of these formal details, this paper shows how both intellectualist and dynamicist sensibilities can peacefully coexist within the new territory of active inference.  </w:t>
      </w:r>
    </w:p>
    <w:p w14:paraId="4EA17197" w14:textId="77777777" w:rsidR="00C8305E" w:rsidRPr="00C8305E" w:rsidRDefault="00C8305E" w:rsidP="00C8305E">
      <w:pPr>
        <w:jc w:val="both"/>
        <w:rPr>
          <w:rFonts w:asciiTheme="majorHAnsi" w:eastAsia="Calibri" w:hAnsiTheme="majorHAnsi" w:cstheme="majorHAnsi"/>
          <w:sz w:val="22"/>
          <w:szCs w:val="22"/>
        </w:rPr>
      </w:pPr>
    </w:p>
    <w:p w14:paraId="228F90B0" w14:textId="77777777" w:rsidR="00C8305E" w:rsidRPr="00C8305E" w:rsidRDefault="00C8305E" w:rsidP="00C8305E">
      <w:pPr>
        <w:jc w:val="both"/>
        <w:rPr>
          <w:rFonts w:asciiTheme="majorHAnsi" w:eastAsia="Calibri" w:hAnsiTheme="majorHAnsi" w:cstheme="majorHAnsi"/>
          <w:b/>
          <w:bCs/>
          <w:sz w:val="22"/>
          <w:szCs w:val="22"/>
        </w:rPr>
      </w:pPr>
      <w:r w:rsidRPr="00C8305E">
        <w:rPr>
          <w:rFonts w:asciiTheme="majorHAnsi" w:eastAsia="Calibri" w:hAnsiTheme="majorHAnsi" w:cstheme="majorHAnsi"/>
          <w:b/>
          <w:bCs/>
          <w:sz w:val="22"/>
          <w:szCs w:val="22"/>
        </w:rPr>
        <w:t>Keywords</w:t>
      </w:r>
    </w:p>
    <w:p w14:paraId="78AE79D0" w14:textId="77777777" w:rsidR="00C8305E" w:rsidRPr="00C8305E" w:rsidRDefault="00C8305E" w:rsidP="00C8305E">
      <w:pPr>
        <w:jc w:val="both"/>
        <w:rPr>
          <w:rFonts w:asciiTheme="majorHAnsi" w:eastAsia="Calibri" w:hAnsiTheme="majorHAnsi" w:cstheme="majorHAnsi"/>
          <w:sz w:val="22"/>
          <w:szCs w:val="22"/>
        </w:rPr>
      </w:pPr>
      <w:r w:rsidRPr="00C8305E">
        <w:rPr>
          <w:rFonts w:asciiTheme="majorHAnsi" w:eastAsia="Calibri" w:hAnsiTheme="majorHAnsi" w:cstheme="majorHAnsi"/>
          <w:sz w:val="22"/>
          <w:szCs w:val="22"/>
        </w:rPr>
        <w:t>Representationalism, Embodiment, Active inference, Free energy principle, Philosophy of cognitive science</w:t>
      </w:r>
    </w:p>
    <w:p w14:paraId="79FF0093" w14:textId="73B41E3D" w:rsidR="00C8305E" w:rsidRPr="00C8305E" w:rsidRDefault="00C8305E" w:rsidP="00C8305E">
      <w:pPr>
        <w:pStyle w:val="Heading1"/>
      </w:pPr>
      <w:bookmarkStart w:id="0" w:name="_Toc11499303"/>
      <w:r w:rsidRPr="00C8305E">
        <w:lastRenderedPageBreak/>
        <w:t>1 Introduction</w:t>
      </w:r>
      <w:bookmarkEnd w:id="0"/>
      <w:r w:rsidRPr="00C8305E">
        <w:t xml:space="preserve"> </w:t>
      </w:r>
    </w:p>
    <w:p w14:paraId="46C5F3F9"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bookmarkStart w:id="1" w:name="_Toc11499304"/>
      <w:r w:rsidRPr="00C8305E">
        <w:rPr>
          <w:rFonts w:asciiTheme="majorHAnsi" w:eastAsia="Calibri" w:hAnsiTheme="majorHAnsi" w:cstheme="majorHAnsi"/>
          <w:color w:val="000000" w:themeColor="text1"/>
          <w:sz w:val="22"/>
          <w:szCs w:val="22"/>
        </w:rPr>
        <w:t xml:space="preserve">This paper proposes a way to end the representation wars. Focusing on recent formal developments, we aim to show that the concept of generative models as applied to the brain under active inference accommodates a representationalist and a dynamicist (a.k.a. non-representational) view of cognition. More precisely, we show that the architecture or configuration of neuronal pathways under a (Markovian) generative model (for discrete state spaces) can – and generally speaking will – realise both representational and non-representational processes. </w:t>
      </w:r>
    </w:p>
    <w:p w14:paraId="332D78F1" w14:textId="77777777" w:rsidR="00C8305E" w:rsidRPr="00C8305E" w:rsidRDefault="00C8305E" w:rsidP="00C8305E">
      <w:pPr>
        <w:spacing w:line="360" w:lineRule="auto"/>
        <w:jc w:val="both"/>
        <w:rPr>
          <w:rFonts w:asciiTheme="majorHAnsi" w:hAnsiTheme="majorHAnsi" w:cstheme="majorHAnsi"/>
          <w:color w:val="000000" w:themeColor="text1"/>
          <w:sz w:val="22"/>
          <w:szCs w:val="22"/>
          <w:shd w:val="clear" w:color="auto" w:fill="FFFFFF"/>
        </w:rPr>
      </w:pPr>
    </w:p>
    <w:p w14:paraId="72857516"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In section 2 of this paper, </w:t>
      </w:r>
      <w:r w:rsidRPr="00C8305E">
        <w:rPr>
          <w:rFonts w:asciiTheme="majorHAnsi" w:hAnsiTheme="majorHAnsi" w:cstheme="majorHAnsi"/>
          <w:color w:val="000000" w:themeColor="text1"/>
          <w:sz w:val="22"/>
          <w:szCs w:val="22"/>
          <w:shd w:val="clear" w:color="auto" w:fill="FFFFFF"/>
        </w:rPr>
        <w:t xml:space="preserve">to help readers unfamiliar with the notion of representation in the philosophy of cognitive science, we present a heuristic overview of its history, focussing on salient moments of its war over the past 30 years. Although this history is complex and more nuanced than what we can present here, we believe that this discussion evinces some of the motivations behind the notion of representation and its contestations. </w:t>
      </w:r>
      <w:r w:rsidRPr="00C8305E">
        <w:rPr>
          <w:rFonts w:asciiTheme="majorHAnsi" w:eastAsia="Calibri" w:hAnsiTheme="majorHAnsi" w:cstheme="majorHAnsi"/>
          <w:color w:val="000000" w:themeColor="text1"/>
          <w:sz w:val="22"/>
          <w:szCs w:val="22"/>
        </w:rPr>
        <w:t xml:space="preserve">In section 3, we present the architecture of generative models’ representationalist pathways. This allows us to segue into a discussion of dynamic pathways in section 4. Section 5 discusses some worries. We then conclude in section 6 with some brief remarks on good practice in the philosophy of cognitive science, when appealing to the mechanics of active inference. </w:t>
      </w:r>
    </w:p>
    <w:p w14:paraId="04E9CE66"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189FC6D8"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Note that we do not engage with debates concerning active inference </w:t>
      </w:r>
      <w:r w:rsidRPr="00C8305E">
        <w:rPr>
          <w:rFonts w:asciiTheme="majorHAnsi" w:eastAsia="Calibri" w:hAnsiTheme="majorHAnsi" w:cstheme="majorHAnsi"/>
          <w:i/>
          <w:iCs/>
          <w:color w:val="000000" w:themeColor="text1"/>
          <w:sz w:val="22"/>
          <w:szCs w:val="22"/>
        </w:rPr>
        <w:t>per se</w:t>
      </w:r>
      <w:r w:rsidRPr="00C8305E">
        <w:rPr>
          <w:rFonts w:asciiTheme="majorHAnsi" w:eastAsia="Calibri" w:hAnsiTheme="majorHAnsi" w:cstheme="majorHAnsi"/>
          <w:color w:val="000000" w:themeColor="text1"/>
          <w:sz w:val="22"/>
          <w:szCs w:val="22"/>
        </w:rPr>
        <w:t xml:space="preserve">, nor do we venture into a philosophical justification of its use in cognitive neuroscience. Rather, we start from the premise that active inference is a suitable theory, as evidenced by the large literature that evidences, employs, argues for, and teaches its workings. For a comprehensive introduction and for a review of the formal fundaments and empirical evidence, we refer the reader to </w:t>
      </w:r>
      <w:hyperlink r:id="rId7">
        <w:r w:rsidRPr="00C8305E">
          <w:rPr>
            <w:rFonts w:asciiTheme="majorHAnsi" w:eastAsia="Calibri" w:hAnsiTheme="majorHAnsi" w:cstheme="majorHAnsi"/>
            <w:color w:val="000000" w:themeColor="text1"/>
            <w:sz w:val="22"/>
            <w:szCs w:val="22"/>
          </w:rPr>
          <w:t>(Buckley et al. 2017; Bogacz 2017; Beal 2003; Friston 2018; Keller and Mrsic-Flogel 2018; Parr et al., 2019)</w:t>
        </w:r>
      </w:hyperlink>
      <w:r w:rsidRPr="00C8305E">
        <w:rPr>
          <w:rFonts w:asciiTheme="majorHAnsi" w:eastAsia="Calibri" w:hAnsiTheme="majorHAnsi" w:cstheme="majorHAnsi"/>
          <w:color w:val="000000" w:themeColor="text1"/>
          <w:sz w:val="22"/>
          <w:szCs w:val="22"/>
        </w:rPr>
        <w:t xml:space="preserve">. </w:t>
      </w:r>
    </w:p>
    <w:p w14:paraId="449C1141"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115DB8A1" w14:textId="7AF03664" w:rsidR="00C8305E" w:rsidRPr="00507989" w:rsidRDefault="00C8305E" w:rsidP="00C8305E">
      <w:pPr>
        <w:spacing w:line="360" w:lineRule="auto"/>
        <w:jc w:val="both"/>
        <w:rPr>
          <w:rFonts w:asciiTheme="majorHAnsi" w:eastAsia="Arial" w:hAnsiTheme="majorHAnsi" w:cstheme="majorHAnsi"/>
          <w:color w:val="000000" w:themeColor="text1"/>
          <w:sz w:val="22"/>
          <w:szCs w:val="22"/>
          <w:shd w:val="clear" w:color="auto" w:fill="FFFFFF"/>
        </w:rPr>
      </w:pPr>
      <w:r w:rsidRPr="00C8305E">
        <w:rPr>
          <w:rFonts w:asciiTheme="majorHAnsi" w:eastAsia="Calibri" w:hAnsiTheme="majorHAnsi" w:cstheme="majorHAnsi"/>
          <w:color w:val="000000" w:themeColor="text1"/>
          <w:sz w:val="22"/>
          <w:szCs w:val="22"/>
        </w:rPr>
        <w:t xml:space="preserve">Also, note that the argument presented in this paper is of a different kind than those currently available in the literature on representationalism in predictive processing and active inference (e.g., Allen and Friston, 2016; </w:t>
      </w:r>
      <w:r w:rsidRPr="00C8305E">
        <w:rPr>
          <w:rFonts w:asciiTheme="majorHAnsi" w:hAnsiTheme="majorHAnsi" w:cstheme="majorHAnsi"/>
          <w:color w:val="000000" w:themeColor="text1"/>
          <w:sz w:val="22"/>
          <w:szCs w:val="22"/>
          <w:shd w:val="clear" w:color="auto" w:fill="FFFFFF"/>
        </w:rPr>
        <w:t xml:space="preserve">Clark, 2015abc; Dolega, 2017; Gładziejewski, 2016; Kiefer &amp; Hohwy, 2017), as it is not based on an intuitive conceptual  analysis, but rather on a formal, analytic reading of the theory. The argument we present is simple. We show that if one agrees with the sufficient criteria for representationalism described in section 2, then one is compelled to agree with the claim made in this paper; namely, that formally, representational and non-representational cognitive processes can be implemented by the brain under active inference. Given that active inference is a formal theory of functional neuroanatomy, the debates on </w:t>
      </w:r>
      <w:r w:rsidRPr="00C8305E">
        <w:rPr>
          <w:rFonts w:asciiTheme="majorHAnsi" w:hAnsiTheme="majorHAnsi" w:cstheme="majorHAnsi"/>
          <w:color w:val="000000" w:themeColor="text1"/>
          <w:sz w:val="22"/>
          <w:szCs w:val="22"/>
          <w:shd w:val="clear" w:color="auto" w:fill="FFFFFF"/>
        </w:rPr>
        <w:lastRenderedPageBreak/>
        <w:t xml:space="preserve">the representational nature of brain processes concerning active inference should come to an end. Thus, </w:t>
      </w:r>
      <w:r w:rsidRPr="00C8305E">
        <w:rPr>
          <w:rFonts w:asciiTheme="majorHAnsi" w:eastAsia="Calibri" w:hAnsiTheme="majorHAnsi" w:cstheme="majorHAnsi"/>
          <w:color w:val="000000" w:themeColor="text1"/>
          <w:sz w:val="22"/>
          <w:szCs w:val="22"/>
        </w:rPr>
        <w:t>the upshot of this paper is to move forward the philosophical debates on representationalism in active inference and to enable practical debates about the varieties of possible implementations of representational and non-representational neuronal processes.</w:t>
      </w:r>
    </w:p>
    <w:p w14:paraId="0A0CF782" w14:textId="1356E967" w:rsidR="00C8305E" w:rsidRPr="00507989" w:rsidRDefault="00C8305E" w:rsidP="00507989">
      <w:pPr>
        <w:pStyle w:val="Heading1"/>
        <w:rPr>
          <w:shd w:val="clear" w:color="auto" w:fill="FFFFFF"/>
        </w:rPr>
      </w:pPr>
      <w:r w:rsidRPr="00C8305E">
        <w:rPr>
          <w:shd w:val="clear" w:color="auto" w:fill="FFFFFF"/>
        </w:rPr>
        <w:t xml:space="preserve">2 30 years of </w:t>
      </w:r>
      <w:r w:rsidRPr="00C8305E">
        <w:t>representation</w:t>
      </w:r>
      <w:r w:rsidRPr="00C8305E">
        <w:rPr>
          <w:shd w:val="clear" w:color="auto" w:fill="FFFFFF"/>
        </w:rPr>
        <w:t xml:space="preserve"> wars</w:t>
      </w:r>
    </w:p>
    <w:p w14:paraId="2E7FFF6F" w14:textId="77777777" w:rsidR="00C8305E" w:rsidRPr="00C8305E" w:rsidRDefault="00C8305E" w:rsidP="00C8305E">
      <w:pPr>
        <w:pStyle w:val="Heading2"/>
      </w:pPr>
      <w:r w:rsidRPr="00C8305E">
        <w:t>2.1 80’s Connectionism</w:t>
      </w:r>
      <w:bookmarkEnd w:id="1"/>
    </w:p>
    <w:p w14:paraId="7F770A8E"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As the story goes, until the 90s, driven by advances in computer science, the philosophy of cognitive science was dominated by cognitivism and connectionism (e.g. Fodor, 1975; Churchland, 1989). Connectionism was presented as a first attack on cognitivism – cognitivism being an attempt at understanding the brain as a logical symbol manipulating system. For connectionists, the brain should not be studied as a symbol manipulating system, but rather, consistent with the brain’s actual neurophysiology, as a set of hierarchically deployed neural networks. The spirit of connectionism is still very much alive today, such as in deep learning research (for a review see LeCun, Bengio, and Hinton, 2015). </w:t>
      </w:r>
    </w:p>
    <w:p w14:paraId="14DCE37F"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791046F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Both cognitivism and connectionism deal with a view of cognition as a problem-solving activity. And both paradigms have typically invoked some notion of representation, with the main difference being whether the representations had symbol-level content or something softer, something contentful yet ‘sub-symbolic’ (for extensive discussion, see Clark, 1989; 1993).</w:t>
      </w:r>
    </w:p>
    <w:p w14:paraId="00805F89"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57DDB58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Although these are different types of representations, each involving different criteria, a cognitive process will – for the purposes of this paper – be deemed representational whenever that process can be said to fulfil the following sufficient conditions (See Hutto &amp; Myin, 2013; Seigle, 2010): </w:t>
      </w:r>
    </w:p>
    <w:p w14:paraId="6F8AD78F"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3C7C7F7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(i)The cognitive process is about</w:t>
      </w:r>
      <w:r w:rsidRPr="00C8305E">
        <w:rPr>
          <w:rFonts w:asciiTheme="majorHAnsi" w:hAnsiTheme="majorHAnsi" w:cstheme="majorHAnsi"/>
          <w:color w:val="000000" w:themeColor="text1"/>
          <w:sz w:val="22"/>
          <w:szCs w:val="22"/>
        </w:rPr>
        <w:t xml:space="preserve"> something else (a.k.a. aboutness).</w:t>
      </w:r>
    </w:p>
    <w:p w14:paraId="0F339FA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(ii)The cognitive process has </w:t>
      </w:r>
      <w:r w:rsidRPr="00C8305E">
        <w:rPr>
          <w:rFonts w:asciiTheme="majorHAnsi" w:hAnsiTheme="majorHAnsi" w:cstheme="majorHAnsi"/>
          <w:color w:val="000000" w:themeColor="text1"/>
          <w:sz w:val="22"/>
          <w:szCs w:val="22"/>
        </w:rPr>
        <w:t>satisfaction conditions with respect the thing it is about.</w:t>
      </w:r>
    </w:p>
    <w:p w14:paraId="4A816B57"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bookmarkStart w:id="2" w:name="_Toc11499305"/>
    </w:p>
    <w:p w14:paraId="61FFCAFC" w14:textId="77777777" w:rsidR="00C8305E" w:rsidRPr="00C8305E" w:rsidRDefault="00C8305E" w:rsidP="00C8305E">
      <w:pPr>
        <w:pStyle w:val="Heading2"/>
      </w:pPr>
      <w:r w:rsidRPr="00C8305E">
        <w:lastRenderedPageBreak/>
        <w:t>2.2 90’s Dynamicis</w:t>
      </w:r>
      <w:bookmarkEnd w:id="2"/>
      <w:r w:rsidRPr="00C8305E">
        <w:t>m</w:t>
      </w:r>
    </w:p>
    <w:p w14:paraId="2D1B1258"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The 90’s marked the rise of embodied views in cognitive science such as enactivism (Varela, Thompson, and Rosch, 1991) and radical embodied cognition (Chemero, 2009). Embodied approaches were motivated by developments in the field of dynamical system theory, which casts cognitive systems as coupled quantitative variables, mutually changing interdependently over time (Van Gelder, 1995; Thelen &amp; Smith, 1996; Beer, 2000); one variable being the organism, the other being the environment. Dynamicism has been driven by two main criticisms of much previous work, (Thompson, 2007):</w:t>
      </w:r>
    </w:p>
    <w:p w14:paraId="029B89EC"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2406CEF2"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(i)Since the brain is embodied, we cannot abstract cognition from the body, and consequently from the environment; </w:t>
      </w:r>
    </w:p>
    <w:p w14:paraId="343DD3D6"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rPr>
      </w:pPr>
    </w:p>
    <w:p w14:paraId="42F492E2"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(ii)Since representationalism posits the mediation of the world and cognition by the mental manipulation of representations, representationalism cannot genuinely acknowledge embodiment;</w:t>
      </w:r>
    </w:p>
    <w:p w14:paraId="3BB3AF49"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77584C6C"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Therefore, for these kinds of dynamicists – see Clark (1997) for a more liberal approach – we should reject the representational view of cognition altogether. Instead, cognition should be viewed as a process of self-organisation among the components of the biological system performing the cognitive activity. These components include the brain (internal states) and the body and the environment (external states). On that view, cognition is a homeostatic and allostatic process of attunement to cope with environmental perturbations; a process of ‘coping, not computing’. </w:t>
      </w:r>
      <w:bookmarkStart w:id="3" w:name="_Toc11499306"/>
    </w:p>
    <w:p w14:paraId="1178C153" w14:textId="77777777" w:rsidR="00C8305E" w:rsidRPr="00C8305E" w:rsidRDefault="00C8305E" w:rsidP="00C8305E">
      <w:pPr>
        <w:spacing w:line="360" w:lineRule="auto"/>
        <w:jc w:val="both"/>
        <w:rPr>
          <w:rFonts w:asciiTheme="majorHAnsi" w:hAnsiTheme="majorHAnsi" w:cstheme="majorHAnsi"/>
          <w:b/>
          <w:bCs/>
          <w:color w:val="000000" w:themeColor="text1"/>
          <w:sz w:val="22"/>
          <w:szCs w:val="22"/>
        </w:rPr>
      </w:pPr>
    </w:p>
    <w:p w14:paraId="609D4AD1" w14:textId="77777777" w:rsidR="00C8305E" w:rsidRPr="00C8305E" w:rsidRDefault="00C8305E" w:rsidP="00C8305E">
      <w:pPr>
        <w:pStyle w:val="Heading2"/>
      </w:pPr>
      <w:r w:rsidRPr="00C8305E">
        <w:t>2.3 2000’s active inference Westphalia?</w:t>
      </w:r>
      <w:bookmarkEnd w:id="3"/>
    </w:p>
    <w:p w14:paraId="0D4C209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At the turn of the millennium, based on a Helmholtzian view of embodied perception, the theory of active inference was introduced as a realisation of the free energy principle </w:t>
      </w:r>
      <w:hyperlink r:id="rId8">
        <w:r w:rsidRPr="00C8305E">
          <w:rPr>
            <w:rFonts w:asciiTheme="majorHAnsi" w:eastAsia="Calibri" w:hAnsiTheme="majorHAnsi" w:cstheme="majorHAnsi"/>
            <w:color w:val="000000" w:themeColor="text1"/>
            <w:sz w:val="22"/>
            <w:szCs w:val="22"/>
          </w:rPr>
          <w:t>(Friston et al., 2006, Friston 2010; Friston et al. 2016)</w:t>
        </w:r>
      </w:hyperlink>
      <w:r w:rsidRPr="00C8305E">
        <w:rPr>
          <w:rFonts w:asciiTheme="majorHAnsi" w:eastAsia="Calibri" w:hAnsiTheme="majorHAnsi" w:cstheme="majorHAnsi"/>
          <w:color w:val="000000" w:themeColor="text1"/>
          <w:sz w:val="22"/>
          <w:szCs w:val="22"/>
        </w:rPr>
        <w:t xml:space="preserve">. This enactive generalisation of predictive processing marked a paradigm shift in cognitive science: active inference became a potential candidate to meet the challenge of the grand unification of neurocognitive functions (Clark, 2013). Since then, many enthusiasts have leveraged active inference to attempt explanations of the underlying computational processes of biobehavioural functions such as action, perception, learning, attention, memory, decision making, emotions, planning and navigation, visual foraging, communication, social learning, and many more </w:t>
      </w:r>
      <w:hyperlink r:id="rId9">
        <w:r w:rsidRPr="00C8305E">
          <w:rPr>
            <w:rFonts w:asciiTheme="majorHAnsi" w:eastAsia="Calibri" w:hAnsiTheme="majorHAnsi" w:cstheme="majorHAnsi"/>
            <w:color w:val="000000" w:themeColor="text1"/>
            <w:sz w:val="22"/>
            <w:szCs w:val="22"/>
          </w:rPr>
          <w:t xml:space="preserve">(Friston et al. 2016; Feldman </w:t>
        </w:r>
        <w:r w:rsidRPr="00C8305E">
          <w:rPr>
            <w:rFonts w:asciiTheme="majorHAnsi" w:eastAsia="Calibri" w:hAnsiTheme="majorHAnsi" w:cstheme="majorHAnsi"/>
            <w:color w:val="000000" w:themeColor="text1"/>
            <w:sz w:val="22"/>
            <w:szCs w:val="22"/>
          </w:rPr>
          <w:lastRenderedPageBreak/>
          <w:t>and Friston 2010; Joffily and Coricelli 2013; Kaplan and Friston 2018; Mirza et al. 2016; Constant et al. 2018; Friston and Frith 2015; Parr and Friston 2017; Badcock, Friston &amp; Ramstead, 2019)</w:t>
        </w:r>
      </w:hyperlink>
      <w:r w:rsidRPr="00C8305E">
        <w:rPr>
          <w:rFonts w:asciiTheme="majorHAnsi" w:eastAsia="Calibri" w:hAnsiTheme="majorHAnsi" w:cstheme="majorHAnsi"/>
          <w:color w:val="000000" w:themeColor="text1"/>
          <w:sz w:val="22"/>
          <w:szCs w:val="22"/>
        </w:rPr>
        <w:t xml:space="preserve">. </w:t>
      </w:r>
    </w:p>
    <w:p w14:paraId="3C8A696A"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4FAE25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In line with much of Bayesian statistics, active inference claims that the brain is fundamentally in the business of finessing a generative model of the causes of its sensations; as if the brain was a scientist, trying to infer the causal architecture of its own relation to its world. Put another way, under active inference, the brain is a dynamical system that models the action-relevant causal structure of its coupling with the other dynamical system that embeds it – the body and the environment (i.e., the system generating its sensations). The mathematical formalism of active inference describes neuronal dynamics as a gradient flow that optimises the evidence for a generative model of the lived world. On this view, neuronal networks embodied by the brain form a set of nodes (modelling hidden states) and edges (modelling conditional dependencies) of a probabilistic (Bayesian) graphical model. </w:t>
      </w:r>
    </w:p>
    <w:p w14:paraId="47C9435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25C3CFA" w14:textId="727677C4"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But active inference itself soon became contested ground too. The cognitivist campaign claimed that ‘brains as generative models’ were “rich and reconstructive, detached, truth-seeking inner representations” of the world (Hohwy 2013, 2016); others (such as Clark (2016)) resisted by claiming that generative models were in fact manifest as transient webs of neuronal coupling that are cost-efficient, and sometimes  (though not always) freed from heavy-duty manipulation of internal representations – generating actions that exploited environmental opportunities by weaving themselves closely  to the opportunities provided by body and the world (Clark 2013; 2016). </w:t>
      </w:r>
      <w:bookmarkStart w:id="4" w:name="_s0gaqaeue8gt" w:colFirst="0" w:colLast="0"/>
      <w:bookmarkStart w:id="5" w:name="_Toc11499308"/>
      <w:bookmarkEnd w:id="4"/>
    </w:p>
    <w:p w14:paraId="479C0728" w14:textId="77777777" w:rsidR="00C8305E" w:rsidRPr="00C8305E" w:rsidRDefault="00C8305E" w:rsidP="00C8305E">
      <w:pPr>
        <w:pStyle w:val="Heading1"/>
      </w:pPr>
      <w:r w:rsidRPr="00C8305E">
        <w:t>3 Representational pathways in active inference</w:t>
      </w:r>
      <w:bookmarkEnd w:id="5"/>
    </w:p>
    <w:p w14:paraId="47CB562F"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Active inference assumes that the brain entails</w:t>
      </w:r>
      <w:r w:rsidRPr="00C8305E">
        <w:rPr>
          <w:rStyle w:val="FootnoteReference"/>
          <w:rFonts w:asciiTheme="majorHAnsi" w:eastAsia="Calibri" w:hAnsiTheme="majorHAnsi" w:cstheme="majorHAnsi"/>
          <w:color w:val="000000" w:themeColor="text1"/>
          <w:sz w:val="22"/>
          <w:szCs w:val="22"/>
        </w:rPr>
        <w:footnoteReference w:id="1"/>
      </w:r>
      <w:r w:rsidRPr="00C8305E">
        <w:rPr>
          <w:rFonts w:asciiTheme="majorHAnsi" w:eastAsia="Calibri" w:hAnsiTheme="majorHAnsi" w:cstheme="majorHAnsi"/>
          <w:color w:val="000000" w:themeColor="text1"/>
          <w:sz w:val="22"/>
          <w:szCs w:val="22"/>
        </w:rPr>
        <w:t xml:space="preserve"> a causal model of the world (a.k.a. a generative model), whose structure represents the components involved in the cognitive function of interest, as well as the dynamics that realise that cognitive function. Formally, these components and dynamics are expressed as a Bayesian graphical model, with nodes and edges representing the dynamic relations among components, and the structure of which is assumed to map onto the neuroanatomy of neuronal systems realising any cognitive function. The cognitive function, then, is realised by these dynamics – that play the role of </w:t>
      </w:r>
      <w:r w:rsidRPr="00C8305E">
        <w:rPr>
          <w:rFonts w:asciiTheme="majorHAnsi" w:eastAsia="Calibri" w:hAnsiTheme="majorHAnsi" w:cstheme="majorHAnsi"/>
          <w:color w:val="000000" w:themeColor="text1"/>
          <w:sz w:val="22"/>
          <w:szCs w:val="22"/>
        </w:rPr>
        <w:lastRenderedPageBreak/>
        <w:t xml:space="preserve">neuronal message passing in the service of belief updating (i.e., inference) that underwrites the cognitive function in question </w:t>
      </w:r>
      <w:r w:rsidRPr="00C8305E">
        <w:rPr>
          <w:rFonts w:asciiTheme="majorHAnsi" w:eastAsia="Calibri" w:hAnsiTheme="majorHAnsi" w:cstheme="majorHAnsi"/>
          <w:color w:val="000000" w:themeColor="text1"/>
          <w:sz w:val="22"/>
          <w:szCs w:val="22"/>
        </w:rPr>
        <w:fldChar w:fldCharType="begin"/>
      </w:r>
      <w:r w:rsidRPr="00C8305E">
        <w:rPr>
          <w:rFonts w:asciiTheme="majorHAnsi" w:eastAsia="Calibri" w:hAnsiTheme="majorHAnsi" w:cstheme="majorHAnsi"/>
          <w:color w:val="000000" w:themeColor="text1"/>
          <w:sz w:val="22"/>
          <w:szCs w:val="22"/>
        </w:rPr>
        <w:instrText xml:space="preserve"> ADDIN EN.CITE &lt;EndNote&gt;&lt;Cite&gt;&lt;Author&gt;Friston&lt;/Author&gt;&lt;Year&gt;2017&lt;/Year&gt;&lt;RecNum&gt;2217&lt;/RecNum&gt;&lt;DisplayText&gt;(Friston et al., 2017)&lt;/DisplayText&gt;&lt;record&gt;&lt;rec-number&gt;2217&lt;/rec-number&gt;&lt;foreign-keys&gt;&lt;key app="EN" db-id="zrtzwxs5exvwdkesfx4xswxnzv0pvef5spf9" timestamp="1550943523"&gt;2217&lt;/key&gt;&lt;/foreign-keys&gt;&lt;ref-type name="Journal Article"&gt;17&lt;/ref-type&gt;&lt;contributors&gt;&lt;authors&gt;&lt;author&gt;Friston, K. J.&lt;/author&gt;&lt;author&gt;Parr, T.&lt;/author&gt;&lt;author&gt;de Vries, B.&lt;/author&gt;&lt;/authors&gt;&lt;/contributors&gt;&lt;auth-address&gt;Wellcome Trust Centre for Neuroimaging, Institute of Neurology, University College London, United Kingdom.&amp;#xD;Eindhoven University of Technology, Department of Electrical Engineering, Eindhoven, The Netherlands.&amp;#xD;GN Hearing, Eindhoven, The Netherlands.&lt;/auth-address&gt;&lt;titles&gt;&lt;title&gt;The graphical brain: Belief propagation and active inference&lt;/title&gt;&lt;secondary-title&gt;Netw Neurosci&lt;/secondary-title&gt;&lt;alt-title&gt;Network neuroscience&lt;/alt-title&gt;&lt;/titles&gt;&lt;periodical&gt;&lt;full-title&gt;Netw Neurosci&lt;/full-title&gt;&lt;abbr-1&gt;Network neuroscience (Cambridge, Mass.)&lt;/abbr-1&gt;&lt;/periodical&gt;&lt;alt-periodical&gt;&lt;full-title&gt;Network Neuroscience&lt;/full-title&gt;&lt;/alt-periodical&gt;&lt;pages&gt;381-414&lt;/pages&gt;&lt;volume&gt;1&lt;/volume&gt;&lt;number&gt;4&lt;/number&gt;&lt;edition&gt;2017&lt;/edition&gt;&lt;keywords&gt;&lt;keyword&gt;Bayesian,neuronal,connectivity,factor graphs,free energy,belief propagation,message passing&lt;/keyword&gt;&lt;/keywords&gt;&lt;dates&gt;&lt;year&gt;2017&lt;/year&gt;&lt;pub-dates&gt;&lt;date&gt;2017&lt;/date&gt;&lt;/pub-dates&gt;&lt;/dates&gt;&lt;isbn&gt;2472-1751 (Electronic)&amp;#xD;2472-1751 (Linking)&lt;/isbn&gt;&lt;accession-num&gt;29417960&lt;/accession-num&gt;&lt;urls&gt;&lt;related-urls&gt;&lt;url&gt;http://www.ncbi.nlm.nih.gov/pubmed/29417960&lt;/url&gt;&lt;/related-urls&gt;&lt;/urls&gt;&lt;custom2&gt;5798592&lt;/custom2&gt;&lt;electronic-resource-num&gt;10.1162/NETN_a_00018&lt;/electronic-resource-num&gt;&lt;/record&gt;&lt;/Cite&gt;&lt;/EndNote&gt;</w:instrText>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(Friston et al., 2017)</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xml:space="preserve">. </w:t>
      </w:r>
    </w:p>
    <w:p w14:paraId="5EB61BF2"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0B5AE8B6"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The representational interpretation of active inference is employed to study cognitive functions that rely on dynamics and components of the generative models that involve the internal manipulation of representational content (e.g., beliefs about hidden states of the world</w:t>
      </w:r>
      <w:r w:rsidRPr="00C8305E">
        <w:rPr>
          <w:rStyle w:val="FootnoteReference"/>
          <w:rFonts w:asciiTheme="majorHAnsi" w:eastAsia="Calibri" w:hAnsiTheme="majorHAnsi" w:cstheme="majorHAnsi"/>
          <w:color w:val="000000" w:themeColor="text1"/>
          <w:sz w:val="22"/>
          <w:szCs w:val="22"/>
        </w:rPr>
        <w:footnoteReference w:id="2"/>
      </w:r>
      <w:r w:rsidRPr="00C8305E">
        <w:rPr>
          <w:rFonts w:asciiTheme="majorHAnsi" w:eastAsia="Calibri" w:hAnsiTheme="majorHAnsi" w:cstheme="majorHAnsi"/>
          <w:color w:val="000000" w:themeColor="text1"/>
          <w:sz w:val="22"/>
          <w:szCs w:val="22"/>
        </w:rPr>
        <w:t>, including one's body and physiology). (Hohwy, 2013; 2019).</w:t>
      </w:r>
      <w:bookmarkStart w:id="6" w:name="_lzilc32xv0dt" w:colFirst="0" w:colLast="0"/>
      <w:bookmarkEnd w:id="6"/>
      <w:r w:rsidRPr="00C8305E">
        <w:rPr>
          <w:rFonts w:asciiTheme="majorHAnsi" w:eastAsia="Calibri" w:hAnsiTheme="majorHAnsi" w:cstheme="majorHAnsi"/>
          <w:color w:val="000000" w:themeColor="text1"/>
          <w:sz w:val="22"/>
          <w:szCs w:val="22"/>
        </w:rPr>
        <w:t xml:space="preserve"> The motivation for appealing to representational generative models to explain perception and action in active inference stems from the inverse nature of the dual inference problems our brains solve (i.e., figuring ‘what causes what’ before inferring ‘what caused that’): </w:t>
      </w:r>
    </w:p>
    <w:p w14:paraId="399E40C5"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07279751"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(i) Perceptual problem: the brain does not have direct access to causes of sensations, nor is there a stable one-to-one mapping between causes and sensations. For instance, a sensory input (e.g., red sensation) may be caused by multiple fluctuating causes (e.g., red jacket, red car, red traffic light). In the philosophical literature, this problem is sometimes referred to as the black box, seclusion or solipsism problem </w:t>
      </w:r>
      <w:hyperlink r:id="rId10">
        <w:r w:rsidRPr="00C8305E">
          <w:rPr>
            <w:rFonts w:asciiTheme="majorHAnsi" w:eastAsia="Calibri" w:hAnsiTheme="majorHAnsi" w:cstheme="majorHAnsi"/>
            <w:color w:val="000000" w:themeColor="text1"/>
            <w:sz w:val="22"/>
            <w:szCs w:val="22"/>
          </w:rPr>
          <w:t>(Clark 2013; Hohwy 2016; Metzinger and Wiese 2017)</w:t>
        </w:r>
      </w:hyperlink>
      <w:r w:rsidRPr="00C8305E">
        <w:rPr>
          <w:rFonts w:asciiTheme="majorHAnsi" w:eastAsia="Calibri" w:hAnsiTheme="majorHAnsi" w:cstheme="majorHAnsi"/>
          <w:color w:val="000000" w:themeColor="text1"/>
          <w:sz w:val="22"/>
          <w:szCs w:val="22"/>
        </w:rPr>
        <w:t xml:space="preserve">. </w:t>
      </w:r>
    </w:p>
    <w:p w14:paraId="14E4B86C"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583D157"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(ii)Action planning problem: all the brain can work with are the sensory inputs it receives. If we are to engage adaptive action, we must not only infer the causes of our sensations (i.e., forming a sufficiently veridical perception – or conception – of the world in which we currently find ourselves), but we must also predict the consequences of engaging in this or that action in the future. In the philosophical literature, this problem is sometimes referred to as the problem of mere versus adaptive active inference </w:t>
      </w:r>
      <w:hyperlink r:id="rId11">
        <w:r w:rsidRPr="00C8305E">
          <w:rPr>
            <w:rFonts w:asciiTheme="majorHAnsi" w:eastAsia="Calibri" w:hAnsiTheme="majorHAnsi" w:cstheme="majorHAnsi"/>
            <w:color w:val="000000" w:themeColor="text1"/>
            <w:sz w:val="22"/>
            <w:szCs w:val="22"/>
          </w:rPr>
          <w:t>(Bruineberg, Kiverstein, and Rietveld 2016; Kirchhoff et al. 2018)</w:t>
        </w:r>
      </w:hyperlink>
      <w:r w:rsidRPr="00C8305E">
        <w:rPr>
          <w:rFonts w:asciiTheme="majorHAnsi" w:eastAsia="Calibri" w:hAnsiTheme="majorHAnsi" w:cstheme="majorHAnsi"/>
          <w:color w:val="000000" w:themeColor="text1"/>
          <w:sz w:val="22"/>
          <w:szCs w:val="22"/>
        </w:rPr>
        <w:t xml:space="preserve">, and requires action planning (c.f., planning as inference in machine learning).  </w:t>
      </w:r>
    </w:p>
    <w:p w14:paraId="4D02C2BB"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4BA6AE64" w14:textId="00B63C4E"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This means that under active inference, agents like us must find a solution to infer, in an ill-posed setting, both the nature of the cause of our sensations (e.g., the jacket, the traffic light, or the car), and to infer what action will lead to outcomes that are consistent with our model of the lived world (e.g., being on the other side of the street vs. under the wheels of a car). Under active inference, perception and action are explained as solutions to these inverse problems – crucially, solutions that rest upon optimising exactly the same quantity, as we will see below.</w:t>
      </w:r>
      <w:bookmarkStart w:id="7" w:name="_dwa4jm60i2o9" w:colFirst="0" w:colLast="0"/>
      <w:bookmarkStart w:id="8" w:name="_Toc11499309"/>
      <w:bookmarkEnd w:id="7"/>
    </w:p>
    <w:p w14:paraId="547D08DF" w14:textId="77777777" w:rsidR="00C8305E" w:rsidRPr="00C8305E" w:rsidRDefault="00C8305E" w:rsidP="00C8305E">
      <w:pPr>
        <w:pStyle w:val="Heading2"/>
      </w:pPr>
      <w:r w:rsidRPr="00C8305E">
        <w:lastRenderedPageBreak/>
        <w:t>3.1 Perception</w:t>
      </w:r>
      <w:bookmarkEnd w:id="8"/>
      <w:r w:rsidRPr="00C8305E">
        <w:t xml:space="preserve"> </w:t>
      </w:r>
    </w:p>
    <w:p w14:paraId="5BCA24FB" w14:textId="77777777" w:rsidR="00C8305E" w:rsidRPr="00C8305E" w:rsidRDefault="00C8305E" w:rsidP="00C8305E">
      <w:pPr>
        <w:spacing w:line="360" w:lineRule="auto"/>
        <w:jc w:val="both"/>
        <w:rPr>
          <w:rFonts w:asciiTheme="majorHAnsi" w:hAnsiTheme="majorHAnsi" w:cstheme="majorHAnsi"/>
          <w:noProof/>
          <w:color w:val="000000" w:themeColor="text1"/>
          <w:sz w:val="22"/>
          <w:szCs w:val="22"/>
        </w:rPr>
      </w:pPr>
      <w:r w:rsidRPr="00C8305E">
        <w:rPr>
          <w:rFonts w:asciiTheme="majorHAnsi" w:eastAsia="Calibri" w:hAnsiTheme="majorHAnsi" w:cstheme="majorHAnsi"/>
          <w:color w:val="000000" w:themeColor="text1"/>
          <w:sz w:val="22"/>
          <w:szCs w:val="22"/>
        </w:rPr>
        <w:t xml:space="preserve">Formally, the problem of indirect perception can be approached as follows. Consider a sensory outcome </w:t>
      </w:r>
      <w:bookmarkStart w:id="9" w:name="MTBlankEqn"/>
      <w:r w:rsidR="00505CC7" w:rsidRPr="00505CC7">
        <w:rPr>
          <w:rFonts w:asciiTheme="majorHAnsi" w:hAnsiTheme="majorHAnsi" w:cstheme="majorHAnsi"/>
          <w:noProof/>
          <w:color w:val="000000" w:themeColor="text1"/>
          <w:position w:val="-4"/>
          <w:sz w:val="22"/>
          <w:szCs w:val="22"/>
        </w:rPr>
        <w:object w:dxaOrig="180" w:dyaOrig="180" w14:anchorId="736DD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 style="width:10.15pt;height:10.15pt;mso-width-percent:0;mso-height-percent:0;mso-width-percent:0;mso-height-percent:0" o:ole="">
            <v:imagedata r:id="rId12" o:title=""/>
          </v:shape>
          <o:OLEObject Type="Embed" ProgID="Equation.DSMT4" ShapeID="_x0000_i1070" DrawAspect="Content" ObjectID="_1635598275" r:id="rId13"/>
        </w:object>
      </w:r>
      <w:bookmarkEnd w:id="9"/>
      <w:r w:rsidRPr="00C8305E">
        <w:rPr>
          <w:rFonts w:asciiTheme="majorHAnsi" w:eastAsia="Calibri" w:hAnsiTheme="majorHAnsi" w:cstheme="majorHAnsi"/>
          <w:color w:val="000000" w:themeColor="text1"/>
          <w:sz w:val="22"/>
          <w:szCs w:val="22"/>
        </w:rPr>
        <w:t xml:space="preserve"> generated by a hidden state of the world (</w:t>
      </w:r>
      <w:r w:rsidR="00505CC7" w:rsidRPr="00505CC7">
        <w:rPr>
          <w:rFonts w:asciiTheme="majorHAnsi" w:hAnsiTheme="majorHAnsi" w:cstheme="majorHAnsi"/>
          <w:noProof/>
          <w:color w:val="000000" w:themeColor="text1"/>
          <w:position w:val="-4"/>
          <w:sz w:val="22"/>
          <w:szCs w:val="22"/>
        </w:rPr>
        <w:object w:dxaOrig="160" w:dyaOrig="180" w14:anchorId="453667FB">
          <v:shape id="_x0000_i1069" type="#_x0000_t75" alt="" style="width:7.9pt;height:10.15pt;mso-width-percent:0;mso-height-percent:0;mso-width-percent:0;mso-height-percent:0" o:ole="">
            <v:imagedata r:id="rId14" o:title=""/>
          </v:shape>
          <o:OLEObject Type="Embed" ProgID="Equation.DSMT4" ShapeID="_x0000_i1069" DrawAspect="Content" ObjectID="_1635598276" r:id="rId15"/>
        </w:object>
      </w:r>
      <w:r w:rsidRPr="00C8305E">
        <w:rPr>
          <w:rFonts w:asciiTheme="majorHAnsi" w:eastAsia="Calibri" w:hAnsiTheme="majorHAnsi" w:cstheme="majorHAnsi"/>
          <w:color w:val="000000" w:themeColor="text1"/>
          <w:sz w:val="22"/>
          <w:szCs w:val="22"/>
        </w:rPr>
        <w:t>). Taken together, these can be viewed as forming a joint probability distribution</w:t>
      </w:r>
      <w:r w:rsidRPr="00C8305E">
        <w:rPr>
          <w:rFonts w:asciiTheme="majorHAnsi" w:hAnsiTheme="majorHAnsi" w:cstheme="majorHAnsi"/>
          <w:noProof/>
          <w:color w:val="000000" w:themeColor="text1"/>
          <w:sz w:val="22"/>
          <w:szCs w:val="22"/>
        </w:rPr>
        <w:t xml:space="preserve"> (</w:t>
      </w:r>
      <w:r w:rsidR="00505CC7" w:rsidRPr="00505CC7">
        <w:rPr>
          <w:rFonts w:asciiTheme="majorHAnsi" w:hAnsiTheme="majorHAnsi" w:cstheme="majorHAnsi"/>
          <w:noProof/>
          <w:color w:val="000000" w:themeColor="text1"/>
          <w:position w:val="-10"/>
          <w:sz w:val="22"/>
          <w:szCs w:val="22"/>
        </w:rPr>
        <w:object w:dxaOrig="600" w:dyaOrig="300" w14:anchorId="5652E064">
          <v:shape id="_x0000_i1068" type="#_x0000_t75" alt="" style="width:30.4pt;height:13.5pt;mso-width-percent:0;mso-height-percent:0;mso-width-percent:0;mso-height-percent:0" o:ole="">
            <v:imagedata r:id="rId16" o:title=""/>
          </v:shape>
          <o:OLEObject Type="Embed" ProgID="Equation.DSMT4" ShapeID="_x0000_i1068" DrawAspect="Content" ObjectID="_1635598277" r:id="rId17"/>
        </w:object>
      </w:r>
      <w:r w:rsidRPr="00C8305E">
        <w:rPr>
          <w:rFonts w:asciiTheme="majorHAnsi" w:eastAsia="Calibri" w:hAnsiTheme="majorHAnsi" w:cstheme="majorHAnsi"/>
          <w:color w:val="000000" w:themeColor="text1"/>
          <w:sz w:val="22"/>
          <w:szCs w:val="22"/>
        </w:rPr>
        <w:t>). The only quantity to which the brain has access is a sensory consequence, not its cause. To perceive things, the brain must reconstruct the hidden state or cause (</w:t>
      </w:r>
      <w:r w:rsidR="00505CC7" w:rsidRPr="00505CC7">
        <w:rPr>
          <w:rFonts w:asciiTheme="majorHAnsi" w:hAnsiTheme="majorHAnsi" w:cstheme="majorHAnsi"/>
          <w:noProof/>
          <w:color w:val="000000" w:themeColor="text1"/>
          <w:position w:val="-4"/>
          <w:sz w:val="22"/>
          <w:szCs w:val="22"/>
        </w:rPr>
        <w:object w:dxaOrig="160" w:dyaOrig="180" w14:anchorId="2F31A118">
          <v:shape id="_x0000_i1067" type="#_x0000_t75" alt="" style="width:7.9pt;height:10.15pt;mso-width-percent:0;mso-height-percent:0;mso-width-percent:0;mso-height-percent:0" o:ole="">
            <v:imagedata r:id="rId18" o:title=""/>
          </v:shape>
          <o:OLEObject Type="Embed" ProgID="Equation.DSMT4" ShapeID="_x0000_i1067" DrawAspect="Content" ObjectID="_1635598278" r:id="rId19"/>
        </w:object>
      </w:r>
      <w:r w:rsidRPr="00C8305E">
        <w:rPr>
          <w:rFonts w:asciiTheme="majorHAnsi" w:eastAsia="Calibri" w:hAnsiTheme="majorHAnsi" w:cstheme="majorHAnsi"/>
          <w:color w:val="000000" w:themeColor="text1"/>
          <w:sz w:val="22"/>
          <w:szCs w:val="22"/>
        </w:rPr>
        <w:t xml:space="preserve">), or rather its posterior probability; i.e., the probability of the cause, after observing the sensory datum </w:t>
      </w:r>
      <w:r w:rsidR="00505CC7" w:rsidRPr="00505CC7">
        <w:rPr>
          <w:rFonts w:asciiTheme="majorHAnsi" w:hAnsiTheme="majorHAnsi" w:cstheme="majorHAnsi"/>
          <w:noProof/>
          <w:color w:val="000000" w:themeColor="text1"/>
          <w:position w:val="-10"/>
          <w:sz w:val="22"/>
          <w:szCs w:val="22"/>
        </w:rPr>
        <w:object w:dxaOrig="640" w:dyaOrig="300" w14:anchorId="2D7DE4EE">
          <v:shape id="_x0000_i1066" type="#_x0000_t75" alt="" style="width:32.65pt;height:15.75pt;mso-width-percent:0;mso-height-percent:0;mso-width-percent:0;mso-height-percent:0" o:ole="">
            <v:imagedata r:id="rId20" o:title=""/>
          </v:shape>
          <o:OLEObject Type="Embed" ProgID="Equation.DSMT4" ShapeID="_x0000_i1066" DrawAspect="Content" ObjectID="_1635598279" r:id="rId21"/>
        </w:object>
      </w:r>
      <w:r w:rsidRPr="00C8305E">
        <w:rPr>
          <w:rFonts w:asciiTheme="majorHAnsi" w:eastAsia="Calibri" w:hAnsiTheme="majorHAnsi" w:cstheme="majorHAnsi"/>
          <w:color w:val="000000" w:themeColor="text1"/>
          <w:sz w:val="22"/>
          <w:szCs w:val="22"/>
        </w:rPr>
        <w:t>.</w:t>
      </w:r>
    </w:p>
    <w:p w14:paraId="74F9A672"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8734785"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To infer this posterior probability, the brain learns the causal (i.e., generative) model of the manner in which the world caused the sensation. Learning here is a technical term. It refers to the optimisation of the parameters of a model – here the generative model. The brain learns the parameters of hidden states causing sensory outcomes; about which the brain may have prior beliefs. These prior beliefs are part of the generative model entailed by the brain. Hence, a generative model decomposes into prior beliefs about hidden states and a likelihood of these hidden states, given outcomes. One can easily follow this decomposition by visualising the graphical model that makes up the generative model in figure 1. </w:t>
      </w:r>
    </w:p>
    <w:p w14:paraId="698B8691"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8B64CEE" w14:textId="77777777" w:rsidR="00C8305E" w:rsidRPr="00C8305E" w:rsidRDefault="00C8305E" w:rsidP="00507989">
      <w:pPr>
        <w:jc w:val="center"/>
        <w:rPr>
          <w:rFonts w:asciiTheme="majorHAnsi" w:eastAsia="Calibri" w:hAnsiTheme="majorHAnsi" w:cstheme="majorHAnsi"/>
          <w:color w:val="000000" w:themeColor="text1"/>
          <w:sz w:val="22"/>
          <w:szCs w:val="22"/>
        </w:rPr>
      </w:pPr>
      <w:r w:rsidRPr="00C8305E">
        <w:rPr>
          <w:rFonts w:asciiTheme="majorHAnsi" w:hAnsiTheme="majorHAnsi" w:cstheme="majorHAnsi"/>
          <w:noProof/>
          <w:color w:val="000000" w:themeColor="text1"/>
          <w:sz w:val="22"/>
          <w:szCs w:val="22"/>
        </w:rPr>
        <w:drawing>
          <wp:inline distT="0" distB="0" distL="0" distR="0" wp14:anchorId="7331C284" wp14:editId="570028E7">
            <wp:extent cx="3225165" cy="1695796"/>
            <wp:effectExtent l="0" t="0" r="635"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6000" b="49524"/>
                    <a:stretch/>
                  </pic:blipFill>
                  <pic:spPr bwMode="auto">
                    <a:xfrm>
                      <a:off x="0" y="0"/>
                      <a:ext cx="3225338" cy="1695887"/>
                    </a:xfrm>
                    <a:prstGeom prst="rect">
                      <a:avLst/>
                    </a:prstGeom>
                    <a:ln>
                      <a:noFill/>
                    </a:ln>
                    <a:extLst>
                      <a:ext uri="{53640926-AAD7-44D8-BBD7-CCE9431645EC}">
                        <a14:shadowObscured xmlns:a14="http://schemas.microsoft.com/office/drawing/2010/main"/>
                      </a:ext>
                    </a:extLst>
                  </pic:spPr>
                </pic:pic>
              </a:graphicData>
            </a:graphic>
          </wp:inline>
        </w:drawing>
      </w:r>
    </w:p>
    <w:p w14:paraId="74B221A5" w14:textId="525D3009" w:rsidR="00C8305E" w:rsidRPr="00C8305E" w:rsidRDefault="00C8305E" w:rsidP="00507989">
      <w:pPr>
        <w:jc w:val="center"/>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Fig.1. Elementary generative model for perception and the problem of indirect inference.</w:t>
      </w:r>
    </w:p>
    <w:p w14:paraId="70C1B950"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52EF345D"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In an ideal scenario, the brain could use Bayes rule to infer the true probability of the cause, by using the probability of the data, known as model evidence or marginal likelihood:</w:t>
      </w:r>
    </w:p>
    <w:p w14:paraId="3DB8A8D4"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7031AD12" w14:textId="77777777" w:rsidR="00C8305E" w:rsidRPr="00C8305E" w:rsidRDefault="00505CC7" w:rsidP="00C8305E">
      <w:pPr>
        <w:spacing w:line="360" w:lineRule="auto"/>
        <w:jc w:val="both"/>
        <w:rPr>
          <w:rFonts w:asciiTheme="majorHAnsi" w:eastAsia="Calibri" w:hAnsiTheme="majorHAnsi" w:cstheme="majorHAnsi"/>
          <w:color w:val="000000" w:themeColor="text1"/>
          <w:sz w:val="22"/>
          <w:szCs w:val="22"/>
        </w:rPr>
      </w:pPr>
      <w:r w:rsidRPr="00505CC7">
        <w:rPr>
          <w:rFonts w:asciiTheme="majorHAnsi" w:hAnsiTheme="majorHAnsi" w:cstheme="majorHAnsi"/>
          <w:noProof/>
          <w:color w:val="000000" w:themeColor="text1"/>
          <w:position w:val="-24"/>
          <w:sz w:val="22"/>
          <w:szCs w:val="22"/>
        </w:rPr>
        <w:object w:dxaOrig="1800" w:dyaOrig="600" w14:anchorId="3C2E15F0">
          <v:shape id="_x0000_i1065" type="#_x0000_t75" alt="" style="width:91.15pt;height:30.4pt;mso-width-percent:0;mso-height-percent:0;mso-width-percent:0;mso-height-percent:0" o:ole="">
            <v:imagedata r:id="rId23" o:title=""/>
          </v:shape>
          <o:OLEObject Type="Embed" ProgID="Equation.DSMT4" ShapeID="_x0000_i1065" DrawAspect="Content" ObjectID="_1635598280" r:id="rId24"/>
        </w:object>
      </w:r>
      <w:r w:rsidR="00C8305E" w:rsidRPr="00C8305E">
        <w:rPr>
          <w:rFonts w:asciiTheme="majorHAnsi" w:eastAsia="Calibri" w:hAnsiTheme="majorHAnsi" w:cstheme="majorHAnsi"/>
          <w:color w:val="000000" w:themeColor="text1"/>
          <w:sz w:val="22"/>
          <w:szCs w:val="22"/>
        </w:rPr>
        <w:t xml:space="preserve"> </w:t>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t>(4)</w:t>
      </w:r>
    </w:p>
    <w:p w14:paraId="3CC9867F"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p>
    <w:p w14:paraId="1A3992D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The marginal likelihood </w:t>
      </w:r>
      <w:r w:rsidR="00505CC7" w:rsidRPr="00505CC7">
        <w:rPr>
          <w:rFonts w:asciiTheme="majorHAnsi" w:hAnsiTheme="majorHAnsi" w:cstheme="majorHAnsi"/>
          <w:noProof/>
          <w:color w:val="000000" w:themeColor="text1"/>
          <w:position w:val="-10"/>
          <w:sz w:val="22"/>
          <w:szCs w:val="22"/>
        </w:rPr>
        <w:object w:dxaOrig="460" w:dyaOrig="300" w14:anchorId="28ED05D5">
          <v:shape id="_x0000_i1064" type="#_x0000_t75" alt="" style="width:21.4pt;height:15.75pt;mso-width-percent:0;mso-height-percent:0;mso-width-percent:0;mso-height-percent:0" o:ole="">
            <v:imagedata r:id="rId25" o:title=""/>
          </v:shape>
          <o:OLEObject Type="Embed" ProgID="Equation.DSMT4" ShapeID="_x0000_i1064" DrawAspect="Content" ObjectID="_1635598281" r:id="rId26"/>
        </w:object>
      </w:r>
      <w:r w:rsidRPr="00C8305E">
        <w:rPr>
          <w:rFonts w:asciiTheme="majorHAnsi" w:eastAsia="Calibri" w:hAnsiTheme="majorHAnsi" w:cstheme="majorHAnsi"/>
          <w:color w:val="000000" w:themeColor="text1"/>
          <w:sz w:val="22"/>
          <w:szCs w:val="22"/>
        </w:rPr>
        <w:t xml:space="preserve"> refers to the probability of sensory data averaged – or marginalised – over all possible hidden states: </w:t>
      </w:r>
    </w:p>
    <w:p w14:paraId="2DC27694"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184BE203" w14:textId="77777777" w:rsidR="00C8305E" w:rsidRPr="00C8305E" w:rsidRDefault="00505CC7" w:rsidP="00C8305E">
      <w:pPr>
        <w:spacing w:line="360" w:lineRule="auto"/>
        <w:jc w:val="both"/>
        <w:rPr>
          <w:rFonts w:asciiTheme="majorHAnsi" w:eastAsia="Calibri" w:hAnsiTheme="majorHAnsi" w:cstheme="majorHAnsi"/>
          <w:color w:val="000000" w:themeColor="text1"/>
          <w:sz w:val="22"/>
          <w:szCs w:val="22"/>
        </w:rPr>
      </w:pPr>
      <w:r w:rsidRPr="00505CC7">
        <w:rPr>
          <w:rFonts w:asciiTheme="majorHAnsi" w:hAnsiTheme="majorHAnsi" w:cstheme="majorHAnsi"/>
          <w:noProof/>
          <w:color w:val="000000" w:themeColor="text1"/>
          <w:position w:val="-14"/>
          <w:sz w:val="22"/>
          <w:szCs w:val="22"/>
        </w:rPr>
        <w:object w:dxaOrig="1480" w:dyaOrig="380" w14:anchorId="77022F4D">
          <v:shape id="_x0000_i1063" type="#_x0000_t75" alt="" style="width:74.25pt;height:19.15pt;mso-width-percent:0;mso-height-percent:0;mso-width-percent:0;mso-height-percent:0" o:ole="">
            <v:imagedata r:id="rId27" o:title=""/>
          </v:shape>
          <o:OLEObject Type="Embed" ProgID="Equation.DSMT4" ShapeID="_x0000_i1063" DrawAspect="Content" ObjectID="_1635598282" r:id="rId28"/>
        </w:object>
      </w:r>
      <w:r w:rsidR="00C8305E" w:rsidRPr="00C8305E">
        <w:rPr>
          <w:rFonts w:asciiTheme="majorHAnsi" w:eastAsia="Calibri" w:hAnsiTheme="majorHAnsi" w:cstheme="majorHAnsi"/>
          <w:color w:val="000000" w:themeColor="text1"/>
          <w:sz w:val="22"/>
          <w:szCs w:val="22"/>
        </w:rPr>
        <w:t xml:space="preserve"> </w:t>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t>(5)</w:t>
      </w:r>
    </w:p>
    <w:p w14:paraId="322A4330"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1A6067D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To represent the marginal likelihood and perform exact inference (as in eq.4), the marginalisation that the brain would have to perform would be intractable, as there may be a near infinite number of causes with various probabilities for each sensory datum. This is at the core of the inverse problem of inference; direct calculation of the posterior probability of one’s beliefs given sensory data </w:t>
      </w:r>
      <w:r w:rsidR="00505CC7" w:rsidRPr="00505CC7">
        <w:rPr>
          <w:rFonts w:asciiTheme="majorHAnsi" w:hAnsiTheme="majorHAnsi" w:cstheme="majorHAnsi"/>
          <w:noProof/>
          <w:color w:val="000000" w:themeColor="text1"/>
          <w:position w:val="-10"/>
          <w:sz w:val="22"/>
          <w:szCs w:val="22"/>
        </w:rPr>
        <w:object w:dxaOrig="640" w:dyaOrig="300" w14:anchorId="33E6D010">
          <v:shape id="_x0000_i1062" type="#_x0000_t75" alt="" style="width:32.65pt;height:15.75pt;mso-width-percent:0;mso-height-percent:0;mso-width-percent:0;mso-height-percent:0" o:ole="">
            <v:imagedata r:id="rId29" o:title=""/>
          </v:shape>
          <o:OLEObject Type="Embed" ProgID="Equation.DSMT4" ShapeID="_x0000_i1062" DrawAspect="Content" ObjectID="_1635598283" r:id="rId30"/>
        </w:object>
      </w:r>
      <w:r w:rsidRPr="00C8305E">
        <w:rPr>
          <w:rFonts w:asciiTheme="majorHAnsi" w:eastAsia="Calibri" w:hAnsiTheme="majorHAnsi" w:cstheme="majorHAnsi"/>
          <w:color w:val="000000" w:themeColor="text1"/>
          <w:sz w:val="22"/>
          <w:szCs w:val="22"/>
        </w:rPr>
        <w:t xml:space="preserve"> is simply intractable. Thus, the problem of indirect inference may be restated as follows: the brain cannot access the true posterior probability over the causes of its sensations because this requires evaluating an intractable marginal likelihood. What the brain can do, however, is to perform ‘approximate Bayesian inference’ based on its prior beliefs and the sensory data it receives</w:t>
      </w:r>
      <w:r w:rsidRPr="00C8305E">
        <w:rPr>
          <w:rStyle w:val="FootnoteReference"/>
          <w:rFonts w:asciiTheme="majorHAnsi" w:eastAsia="Calibri" w:hAnsiTheme="majorHAnsi" w:cstheme="majorHAnsi"/>
          <w:color w:val="000000" w:themeColor="text1"/>
          <w:sz w:val="22"/>
          <w:szCs w:val="22"/>
        </w:rPr>
        <w:footnoteReference w:id="3"/>
      </w:r>
      <w:r w:rsidRPr="00C8305E">
        <w:rPr>
          <w:rFonts w:asciiTheme="majorHAnsi" w:eastAsia="Calibri" w:hAnsiTheme="majorHAnsi" w:cstheme="majorHAnsi"/>
          <w:color w:val="000000" w:themeColor="text1"/>
          <w:sz w:val="22"/>
          <w:szCs w:val="22"/>
        </w:rPr>
        <w:t xml:space="preserve">. In active inference, the ‘manipulation of content’ rests on this method of inference known as approximate Bayesian inference </w:t>
      </w:r>
      <w:hyperlink r:id="rId31">
        <w:r w:rsidRPr="00C8305E">
          <w:rPr>
            <w:rFonts w:asciiTheme="majorHAnsi" w:eastAsia="Calibri" w:hAnsiTheme="majorHAnsi" w:cstheme="majorHAnsi"/>
            <w:color w:val="000000" w:themeColor="text1"/>
            <w:sz w:val="22"/>
            <w:szCs w:val="22"/>
          </w:rPr>
          <w:t>(Feynman 1972; Dayan et al. 1995; Beal 2003)</w:t>
        </w:r>
      </w:hyperlink>
      <w:r w:rsidRPr="00C8305E">
        <w:rPr>
          <w:rFonts w:asciiTheme="majorHAnsi" w:eastAsia="Calibri" w:hAnsiTheme="majorHAnsi" w:cstheme="majorHAnsi"/>
          <w:color w:val="000000" w:themeColor="text1"/>
          <w:sz w:val="22"/>
          <w:szCs w:val="22"/>
        </w:rPr>
        <w:t xml:space="preserve">. </w:t>
      </w:r>
    </w:p>
    <w:p w14:paraId="7F7BC5E4"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4A63BD87"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Approximate Bayesian inference allows the inversion of the generative model to estimate the marginal likelihood via an approximation to the true posterior over sensory causes (i.e., what the brain would do using exact Bayesian inference if it had access to the marginal likelihood). Taking advantage of Jensen’s inequality, the method of approximate Bayesian inference involves the minimisation of an upper bound on (negative log) model evidence (a.k.a. surprisal), called variational free energy. This bound is constructed by using an arbitrary probability distribution</w:t>
      </w:r>
      <w:r w:rsidRPr="00C8305E">
        <w:rPr>
          <w:rStyle w:val="FootnoteReference"/>
          <w:rFonts w:asciiTheme="majorHAnsi" w:eastAsia="Calibri" w:hAnsiTheme="majorHAnsi" w:cstheme="majorHAnsi"/>
          <w:color w:val="000000" w:themeColor="text1"/>
          <w:sz w:val="22"/>
          <w:szCs w:val="22"/>
        </w:rPr>
        <w:footnoteReference w:id="4"/>
      </w:r>
      <w:r w:rsidRPr="00C8305E">
        <w:rPr>
          <w:rFonts w:asciiTheme="majorHAnsi" w:eastAsia="Calibri" w:hAnsiTheme="majorHAnsi" w:cstheme="majorHAnsi"/>
          <w:color w:val="000000" w:themeColor="text1"/>
          <w:sz w:val="22"/>
          <w:szCs w:val="22"/>
        </w:rPr>
        <w:t xml:space="preserve"> </w:t>
      </w:r>
      <w:r w:rsidR="00505CC7" w:rsidRPr="00505CC7">
        <w:rPr>
          <w:rFonts w:asciiTheme="majorHAnsi" w:hAnsiTheme="majorHAnsi" w:cstheme="majorHAnsi"/>
          <w:noProof/>
          <w:color w:val="000000" w:themeColor="text1"/>
          <w:position w:val="-10"/>
          <w:sz w:val="22"/>
          <w:szCs w:val="22"/>
        </w:rPr>
        <w:object w:dxaOrig="440" w:dyaOrig="300" w14:anchorId="072CD560">
          <v:shape id="_x0000_i1061" type="#_x0000_t75" alt="" style="width:21.4pt;height:15.75pt;mso-width-percent:0;mso-height-percent:0;mso-width-percent:0;mso-height-percent:0" o:ole="">
            <v:imagedata r:id="rId32" o:title=""/>
          </v:shape>
          <o:OLEObject Type="Embed" ProgID="Equation.DSMT4" ShapeID="_x0000_i1061" DrawAspect="Content" ObjectID="_1635598284" r:id="rId33"/>
        </w:object>
      </w:r>
      <w:r w:rsidRPr="00C8305E">
        <w:rPr>
          <w:rFonts w:asciiTheme="majorHAnsi" w:eastAsia="Calibri" w:hAnsiTheme="majorHAnsi" w:cstheme="majorHAnsi"/>
          <w:color w:val="000000" w:themeColor="text1"/>
          <w:sz w:val="22"/>
          <w:szCs w:val="22"/>
        </w:rPr>
        <w:t xml:space="preserve"> that is used to minimise the variational bound – and the generative model </w:t>
      </w:r>
      <w:r w:rsidR="00505CC7" w:rsidRPr="00505CC7">
        <w:rPr>
          <w:rFonts w:asciiTheme="majorHAnsi" w:hAnsiTheme="majorHAnsi" w:cstheme="majorHAnsi"/>
          <w:noProof/>
          <w:color w:val="000000" w:themeColor="text1"/>
          <w:position w:val="-10"/>
          <w:sz w:val="22"/>
          <w:szCs w:val="22"/>
        </w:rPr>
        <w:object w:dxaOrig="600" w:dyaOrig="300" w14:anchorId="1F16EFF7">
          <v:shape id="_x0000_i1060" type="#_x0000_t75" alt="" style="width:30.4pt;height:15.75pt;mso-width-percent:0;mso-height-percent:0;mso-width-percent:0;mso-height-percent:0" o:ole="">
            <v:imagedata r:id="rId34" o:title=""/>
          </v:shape>
          <o:OLEObject Type="Embed" ProgID="Equation.DSMT4" ShapeID="_x0000_i1060" DrawAspect="Content" ObjectID="_1635598285" r:id="rId35"/>
        </w:object>
      </w:r>
      <w:r w:rsidRPr="00C8305E">
        <w:rPr>
          <w:rFonts w:asciiTheme="majorHAnsi" w:eastAsia="Calibri" w:hAnsiTheme="majorHAnsi" w:cstheme="majorHAnsi"/>
          <w:color w:val="000000" w:themeColor="text1"/>
          <w:sz w:val="22"/>
          <w:szCs w:val="22"/>
        </w:rPr>
        <w:t xml:space="preserve"> :</w:t>
      </w:r>
    </w:p>
    <w:p w14:paraId="6F6ACE10"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 </w:t>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r w:rsidRPr="00C8305E">
        <w:rPr>
          <w:rFonts w:asciiTheme="majorHAnsi" w:eastAsia="Calibri" w:hAnsiTheme="majorHAnsi" w:cstheme="majorHAnsi"/>
          <w:color w:val="000000" w:themeColor="text1"/>
          <w:sz w:val="22"/>
          <w:szCs w:val="22"/>
        </w:rPr>
        <w:tab/>
      </w:r>
    </w:p>
    <w:p w14:paraId="6F703CD6" w14:textId="77777777" w:rsidR="00C8305E" w:rsidRPr="00C8305E" w:rsidRDefault="00505CC7" w:rsidP="00C8305E">
      <w:pPr>
        <w:spacing w:line="360" w:lineRule="auto"/>
        <w:jc w:val="both"/>
        <w:rPr>
          <w:rFonts w:asciiTheme="majorHAnsi" w:eastAsia="Calibri" w:hAnsiTheme="majorHAnsi" w:cstheme="majorHAnsi"/>
          <w:color w:val="000000" w:themeColor="text1"/>
          <w:sz w:val="22"/>
          <w:szCs w:val="22"/>
        </w:rPr>
      </w:pPr>
      <w:r w:rsidRPr="00505CC7">
        <w:rPr>
          <w:rFonts w:asciiTheme="majorHAnsi" w:hAnsiTheme="majorHAnsi" w:cstheme="majorHAnsi"/>
          <w:noProof/>
          <w:color w:val="000000" w:themeColor="text1"/>
          <w:position w:val="-188"/>
          <w:sz w:val="22"/>
          <w:szCs w:val="22"/>
        </w:rPr>
        <w:object w:dxaOrig="3340" w:dyaOrig="3580" w14:anchorId="0871E605">
          <v:shape id="_x0000_i1059" type="#_x0000_t75" alt="" style="width:165.4pt;height:177.75pt;mso-width-percent:0;mso-height-percent:0;mso-width-percent:0;mso-height-percent:0" o:ole="">
            <v:imagedata r:id="rId36" o:title=""/>
          </v:shape>
          <o:OLEObject Type="Embed" ProgID="Equation.DSMT4" ShapeID="_x0000_i1059" DrawAspect="Content" ObjectID="_1635598286" r:id="rId37"/>
        </w:object>
      </w:r>
      <w:r w:rsidR="00C8305E" w:rsidRPr="00C8305E">
        <w:rPr>
          <w:rFonts w:asciiTheme="majorHAnsi" w:hAnsiTheme="majorHAnsi" w:cstheme="majorHAnsi"/>
          <w:noProof/>
          <w:color w:val="000000" w:themeColor="text1"/>
          <w:sz w:val="22"/>
          <w:szCs w:val="22"/>
        </w:rPr>
        <w:tab/>
      </w:r>
      <w:r w:rsidR="00C8305E" w:rsidRPr="00C8305E">
        <w:rPr>
          <w:rFonts w:asciiTheme="majorHAnsi" w:hAnsiTheme="majorHAnsi" w:cstheme="majorHAnsi"/>
          <w:noProof/>
          <w:color w:val="000000" w:themeColor="text1"/>
          <w:sz w:val="22"/>
          <w:szCs w:val="22"/>
        </w:rPr>
        <w:tab/>
      </w:r>
      <w:r w:rsidR="00C8305E" w:rsidRPr="00C8305E">
        <w:rPr>
          <w:rFonts w:asciiTheme="majorHAnsi" w:hAnsiTheme="majorHAnsi" w:cstheme="majorHAnsi"/>
          <w:noProof/>
          <w:color w:val="000000" w:themeColor="text1"/>
          <w:sz w:val="22"/>
          <w:szCs w:val="22"/>
        </w:rPr>
        <w:tab/>
      </w:r>
      <w:r w:rsidR="00C8305E" w:rsidRPr="00C8305E">
        <w:rPr>
          <w:rFonts w:asciiTheme="majorHAnsi" w:hAnsiTheme="majorHAnsi" w:cstheme="majorHAnsi"/>
          <w:noProof/>
          <w:color w:val="000000" w:themeColor="text1"/>
          <w:sz w:val="22"/>
          <w:szCs w:val="22"/>
        </w:rPr>
        <w:tab/>
      </w:r>
      <w:r w:rsidR="00C8305E" w:rsidRPr="00C8305E">
        <w:rPr>
          <w:rFonts w:asciiTheme="majorHAnsi" w:hAnsiTheme="majorHAnsi" w:cstheme="majorHAnsi"/>
          <w:noProof/>
          <w:color w:val="000000" w:themeColor="text1"/>
          <w:sz w:val="22"/>
          <w:szCs w:val="22"/>
        </w:rPr>
        <w:tab/>
      </w:r>
      <w:r w:rsidR="00C8305E" w:rsidRPr="00C8305E">
        <w:rPr>
          <w:rFonts w:asciiTheme="majorHAnsi" w:hAnsiTheme="majorHAnsi" w:cstheme="majorHAnsi"/>
          <w:noProof/>
          <w:color w:val="000000" w:themeColor="text1"/>
          <w:sz w:val="22"/>
          <w:szCs w:val="22"/>
        </w:rPr>
        <w:tab/>
      </w:r>
      <w:r w:rsidR="00C8305E" w:rsidRPr="00C8305E">
        <w:rPr>
          <w:rFonts w:asciiTheme="majorHAnsi" w:hAnsiTheme="majorHAnsi" w:cstheme="majorHAnsi"/>
          <w:noProof/>
          <w:color w:val="000000" w:themeColor="text1"/>
          <w:sz w:val="22"/>
          <w:szCs w:val="22"/>
        </w:rPr>
        <w:tab/>
      </w:r>
      <w:r w:rsidR="00C8305E" w:rsidRPr="00C8305E">
        <w:rPr>
          <w:rFonts w:asciiTheme="majorHAnsi" w:eastAsia="Calibri" w:hAnsiTheme="majorHAnsi" w:cstheme="majorHAnsi"/>
          <w:color w:val="000000" w:themeColor="text1"/>
          <w:sz w:val="22"/>
          <w:szCs w:val="22"/>
        </w:rPr>
        <w:t>(6)</w:t>
      </w:r>
    </w:p>
    <w:p w14:paraId="3FDAD5DA"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494AECA1"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Eq. 6 says that the free energy of our approximate posterior (i.e., Bayesian) beliefs, given some sensory outcomes, is the Kullback-Leibler divergence (</w:t>
      </w:r>
      <w:r w:rsidR="00505CC7" w:rsidRPr="00505CC7">
        <w:rPr>
          <w:rFonts w:asciiTheme="majorHAnsi" w:hAnsiTheme="majorHAnsi" w:cstheme="majorHAnsi"/>
          <w:noProof/>
          <w:color w:val="000000" w:themeColor="text1"/>
          <w:position w:val="-4"/>
          <w:sz w:val="22"/>
          <w:szCs w:val="22"/>
        </w:rPr>
        <w:object w:dxaOrig="240" w:dyaOrig="220" w14:anchorId="42173719">
          <v:shape id="_x0000_i1058" type="#_x0000_t75" alt="" style="width:12.4pt;height:12.4pt;mso-width-percent:0;mso-height-percent:0;mso-width-percent:0;mso-height-percent:0" o:ole="">
            <v:imagedata r:id="rId38" o:title=""/>
          </v:shape>
          <o:OLEObject Type="Embed" ProgID="Equation.DSMT4" ShapeID="_x0000_i1058" DrawAspect="Content" ObjectID="_1635598287" r:id="rId39"/>
        </w:object>
      </w:r>
      <w:r w:rsidRPr="00C8305E">
        <w:rPr>
          <w:rFonts w:asciiTheme="majorHAnsi" w:eastAsia="Calibri" w:hAnsiTheme="majorHAnsi" w:cstheme="majorHAnsi"/>
          <w:color w:val="000000" w:themeColor="text1"/>
          <w:sz w:val="22"/>
          <w:szCs w:val="22"/>
        </w:rPr>
        <w:t>) from the true posterior probability of external states, given the sensory input; minus the (negative log) marginal likelihood. Estimating the marginal likelihood can be achieved by minimising the free energy functional of (Bayesian) beliefs and sensations:</w:t>
      </w:r>
    </w:p>
    <w:p w14:paraId="5A64AD8F"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63633551" w14:textId="77777777" w:rsidR="00C8305E" w:rsidRPr="00C8305E" w:rsidRDefault="00505CC7" w:rsidP="00C8305E">
      <w:pPr>
        <w:spacing w:line="360" w:lineRule="auto"/>
        <w:jc w:val="both"/>
        <w:rPr>
          <w:rFonts w:asciiTheme="majorHAnsi" w:eastAsia="Calibri" w:hAnsiTheme="majorHAnsi" w:cstheme="majorHAnsi"/>
          <w:color w:val="000000" w:themeColor="text1"/>
          <w:sz w:val="22"/>
          <w:szCs w:val="22"/>
        </w:rPr>
      </w:pPr>
      <w:r w:rsidRPr="00505CC7">
        <w:rPr>
          <w:rFonts w:asciiTheme="majorHAnsi" w:hAnsiTheme="majorHAnsi" w:cstheme="majorHAnsi"/>
          <w:noProof/>
          <w:color w:val="000000" w:themeColor="text1"/>
          <w:position w:val="-88"/>
          <w:sz w:val="22"/>
          <w:szCs w:val="22"/>
        </w:rPr>
        <w:object w:dxaOrig="1640" w:dyaOrig="1520" w14:anchorId="75D94AB5">
          <v:shape id="_x0000_i1057" type="#_x0000_t75" alt="" style="width:82.15pt;height:76.5pt;mso-width-percent:0;mso-height-percent:0;mso-width-percent:0;mso-height-percent:0" o:ole="">
            <v:imagedata r:id="rId40" o:title=""/>
          </v:shape>
          <o:OLEObject Type="Embed" ProgID="Equation.DSMT4" ShapeID="_x0000_i1057" DrawAspect="Content" ObjectID="_1635598288" r:id="rId41"/>
        </w:object>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t>(7)</w:t>
      </w:r>
    </w:p>
    <w:p w14:paraId="7001539E"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7DF1C38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The Kullback-Leibler (KL, or</w:t>
      </w:r>
      <w:r w:rsidR="00505CC7" w:rsidRPr="00505CC7">
        <w:rPr>
          <w:rFonts w:asciiTheme="majorHAnsi" w:hAnsiTheme="majorHAnsi" w:cstheme="majorHAnsi"/>
          <w:noProof/>
          <w:color w:val="000000" w:themeColor="text1"/>
          <w:position w:val="-4"/>
          <w:sz w:val="22"/>
          <w:szCs w:val="22"/>
        </w:rPr>
        <w:object w:dxaOrig="240" w:dyaOrig="220" w14:anchorId="15C44F61">
          <v:shape id="_x0000_i1056" type="#_x0000_t75" alt="" style="width:13pt;height:13pt;mso-width-percent:0;mso-height-percent:0;mso-width-percent:0;mso-height-percent:0" o:ole="">
            <v:imagedata r:id="rId38" o:title=""/>
          </v:shape>
          <o:OLEObject Type="Embed" ProgID="Equation.DSMT4" ShapeID="_x0000_i1056" DrawAspect="Content" ObjectID="_1635598289" r:id="rId42"/>
        </w:object>
      </w:r>
      <w:r w:rsidRPr="00C8305E">
        <w:rPr>
          <w:rFonts w:asciiTheme="majorHAnsi" w:hAnsiTheme="majorHAnsi" w:cstheme="majorHAnsi"/>
          <w:color w:val="000000" w:themeColor="text1"/>
          <w:sz w:val="22"/>
          <w:szCs w:val="22"/>
        </w:rPr>
        <w:t xml:space="preserve"> here</w:t>
      </w:r>
      <w:r w:rsidRPr="00C8305E">
        <w:rPr>
          <w:rFonts w:asciiTheme="majorHAnsi" w:eastAsia="Calibri" w:hAnsiTheme="majorHAnsi" w:cstheme="majorHAnsi"/>
          <w:color w:val="000000" w:themeColor="text1"/>
          <w:sz w:val="22"/>
          <w:szCs w:val="22"/>
        </w:rPr>
        <w:t xml:space="preserve">) divergence represents the difference between the agent’s beliefs about external states </w:t>
      </w:r>
      <w:r w:rsidR="00505CC7" w:rsidRPr="00505CC7">
        <w:rPr>
          <w:rFonts w:asciiTheme="majorHAnsi" w:hAnsiTheme="majorHAnsi" w:cstheme="majorHAnsi"/>
          <w:noProof/>
          <w:color w:val="000000" w:themeColor="text1"/>
          <w:position w:val="-10"/>
          <w:sz w:val="22"/>
          <w:szCs w:val="22"/>
        </w:rPr>
        <w:object w:dxaOrig="440" w:dyaOrig="300" w14:anchorId="75AC2E2D">
          <v:shape id="_x0000_i1055" type="#_x0000_t75" alt="" style="width:22pt;height:16pt;mso-width-percent:0;mso-height-percent:0;mso-width-percent:0;mso-height-percent:0" o:ole="">
            <v:imagedata r:id="rId43" o:title=""/>
          </v:shape>
          <o:OLEObject Type="Embed" ProgID="Equation.DSMT4" ShapeID="_x0000_i1055" DrawAspect="Content" ObjectID="_1635598290" r:id="rId44"/>
        </w:object>
      </w:r>
      <w:r w:rsidRPr="00C8305E">
        <w:rPr>
          <w:rFonts w:asciiTheme="majorHAnsi" w:eastAsia="Calibri" w:hAnsiTheme="majorHAnsi" w:cstheme="majorHAnsi"/>
          <w:color w:val="000000" w:themeColor="text1"/>
          <w:sz w:val="22"/>
          <w:szCs w:val="22"/>
        </w:rPr>
        <w:t xml:space="preserve"> , and the true posterior probability over these states, given the sensory data </w:t>
      </w:r>
      <w:r w:rsidR="00505CC7" w:rsidRPr="00505CC7">
        <w:rPr>
          <w:rFonts w:asciiTheme="majorHAnsi" w:hAnsiTheme="majorHAnsi" w:cstheme="majorHAnsi"/>
          <w:noProof/>
          <w:color w:val="000000" w:themeColor="text1"/>
          <w:position w:val="-10"/>
          <w:sz w:val="22"/>
          <w:szCs w:val="22"/>
        </w:rPr>
        <w:object w:dxaOrig="640" w:dyaOrig="300" w14:anchorId="30E216D7">
          <v:shape id="_x0000_i1054" type="#_x0000_t75" alt="" style="width:32pt;height:16pt;mso-width-percent:0;mso-height-percent:0;mso-width-percent:0;mso-height-percent:0" o:ole="">
            <v:imagedata r:id="rId45" o:title=""/>
          </v:shape>
          <o:OLEObject Type="Embed" ProgID="Equation.DSMT4" ShapeID="_x0000_i1054" DrawAspect="Content" ObjectID="_1635598291" r:id="rId46"/>
        </w:object>
      </w:r>
      <w:r w:rsidRPr="00C8305E">
        <w:rPr>
          <w:rFonts w:asciiTheme="majorHAnsi" w:hAnsiTheme="majorHAnsi" w:cstheme="majorHAnsi"/>
          <w:noProof/>
          <w:color w:val="000000" w:themeColor="text1"/>
          <w:sz w:val="22"/>
          <w:szCs w:val="22"/>
        </w:rPr>
        <w:t>.</w:t>
      </w:r>
      <w:r w:rsidRPr="00C8305E">
        <w:rPr>
          <w:rFonts w:asciiTheme="majorHAnsi" w:eastAsia="Calibri" w:hAnsiTheme="majorHAnsi" w:cstheme="majorHAnsi"/>
          <w:color w:val="000000" w:themeColor="text1"/>
          <w:sz w:val="22"/>
          <w:szCs w:val="22"/>
        </w:rPr>
        <w:t xml:space="preserve"> Any KL-divergence is always non-negative, which means that as the free energy gets smaller (i.e., as we minimise the functional) the divergence tends toward zero. This means that minimising free energy entails:</w:t>
      </w:r>
    </w:p>
    <w:p w14:paraId="3EE6872E"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CDCBCAA"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Marginal Likelihood Estimation (a.k.a. MLE, Beal, 2003) by making free energy a tight upper bound on the (negative log) marginal likelihood </w:t>
      </w:r>
      <w:r w:rsidR="00505CC7" w:rsidRPr="00505CC7">
        <w:rPr>
          <w:rFonts w:asciiTheme="majorHAnsi" w:hAnsiTheme="majorHAnsi" w:cstheme="majorHAnsi"/>
          <w:noProof/>
          <w:color w:val="000000" w:themeColor="text1"/>
          <w:position w:val="-10"/>
          <w:sz w:val="22"/>
          <w:szCs w:val="22"/>
        </w:rPr>
        <w:object w:dxaOrig="780" w:dyaOrig="300" w14:anchorId="5E174845">
          <v:shape id="_x0000_i1053" type="#_x0000_t75" alt="" style="width:39pt;height:16pt;mso-width-percent:0;mso-height-percent:0;mso-width-percent:0;mso-height-percent:0" o:ole="">
            <v:imagedata r:id="rId47" o:title=""/>
          </v:shape>
          <o:OLEObject Type="Embed" ProgID="Equation.DSMT4" ShapeID="_x0000_i1053" DrawAspect="Content" ObjectID="_1635598292" r:id="rId48"/>
        </w:object>
      </w:r>
      <w:r w:rsidRPr="00C8305E">
        <w:rPr>
          <w:rFonts w:asciiTheme="majorHAnsi" w:hAnsiTheme="majorHAnsi" w:cstheme="majorHAnsi"/>
          <w:color w:val="000000" w:themeColor="text1"/>
          <w:sz w:val="22"/>
          <w:szCs w:val="22"/>
        </w:rPr>
        <w:t>.</w:t>
      </w:r>
      <w:r w:rsidRPr="00C8305E">
        <w:rPr>
          <w:rFonts w:asciiTheme="majorHAnsi" w:eastAsia="Calibri" w:hAnsiTheme="majorHAnsi" w:cstheme="majorHAnsi"/>
          <w:color w:val="000000" w:themeColor="text1"/>
          <w:sz w:val="22"/>
          <w:szCs w:val="22"/>
        </w:rPr>
        <w:t xml:space="preserve"> </w:t>
      </w:r>
    </w:p>
    <w:p w14:paraId="2B3E8E24"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Perception (and learning) of external states by making the approximate posterior </w:t>
      </w:r>
      <w:r w:rsidR="00505CC7" w:rsidRPr="00505CC7">
        <w:rPr>
          <w:rFonts w:asciiTheme="majorHAnsi" w:hAnsiTheme="majorHAnsi" w:cstheme="majorHAnsi"/>
          <w:noProof/>
          <w:color w:val="000000" w:themeColor="text1"/>
          <w:position w:val="-10"/>
          <w:sz w:val="22"/>
          <w:szCs w:val="22"/>
        </w:rPr>
        <w:object w:dxaOrig="440" w:dyaOrig="300" w14:anchorId="2DF1B985">
          <v:shape id="_x0000_i1052" type="#_x0000_t75" alt="" style="width:22pt;height:16pt;mso-width-percent:0;mso-height-percent:0;mso-width-percent:0;mso-height-percent:0" o:ole="">
            <v:imagedata r:id="rId49" o:title=""/>
          </v:shape>
          <o:OLEObject Type="Embed" ProgID="Equation.DSMT4" ShapeID="_x0000_i1052" DrawAspect="Content" ObjectID="_1635598293" r:id="rId50"/>
        </w:object>
      </w:r>
      <w:r w:rsidRPr="00C8305E">
        <w:rPr>
          <w:rFonts w:asciiTheme="majorHAnsi" w:hAnsiTheme="majorHAnsi" w:cstheme="majorHAnsi"/>
          <w:color w:val="000000" w:themeColor="text1"/>
          <w:sz w:val="22"/>
          <w:szCs w:val="22"/>
        </w:rPr>
        <w:t xml:space="preserve"> </w:t>
      </w:r>
      <w:r w:rsidRPr="00C8305E">
        <w:rPr>
          <w:rFonts w:asciiTheme="majorHAnsi" w:eastAsia="Calibri" w:hAnsiTheme="majorHAnsi" w:cstheme="majorHAnsi"/>
          <w:color w:val="000000" w:themeColor="text1"/>
          <w:sz w:val="22"/>
          <w:szCs w:val="22"/>
        </w:rPr>
        <w:t>a good approximation of the true posterior</w:t>
      </w:r>
      <w:r w:rsidRPr="00C8305E" w:rsidDel="00221A74">
        <w:rPr>
          <w:rFonts w:asciiTheme="majorHAnsi" w:eastAsia="Calibri" w:hAnsiTheme="majorHAnsi" w:cstheme="majorHAnsi"/>
          <w:color w:val="000000" w:themeColor="text1"/>
          <w:sz w:val="22"/>
          <w:szCs w:val="22"/>
        </w:rPr>
        <w:t xml:space="preserve"> </w:t>
      </w:r>
      <w:r w:rsidR="00505CC7" w:rsidRPr="00505CC7">
        <w:rPr>
          <w:rFonts w:asciiTheme="majorHAnsi" w:hAnsiTheme="majorHAnsi" w:cstheme="majorHAnsi"/>
          <w:noProof/>
          <w:color w:val="000000" w:themeColor="text1"/>
          <w:position w:val="-10"/>
          <w:sz w:val="22"/>
          <w:szCs w:val="22"/>
        </w:rPr>
        <w:object w:dxaOrig="640" w:dyaOrig="300" w14:anchorId="6321B82B">
          <v:shape id="_x0000_i1051" type="#_x0000_t75" alt="" style="width:32pt;height:16pt;mso-width-percent:0;mso-height-percent:0;mso-width-percent:0;mso-height-percent:0" o:ole="">
            <v:imagedata r:id="rId51" o:title=""/>
          </v:shape>
          <o:OLEObject Type="Embed" ProgID="Equation.DSMT4" ShapeID="_x0000_i1051" DrawAspect="Content" ObjectID="_1635598294" r:id="rId52"/>
        </w:object>
      </w:r>
      <w:r w:rsidRPr="00C8305E">
        <w:rPr>
          <w:rFonts w:asciiTheme="majorHAnsi" w:eastAsia="Calibri" w:hAnsiTheme="majorHAnsi" w:cstheme="majorHAnsi"/>
          <w:color w:val="000000" w:themeColor="text1"/>
          <w:sz w:val="22"/>
          <w:szCs w:val="22"/>
        </w:rPr>
        <w:t xml:space="preserve">.  </w:t>
      </w:r>
    </w:p>
    <w:p w14:paraId="19DFC064"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37E4707B"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lastRenderedPageBreak/>
        <w:t xml:space="preserve">Perception (and learning), then, is simply the process whereby the approximate posterior </w:t>
      </w:r>
      <w:r w:rsidR="00505CC7" w:rsidRPr="00505CC7">
        <w:rPr>
          <w:rFonts w:asciiTheme="majorHAnsi" w:hAnsiTheme="majorHAnsi" w:cstheme="majorHAnsi"/>
          <w:noProof/>
          <w:color w:val="000000" w:themeColor="text1"/>
          <w:position w:val="-10"/>
          <w:sz w:val="22"/>
          <w:szCs w:val="22"/>
        </w:rPr>
        <w:object w:dxaOrig="440" w:dyaOrig="300" w14:anchorId="5151EF01">
          <v:shape id="_x0000_i1050" type="#_x0000_t75" alt="" style="width:22pt;height:16pt;mso-width-percent:0;mso-height-percent:0;mso-width-percent:0;mso-height-percent:0" o:ole="">
            <v:imagedata r:id="rId53" o:title=""/>
          </v:shape>
          <o:OLEObject Type="Embed" ProgID="Equation.DSMT4" ShapeID="_x0000_i1050" DrawAspect="Content" ObjectID="_1635598295" r:id="rId54"/>
        </w:object>
      </w:r>
      <w:r w:rsidRPr="00C8305E">
        <w:rPr>
          <w:rFonts w:asciiTheme="majorHAnsi" w:eastAsia="Calibri" w:hAnsiTheme="majorHAnsi" w:cstheme="majorHAnsi"/>
          <w:color w:val="000000" w:themeColor="text1"/>
          <w:sz w:val="22"/>
          <w:szCs w:val="22"/>
        </w:rPr>
        <w:t xml:space="preserve"> – parameterised or encoded by the internal states of the brain – are made ‘statistically consistent’ with the true posterior distribution over the external states of the world given sensory observations. </w:t>
      </w:r>
    </w:p>
    <w:p w14:paraId="51BBE258"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FE724A2"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Note that there is some debate as to whether the reduction of the Kullback-Leibler divergence is a representational process (Kirchhoff and Robertson, 2018). Whether this process is representational or not, the probability distributions it manipulates are most certainly instances of representations (cf. Badcock, Friston &amp; Ramstead, 2019). The divergence between two probability distributions can be said to be ‘right’ or ‘wrong’ with respect to some satisfaction conditions (i.e., a reducing divergence is better than an increasing divergence). Therefore, even if the process per se (i.e., reduction of the divergence or evidence bound) is non-representational, the components involved in this process make that process one of ‘manipulation’ of representations. A similar theme is seen in Bayesian decision theory, game theory and economics where the evidence bound can be interpreted as leading to bounded rationality (i.e., approximate Bayesian inference) (Friston et al., 2013). The rationality of decisions again speaks to an inherent representationalism that underwrites the ‘right’ sort of decisions.</w:t>
      </w:r>
    </w:p>
    <w:p w14:paraId="51752C73"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358F18E0" w14:textId="6720BDBA" w:rsidR="00C8305E" w:rsidRPr="00507989"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Now, depending on the structure (i.e., entailed knowledge) in the generative model, approximate Bayesian inference not only optimises beliefs about the world ‘out there’ but also beliefs about the consequences of doing this or that. These beliefs yield inference to the best action to engage (see below). As we have seen, in the case of perception, approximate Bayesian inference involves minimising free energy, which is an upper bound on (negative log) marginal likelihood. We now turn to action planning as another instance of representational cognitive process.</w:t>
      </w:r>
      <w:bookmarkStart w:id="10" w:name="_7h26pisghleb" w:colFirst="0" w:colLast="0"/>
      <w:bookmarkStart w:id="11" w:name="_Toc11499310"/>
      <w:bookmarkEnd w:id="10"/>
    </w:p>
    <w:p w14:paraId="4DBA14C1" w14:textId="77777777" w:rsidR="00C8305E" w:rsidRPr="00C8305E" w:rsidRDefault="00C8305E" w:rsidP="00C8305E">
      <w:pPr>
        <w:pStyle w:val="Heading2"/>
      </w:pPr>
      <w:r w:rsidRPr="00C8305E">
        <w:t>3.2 Action planning</w:t>
      </w:r>
      <w:bookmarkEnd w:id="11"/>
    </w:p>
    <w:p w14:paraId="76BAFF9C"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To account for action, one must start thinking about the manner in which states of the world change over time. This requires us to cast the generative model over multiple times steps </w:t>
      </w:r>
      <w:r w:rsidR="00505CC7" w:rsidRPr="00505CC7">
        <w:rPr>
          <w:rFonts w:asciiTheme="majorHAnsi" w:hAnsiTheme="majorHAnsi" w:cstheme="majorHAnsi"/>
          <w:noProof/>
          <w:color w:val="000000" w:themeColor="text1"/>
          <w:position w:val="-6"/>
          <w:sz w:val="22"/>
          <w:szCs w:val="22"/>
        </w:rPr>
        <w:object w:dxaOrig="180" w:dyaOrig="200" w14:anchorId="03FFCA4B">
          <v:shape id="_x0000_i1049" type="#_x0000_t75" alt="" style="width:10pt;height:10pt;mso-width-percent:0;mso-height-percent:0;mso-width-percent:0;mso-height-percent:0" o:ole="">
            <v:imagedata r:id="rId55" o:title=""/>
          </v:shape>
          <o:OLEObject Type="Embed" ProgID="Equation.DSMT4" ShapeID="_x0000_i1049" DrawAspect="Content" ObjectID="_1635598296" r:id="rId56"/>
        </w:object>
      </w:r>
      <w:r w:rsidRPr="00C8305E">
        <w:rPr>
          <w:rFonts w:asciiTheme="majorHAnsi" w:eastAsia="Calibri" w:hAnsiTheme="majorHAnsi" w:cstheme="majorHAnsi"/>
          <w:color w:val="000000" w:themeColor="text1"/>
          <w:sz w:val="22"/>
          <w:szCs w:val="22"/>
        </w:rPr>
        <w:t xml:space="preserve">, into the future and how an action policy </w:t>
      </w:r>
      <w:r w:rsidR="00505CC7" w:rsidRPr="00505CC7">
        <w:rPr>
          <w:rFonts w:asciiTheme="majorHAnsi" w:hAnsiTheme="majorHAnsi" w:cstheme="majorHAnsi"/>
          <w:noProof/>
          <w:color w:val="000000" w:themeColor="text1"/>
          <w:position w:val="-6"/>
          <w:sz w:val="22"/>
          <w:szCs w:val="22"/>
        </w:rPr>
        <w:object w:dxaOrig="200" w:dyaOrig="200" w14:anchorId="2FFFB113">
          <v:shape id="_x0000_i1048" type="#_x0000_t75" alt="" style="width:10pt;height:10pt;mso-width-percent:0;mso-height-percent:0;mso-width-percent:0;mso-height-percent:0" o:ole="">
            <v:imagedata r:id="rId57" o:title=""/>
          </v:shape>
          <o:OLEObject Type="Embed" ProgID="Equation.DSMT4" ShapeID="_x0000_i1048" DrawAspect="Content" ObjectID="_1635598297" r:id="rId58"/>
        </w:object>
      </w:r>
      <w:r w:rsidRPr="00C8305E">
        <w:rPr>
          <w:rFonts w:asciiTheme="majorHAnsi" w:eastAsia="Calibri" w:hAnsiTheme="majorHAnsi" w:cstheme="majorHAnsi"/>
          <w:color w:val="000000" w:themeColor="text1"/>
          <w:sz w:val="22"/>
          <w:szCs w:val="22"/>
        </w:rPr>
        <w:t xml:space="preserve"> (i.e., possible sequence of actions) may influence these the trajectory of states when this or that policy is realised. Thus, our generative models will have the form </w:t>
      </w:r>
      <w:r w:rsidR="00505CC7" w:rsidRPr="00505CC7">
        <w:rPr>
          <w:rFonts w:asciiTheme="majorHAnsi" w:hAnsiTheme="majorHAnsi" w:cstheme="majorHAnsi"/>
          <w:noProof/>
          <w:color w:val="000000" w:themeColor="text1"/>
          <w:position w:val="-10"/>
          <w:sz w:val="22"/>
          <w:szCs w:val="22"/>
        </w:rPr>
        <w:object w:dxaOrig="800" w:dyaOrig="300" w14:anchorId="454E1503">
          <v:shape id="_x0000_i1047" type="#_x0000_t75" alt="" style="width:40pt;height:16pt;mso-width-percent:0;mso-height-percent:0;mso-width-percent:0;mso-height-percent:0" o:ole="">
            <v:imagedata r:id="rId59" o:title=""/>
          </v:shape>
          <o:OLEObject Type="Embed" ProgID="Equation.DSMT4" ShapeID="_x0000_i1047" DrawAspect="Content" ObjectID="_1635598298" r:id="rId60"/>
        </w:object>
      </w:r>
      <w:r w:rsidRPr="00C8305E">
        <w:rPr>
          <w:rFonts w:asciiTheme="majorHAnsi" w:eastAsia="Calibri" w:hAnsiTheme="majorHAnsi" w:cstheme="majorHAnsi"/>
          <w:color w:val="000000" w:themeColor="text1"/>
          <w:sz w:val="22"/>
          <w:szCs w:val="22"/>
        </w:rPr>
        <w:t xml:space="preserve"> – to allow us to infer future hidden states and associated outcomes </w:t>
      </w:r>
      <w:r w:rsidR="00505CC7" w:rsidRPr="00505CC7">
        <w:rPr>
          <w:rFonts w:asciiTheme="majorHAnsi" w:hAnsiTheme="majorHAnsi" w:cstheme="majorHAnsi"/>
          <w:noProof/>
          <w:color w:val="000000" w:themeColor="text1"/>
          <w:position w:val="-12"/>
          <w:sz w:val="22"/>
          <w:szCs w:val="22"/>
        </w:rPr>
        <w:object w:dxaOrig="240" w:dyaOrig="340" w14:anchorId="21172C6A">
          <v:shape id="_x0000_i1046" type="#_x0000_t75" alt="" style="width:13pt;height:19pt;mso-width-percent:0;mso-height-percent:0;mso-width-percent:0;mso-height-percent:0" o:ole="">
            <v:imagedata r:id="rId61" o:title=""/>
          </v:shape>
          <o:OLEObject Type="Embed" ProgID="Equation.DSMT4" ShapeID="_x0000_i1046" DrawAspect="Content" ObjectID="_1635598299" r:id="rId62"/>
        </w:object>
      </w:r>
      <w:r w:rsidRPr="00C8305E">
        <w:rPr>
          <w:rFonts w:asciiTheme="majorHAnsi" w:eastAsia="Calibri" w:hAnsiTheme="majorHAnsi" w:cstheme="majorHAnsi"/>
          <w:color w:val="000000" w:themeColor="text1"/>
          <w:sz w:val="22"/>
          <w:szCs w:val="22"/>
        </w:rPr>
        <w:t xml:space="preserve"> relative to a policy </w:t>
      </w:r>
      <w:r w:rsidR="00505CC7" w:rsidRPr="00505CC7">
        <w:rPr>
          <w:rFonts w:asciiTheme="majorHAnsi" w:hAnsiTheme="majorHAnsi" w:cstheme="majorHAnsi"/>
          <w:noProof/>
          <w:color w:val="000000" w:themeColor="text1"/>
          <w:position w:val="-6"/>
          <w:sz w:val="22"/>
          <w:szCs w:val="22"/>
        </w:rPr>
        <w:object w:dxaOrig="200" w:dyaOrig="200" w14:anchorId="1F3D6CC1">
          <v:shape id="_x0000_i1045" type="#_x0000_t75" alt="" style="width:10pt;height:10pt;mso-width-percent:0;mso-height-percent:0;mso-width-percent:0;mso-height-percent:0" o:ole="">
            <v:imagedata r:id="rId63" o:title=""/>
          </v:shape>
          <o:OLEObject Type="Embed" ProgID="Equation.DSMT4" ShapeID="_x0000_i1045" DrawAspect="Content" ObjectID="_1635598300" r:id="rId64"/>
        </w:object>
      </w:r>
      <w:r w:rsidRPr="00C8305E">
        <w:rPr>
          <w:rFonts w:asciiTheme="majorHAnsi" w:eastAsia="Calibri" w:hAnsiTheme="majorHAnsi" w:cstheme="majorHAnsi"/>
          <w:color w:val="000000" w:themeColor="text1"/>
          <w:sz w:val="22"/>
          <w:szCs w:val="22"/>
        </w:rPr>
        <w:t xml:space="preserve"> (see fig 2). Here, for the sake of simplicity, we will focus on a discrete formulation of the ensuing generative model for action.</w:t>
      </w:r>
    </w:p>
    <w:p w14:paraId="7EECF928"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641F6C8A"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2493D176" w14:textId="77777777" w:rsidR="00C8305E" w:rsidRPr="00C8305E" w:rsidRDefault="00C8305E" w:rsidP="00507989">
      <w:pPr>
        <w:jc w:val="center"/>
        <w:rPr>
          <w:rFonts w:asciiTheme="majorHAnsi" w:eastAsia="Calibri" w:hAnsiTheme="majorHAnsi" w:cstheme="majorHAnsi"/>
          <w:color w:val="000000" w:themeColor="text1"/>
          <w:sz w:val="22"/>
          <w:szCs w:val="22"/>
        </w:rPr>
      </w:pPr>
      <w:r w:rsidRPr="00C8305E">
        <w:rPr>
          <w:rFonts w:asciiTheme="majorHAnsi" w:hAnsiTheme="majorHAnsi" w:cstheme="majorHAnsi"/>
          <w:noProof/>
          <w:color w:val="000000" w:themeColor="text1"/>
          <w:sz w:val="22"/>
          <w:szCs w:val="22"/>
        </w:rPr>
        <w:drawing>
          <wp:inline distT="0" distB="0" distL="0" distR="0" wp14:anchorId="1BB7F72F" wp14:editId="7B9288AF">
            <wp:extent cx="5972810" cy="1853738"/>
            <wp:effectExtent l="0" t="0" r="0"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44826"/>
                    <a:stretch/>
                  </pic:blipFill>
                  <pic:spPr bwMode="auto">
                    <a:xfrm>
                      <a:off x="0" y="0"/>
                      <a:ext cx="5972810" cy="1853738"/>
                    </a:xfrm>
                    <a:prstGeom prst="rect">
                      <a:avLst/>
                    </a:prstGeom>
                    <a:ln>
                      <a:noFill/>
                    </a:ln>
                    <a:extLst>
                      <a:ext uri="{53640926-AAD7-44D8-BBD7-CCE9431645EC}">
                        <a14:shadowObscured xmlns:a14="http://schemas.microsoft.com/office/drawing/2010/main"/>
                      </a:ext>
                    </a:extLst>
                  </pic:spPr>
                </pic:pic>
              </a:graphicData>
            </a:graphic>
          </wp:inline>
        </w:drawing>
      </w:r>
    </w:p>
    <w:p w14:paraId="55D761D9" w14:textId="2583D9AF" w:rsidR="00C8305E" w:rsidRPr="00C8305E" w:rsidRDefault="00C8305E" w:rsidP="00507989">
      <w:pPr>
        <w:jc w:val="center"/>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Figure 2. Minimal discrete state space generative model for action. Open circles are random variables (hidden states and policies). Grey filled circles are observable outcomes. Squares are known variables, such as the model parameters. </w:t>
      </w:r>
      <w:r w:rsidR="00505CC7" w:rsidRPr="00505CC7">
        <w:rPr>
          <w:rFonts w:asciiTheme="majorHAnsi" w:hAnsiTheme="majorHAnsi" w:cstheme="majorHAnsi"/>
          <w:noProof/>
          <w:color w:val="000000" w:themeColor="text1"/>
          <w:position w:val="-4"/>
          <w:sz w:val="22"/>
          <w:szCs w:val="22"/>
        </w:rPr>
        <w:object w:dxaOrig="380" w:dyaOrig="220" w14:anchorId="3F928DC5">
          <v:shape id="_x0000_i1044" type="#_x0000_t75" alt="" style="width:19pt;height:13pt;mso-width-percent:0;mso-height-percent:0;mso-width-percent:0;mso-height-percent:0" o:ole="">
            <v:imagedata r:id="rId66" o:title=""/>
          </v:shape>
          <o:OLEObject Type="Embed" ProgID="Equation.DSMT4" ShapeID="_x0000_i1044" DrawAspect="Content" ObjectID="_1635598301" r:id="rId67"/>
        </w:object>
      </w:r>
      <w:r w:rsidRPr="00C8305E">
        <w:rPr>
          <w:rFonts w:asciiTheme="majorHAnsi" w:eastAsia="Calibri" w:hAnsiTheme="majorHAnsi" w:cstheme="majorHAnsi"/>
          <w:color w:val="000000" w:themeColor="text1"/>
          <w:sz w:val="22"/>
          <w:szCs w:val="22"/>
        </w:rPr>
        <w:t xml:space="preserve"> refers to categorical distributions. The equations in the beige box (upper left) specify the architecture of the generative model (for a complete description see Friston, Parr &amp; De Vries, 2017). The likelihood matrix </w:t>
      </w:r>
      <w:r w:rsidR="00505CC7" w:rsidRPr="00505CC7">
        <w:rPr>
          <w:rFonts w:asciiTheme="majorHAnsi" w:hAnsiTheme="majorHAnsi" w:cstheme="majorHAnsi"/>
          <w:noProof/>
          <w:color w:val="000000" w:themeColor="text1"/>
          <w:position w:val="-4"/>
          <w:sz w:val="22"/>
          <w:szCs w:val="22"/>
        </w:rPr>
        <w:object w:dxaOrig="220" w:dyaOrig="220" w14:anchorId="146E0C51">
          <v:shape id="_x0000_i1043" type="#_x0000_t75" alt="" style="width:13pt;height:13pt;mso-width-percent:0;mso-height-percent:0;mso-width-percent:0;mso-height-percent:0" o:ole="">
            <v:imagedata r:id="rId68" o:title=""/>
          </v:shape>
          <o:OLEObject Type="Embed" ProgID="Equation.DSMT4" ShapeID="_x0000_i1043" DrawAspect="Content" ObjectID="_1635598302" r:id="rId69"/>
        </w:object>
      </w:r>
      <w:r w:rsidRPr="00C8305E">
        <w:rPr>
          <w:rFonts w:asciiTheme="majorHAnsi" w:hAnsiTheme="majorHAnsi" w:cstheme="majorHAnsi"/>
          <w:color w:val="000000" w:themeColor="text1"/>
          <w:sz w:val="22"/>
          <w:szCs w:val="22"/>
        </w:rPr>
        <w:t xml:space="preserve"> </w:t>
      </w:r>
      <w:r w:rsidRPr="00C8305E">
        <w:rPr>
          <w:rFonts w:asciiTheme="majorHAnsi" w:eastAsia="Calibri" w:hAnsiTheme="majorHAnsi" w:cstheme="majorHAnsi"/>
          <w:color w:val="000000" w:themeColor="text1"/>
          <w:sz w:val="22"/>
          <w:szCs w:val="22"/>
        </w:rPr>
        <w:t xml:space="preserve">specifies the probability of outcomes for each combination hidden states </w:t>
      </w:r>
      <w:r w:rsidR="00505CC7" w:rsidRPr="00505CC7">
        <w:rPr>
          <w:rFonts w:asciiTheme="majorHAnsi" w:hAnsiTheme="majorHAnsi" w:cstheme="majorHAnsi"/>
          <w:noProof/>
          <w:color w:val="000000" w:themeColor="text1"/>
          <w:position w:val="-4"/>
          <w:sz w:val="22"/>
          <w:szCs w:val="22"/>
        </w:rPr>
        <w:object w:dxaOrig="160" w:dyaOrig="180" w14:anchorId="60C69361">
          <v:shape id="_x0000_i1042" type="#_x0000_t75" alt="" style="width:8pt;height:10pt;mso-width-percent:0;mso-height-percent:0;mso-width-percent:0;mso-height-percent:0" o:ole="">
            <v:imagedata r:id="rId70" o:title=""/>
          </v:shape>
          <o:OLEObject Type="Embed" ProgID="Equation.DSMT4" ShapeID="_x0000_i1042" DrawAspect="Content" ObjectID="_1635598303" r:id="rId71"/>
        </w:object>
      </w:r>
      <w:r w:rsidRPr="00C8305E">
        <w:rPr>
          <w:rFonts w:asciiTheme="majorHAnsi" w:eastAsia="Calibri" w:hAnsiTheme="majorHAnsi" w:cstheme="majorHAnsi"/>
          <w:color w:val="000000" w:themeColor="text1"/>
          <w:sz w:val="22"/>
          <w:szCs w:val="22"/>
        </w:rPr>
        <w:t xml:space="preserve">. The novelty of this generative model rests on the addition of a policy </w:t>
      </w:r>
      <w:r w:rsidR="00505CC7" w:rsidRPr="00505CC7">
        <w:rPr>
          <w:rFonts w:asciiTheme="majorHAnsi" w:hAnsiTheme="majorHAnsi" w:cstheme="majorHAnsi"/>
          <w:noProof/>
          <w:color w:val="000000" w:themeColor="text1"/>
          <w:position w:val="-6"/>
          <w:sz w:val="22"/>
          <w:szCs w:val="22"/>
        </w:rPr>
        <w:object w:dxaOrig="200" w:dyaOrig="200" w14:anchorId="4CEDBBD8">
          <v:shape id="_x0000_i1041" type="#_x0000_t75" alt="" style="width:10pt;height:10pt;mso-width-percent:0;mso-height-percent:0;mso-width-percent:0;mso-height-percent:0" o:ole="">
            <v:imagedata r:id="rId72" o:title=""/>
          </v:shape>
          <o:OLEObject Type="Embed" ProgID="Equation.DSMT4" ShapeID="_x0000_i1041" DrawAspect="Content" ObjectID="_1635598304" r:id="rId73"/>
        </w:object>
      </w:r>
      <w:r w:rsidRPr="00C8305E">
        <w:rPr>
          <w:rFonts w:asciiTheme="majorHAnsi" w:eastAsia="Calibri" w:hAnsiTheme="majorHAnsi" w:cstheme="majorHAnsi"/>
          <w:color w:val="000000" w:themeColor="text1"/>
          <w:sz w:val="22"/>
          <w:szCs w:val="22"/>
        </w:rPr>
        <w:t xml:space="preserve"> that determines state transitions, represented by the policy-dependent transition matrix </w:t>
      </w:r>
      <w:r w:rsidR="00505CC7" w:rsidRPr="00505CC7">
        <w:rPr>
          <w:rFonts w:asciiTheme="majorHAnsi" w:hAnsiTheme="majorHAnsi" w:cstheme="majorHAnsi"/>
          <w:noProof/>
          <w:color w:val="000000" w:themeColor="text1"/>
          <w:position w:val="-14"/>
          <w:sz w:val="22"/>
          <w:szCs w:val="22"/>
        </w:rPr>
        <w:object w:dxaOrig="380" w:dyaOrig="360" w14:anchorId="20DA445F">
          <v:shape id="_x0000_i1040" type="#_x0000_t75" alt="" style="width:19pt;height:19pt;mso-width-percent:0;mso-height-percent:0;mso-width-percent:0;mso-height-percent:0" o:ole="">
            <v:imagedata r:id="rId74" o:title=""/>
          </v:shape>
          <o:OLEObject Type="Embed" ProgID="Equation.DSMT4" ShapeID="_x0000_i1040" DrawAspect="Content" ObjectID="_1635598305" r:id="rId75"/>
        </w:object>
      </w:r>
      <w:r w:rsidRPr="00C8305E">
        <w:rPr>
          <w:rFonts w:asciiTheme="majorHAnsi" w:eastAsia="Calibri" w:hAnsiTheme="majorHAnsi" w:cstheme="majorHAnsi"/>
          <w:color w:val="000000" w:themeColor="text1"/>
          <w:sz w:val="22"/>
          <w:szCs w:val="22"/>
        </w:rPr>
        <w:t xml:space="preserve">. The initial state is specified by </w:t>
      </w:r>
      <w:r w:rsidR="00505CC7" w:rsidRPr="00505CC7">
        <w:rPr>
          <w:rFonts w:asciiTheme="majorHAnsi" w:hAnsiTheme="majorHAnsi" w:cstheme="majorHAnsi"/>
          <w:noProof/>
          <w:color w:val="000000" w:themeColor="text1"/>
          <w:position w:val="-4"/>
          <w:sz w:val="22"/>
          <w:szCs w:val="22"/>
        </w:rPr>
        <w:object w:dxaOrig="240" w:dyaOrig="220" w14:anchorId="22110FAB">
          <v:shape id="_x0000_i1039" type="#_x0000_t75" alt="" style="width:14pt;height:13pt;mso-width-percent:0;mso-height-percent:0;mso-width-percent:0;mso-height-percent:0" o:ole="">
            <v:imagedata r:id="rId76" o:title=""/>
          </v:shape>
          <o:OLEObject Type="Embed" ProgID="Equation.DSMT4" ShapeID="_x0000_i1039" DrawAspect="Content" ObjectID="_1635598306" r:id="rId77"/>
        </w:object>
      </w:r>
      <w:r w:rsidRPr="00C8305E">
        <w:rPr>
          <w:rFonts w:asciiTheme="majorHAnsi" w:eastAsia="Calibri" w:hAnsiTheme="majorHAnsi" w:cstheme="majorHAnsi"/>
          <w:color w:val="000000" w:themeColor="text1"/>
          <w:sz w:val="22"/>
          <w:szCs w:val="22"/>
        </w:rPr>
        <w:t xml:space="preserve">. The approximate posterior of the future hidden state </w:t>
      </w:r>
      <w:ins w:id="12" w:author="Friston, Karl" w:date="2019-11-03T14:30:00Z">
        <w:r w:rsidR="00505CC7" w:rsidRPr="00505CC7">
          <w:rPr>
            <w:rFonts w:asciiTheme="majorHAnsi" w:hAnsiTheme="majorHAnsi" w:cstheme="majorHAnsi"/>
            <w:noProof/>
            <w:color w:val="000000" w:themeColor="text1"/>
            <w:position w:val="-14"/>
            <w:sz w:val="22"/>
            <w:szCs w:val="22"/>
          </w:rPr>
          <w:object w:dxaOrig="320" w:dyaOrig="360" w14:anchorId="30C2AE4A">
            <v:shape id="_x0000_i1038" type="#_x0000_t75" alt="" style="width:15pt;height:19pt;mso-width-percent:0;mso-height-percent:0;mso-width-percent:0;mso-height-percent:0" o:ole="">
              <v:imagedata r:id="rId78" o:title=""/>
            </v:shape>
            <o:OLEObject Type="Embed" ProgID="Equation.DSMT4" ShapeID="_x0000_i1038" DrawAspect="Content" ObjectID="_1635598307" r:id="rId79"/>
          </w:object>
        </w:r>
      </w:ins>
      <w:r w:rsidRPr="00C8305E">
        <w:rPr>
          <w:rFonts w:asciiTheme="majorHAnsi" w:eastAsia="Calibri" w:hAnsiTheme="majorHAnsi" w:cstheme="majorHAnsi"/>
          <w:color w:val="000000" w:themeColor="text1"/>
          <w:sz w:val="22"/>
          <w:szCs w:val="22"/>
        </w:rPr>
        <w:t xml:space="preserve"> at time </w:t>
      </w:r>
      <w:r w:rsidR="00505CC7" w:rsidRPr="00505CC7">
        <w:rPr>
          <w:rFonts w:asciiTheme="majorHAnsi" w:hAnsiTheme="majorHAnsi" w:cstheme="majorHAnsi"/>
          <w:noProof/>
          <w:color w:val="000000" w:themeColor="text1"/>
          <w:position w:val="-4"/>
          <w:sz w:val="22"/>
          <w:szCs w:val="22"/>
        </w:rPr>
        <w:object w:dxaOrig="140" w:dyaOrig="200" w14:anchorId="54EB22F7">
          <v:shape id="_x0000_i1037" type="#_x0000_t75" alt="" style="width:7pt;height:10pt;mso-width-percent:0;mso-height-percent:0;mso-width-percent:0;mso-height-percent:0" o:ole="">
            <v:imagedata r:id="rId80" o:title=""/>
          </v:shape>
          <o:OLEObject Type="Embed" ProgID="Equation.DSMT4" ShapeID="_x0000_i1037" DrawAspect="Content" ObjectID="_1635598308" r:id="rId81"/>
        </w:object>
      </w:r>
      <w:r w:rsidRPr="00C8305E">
        <w:rPr>
          <w:rFonts w:asciiTheme="majorHAnsi" w:eastAsia="Calibri" w:hAnsiTheme="majorHAnsi" w:cstheme="majorHAnsi"/>
          <w:color w:val="000000" w:themeColor="text1"/>
          <w:sz w:val="22"/>
          <w:szCs w:val="22"/>
        </w:rPr>
        <w:t xml:space="preserve"> relative to the policy </w:t>
      </w:r>
      <w:r w:rsidR="00505CC7" w:rsidRPr="00505CC7">
        <w:rPr>
          <w:rFonts w:asciiTheme="majorHAnsi" w:hAnsiTheme="majorHAnsi" w:cstheme="majorHAnsi"/>
          <w:noProof/>
          <w:color w:val="000000" w:themeColor="text1"/>
          <w:position w:val="-6"/>
          <w:sz w:val="22"/>
          <w:szCs w:val="22"/>
        </w:rPr>
        <w:object w:dxaOrig="200" w:dyaOrig="200" w14:anchorId="07E21567">
          <v:shape id="_x0000_i1036" type="#_x0000_t75" alt="" style="width:10pt;height:10pt;mso-width-percent:0;mso-height-percent:0;mso-width-percent:0;mso-height-percent:0" o:ole="">
            <v:imagedata r:id="rId82" o:title=""/>
          </v:shape>
          <o:OLEObject Type="Embed" ProgID="Equation.DSMT4" ShapeID="_x0000_i1036" DrawAspect="Content" ObjectID="_1635598309" r:id="rId83"/>
        </w:object>
      </w:r>
      <w:r w:rsidRPr="00C8305E">
        <w:rPr>
          <w:rFonts w:asciiTheme="majorHAnsi" w:eastAsia="Calibri" w:hAnsiTheme="majorHAnsi" w:cstheme="majorHAnsi"/>
          <w:color w:val="000000" w:themeColor="text1"/>
          <w:sz w:val="22"/>
          <w:szCs w:val="22"/>
        </w:rPr>
        <w:t xml:space="preserve"> is found by evaluating the approximate posterior for the policy </w:t>
      </w:r>
      <w:r w:rsidR="00505CC7" w:rsidRPr="00505CC7">
        <w:rPr>
          <w:rFonts w:asciiTheme="majorHAnsi" w:hAnsiTheme="majorHAnsi" w:cstheme="majorHAnsi"/>
          <w:noProof/>
          <w:color w:val="000000" w:themeColor="text1"/>
          <w:position w:val="-10"/>
          <w:sz w:val="22"/>
          <w:szCs w:val="22"/>
        </w:rPr>
        <w:object w:dxaOrig="500" w:dyaOrig="300" w14:anchorId="65464792">
          <v:shape id="_x0000_i1035" type="#_x0000_t75" alt="" style="width:25pt;height:16pt;mso-width-percent:0;mso-height-percent:0;mso-width-percent:0;mso-height-percent:0" o:ole="">
            <v:imagedata r:id="rId84" o:title=""/>
          </v:shape>
          <o:OLEObject Type="Embed" ProgID="Equation.DSMT4" ShapeID="_x0000_i1035" DrawAspect="Content" ObjectID="_1635598310" r:id="rId85"/>
        </w:object>
      </w:r>
      <w:r w:rsidRPr="00C8305E">
        <w:rPr>
          <w:rFonts w:asciiTheme="majorHAnsi" w:eastAsia="Calibri" w:hAnsiTheme="majorHAnsi" w:cstheme="majorHAnsi"/>
          <w:color w:val="000000" w:themeColor="text1"/>
          <w:sz w:val="22"/>
          <w:szCs w:val="22"/>
        </w:rPr>
        <w:t xml:space="preserve">. This policy will be the one with the least expected free energy </w:t>
      </w:r>
      <w:r w:rsidR="00505CC7" w:rsidRPr="00505CC7">
        <w:rPr>
          <w:rFonts w:asciiTheme="majorHAnsi" w:hAnsiTheme="majorHAnsi" w:cstheme="majorHAnsi"/>
          <w:noProof/>
          <w:color w:val="000000" w:themeColor="text1"/>
          <w:position w:val="-10"/>
          <w:sz w:val="22"/>
          <w:szCs w:val="22"/>
        </w:rPr>
        <w:object w:dxaOrig="1140" w:dyaOrig="300" w14:anchorId="0028C195">
          <v:shape id="_x0000_i1034" type="#_x0000_t75" alt="" style="width:57pt;height:16pt;mso-width-percent:0;mso-height-percent:0;mso-width-percent:0;mso-height-percent:0" o:ole="">
            <v:imagedata r:id="rId86" o:title=""/>
          </v:shape>
          <o:OLEObject Type="Embed" ProgID="Equation.DSMT4" ShapeID="_x0000_i1034" DrawAspect="Content" ObjectID="_1635598311" r:id="rId87"/>
        </w:object>
      </w:r>
      <w:r w:rsidRPr="00C8305E">
        <w:rPr>
          <w:rFonts w:asciiTheme="majorHAnsi" w:eastAsia="Calibri" w:hAnsiTheme="majorHAnsi" w:cstheme="majorHAnsi"/>
          <w:color w:val="000000" w:themeColor="text1"/>
          <w:sz w:val="22"/>
          <w:szCs w:val="22"/>
        </w:rPr>
        <w:t xml:space="preserve"> that determines prior beliefs about the policy being pursued; namely </w:t>
      </w:r>
      <w:r w:rsidR="00505CC7" w:rsidRPr="00505CC7">
        <w:rPr>
          <w:rFonts w:asciiTheme="majorHAnsi" w:hAnsiTheme="majorHAnsi" w:cstheme="majorHAnsi"/>
          <w:noProof/>
          <w:color w:val="000000" w:themeColor="text1"/>
          <w:position w:val="-10"/>
          <w:sz w:val="22"/>
          <w:szCs w:val="22"/>
        </w:rPr>
        <w:object w:dxaOrig="480" w:dyaOrig="300" w14:anchorId="617AC7ED">
          <v:shape id="_x0000_i1033" type="#_x0000_t75" alt="" style="width:22pt;height:16pt;mso-width-percent:0;mso-height-percent:0;mso-width-percent:0;mso-height-percent:0" o:ole="">
            <v:imagedata r:id="rId88" o:title=""/>
          </v:shape>
          <o:OLEObject Type="Embed" ProgID="Equation.DSMT4" ShapeID="_x0000_i1033" DrawAspect="Content" ObjectID="_1635598312" r:id="rId89"/>
        </w:object>
      </w:r>
      <w:r w:rsidRPr="00C8305E">
        <w:rPr>
          <w:rFonts w:asciiTheme="majorHAnsi" w:eastAsia="Calibri" w:hAnsiTheme="majorHAnsi" w:cstheme="majorHAnsi"/>
          <w:color w:val="000000" w:themeColor="text1"/>
          <w:sz w:val="22"/>
          <w:szCs w:val="22"/>
        </w:rPr>
        <w:t xml:space="preserve"> that can recovered from expected free energy, using the softmax operator </w:t>
      </w:r>
      <w:r w:rsidR="00505CC7" w:rsidRPr="00505CC7">
        <w:rPr>
          <w:rFonts w:asciiTheme="majorHAnsi" w:hAnsiTheme="majorHAnsi" w:cstheme="majorHAnsi"/>
          <w:noProof/>
          <w:color w:val="000000" w:themeColor="text1"/>
          <w:position w:val="-6"/>
          <w:sz w:val="22"/>
          <w:szCs w:val="22"/>
        </w:rPr>
        <w:object w:dxaOrig="220" w:dyaOrig="200" w14:anchorId="53153783">
          <v:shape id="_x0000_i1032" type="#_x0000_t75" alt="" style="width:13pt;height:10pt;mso-width-percent:0;mso-height-percent:0;mso-width-percent:0;mso-height-percent:0" o:ole="">
            <v:imagedata r:id="rId90" o:title=""/>
          </v:shape>
          <o:OLEObject Type="Embed" ProgID="Equation.DSMT4" ShapeID="_x0000_i1032" DrawAspect="Content" ObjectID="_1635598313" r:id="rId91"/>
        </w:object>
      </w:r>
      <w:r w:rsidRPr="00C8305E">
        <w:rPr>
          <w:rFonts w:asciiTheme="majorHAnsi" w:eastAsia="Calibri" w:hAnsiTheme="majorHAnsi" w:cstheme="majorHAnsi"/>
          <w:color w:val="000000" w:themeColor="text1"/>
          <w:sz w:val="22"/>
          <w:szCs w:val="22"/>
        </w:rPr>
        <w:t xml:space="preserve"> (for a complete description see Friston, FitzGerald, Rigoli, Schwartenbeck, &amp; Pezzulo, 2017). Note that the edges that link the policy and the transition matrices are undirected. This is important, as it means that the evaluation of expected free energy requires a message from hidden states representations, thereby affording a representationalist pathway.</w:t>
      </w:r>
    </w:p>
    <w:p w14:paraId="42D1B4B2"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020DFBF7"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The structure of the graphical model in fig.2 allows us to work with a free-energy appropriate for outcomes that have yet to be observed. This is known as expected free energy </w:t>
      </w:r>
      <w:r w:rsidR="00505CC7" w:rsidRPr="00505CC7">
        <w:rPr>
          <w:rFonts w:asciiTheme="majorHAnsi" w:hAnsiTheme="majorHAnsi" w:cstheme="majorHAnsi"/>
          <w:noProof/>
          <w:color w:val="000000" w:themeColor="text1"/>
          <w:position w:val="-4"/>
          <w:sz w:val="22"/>
          <w:szCs w:val="22"/>
        </w:rPr>
        <w:object w:dxaOrig="220" w:dyaOrig="220" w14:anchorId="360D7008">
          <v:shape id="_x0000_i1031" type="#_x0000_t75" alt="" style="width:13pt;height:13pt;mso-width-percent:0;mso-height-percent:0;mso-width-percent:0;mso-height-percent:0" o:ole="">
            <v:imagedata r:id="rId92" o:title=""/>
          </v:shape>
          <o:OLEObject Type="Embed" ProgID="Equation.DSMT4" ShapeID="_x0000_i1031" DrawAspect="Content" ObjectID="_1635598314" r:id="rId93"/>
        </w:object>
      </w:r>
      <w:r w:rsidRPr="00C8305E">
        <w:rPr>
          <w:rFonts w:asciiTheme="majorHAnsi" w:eastAsia="Calibri" w:hAnsiTheme="majorHAnsi" w:cstheme="majorHAnsi"/>
          <w:color w:val="000000" w:themeColor="text1"/>
          <w:sz w:val="22"/>
          <w:szCs w:val="22"/>
        </w:rPr>
        <w:t>(see Parr and Friston, 2017):</w:t>
      </w:r>
    </w:p>
    <w:p w14:paraId="6D87EA66"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123849B0" w14:textId="77777777" w:rsidR="00C8305E" w:rsidRPr="00C8305E" w:rsidRDefault="00505CC7" w:rsidP="00C8305E">
      <w:pPr>
        <w:spacing w:line="360" w:lineRule="auto"/>
        <w:jc w:val="both"/>
        <w:rPr>
          <w:rFonts w:asciiTheme="majorHAnsi" w:eastAsia="Calibri" w:hAnsiTheme="majorHAnsi" w:cstheme="majorHAnsi"/>
          <w:color w:val="000000" w:themeColor="text1"/>
          <w:sz w:val="22"/>
          <w:szCs w:val="22"/>
        </w:rPr>
      </w:pPr>
      <w:r w:rsidRPr="00505CC7">
        <w:rPr>
          <w:rFonts w:asciiTheme="majorHAnsi" w:hAnsiTheme="majorHAnsi" w:cstheme="majorHAnsi"/>
          <w:noProof/>
          <w:color w:val="000000" w:themeColor="text1"/>
          <w:position w:val="-214"/>
          <w:sz w:val="22"/>
          <w:szCs w:val="22"/>
        </w:rPr>
        <w:object w:dxaOrig="6180" w:dyaOrig="4340" w14:anchorId="6F37D4DA">
          <v:shape id="_x0000_i1030" type="#_x0000_t75" alt="" style="width:309pt;height:218pt;mso-width-percent:0;mso-height-percent:0;mso-width-percent:0;mso-height-percent:0" o:ole="">
            <v:imagedata r:id="rId94" o:title=""/>
          </v:shape>
          <o:OLEObject Type="Embed" ProgID="Equation.DSMT4" ShapeID="_x0000_i1030" DrawAspect="Content" ObjectID="_1635598315" r:id="rId95"/>
        </w:object>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r>
      <w:r w:rsidR="00C8305E" w:rsidRPr="00C8305E">
        <w:rPr>
          <w:rFonts w:asciiTheme="majorHAnsi" w:eastAsia="Calibri" w:hAnsiTheme="majorHAnsi" w:cstheme="majorHAnsi"/>
          <w:color w:val="000000" w:themeColor="text1"/>
          <w:sz w:val="22"/>
          <w:szCs w:val="22"/>
        </w:rPr>
        <w:tab/>
        <w:t>(8)</w:t>
      </w:r>
    </w:p>
    <w:p w14:paraId="146FAE72"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1B840629"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In eq. 8, expected free energy of a policy at a given time </w:t>
      </w:r>
      <w:r w:rsidR="00505CC7" w:rsidRPr="00505CC7">
        <w:rPr>
          <w:rFonts w:asciiTheme="majorHAnsi" w:hAnsiTheme="majorHAnsi" w:cstheme="majorHAnsi"/>
          <w:noProof/>
          <w:color w:val="000000" w:themeColor="text1"/>
          <w:position w:val="-10"/>
          <w:sz w:val="22"/>
          <w:szCs w:val="22"/>
        </w:rPr>
        <w:object w:dxaOrig="660" w:dyaOrig="300" w14:anchorId="77047E18">
          <v:shape id="_x0000_i1029" type="#_x0000_t75" alt="" style="width:33pt;height:16pt;mso-width-percent:0;mso-height-percent:0;mso-width-percent:0;mso-height-percent:0" o:ole="">
            <v:imagedata r:id="rId96" o:title=""/>
          </v:shape>
          <o:OLEObject Type="Embed" ProgID="Equation.DSMT4" ShapeID="_x0000_i1029" DrawAspect="Content" ObjectID="_1635598316" r:id="rId97"/>
        </w:object>
      </w:r>
      <w:r w:rsidRPr="00C8305E">
        <w:rPr>
          <w:rFonts w:asciiTheme="majorHAnsi" w:eastAsia="Calibri" w:hAnsiTheme="majorHAnsi" w:cstheme="majorHAnsi"/>
          <w:color w:val="000000" w:themeColor="text1"/>
          <w:sz w:val="22"/>
          <w:szCs w:val="22"/>
        </w:rPr>
        <w:t xml:space="preserve"> decomposes into a pragmatic or instrumental term and an epistemic term, also known as extrinsic and intrinsic values. The pragmatic term, or extrinsic value constitutes the goal seeking component of expected free energy (often referred to as expected value or utility in psychology and economics)</w:t>
      </w:r>
      <w:r w:rsidRPr="00C8305E">
        <w:rPr>
          <w:rFonts w:asciiTheme="majorHAnsi" w:eastAsia="Calibri" w:hAnsiTheme="majorHAnsi" w:cstheme="majorHAnsi"/>
          <w:color w:val="000000" w:themeColor="text1"/>
          <w:sz w:val="22"/>
          <w:szCs w:val="22"/>
        </w:rPr>
        <w:fldChar w:fldCharType="begin"/>
      </w:r>
      <w:r w:rsidRPr="00C8305E">
        <w:rPr>
          <w:rFonts w:asciiTheme="majorHAnsi" w:eastAsia="Calibri" w:hAnsiTheme="majorHAnsi" w:cstheme="majorHAnsi"/>
          <w:color w:val="000000" w:themeColor="text1"/>
          <w:sz w:val="22"/>
          <w:szCs w:val="22"/>
        </w:rPr>
        <w:instrText xml:space="preserve"> ADDIN EN.CITE &lt;EndNote&gt;&lt;Cite&gt;&lt;Author&gt;Sutton&lt;/Author&gt;&lt;Year&gt;1998&lt;/Year&gt;&lt;RecNum&gt;562&lt;/RecNum&gt;&lt;DisplayText&gt;(Kauder, 1953; Sutton and Barto, 1998)&lt;/DisplayText&gt;&lt;record&gt;&lt;rec-number&gt;562&lt;/rec-number&gt;&lt;foreign-keys&gt;&lt;key app="EN" db-id="zrtzwxs5exvwdkesfx4xswxnzv0pvef5spf9" timestamp="1413146557"&gt;562&lt;/key&gt;&lt;/foreign-keys&gt;&lt;ref-type name="Book"&gt;6&lt;/ref-type&gt;&lt;contributors&gt;&lt;authors&gt;&lt;author&gt;Sutton, R S&lt;/author&gt;&lt;author&gt;Barto, A G&lt;/author&gt;&lt;/authors&gt;&lt;/contributors&gt;&lt;titles&gt;&lt;title&gt;Reinforcement Learning: An Introduction&lt;/title&gt;&lt;/titles&gt;&lt;dates&gt;&lt;year&gt;1998&lt;/year&gt;&lt;/dates&gt;&lt;pub-location&gt;Cambridge, MA&lt;/pub-location&gt;&lt;publisher&gt;MIT Press&lt;/publisher&gt;&lt;urls&gt;&lt;/urls&gt;&lt;/record&gt;&lt;/Cite&gt;&lt;Cite&gt;&lt;Author&gt;Kauder&lt;/Author&gt;&lt;Year&gt;1953&lt;/Year&gt;&lt;RecNum&gt;580&lt;/RecNum&gt;&lt;record&gt;&lt;rec-number&gt;580&lt;/rec-number&gt;&lt;foreign-keys&gt;&lt;key app="EN" db-id="zrtzwxs5exvwdkesfx4xswxnzv0pvef5spf9" timestamp="1413146557"&gt;580&lt;/key&gt;&lt;/foreign-keys&gt;&lt;ref-type name="Journal Article"&gt;17&lt;/ref-type&gt;&lt;contributors&gt;&lt;authors&gt;&lt;author&gt;Kauder, E&lt;/author&gt;&lt;/authors&gt;&lt;/contributors&gt;&lt;titles&gt;&lt;title&gt;Genesis of the Marginal Utility Theory: From Aristotle to the End of the Eighteenth Century&lt;/title&gt;&lt;secondary-title&gt;The Economic Journal&lt;/secondary-title&gt;&lt;/titles&gt;&lt;periodical&gt;&lt;full-title&gt;The Economic Journal&lt;/full-title&gt;&lt;/periodical&gt;&lt;pages&gt;638-650&lt;/pages&gt;&lt;volume&gt;63&lt;/volume&gt;&lt;number&gt;251 &lt;/number&gt;&lt;dates&gt;&lt;year&gt;1953&lt;/year&gt;&lt;/dates&gt;&lt;urls&gt;&lt;/urls&gt;&lt;/record&gt;&lt;/Cite&gt;&lt;/EndNote&gt;</w:instrText>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(Kauder, 1953; Sutton and Barto, 1998)</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xml:space="preserve">. Extrinsic value is the expected value of a policy relative to preferred outcomes that will be encountered in the future </w:t>
      </w:r>
      <w:r w:rsidR="00505CC7" w:rsidRPr="00505CC7">
        <w:rPr>
          <w:rFonts w:asciiTheme="majorHAnsi" w:hAnsiTheme="majorHAnsi" w:cstheme="majorHAnsi"/>
          <w:noProof/>
          <w:color w:val="000000" w:themeColor="text1"/>
          <w:position w:val="-12"/>
          <w:sz w:val="22"/>
          <w:szCs w:val="22"/>
        </w:rPr>
        <w:object w:dxaOrig="700" w:dyaOrig="340" w14:anchorId="2AA248F0">
          <v:shape id="_x0000_i1028" type="#_x0000_t75" alt="" style="width:37pt;height:19pt;mso-width-percent:0;mso-height-percent:0;mso-width-percent:0;mso-height-percent:0" o:ole="">
            <v:imagedata r:id="rId98" o:title=""/>
          </v:shape>
          <o:OLEObject Type="Embed" ProgID="Equation.DSMT4" ShapeID="_x0000_i1028" DrawAspect="Content" ObjectID="_1635598317" r:id="rId99"/>
        </w:object>
      </w:r>
      <w:r w:rsidRPr="00C8305E">
        <w:rPr>
          <w:rFonts w:asciiTheme="majorHAnsi" w:eastAsia="Calibri" w:hAnsiTheme="majorHAnsi" w:cstheme="majorHAnsi"/>
          <w:color w:val="000000" w:themeColor="text1"/>
          <w:sz w:val="22"/>
          <w:szCs w:val="22"/>
        </w:rPr>
        <w:t xml:space="preserve">. In turn, the epistemic term, or intrinsic value constitutes the information seeking component of expected free energy. Intrinsic value is the expected information gain relative to future states under a given policy (i.e., ‘what policy will best guarantee the minimisation of uncertainty in my beliefs about the causal structure of the world?’). In visual neurosciences, this is called salience and is a key determinant of epistemic foraging or exploratory behaviour </w:t>
      </w:r>
      <w:r w:rsidRPr="00C8305E">
        <w:rPr>
          <w:rFonts w:asciiTheme="majorHAnsi" w:eastAsia="Calibri" w:hAnsiTheme="majorHAnsi" w:cstheme="majorHAnsi"/>
          <w:color w:val="000000" w:themeColor="text1"/>
          <w:sz w:val="22"/>
          <w:szCs w:val="22"/>
        </w:rPr>
        <w:fldChar w:fldCharType="begin"/>
      </w:r>
      <w:r w:rsidRPr="00C8305E">
        <w:rPr>
          <w:rFonts w:asciiTheme="majorHAnsi" w:eastAsia="Calibri" w:hAnsiTheme="majorHAnsi" w:cstheme="majorHAnsi"/>
          <w:color w:val="000000" w:themeColor="text1"/>
          <w:sz w:val="22"/>
          <w:szCs w:val="22"/>
        </w:rPr>
        <w:instrText xml:space="preserve"> ADDIN EN.CITE &lt;EndNote&gt;&lt;Cite&gt;&lt;Author&gt;Itti&lt;/Author&gt;&lt;Year&gt;2009&lt;/Year&gt;&lt;RecNum&gt;33&lt;/RecNum&gt;&lt;DisplayText&gt;(Itti and Baldi, 2009; Sun et al., 2011)&lt;/DisplayText&gt;&lt;record&gt;&lt;rec-number&gt;33&lt;/rec-number&gt;&lt;foreign-keys&gt;&lt;key app="EN" db-id="zrtzwxs5exvwdkesfx4xswxnzv0pvef5spf9" timestamp="1413146544"&gt;33&lt;/key&gt;&lt;/foreign-keys&gt;&lt;ref-type name="Journal Article"&gt;17&lt;/ref-type&gt;&lt;contributors&gt;&lt;authors&gt;&lt;author&gt;Itti, L&lt;/author&gt;&lt;author&gt;Baldi, P&lt;/author&gt;&lt;/authors&gt;&lt;/contributors&gt;&lt;titles&gt;&lt;title&gt;Bayesian Surprise Attracts Human Attention&lt;/title&gt;&lt;secondary-title&gt;Vision Res.&lt;/secondary-title&gt;&lt;/titles&gt;&lt;periodical&gt;&lt;full-title&gt;Vision Res.&lt;/full-title&gt;&lt;/periodical&gt;&lt;pages&gt;1295-306&lt;/pages&gt;&lt;volume&gt;49&lt;/volume&gt;&lt;number&gt;10&lt;/number&gt;&lt;dates&gt;&lt;year&gt;2009&lt;/year&gt;&lt;/dates&gt;&lt;urls&gt;&lt;/urls&gt;&lt;/record&gt;&lt;/Cite&gt;&lt;Cite&gt;&lt;Author&gt;Sun&lt;/Author&gt;&lt;Year&gt;2011&lt;/Year&gt;&lt;RecNum&gt;1961&lt;/RecNum&gt;&lt;record&gt;&lt;rec-number&gt;1961&lt;/rec-number&gt;&lt;foreign-keys&gt;&lt;key app="EN" db-id="zrtzwxs5exvwdkesfx4xswxnzv0pvef5spf9" timestamp="1509571269"&gt;1961&lt;/key&gt;&lt;/foreign-keys&gt;&lt;ref-type name="Conference Paper"&gt;47&lt;/ref-type&gt;&lt;contributors&gt;&lt;authors&gt;&lt;author&gt;Sun, Yi &lt;/author&gt;&lt;author&gt;Gomez, Faustino &lt;/author&gt;&lt;author&gt;Schmidhuber, Jürgen&lt;/author&gt;&lt;/authors&gt;&lt;/contributors&gt;&lt;titles&gt;&lt;title&gt;Planning to be surprised: optimal Bayesian exploration in dynamic environments&lt;/title&gt;&lt;secondary-title&gt;Proceedings of the 4th international conference on Artificial general intelligence&lt;/secondary-title&gt;&lt;/titles&gt;&lt;pages&gt;41-51&lt;/pages&gt;&lt;dates&gt;&lt;year&gt;2011&lt;/year&gt;&lt;/dates&gt;&lt;pub-location&gt;Mountain View, CA&lt;/pub-location&gt;&lt;publisher&gt;Springer-Verlag&lt;/publisher&gt;&lt;urls&gt;&lt;/urls&gt;&lt;custom1&gt;2032879&lt;/custom1&gt;&lt;/record&gt;&lt;/Cite&gt;&lt;/EndNote&gt;</w:instrText>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(Itti and Baldi, 2009; Sun et al., 2011)</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xml:space="preserve">. As such, it is sometimes referred to as intrinsic motivation </w:t>
      </w:r>
      <w:r w:rsidRPr="00C8305E">
        <w:rPr>
          <w:rFonts w:asciiTheme="majorHAnsi" w:eastAsia="Calibri" w:hAnsiTheme="majorHAnsi" w:cstheme="majorHAnsi"/>
          <w:color w:val="000000" w:themeColor="text1"/>
          <w:sz w:val="22"/>
          <w:szCs w:val="22"/>
        </w:rPr>
        <w:fldChar w:fldCharType="begin">
          <w:fldData xml:space="preserve">PEVuZE5vdGU+PENpdGU+PEF1dGhvcj5CYXJ0bzwvQXV0aG9yPjxZZWFyPjIwMTM8L1llYXI+PFJl
Y051bT4xMjI2PC9SZWNOdW0+PERpc3BsYXlUZXh0PihCYXJ0byBldCBhbC4sIDIwMTM7IE91ZGV5
ZXIgYW5kIEthcGxhbiwgMjAwNzsgUnlhbiBhbmQgRGVjaSwgMTk4NTsgU2NobWlkaHViZXIsIDIw
MTApPC9EaXNwbGF5VGV4dD48cmVjb3JkPjxyZWMtbnVtYmVyPjEyMjY8L3JlYy1udW1iZXI+PGZv
cmVpZ24ta2V5cz48a2V5IGFwcD0iRU4iIGRiLWlkPSJ6cnR6d3hzNWV4dndka2VzZng0eHN3eG56
djBwdmVmNXNwZjkiIHRpbWVzdGFtcD0iMTQ1MjExMDk1MSI+MTIyNjwva2V5PjwvZm9yZWlnbi1r
ZXlzPjxyZWYtdHlwZSBuYW1lPSJKb3VybmFsIEFydGljbGUiPjE3PC9yZWYtdHlwZT48Y29udHJp
YnV0b3JzPjxhdXRob3JzPjxhdXRob3I+QmFydG8sQW5kcmV3PC9hdXRob3I+PGF1dGhvcj5NaXJv
bGxpLE1hcmNvPC9hdXRob3I+PGF1dGhvcj5CYWxkYXNzYXJyZSxHaWFubHVjYTwvYXV0aG9yPjwv
YXV0aG9ycz48L2NvbnRyaWJ1dG9ycz48YXV0aC1hZGRyZXNzPihQcm9mIEFuZHJldyBCYXJ0byxJ
c3RpdHV0byBkaSBTY2llbnplIGUgVGVjbm9sb2dpZSBkZWxsYSBDb2duaXppb25lLCBDTlIsUm9t
ZSxJdGFseSxiYXJ0b0Bjcy51bWFzcy5lZHUpJiN4RDsoUHJvZiBBbmRyZXcgQmFydG8sVW5pdmVy
c2l0eSBvZiBNYXNzYWNodXNzZXRzIEFtaGVyc3QsU2Nob29sIG9mIENvbXB1dGVyIFNjaWVuY2Us
QW1oZXJzdCxVU0EsYmFydG9AY3MudW1hc3MuZWR1KSYjeEQ7KERyIE1hcmNvIE1pcm9sbGksbWFy
Y28ubWlyb2xsaUBpc3RjLmNuci5pdCkmI3hEOyhEciBHaWFubHVjYSBCYWxkYXNzYXJyZSxnaWFu
bHVjYS5iYWxkYXNzYXJyZUBnbWFpbC5jb20pPC9hdXRoLWFkZHJlc3M+PHRpdGxlcz48dGl0bGU+
Tm92ZWx0eSBvciBTdXJwcmlzZT88L3RpdGxlPjxzZWNvbmRhcnktdGl0bGU+RnJvbnRpZXJzIGlu
IFBzeWNob2xvZ3k8L3NlY29uZGFyeS10aXRsZT48c2hvcnQtdGl0bGU+Tm92ZWx0eSBvciBTdXJw
cmlzZT88L3Nob3J0LXRpdGxlPjwvdGl0bGVzPjxwZXJpb2RpY2FsPjxmdWxsLXRpdGxlPkZyb250
aWVycyBpbiBQc3ljaG9sb2d5PC9mdWxsLXRpdGxlPjwvcGVyaW9kaWNhbD48dm9sdW1lPjQ8L3Zv
bHVtZT48a2V5d29yZHM+PGtleXdvcmQ+c3VycHJpc2Usbm92ZWx0eSBkZXRlY3Rpb24sZXhwZWN0
YXRpb24saW50cmluc2ljIG1vdGl2YXRpb24sbm92ZWx0eTwva2V5d29yZD48L2tleXdvcmRzPjxk
YXRlcz48eWVhcj4yMDEzPC95ZWFyPjxwdWItZGF0ZXM+PGRhdGU+MjAxMy1EZWNlbWJlci0xMTwv
ZGF0ZT48L3B1Yi1kYXRlcz48L2RhdGVzPjxpc2JuPjE2NjQtMTA3ODwvaXNibj48d29yay10eXBl
Pkh5cG90aGVzaXMgJmFtcDsgVGhlb3J5PC93b3JrLXR5cGU+PHVybHM+PHJlbGF0ZWQtdXJscz48
dXJsPmh0dHA6Ly93d3cuZnJvbnRpZXJzaW4ub3JnL0pvdXJuYWwvQWJzdHJhY3QuYXNweD9zPTE5
NiZhbXA7bmFtZT1jb2duaXRpdmVfc2NpZW5jZSZhbXA7QVJUX0RPST0xMC4zMzg5L2Zwc3lnLjIw
MTMuMDA5MDc8L3VybD48L3JlbGF0ZWQtdXJscz48L3VybHM+PGVsZWN0cm9uaWMtcmVzb3VyY2Ut
bnVtPjEwLjMzODkvZnBzeWcuMjAxMy4wMDkwNzwvZWxlY3Ryb25pYy1yZXNvdXJjZS1udW0+PGxh
bmd1YWdlPkVuZ2xpc2g8L2xhbmd1YWdlPjwvcmVjb3JkPjwvQ2l0ZT48Q2l0ZT48QXV0aG9yPlNj
aG1pZGh1YmVyPC9BdXRob3I+PFllYXI+MjAxMDwvWWVhcj48UmVjTnVtPjE3ODA8L1JlY051bT48
cmVjb3JkPjxyZWMtbnVtYmVyPjE3ODA8L3JlYy1udW1iZXI+PGZvcmVpZ24ta2V5cz48a2V5IGFw
cD0iRU4iIGRiLWlkPSJ6cnR6d3hzNWV4dndka2VzZng0eHN3eG56djBwdmVmNXNwZjkiIHRpbWVz
dGFtcD0iMTQ4NDUxMjIzNSI+MTc4MDwva2V5PjwvZm9yZWlnbi1rZXlzPjxyZWYtdHlwZSBuYW1l
PSJKb3VybmFsIEFydGljbGUiPjE3PC9yZWYtdHlwZT48Y29udHJpYnV0b3JzPjxhdXRob3JzPjxh
dXRob3I+U2NobWlkaHViZXIsIEouPC9hdXRob3I+PC9hdXRob3JzPjwvY29udHJpYnV0b3JzPjx0
aXRsZXM+PHRpdGxlPkZvcm1hbCBUaGVvcnkgb2YgQ3JlYXRpdml0eSwgRnVuLCBhbmQgSW50cmlu
c2ljIE1vdGl2YXRpb24gKDE5OTAtMjAxMCk8L3RpdGxlPjxzZWNvbmRhcnktdGl0bGU+SWVlZSBU
cmFuc2FjdGlvbnMgb24gQXV0b25vbW91cyBNZW50YWwgRGV2ZWxvcG1lbnQ8L3NlY29uZGFyeS10
aXRsZT48L3RpdGxlcz48cGVyaW9kaWNhbD48ZnVsbC10aXRsZT5JZWVlIFRyYW5zYWN0aW9ucyBv
biBBdXRvbm9tb3VzIE1lbnRhbCBEZXZlbG9wbWVudDwvZnVsbC10aXRsZT48L3BlcmlvZGljYWw+
PHBhZ2VzPjIzMC0yNDc8L3BhZ2VzPjx2b2x1bWU+Mjwvdm9sdW1lPjxudW1iZXI+MzwvbnVtYmVy
PjxkYXRlcz48eWVhcj4yMDEwPC95ZWFyPjxwdWItZGF0ZXM+PGRhdGU+U2VwPC9kYXRlPjwvcHVi
LWRhdGVzPjwvZGF0ZXM+PGlzYm4+MTk0My0wNjA0PC9pc2JuPjxhY2Nlc3Npb24tbnVtPldPUzow
MDAyOTQ5MDIyMDAwMDU8L2FjY2Vzc2lvbi1udW0+PHVybHM+PHJlbGF0ZWQtdXJscz48dXJsPiZs
dDtHbyB0byBJU0kmZ3Q7Oi8vV09TOjAwMDI5NDkwMjIwMDAwNTwvdXJsPjwvcmVsYXRlZC11cmxz
PjwvdXJscz48ZWxlY3Ryb25pYy1yZXNvdXJjZS1udW0+MTAuMTEwOS90YW1kLjIwMTAuMjA1NjM2
ODwvZWxlY3Ryb25pYy1yZXNvdXJjZS1udW0+PC9yZWNvcmQ+PC9DaXRlPjxDaXRlPjxBdXRob3I+
T3VkZXllcjwvQXV0aG9yPjxZZWFyPjIwMDc8L1llYXI+PFJlY051bT44ODE8L1JlY051bT48cmVj
b3JkPjxyZWMtbnVtYmVyPjg4MTwvcmVjLW51bWJlcj48Zm9yZWlnbi1rZXlzPjxrZXkgYXBwPSJF
TiIgZGItaWQ9InpydHp3eHM1ZXh2d2RrZXNmeDR4c3d4bnp2MHB2ZWY1c3BmOSIgdGltZXN0YW1w
PSIxNDEzMTQ2NTY0Ij44ODE8L2tleT48L2ZvcmVpZ24ta2V5cz48cmVmLXR5cGUgbmFtZT0iSm91
cm5hbCBBcnRpY2xlIj4xNzwvcmVmLXR5cGU+PGNvbnRyaWJ1dG9ycz48YXV0aG9ycz48YXV0aG9y
Pk91ZGV5ZXIsIFAtWTwvYXV0aG9yPjxhdXRob3I+S2FwbGFuLCBGPC9hdXRob3I+PC9hdXRob3Jz
PjwvY29udHJpYnV0b3JzPjx0aXRsZXM+PHRpdGxlPldoYXQgaXMgaW50cmluc2ljIG1vdGl2YXRp
b24/IGEgdHlwb2xvZ3kgb2YgY29tcHV0YXRpb25hbCBhcHByb2FjaGVzPC90aXRsZT48c2Vjb25k
YXJ5LXRpdGxlPkZyb250aWVycyBpbiBOZXVyb3JvYm90aWNzPC9zZWNvbmRhcnktdGl0bGU+PC90
aXRsZXM+PHBlcmlvZGljYWw+PGZ1bGwtdGl0bGU+RnJvbnRpZXJzIGluIE5ldXJvcm9ib3RpY3M8
L2Z1bGwtdGl0bGU+PC9wZXJpb2RpY2FsPjxwYWdlcz42PC9wYWdlcz48dm9sdW1lPjE8L3ZvbHVt
ZT48ZGF0ZXM+PHllYXI+MjAwNzwveWVhcj48L2RhdGVzPjx1cmxzPjwvdXJscz48L3JlY29yZD48
L0NpdGU+PENpdGU+PEF1dGhvcj5SeWFuPC9BdXRob3I+PFllYXI+MTk4NTwvWWVhcj48UmVjTnVt
Pjg3OTwvUmVjTnVtPjxyZWNvcmQ+PHJlYy1udW1iZXI+ODc5PC9yZWMtbnVtYmVyPjxmb3JlaWdu
LWtleXM+PGtleSBhcHA9IkVOIiBkYi1pZD0ienJ0end4czVleHZ3ZGtlc2Z4NHhzd3huenYwcHZl
ZjVzcGY5IiB0aW1lc3RhbXA9IjE0MTMxNDY1NjQiPjg3OTwva2V5PjwvZm9yZWlnbi1rZXlzPjxy
ZWYtdHlwZSBuYW1lPSJCb29rIj42PC9yZWYtdHlwZT48Y29udHJpYnV0b3JzPjxhdXRob3JzPjxh
dXRob3I+UnlhbiwgUk08L2F1dGhvcj48YXV0aG9yPkRlY2ksIEVMPC9hdXRob3I+PC9hdXRob3Jz
PjwvY29udHJpYnV0b3JzPjx0aXRsZXM+PHRpdGxlPkludHJpbnNpYyBtb3RpdmF0aW9uIGFuZCBz
ZWxmLWRldGVybWluYXRpb24gaW4gaHVtYW4gYmVoYXZpb3I8L3RpdGxlPjwvdGl0bGVzPjxkYXRl
cz48eWVhcj4xOTg1PC95ZWFyPjwvZGF0ZXM+PHB1Yi1sb2NhdGlvbj5OZXcgWW9yazwvcHViLWxv
Y2F0aW9uPjxwdWJsaXNoZXI+UGxlbnVtPC9wdWJsaXNoZXI+PHVybHM+PC91cmxzPjwvcmVjb3Jk
PjwvQ2l0ZT48L0VuZE5vdGU+
</w:fldData>
        </w:fldChar>
      </w:r>
      <w:r w:rsidRPr="00C8305E">
        <w:rPr>
          <w:rFonts w:asciiTheme="majorHAnsi" w:eastAsia="Calibri" w:hAnsiTheme="majorHAnsi" w:cstheme="majorHAnsi"/>
          <w:color w:val="000000" w:themeColor="text1"/>
          <w:sz w:val="22"/>
          <w:szCs w:val="22"/>
        </w:rPr>
        <w:instrText xml:space="preserve"> ADDIN EN.CITE </w:instrText>
      </w:r>
      <w:r w:rsidRPr="00C8305E">
        <w:rPr>
          <w:rFonts w:asciiTheme="majorHAnsi" w:eastAsia="Calibri" w:hAnsiTheme="majorHAnsi" w:cstheme="majorHAnsi"/>
          <w:color w:val="000000" w:themeColor="text1"/>
          <w:sz w:val="22"/>
          <w:szCs w:val="22"/>
        </w:rPr>
        <w:fldChar w:fldCharType="begin">
          <w:fldData xml:space="preserve">PEVuZE5vdGU+PENpdGU+PEF1dGhvcj5CYXJ0bzwvQXV0aG9yPjxZZWFyPjIwMTM8L1llYXI+PFJl
Y051bT4xMjI2PC9SZWNOdW0+PERpc3BsYXlUZXh0PihCYXJ0byBldCBhbC4sIDIwMTM7IE91ZGV5
ZXIgYW5kIEthcGxhbiwgMjAwNzsgUnlhbiBhbmQgRGVjaSwgMTk4NTsgU2NobWlkaHViZXIsIDIw
MTApPC9EaXNwbGF5VGV4dD48cmVjb3JkPjxyZWMtbnVtYmVyPjEyMjY8L3JlYy1udW1iZXI+PGZv
cmVpZ24ta2V5cz48a2V5IGFwcD0iRU4iIGRiLWlkPSJ6cnR6d3hzNWV4dndka2VzZng0eHN3eG56
djBwdmVmNXNwZjkiIHRpbWVzdGFtcD0iMTQ1MjExMDk1MSI+MTIyNjwva2V5PjwvZm9yZWlnbi1r
ZXlzPjxyZWYtdHlwZSBuYW1lPSJKb3VybmFsIEFydGljbGUiPjE3PC9yZWYtdHlwZT48Y29udHJp
YnV0b3JzPjxhdXRob3JzPjxhdXRob3I+QmFydG8sQW5kcmV3PC9hdXRob3I+PGF1dGhvcj5NaXJv
bGxpLE1hcmNvPC9hdXRob3I+PGF1dGhvcj5CYWxkYXNzYXJyZSxHaWFubHVjYTwvYXV0aG9yPjwv
YXV0aG9ycz48L2NvbnRyaWJ1dG9ycz48YXV0aC1hZGRyZXNzPihQcm9mIEFuZHJldyBCYXJ0byxJ
c3RpdHV0byBkaSBTY2llbnplIGUgVGVjbm9sb2dpZSBkZWxsYSBDb2duaXppb25lLCBDTlIsUm9t
ZSxJdGFseSxiYXJ0b0Bjcy51bWFzcy5lZHUpJiN4RDsoUHJvZiBBbmRyZXcgQmFydG8sVW5pdmVy
c2l0eSBvZiBNYXNzYWNodXNzZXRzIEFtaGVyc3QsU2Nob29sIG9mIENvbXB1dGVyIFNjaWVuY2Us
QW1oZXJzdCxVU0EsYmFydG9AY3MudW1hc3MuZWR1KSYjeEQ7KERyIE1hcmNvIE1pcm9sbGksbWFy
Y28ubWlyb2xsaUBpc3RjLmNuci5pdCkmI3hEOyhEciBHaWFubHVjYSBCYWxkYXNzYXJyZSxnaWFu
bHVjYS5iYWxkYXNzYXJyZUBnbWFpbC5jb20pPC9hdXRoLWFkZHJlc3M+PHRpdGxlcz48dGl0bGU+
Tm92ZWx0eSBvciBTdXJwcmlzZT88L3RpdGxlPjxzZWNvbmRhcnktdGl0bGU+RnJvbnRpZXJzIGlu
IFBzeWNob2xvZ3k8L3NlY29uZGFyeS10aXRsZT48c2hvcnQtdGl0bGU+Tm92ZWx0eSBvciBTdXJw
cmlzZT88L3Nob3J0LXRpdGxlPjwvdGl0bGVzPjxwZXJpb2RpY2FsPjxmdWxsLXRpdGxlPkZyb250
aWVycyBpbiBQc3ljaG9sb2d5PC9mdWxsLXRpdGxlPjwvcGVyaW9kaWNhbD48dm9sdW1lPjQ8L3Zv
bHVtZT48a2V5d29yZHM+PGtleXdvcmQ+c3VycHJpc2Usbm92ZWx0eSBkZXRlY3Rpb24sZXhwZWN0
YXRpb24saW50cmluc2ljIG1vdGl2YXRpb24sbm92ZWx0eTwva2V5d29yZD48L2tleXdvcmRzPjxk
YXRlcz48eWVhcj4yMDEzPC95ZWFyPjxwdWItZGF0ZXM+PGRhdGU+MjAxMy1EZWNlbWJlci0xMTwv
ZGF0ZT48L3B1Yi1kYXRlcz48L2RhdGVzPjxpc2JuPjE2NjQtMTA3ODwvaXNibj48d29yay10eXBl
Pkh5cG90aGVzaXMgJmFtcDsgVGhlb3J5PC93b3JrLXR5cGU+PHVybHM+PHJlbGF0ZWQtdXJscz48
dXJsPmh0dHA6Ly93d3cuZnJvbnRpZXJzaW4ub3JnL0pvdXJuYWwvQWJzdHJhY3QuYXNweD9zPTE5
NiZhbXA7bmFtZT1jb2duaXRpdmVfc2NpZW5jZSZhbXA7QVJUX0RPST0xMC4zMzg5L2Zwc3lnLjIw
MTMuMDA5MDc8L3VybD48L3JlbGF0ZWQtdXJscz48L3VybHM+PGVsZWN0cm9uaWMtcmVzb3VyY2Ut
bnVtPjEwLjMzODkvZnBzeWcuMjAxMy4wMDkwNzwvZWxlY3Ryb25pYy1yZXNvdXJjZS1udW0+PGxh
bmd1YWdlPkVuZ2xpc2g8L2xhbmd1YWdlPjwvcmVjb3JkPjwvQ2l0ZT48Q2l0ZT48QXV0aG9yPlNj
aG1pZGh1YmVyPC9BdXRob3I+PFllYXI+MjAxMDwvWWVhcj48UmVjTnVtPjE3ODA8L1JlY051bT48
cmVjb3JkPjxyZWMtbnVtYmVyPjE3ODA8L3JlYy1udW1iZXI+PGZvcmVpZ24ta2V5cz48a2V5IGFw
cD0iRU4iIGRiLWlkPSJ6cnR6d3hzNWV4dndka2VzZng0eHN3eG56djBwdmVmNXNwZjkiIHRpbWVz
dGFtcD0iMTQ4NDUxMjIzNSI+MTc4MDwva2V5PjwvZm9yZWlnbi1rZXlzPjxyZWYtdHlwZSBuYW1l
PSJKb3VybmFsIEFydGljbGUiPjE3PC9yZWYtdHlwZT48Y29udHJpYnV0b3JzPjxhdXRob3JzPjxh
dXRob3I+U2NobWlkaHViZXIsIEouPC9hdXRob3I+PC9hdXRob3JzPjwvY29udHJpYnV0b3JzPjx0
aXRsZXM+PHRpdGxlPkZvcm1hbCBUaGVvcnkgb2YgQ3JlYXRpdml0eSwgRnVuLCBhbmQgSW50cmlu
c2ljIE1vdGl2YXRpb24gKDE5OTAtMjAxMCk8L3RpdGxlPjxzZWNvbmRhcnktdGl0bGU+SWVlZSBU
cmFuc2FjdGlvbnMgb24gQXV0b25vbW91cyBNZW50YWwgRGV2ZWxvcG1lbnQ8L3NlY29uZGFyeS10
aXRsZT48L3RpdGxlcz48cGVyaW9kaWNhbD48ZnVsbC10aXRsZT5JZWVlIFRyYW5zYWN0aW9ucyBv
biBBdXRvbm9tb3VzIE1lbnRhbCBEZXZlbG9wbWVudDwvZnVsbC10aXRsZT48L3BlcmlvZGljYWw+
PHBhZ2VzPjIzMC0yNDc8L3BhZ2VzPjx2b2x1bWU+Mjwvdm9sdW1lPjxudW1iZXI+MzwvbnVtYmVy
PjxkYXRlcz48eWVhcj4yMDEwPC95ZWFyPjxwdWItZGF0ZXM+PGRhdGU+U2VwPC9kYXRlPjwvcHVi
LWRhdGVzPjwvZGF0ZXM+PGlzYm4+MTk0My0wNjA0PC9pc2JuPjxhY2Nlc3Npb24tbnVtPldPUzow
MDAyOTQ5MDIyMDAwMDU8L2FjY2Vzc2lvbi1udW0+PHVybHM+PHJlbGF0ZWQtdXJscz48dXJsPiZs
dDtHbyB0byBJU0kmZ3Q7Oi8vV09TOjAwMDI5NDkwMjIwMDAwNTwvdXJsPjwvcmVsYXRlZC11cmxz
PjwvdXJscz48ZWxlY3Ryb25pYy1yZXNvdXJjZS1udW0+MTAuMTEwOS90YW1kLjIwMTAuMjA1NjM2
ODwvZWxlY3Ryb25pYy1yZXNvdXJjZS1udW0+PC9yZWNvcmQ+PC9DaXRlPjxDaXRlPjxBdXRob3I+
T3VkZXllcjwvQXV0aG9yPjxZZWFyPjIwMDc8L1llYXI+PFJlY051bT44ODE8L1JlY051bT48cmVj
b3JkPjxyZWMtbnVtYmVyPjg4MTwvcmVjLW51bWJlcj48Zm9yZWlnbi1rZXlzPjxrZXkgYXBwPSJF
TiIgZGItaWQ9InpydHp3eHM1ZXh2d2RrZXNmeDR4c3d4bnp2MHB2ZWY1c3BmOSIgdGltZXN0YW1w
PSIxNDEzMTQ2NTY0Ij44ODE8L2tleT48L2ZvcmVpZ24ta2V5cz48cmVmLXR5cGUgbmFtZT0iSm91
cm5hbCBBcnRpY2xlIj4xNzwvcmVmLXR5cGU+PGNvbnRyaWJ1dG9ycz48YXV0aG9ycz48YXV0aG9y
Pk91ZGV5ZXIsIFAtWTwvYXV0aG9yPjxhdXRob3I+S2FwbGFuLCBGPC9hdXRob3I+PC9hdXRob3Jz
PjwvY29udHJpYnV0b3JzPjx0aXRsZXM+PHRpdGxlPldoYXQgaXMgaW50cmluc2ljIG1vdGl2YXRp
b24/IGEgdHlwb2xvZ3kgb2YgY29tcHV0YXRpb25hbCBhcHByb2FjaGVzPC90aXRsZT48c2Vjb25k
YXJ5LXRpdGxlPkZyb250aWVycyBpbiBOZXVyb3JvYm90aWNzPC9zZWNvbmRhcnktdGl0bGU+PC90
aXRsZXM+PHBlcmlvZGljYWw+PGZ1bGwtdGl0bGU+RnJvbnRpZXJzIGluIE5ldXJvcm9ib3RpY3M8
L2Z1bGwtdGl0bGU+PC9wZXJpb2RpY2FsPjxwYWdlcz42PC9wYWdlcz48dm9sdW1lPjE8L3ZvbHVt
ZT48ZGF0ZXM+PHllYXI+MjAwNzwveWVhcj48L2RhdGVzPjx1cmxzPjwvdXJscz48L3JlY29yZD48
L0NpdGU+PENpdGU+PEF1dGhvcj5SeWFuPC9BdXRob3I+PFllYXI+MTk4NTwvWWVhcj48UmVjTnVt
Pjg3OTwvUmVjTnVtPjxyZWNvcmQ+PHJlYy1udW1iZXI+ODc5PC9yZWMtbnVtYmVyPjxmb3JlaWdu
LWtleXM+PGtleSBhcHA9IkVOIiBkYi1pZD0ienJ0end4czVleHZ3ZGtlc2Z4NHhzd3huenYwcHZl
ZjVzcGY5IiB0aW1lc3RhbXA9IjE0MTMxNDY1NjQiPjg3OTwva2V5PjwvZm9yZWlnbi1rZXlzPjxy
ZWYtdHlwZSBuYW1lPSJCb29rIj42PC9yZWYtdHlwZT48Y29udHJpYnV0b3JzPjxhdXRob3JzPjxh
dXRob3I+UnlhbiwgUk08L2F1dGhvcj48YXV0aG9yPkRlY2ksIEVMPC9hdXRob3I+PC9hdXRob3Jz
PjwvY29udHJpYnV0b3JzPjx0aXRsZXM+PHRpdGxlPkludHJpbnNpYyBtb3RpdmF0aW9uIGFuZCBz
ZWxmLWRldGVybWluYXRpb24gaW4gaHVtYW4gYmVoYXZpb3I8L3RpdGxlPjwvdGl0bGVzPjxkYXRl
cz48eWVhcj4xOTg1PC95ZWFyPjwvZGF0ZXM+PHB1Yi1sb2NhdGlvbj5OZXcgWW9yazwvcHViLWxv
Y2F0aW9uPjxwdWJsaXNoZXI+UGxlbnVtPC9wdWJsaXNoZXI+PHVybHM+PC91cmxzPjwvcmVjb3Jk
PjwvQ2l0ZT48L0VuZE5vdGU+
</w:fldData>
        </w:fldChar>
      </w:r>
      <w:r w:rsidRPr="00C8305E">
        <w:rPr>
          <w:rFonts w:asciiTheme="majorHAnsi" w:eastAsia="Calibri" w:hAnsiTheme="majorHAnsi" w:cstheme="majorHAnsi"/>
          <w:color w:val="000000" w:themeColor="text1"/>
          <w:sz w:val="22"/>
          <w:szCs w:val="22"/>
        </w:rPr>
        <w:instrText xml:space="preserve"> ADDIN EN.CITE.DATA </w:instrText>
      </w:r>
      <w:r w:rsidRPr="00C8305E">
        <w:rPr>
          <w:rFonts w:asciiTheme="majorHAnsi" w:eastAsia="Calibri" w:hAnsiTheme="majorHAnsi" w:cstheme="majorHAnsi"/>
          <w:color w:val="000000" w:themeColor="text1"/>
          <w:sz w:val="22"/>
          <w:szCs w:val="22"/>
        </w:rPr>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(Barto et al., 2013; Oudeyer and Kaplan, 2007; Ryan and Deci, 1985; Schmidhuber, 2010)</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xml:space="preserve">. Selecting the policy that affords the least expected free energy guarantees an adaptive action, that is, that first consolidates knowledge about the world, then optimises – i.e., works towards – preferred outcomes. For a complete discussion see </w:t>
      </w:r>
      <w:r w:rsidRPr="00C8305E">
        <w:rPr>
          <w:rFonts w:asciiTheme="majorHAnsi" w:eastAsia="Calibri" w:hAnsiTheme="majorHAnsi" w:cstheme="majorHAnsi"/>
          <w:color w:val="000000" w:themeColor="text1"/>
          <w:sz w:val="22"/>
          <w:szCs w:val="22"/>
        </w:rPr>
        <w:fldChar w:fldCharType="begin">
          <w:fldData xml:space="preserve">PEVuZE5vdGU+PENpdGU+PEF1dGhvcj5GcmlzdG9uPC9BdXRob3I+PFllYXI+MjAxNTwvWWVhcj48
UmVjTnVtPjExMjg8L1JlY051bT48RGlzcGxheVRleHQ+KEZyaXN0b24gZXQgYWwuLCAyMDE1KTwv
RGlzcGxheVRleHQ+PHJlY29yZD48cmVjLW51bWJlcj4xMTI4PC9yZWMtbnVtYmVyPjxmb3JlaWdu
LWtleXM+PGtleSBhcHA9IkVOIiBkYi1pZD0ienJ0end4czVleHZ3ZGtlc2Z4NHhzd3huenYwcHZl
ZjVzcGY5IiB0aW1lc3RhbXA9IjE0MzgxNzIwOTQiPjExMjg8L2tleT48L2ZvcmVpZ24ta2V5cz48
cmVmLXR5cGUgbmFtZT0iSm91cm5hbCBBcnRpY2xlIj4xNzwvcmVmLXR5cGU+PGNvbnRyaWJ1dG9y
cz48YXV0aG9ycz48YXV0aG9yPkZyaXN0b24sIEsuPC9hdXRob3I+PGF1dGhvcj5SaWdvbGksIEYu
PC9hdXRob3I+PGF1dGhvcj5PZ25pYmVuZSwgRC48L2F1dGhvcj48YXV0aG9yPk1hdGh5cywgQy48
L2F1dGhvcj48YXV0aG9yPkZpdHpnZXJhbGQsIFQuPC9hdXRob3I+PGF1dGhvcj5QZXp6dWxvLCBH
LjwvYXV0aG9yPjwvYXV0aG9ycz48L2NvbnRyaWJ1dG9ycz48YXV0aC1hZGRyZXNzPmEgVGhlIFdl
bGxjb21lIFRydXN0IENlbnRyZSBmb3IgTmV1cm9pbWFnaW5nICwgSW5zdGl0dXRlIG9mIE5ldXJv
bG9neSAsIExvbmRvbiAsIFVLLiYjeEQ7YiBDZW50cmUgZm9yIFJvYm90aWNzIFJlc2VhcmNoLCBE
ZXBhcnRtZW50IG9mIEluZm9ybWF0aWNzICwgS2luZyZhcG9zO3MgQ29sbGVnZSBMb25kb24gLCBM
b25kb24gLCBVSy4mI3hEO2MgVHJhbnNsYXRpb25hbCBOZXVyb21vZGVsaW5nIFVuaXQgKFROVSkg
LCBJbnN0aXR1dGUgZm9yIEJpb21lZGljYWwgRW5naW5lZXJpbmcsIFVuaXZlcnNpdHkgb2YgWnVy
aWNoIGFuZCBFVEggWnVyaWNoICwgWnVyaWNoICwgU3dpdHplcmxhbmQuJiN4RDtkIExhYm9yYXRv
cnkgZm9yIFNvY2lhbCBhbmQgTmV1cmFsIFN5c3RlbXMgUmVzZWFyY2ggKFNOUyBMYWIpLCBEZXBh
cnRtZW50IG9mIEVjb25vbWljcyAsIFVuaXZlcnNpdHkgb2YgWnVyaWNoICwgWnVyaWNoICwgU3dp
dHplcmxhbmQuJiN4RDtlIEluc3RpdHV0ZSBvZiBDb2duaXRpdmUgU2NpZW5jZXMgYW5kIFRlY2hu
b2xvZ2llcyAsIE5hdGlvbmFsIFJlc2VhcmNoIENvdW5jaWwgLCBSb21lICwgSXRhbHkuPC9hdXRo
LWFkZHJlc3M+PHRpdGxlcz48dGl0bGU+QWN0aXZlIGluZmVyZW5jZSBhbmQgZXBpc3RlbWljIHZh
bHVlPC90aXRsZT48c2Vjb25kYXJ5LXRpdGxlPkNvZ24gTmV1cm9zY2k8L3NlY29uZGFyeS10aXRs
ZT48YWx0LXRpdGxlPkNvZ25pdGl2ZSBuZXVyb3NjaWVuY2U8L2FsdC10aXRsZT48L3RpdGxlcz48
cGVyaW9kaWNhbD48ZnVsbC10aXRsZT5Db2duIE5ldXJvc2NpPC9mdWxsLXRpdGxlPjwvcGVyaW9k
aWNhbD48YWx0LXBlcmlvZGljYWw+PGZ1bGwtdGl0bGU+Q29nbml0aXZlIE5ldXJvc2NpZW5jZTwv
ZnVsbC10aXRsZT48L2FsdC1wZXJpb2RpY2FsPjxwYWdlcz4xODctMjE0PC9wYWdlcz48dm9sdW1l
PjY8L3ZvbHVtZT48bnVtYmVyPjQ8L251bWJlcj48ZWRpdGlvbj4yMDE1LzAyLzE4PC9lZGl0aW9u
PjxrZXl3b3Jkcz48a2V5d29yZD5CYXllcyBUaGVvcmVtPC9rZXl3b3JkPjxrZXl3b3JkPkNob2lj
ZSBCZWhhdmlvci8qcGh5c2lvbG9neTwva2V5d29yZD48a2V5d29yZD5Db25jZXB0IEZvcm1hdGlv
bi9waHlzaW9sb2d5PC9rZXl3b3JkPjxrZXl3b3JkPkRlY2lzaW9uIE1ha2luZy8qcGh5c2lvbG9n
eTwva2V5d29yZD48a2V5d29yZD5IdW1hbnM8L2tleXdvcmQ+PGtleXdvcmQ+S25vd2xlZGdlPC9r
ZXl3b3JkPjxrZXl3b3JkPk1lbW9yeSwgU2hvcnQtVGVybS9waHlzaW9sb2d5PC9rZXl3b3JkPjxr
ZXl3b3JkPk1vZGVscywgUHN5Y2hvbG9naWNhbDwva2V5d29yZD48L2tleXdvcmRzPjxkYXRlcz48
eWVhcj4yMDE1PC95ZWFyPjxwdWItZGF0ZXM+PGRhdGU+TWFyIDEzPC9kYXRlPjwvcHViLWRhdGVz
PjwvZGF0ZXM+PGlzYm4+MTc1OC04OTM2IChFbGVjdHJvbmljKSYjeEQ7MTc1OC04OTI4IChMaW5r
aW5nKTwvaXNibj48YWNjZXNzaW9uLW51bT4yNTY4OTEwMjwvYWNjZXNzaW9uLW51bT48dXJscz48
cmVsYXRlZC11cmxzPjx1cmw+aHR0cDovL3d3dy5uY2JpLm5sbS5uaWguZ292L3B1Ym1lZC8yNTY4
OTEwMjwvdXJsPjwvcmVsYXRlZC11cmxzPjwvdXJscz48ZWxlY3Ryb25pYy1yZXNvdXJjZS1udW0+
MTAuMTA4MC8xNzU4ODkyOC4yMDE1LjEwMjAwNTM8L2VsZWN0cm9uaWMtcmVzb3VyY2UtbnVtPjxy
ZW1vdGUtZGF0YWJhc2UtcHJvdmlkZXI+TkxNPC9yZW1vdGUtZGF0YWJhc2UtcHJvdmlkZXI+PGxh
bmd1YWdlPkVuZzwvbGFuZ3VhZ2U+PC9yZWNvcmQ+PC9DaXRlPjwvRW5kTm90ZT4A
</w:fldData>
        </w:fldChar>
      </w:r>
      <w:r w:rsidRPr="00C8305E">
        <w:rPr>
          <w:rFonts w:asciiTheme="majorHAnsi" w:eastAsia="Calibri" w:hAnsiTheme="majorHAnsi" w:cstheme="majorHAnsi"/>
          <w:color w:val="000000" w:themeColor="text1"/>
          <w:sz w:val="22"/>
          <w:szCs w:val="22"/>
        </w:rPr>
        <w:instrText xml:space="preserve"> ADDIN EN.CITE </w:instrText>
      </w:r>
      <w:r w:rsidRPr="00C8305E">
        <w:rPr>
          <w:rFonts w:asciiTheme="majorHAnsi" w:eastAsia="Calibri" w:hAnsiTheme="majorHAnsi" w:cstheme="majorHAnsi"/>
          <w:color w:val="000000" w:themeColor="text1"/>
          <w:sz w:val="22"/>
          <w:szCs w:val="22"/>
        </w:rPr>
        <w:fldChar w:fldCharType="begin">
          <w:fldData xml:space="preserve">PEVuZE5vdGU+PENpdGU+PEF1dGhvcj5GcmlzdG9uPC9BdXRob3I+PFllYXI+MjAxNTwvWWVhcj48
UmVjTnVtPjExMjg8L1JlY051bT48RGlzcGxheVRleHQ+KEZyaXN0b24gZXQgYWwuLCAyMDE1KTwv
RGlzcGxheVRleHQ+PHJlY29yZD48cmVjLW51bWJlcj4xMTI4PC9yZWMtbnVtYmVyPjxmb3JlaWdu
LWtleXM+PGtleSBhcHA9IkVOIiBkYi1pZD0ienJ0end4czVleHZ3ZGtlc2Z4NHhzd3huenYwcHZl
ZjVzcGY5IiB0aW1lc3RhbXA9IjE0MzgxNzIwOTQiPjExMjg8L2tleT48L2ZvcmVpZ24ta2V5cz48
cmVmLXR5cGUgbmFtZT0iSm91cm5hbCBBcnRpY2xlIj4xNzwvcmVmLXR5cGU+PGNvbnRyaWJ1dG9y
cz48YXV0aG9ycz48YXV0aG9yPkZyaXN0b24sIEsuPC9hdXRob3I+PGF1dGhvcj5SaWdvbGksIEYu
PC9hdXRob3I+PGF1dGhvcj5PZ25pYmVuZSwgRC48L2F1dGhvcj48YXV0aG9yPk1hdGh5cywgQy48
L2F1dGhvcj48YXV0aG9yPkZpdHpnZXJhbGQsIFQuPC9hdXRob3I+PGF1dGhvcj5QZXp6dWxvLCBH
LjwvYXV0aG9yPjwvYXV0aG9ycz48L2NvbnRyaWJ1dG9ycz48YXV0aC1hZGRyZXNzPmEgVGhlIFdl
bGxjb21lIFRydXN0IENlbnRyZSBmb3IgTmV1cm9pbWFnaW5nICwgSW5zdGl0dXRlIG9mIE5ldXJv
bG9neSAsIExvbmRvbiAsIFVLLiYjeEQ7YiBDZW50cmUgZm9yIFJvYm90aWNzIFJlc2VhcmNoLCBE
ZXBhcnRtZW50IG9mIEluZm9ybWF0aWNzICwgS2luZyZhcG9zO3MgQ29sbGVnZSBMb25kb24gLCBM
b25kb24gLCBVSy4mI3hEO2MgVHJhbnNsYXRpb25hbCBOZXVyb21vZGVsaW5nIFVuaXQgKFROVSkg
LCBJbnN0aXR1dGUgZm9yIEJpb21lZGljYWwgRW5naW5lZXJpbmcsIFVuaXZlcnNpdHkgb2YgWnVy
aWNoIGFuZCBFVEggWnVyaWNoICwgWnVyaWNoICwgU3dpdHplcmxhbmQuJiN4RDtkIExhYm9yYXRv
cnkgZm9yIFNvY2lhbCBhbmQgTmV1cmFsIFN5c3RlbXMgUmVzZWFyY2ggKFNOUyBMYWIpLCBEZXBh
cnRtZW50IG9mIEVjb25vbWljcyAsIFVuaXZlcnNpdHkgb2YgWnVyaWNoICwgWnVyaWNoICwgU3dp
dHplcmxhbmQuJiN4RDtlIEluc3RpdHV0ZSBvZiBDb2duaXRpdmUgU2NpZW5jZXMgYW5kIFRlY2hu
b2xvZ2llcyAsIE5hdGlvbmFsIFJlc2VhcmNoIENvdW5jaWwgLCBSb21lICwgSXRhbHkuPC9hdXRo
LWFkZHJlc3M+PHRpdGxlcz48dGl0bGU+QWN0aXZlIGluZmVyZW5jZSBhbmQgZXBpc3RlbWljIHZh
bHVlPC90aXRsZT48c2Vjb25kYXJ5LXRpdGxlPkNvZ24gTmV1cm9zY2k8L3NlY29uZGFyeS10aXRs
ZT48YWx0LXRpdGxlPkNvZ25pdGl2ZSBuZXVyb3NjaWVuY2U8L2FsdC10aXRsZT48L3RpdGxlcz48
cGVyaW9kaWNhbD48ZnVsbC10aXRsZT5Db2duIE5ldXJvc2NpPC9mdWxsLXRpdGxlPjwvcGVyaW9k
aWNhbD48YWx0LXBlcmlvZGljYWw+PGZ1bGwtdGl0bGU+Q29nbml0aXZlIE5ldXJvc2NpZW5jZTwv
ZnVsbC10aXRsZT48L2FsdC1wZXJpb2RpY2FsPjxwYWdlcz4xODctMjE0PC9wYWdlcz48dm9sdW1l
PjY8L3ZvbHVtZT48bnVtYmVyPjQ8L251bWJlcj48ZWRpdGlvbj4yMDE1LzAyLzE4PC9lZGl0aW9u
PjxrZXl3b3Jkcz48a2V5d29yZD5CYXllcyBUaGVvcmVtPC9rZXl3b3JkPjxrZXl3b3JkPkNob2lj
ZSBCZWhhdmlvci8qcGh5c2lvbG9neTwva2V5d29yZD48a2V5d29yZD5Db25jZXB0IEZvcm1hdGlv
bi9waHlzaW9sb2d5PC9rZXl3b3JkPjxrZXl3b3JkPkRlY2lzaW9uIE1ha2luZy8qcGh5c2lvbG9n
eTwva2V5d29yZD48a2V5d29yZD5IdW1hbnM8L2tleXdvcmQ+PGtleXdvcmQ+S25vd2xlZGdlPC9r
ZXl3b3JkPjxrZXl3b3JkPk1lbW9yeSwgU2hvcnQtVGVybS9waHlzaW9sb2d5PC9rZXl3b3JkPjxr
ZXl3b3JkPk1vZGVscywgUHN5Y2hvbG9naWNhbDwva2V5d29yZD48L2tleXdvcmRzPjxkYXRlcz48
eWVhcj4yMDE1PC95ZWFyPjxwdWItZGF0ZXM+PGRhdGU+TWFyIDEzPC9kYXRlPjwvcHViLWRhdGVz
PjwvZGF0ZXM+PGlzYm4+MTc1OC04OTM2IChFbGVjdHJvbmljKSYjeEQ7MTc1OC04OTI4IChMaW5r
aW5nKTwvaXNibj48YWNjZXNzaW9uLW51bT4yNTY4OTEwMjwvYWNjZXNzaW9uLW51bT48dXJscz48
cmVsYXRlZC11cmxzPjx1cmw+aHR0cDovL3d3dy5uY2JpLm5sbS5uaWguZ292L3B1Ym1lZC8yNTY4
OTEwMjwvdXJsPjwvcmVsYXRlZC11cmxzPjwvdXJscz48ZWxlY3Ryb25pYy1yZXNvdXJjZS1udW0+
MTAuMTA4MC8xNzU4ODkyOC4yMDE1LjEwMjAwNTM8L2VsZWN0cm9uaWMtcmVzb3VyY2UtbnVtPjxy
ZW1vdGUtZGF0YWJhc2UtcHJvdmlkZXI+TkxNPC9yZW1vdGUtZGF0YWJhc2UtcHJvdmlkZXI+PGxh
bmd1YWdlPkVuZzwvbGFuZ3VhZ2U+PC9yZWNvcmQ+PC9DaXRlPjwvRW5kTm90ZT4A
</w:fldData>
        </w:fldChar>
      </w:r>
      <w:r w:rsidRPr="00C8305E">
        <w:rPr>
          <w:rFonts w:asciiTheme="majorHAnsi" w:eastAsia="Calibri" w:hAnsiTheme="majorHAnsi" w:cstheme="majorHAnsi"/>
          <w:color w:val="000000" w:themeColor="text1"/>
          <w:sz w:val="22"/>
          <w:szCs w:val="22"/>
        </w:rPr>
        <w:instrText xml:space="preserve"> ADDIN EN.CITE.DATA </w:instrText>
      </w:r>
      <w:r w:rsidRPr="00C8305E">
        <w:rPr>
          <w:rFonts w:asciiTheme="majorHAnsi" w:eastAsia="Calibri" w:hAnsiTheme="majorHAnsi" w:cstheme="majorHAnsi"/>
          <w:color w:val="000000" w:themeColor="text1"/>
          <w:sz w:val="22"/>
          <w:szCs w:val="22"/>
        </w:rPr>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(Friston et al., 2015)</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xml:space="preserve">. </w:t>
      </w:r>
    </w:p>
    <w:p w14:paraId="32ED15F5"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bookmarkStart w:id="13" w:name="_Toc11499311"/>
    </w:p>
    <w:p w14:paraId="4C702149" w14:textId="77777777" w:rsidR="00C8305E" w:rsidRPr="00C8305E" w:rsidRDefault="00C8305E" w:rsidP="00C8305E">
      <w:pPr>
        <w:pStyle w:val="Heading2"/>
      </w:pPr>
      <w:r w:rsidRPr="00C8305E">
        <w:lastRenderedPageBreak/>
        <w:t>3.3 Summary: The reason why perception and action planning rest on representational processes</w:t>
      </w:r>
      <w:bookmarkEnd w:id="13"/>
    </w:p>
    <w:p w14:paraId="04B9B9BA"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In summary, under active inference, action selection is a process of manipulating representations about future states of the world to maximise one’s knowledge and secure desired (predicted) outcomes and sensory encounters. This inference or belief updating about ‘what I am doing’ rests on perceptual inference. Perception, in turn, is a process of updating mental representations of states of the world and their relationship to sensory consequences, so as to make these representations as consistent as possible with the true state of the world. Hence, more generally, perception and action planning, under active inference, are instances of representational processes. The statistical structure of the likelihood mapping tells me that the most likely cause of the sensory entry is the cause that my belief</w:t>
      </w:r>
      <w:r w:rsidRPr="00C8305E">
        <w:rPr>
          <w:rFonts w:asciiTheme="majorHAnsi" w:hAnsiTheme="majorHAnsi" w:cstheme="majorHAnsi"/>
          <w:noProof/>
          <w:color w:val="000000" w:themeColor="text1"/>
          <w:sz w:val="22"/>
          <w:szCs w:val="22"/>
        </w:rPr>
        <w:t xml:space="preserve"> </w:t>
      </w:r>
      <w:r w:rsidRPr="00C8305E">
        <w:rPr>
          <w:rFonts w:asciiTheme="majorHAnsi" w:eastAsia="Calibri" w:hAnsiTheme="majorHAnsi" w:cstheme="majorHAnsi"/>
          <w:color w:val="000000" w:themeColor="text1"/>
          <w:sz w:val="22"/>
          <w:szCs w:val="22"/>
        </w:rPr>
        <w:t xml:space="preserve">represents; and put bluntly, minimising uncertainty in beliefs is for the most part what ‘forming a percept’ is about. In turn, action selection is an inference process that relies on these optimised beliefs about sensory causes, and the consequences of future moves in a rich and reconstructive fashion. Action selection tells me that since I am a surprise or free energy minimising creature, I should selectively engage with the world to minimise expected surprise or uncertainty. This requires me to respond to epistemic affordances – to resolve uncertainty – while securing familiar (i.e. a priori preferred) </w:t>
      </w:r>
      <w:r w:rsidRPr="00C8305E">
        <w:rPr>
          <w:rFonts w:asciiTheme="majorHAnsi" w:hAnsiTheme="majorHAnsi" w:cstheme="majorHAnsi"/>
          <w:noProof/>
          <w:color w:val="000000" w:themeColor="text1"/>
          <w:sz w:val="22"/>
          <w:szCs w:val="22"/>
        </w:rPr>
        <w:t>sensory</w:t>
      </w:r>
      <w:r w:rsidRPr="00C8305E">
        <w:rPr>
          <w:rFonts w:asciiTheme="majorHAnsi" w:eastAsia="Calibri" w:hAnsiTheme="majorHAnsi" w:cstheme="majorHAnsi"/>
          <w:color w:val="000000" w:themeColor="text1"/>
          <w:sz w:val="22"/>
          <w:szCs w:val="22"/>
        </w:rPr>
        <w:t xml:space="preserve"> outcomes. This will minimise my uncertainty about future states and maximise the utility of my action. </w:t>
      </w:r>
    </w:p>
    <w:p w14:paraId="6416BDA1"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5A20FB7E" w14:textId="313A98AF"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In active inference, the need for rich, representations involving generative models stems directly from the problem of inverse inference about causes and adaptive actions to resolve uncertainty about those causes. The ill-posed nature of the inference problem we face forces us to first ‘figure out for ourselves’ ‘what causes what?’ before being able to zero-in on ‘what caused that’ (perception), and ‘I will cause that’ (i.e., action planning). This problem forces us to learn hierarchically (i.e., over multiple levels of prior beliefs) and temporally (i.e., over multiple time steps, such as in fig. 2) deep generative models (Friston, Rosch, Parr, Price, and Bowman, 2017).</w:t>
      </w:r>
      <w:bookmarkStart w:id="14" w:name="_Toc11499312"/>
    </w:p>
    <w:p w14:paraId="3E5CF7A7" w14:textId="77777777" w:rsidR="00C8305E" w:rsidRPr="00C8305E" w:rsidRDefault="00C8305E" w:rsidP="00C8305E">
      <w:pPr>
        <w:pStyle w:val="Heading1"/>
      </w:pPr>
      <w:r w:rsidRPr="00C8305E">
        <w:t>4 Dynamic pathways in active inference</w:t>
      </w:r>
      <w:bookmarkEnd w:id="14"/>
      <w:r w:rsidRPr="00C8305E">
        <w:t xml:space="preserve"> </w:t>
      </w:r>
    </w:p>
    <w:p w14:paraId="0F958435"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We turn now to the role of non-representational dynamics in active inference. There is a technical sense in which an austere, dynamicist reading of active inference is licensed in a fundamental way. This follows because the representational account above emerges from a certain kind of dynamics; namely, gradient flows on variational and expected free energy (cf. Ramstead, Kirchhoff, &amp; Friston, K. J., 2019). In other </w:t>
      </w:r>
      <w:r w:rsidRPr="00C8305E">
        <w:rPr>
          <w:rFonts w:asciiTheme="majorHAnsi" w:eastAsia="Calibri" w:hAnsiTheme="majorHAnsi" w:cstheme="majorHAnsi"/>
          <w:color w:val="000000" w:themeColor="text1"/>
          <w:sz w:val="22"/>
          <w:szCs w:val="22"/>
        </w:rPr>
        <w:lastRenderedPageBreak/>
        <w:t xml:space="preserve">words, the cognitivist functionality rests upon optimising free energy and this optimisation is a necessary consequence of neuronal dynamics that – not unlike a river flowing downhill – descend free energy gradients – to find free energy minima where the gradients are destroyed </w:t>
      </w:r>
      <w:r w:rsidRPr="00C8305E">
        <w:rPr>
          <w:rFonts w:asciiTheme="majorHAnsi" w:eastAsia="Calibri" w:hAnsiTheme="majorHAnsi" w:cstheme="majorHAnsi"/>
          <w:color w:val="000000" w:themeColor="text1"/>
          <w:sz w:val="22"/>
          <w:szCs w:val="22"/>
        </w:rPr>
        <w:fldChar w:fldCharType="begin"/>
      </w:r>
      <w:r w:rsidRPr="00C8305E">
        <w:rPr>
          <w:rFonts w:asciiTheme="majorHAnsi" w:eastAsia="Calibri" w:hAnsiTheme="majorHAnsi" w:cstheme="majorHAnsi"/>
          <w:color w:val="000000" w:themeColor="text1"/>
          <w:sz w:val="22"/>
          <w:szCs w:val="22"/>
        </w:rPr>
        <w:instrText xml:space="preserve"> ADDIN EN.CITE &lt;EndNote&gt;&lt;Cite&gt;&lt;Author&gt;Tschacher&lt;/Author&gt;&lt;Year&gt;2007&lt;/Year&gt;&lt;RecNum&gt;28&lt;/RecNum&gt;&lt;DisplayText&gt;(Tschacher and Haken, 2007)&lt;/DisplayText&gt;&lt;record&gt;&lt;rec-number&gt;28&lt;/rec-number&gt;&lt;foreign-keys&gt;&lt;key app="EN" db-id="zrtzwxs5exvwdkesfx4xswxnzv0pvef5spf9" timestamp="1413146544"&gt;28&lt;/key&gt;&lt;/foreign-keys&gt;&lt;ref-type name="Journal Article"&gt;17&lt;/ref-type&gt;&lt;contributors&gt;&lt;authors&gt;&lt;author&gt;Tschacher, W&lt;/author&gt;&lt;author&gt;Haken, H&lt;/author&gt;&lt;/authors&gt;&lt;/contributors&gt;&lt;titles&gt;&lt;title&gt;Intentionality in non-equilibrium systems? The functional aspects of self-organised pattern formation&lt;/title&gt;&lt;secondary-title&gt;New Ideas in Psychology&lt;/secondary-title&gt;&lt;/titles&gt;&lt;periodical&gt;&lt;full-title&gt;New Ideas in Psychology&lt;/full-title&gt;&lt;/periodical&gt;&lt;pages&gt;1-15&lt;/pages&gt;&lt;volume&gt;25&lt;/volume&gt;&lt;dates&gt;&lt;year&gt;2007&lt;/year&gt;&lt;/dates&gt;&lt;urls&gt;&lt;/urls&gt;&lt;/record&gt;&lt;/Cite&gt;&lt;/EndNote&gt;</w:instrText>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(Tschacher and Haken, 2007)</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xml:space="preserve">. Indeed, the back story to active inference shows that this kind of dynamical behaviour is a necessary aspect of any self-organisation to nonequilibrium steady-state in any random dynamical system that possesses a Markov blanket </w:t>
      </w:r>
      <w:r w:rsidRPr="00C8305E">
        <w:rPr>
          <w:rFonts w:asciiTheme="majorHAnsi" w:eastAsia="Calibri" w:hAnsiTheme="majorHAnsi" w:cstheme="majorHAnsi"/>
          <w:color w:val="000000" w:themeColor="text1"/>
          <w:sz w:val="22"/>
          <w:szCs w:val="22"/>
        </w:rPr>
        <w:fldChar w:fldCharType="begin"/>
      </w:r>
      <w:r w:rsidRPr="00C8305E">
        <w:rPr>
          <w:rFonts w:asciiTheme="majorHAnsi" w:eastAsia="Calibri" w:hAnsiTheme="majorHAnsi" w:cstheme="majorHAnsi"/>
          <w:color w:val="000000" w:themeColor="text1"/>
          <w:sz w:val="22"/>
          <w:szCs w:val="22"/>
        </w:rPr>
        <w:instrText xml:space="preserve"> ADDIN EN.CITE &lt;EndNote&gt;&lt;Cite&gt;&lt;Author&gt;Friston&lt;/Author&gt;&lt;Year&gt;2013&lt;/Year&gt;&lt;RecNum&gt;776&lt;/RecNum&gt;&lt;DisplayText&gt;(Friston, 2013)&lt;/DisplayText&gt;&lt;record&gt;&lt;rec-number&gt;776&lt;/rec-number&gt;&lt;foreign-keys&gt;&lt;key app="EN" db-id="zrtzwxs5exvwdkesfx4xswxnzv0pvef5spf9" timestamp="1413146561"&gt;776&lt;/key&gt;&lt;/foreign-keys&gt;&lt;ref-type name="Journal Article"&gt;17&lt;/ref-type&gt;&lt;contributors&gt;&lt;authors&gt;&lt;author&gt;Friston, K&lt;/author&gt;&lt;/authors&gt;&lt;/contributors&gt;&lt;titles&gt;&lt;title&gt;Life as we know it&lt;/title&gt;&lt;secondary-title&gt;J R Soc Interface&lt;/secondary-title&gt;&lt;/titles&gt;&lt;periodical&gt;&lt;full-title&gt;J R Soc Interface&lt;/full-title&gt;&lt;/periodical&gt;&lt;pages&gt;20130475&lt;/pages&gt;&lt;volume&gt;10&lt;/volume&gt;&lt;number&gt;86&lt;/number&gt;&lt;dates&gt;&lt;year&gt;2013&lt;/year&gt;&lt;/dates&gt;&lt;urls&gt;&lt;/urls&gt;&lt;/record&gt;&lt;/Cite&gt;&lt;/EndNote&gt;</w:instrText>
      </w:r>
      <w:r w:rsidRPr="00C8305E">
        <w:rPr>
          <w:rFonts w:asciiTheme="majorHAnsi" w:eastAsia="Calibri" w:hAnsiTheme="majorHAnsi" w:cstheme="majorHAnsi"/>
          <w:color w:val="000000" w:themeColor="text1"/>
          <w:sz w:val="22"/>
          <w:szCs w:val="22"/>
        </w:rPr>
        <w:fldChar w:fldCharType="separate"/>
      </w:r>
      <w:r w:rsidRPr="00C8305E">
        <w:rPr>
          <w:rFonts w:asciiTheme="majorHAnsi" w:eastAsia="Calibri" w:hAnsiTheme="majorHAnsi" w:cstheme="majorHAnsi"/>
          <w:noProof/>
          <w:color w:val="000000" w:themeColor="text1"/>
          <w:sz w:val="22"/>
          <w:szCs w:val="22"/>
        </w:rPr>
        <w:t>(Friston, 2013)</w:t>
      </w:r>
      <w:r w:rsidRPr="00C8305E">
        <w:rPr>
          <w:rFonts w:asciiTheme="majorHAnsi" w:eastAsia="Calibri" w:hAnsiTheme="majorHAnsi" w:cstheme="majorHAnsi"/>
          <w:color w:val="000000" w:themeColor="text1"/>
          <w:sz w:val="22"/>
          <w:szCs w:val="22"/>
        </w:rPr>
        <w:fldChar w:fldCharType="end"/>
      </w:r>
      <w:r w:rsidRPr="00C8305E">
        <w:rPr>
          <w:rFonts w:asciiTheme="majorHAnsi" w:eastAsia="Calibri" w:hAnsiTheme="majorHAnsi" w:cstheme="majorHAnsi"/>
          <w:color w:val="000000" w:themeColor="text1"/>
          <w:sz w:val="22"/>
          <w:szCs w:val="22"/>
        </w:rPr>
        <w:t>. On this view, any system that possesses some attracting states has dynamics that look ‘as if’ they are trying to minimise free energy and therefore acquire a representational and teleological interpretation. (cf. Ramstead, Kirchhoff, &amp; Friston, K. J., 2019).</w:t>
      </w:r>
    </w:p>
    <w:p w14:paraId="75FDA41E"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p>
    <w:p w14:paraId="4807663B" w14:textId="5C957E62"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While there are interesting issues that attend the distinction between a purely dynamical formulation of active inference – and a representationalist reading in terms of dynamics and information geometry – we will consider non-representationalist formulations. These formulations speak to notions of extended and embedded optimisation, which call upon hierarchical dynamics that consider the dynamical exchange between an agent and its (physiological, evolutionary, and cultural) econiche. Accordingly, the dynamic pathways in generative models under active inference – examples appear below – do not appeal to the manipulation of representations of hidden states of the world to explain the cognitive processes underlying the behaviour they generate. Dynamic pathways can be exemplified by application to a specific class of unplanned action – more specifically enculturated action (more on that below) – that does not rest on the manipulation of rich webs of internal representations. Rather, heuristically, the dynamicist view is a view of action that only requires processing ‘something as doing’, such that the ‘doing’ (e.g., action sequences or realised policies) is directly conditioned upon the ‘something’ (e.g., sensory observation). In the recent literature on active inference, this sort of action has been coined ‘deontic’ action </w:t>
      </w:r>
      <w:r w:rsidRPr="00C8305E">
        <w:rPr>
          <w:rFonts w:asciiTheme="majorHAnsi" w:hAnsiTheme="majorHAnsi" w:cstheme="majorHAnsi"/>
          <w:color w:val="000000" w:themeColor="text1"/>
          <w:sz w:val="22"/>
          <w:szCs w:val="22"/>
        </w:rPr>
        <w:t xml:space="preserve">(Constant et al. 2019). </w:t>
      </w:r>
      <w:bookmarkStart w:id="15" w:name="_Toc11499313"/>
    </w:p>
    <w:p w14:paraId="5EE9ADD0" w14:textId="77777777" w:rsidR="00C8305E" w:rsidRPr="00C8305E" w:rsidRDefault="00C8305E" w:rsidP="00C8305E">
      <w:pPr>
        <w:pStyle w:val="Heading2"/>
      </w:pPr>
      <w:r w:rsidRPr="00C8305E">
        <w:t>4.1 Deontic action</w:t>
      </w:r>
      <w:bookmarkEnd w:id="15"/>
    </w:p>
    <w:p w14:paraId="45BDF03C"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Deontic actions are actions for which the underlying policy has acquired a deontic value; namely, the shared, or socially admitted value of a policy (Constant et al. 2019). A deontic action is guided by the consideration of ‘what would a typical other do in my situation’. For instance, stopping at the red traffic light at 4am when no one is present may be viewed as such a deontically afforded action</w:t>
      </w:r>
      <w:r w:rsidRPr="00C8305E">
        <w:rPr>
          <w:rStyle w:val="FootnoteReference"/>
          <w:rFonts w:asciiTheme="majorHAnsi" w:hAnsiTheme="majorHAnsi" w:cstheme="majorHAnsi"/>
          <w:color w:val="000000" w:themeColor="text1"/>
          <w:sz w:val="22"/>
          <w:szCs w:val="22"/>
        </w:rPr>
        <w:footnoteReference w:id="5"/>
      </w:r>
      <w:r w:rsidRPr="00C8305E">
        <w:rPr>
          <w:rFonts w:asciiTheme="majorHAnsi" w:hAnsiTheme="majorHAnsi" w:cstheme="majorHAnsi"/>
          <w:color w:val="000000" w:themeColor="text1"/>
          <w:sz w:val="22"/>
          <w:szCs w:val="22"/>
        </w:rPr>
        <w:t xml:space="preserve">. </w:t>
      </w:r>
    </w:p>
    <w:p w14:paraId="22B60850"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3C69A8B9"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Central to our agenda, deontic actions are processed through different mappings in the generative model. Technically, deontic value is the likelihood of a policy given an observation </w:t>
      </w:r>
      <w:r w:rsidR="00505CC7" w:rsidRPr="00505CC7">
        <w:rPr>
          <w:rFonts w:asciiTheme="majorHAnsi" w:hAnsiTheme="majorHAnsi" w:cstheme="majorHAnsi"/>
          <w:noProof/>
          <w:color w:val="000000" w:themeColor="text1"/>
          <w:position w:val="-12"/>
          <w:sz w:val="22"/>
          <w:szCs w:val="22"/>
        </w:rPr>
        <w:object w:dxaOrig="940" w:dyaOrig="340" w14:anchorId="36D63E98">
          <v:shape id="_x0000_i1027" type="#_x0000_t75" alt="" style="width:46.15pt;height:19.15pt;mso-width-percent:0;mso-height-percent:0;mso-width-percent:0;mso-height-percent:0" o:ole="">
            <v:imagedata r:id="rId100" o:title=""/>
          </v:shape>
          <o:OLEObject Type="Embed" ProgID="Equation.DSMT4" ShapeID="_x0000_i1027" DrawAspect="Content" ObjectID="_1635598318" r:id="rId101"/>
        </w:object>
      </w:r>
      <w:r w:rsidRPr="00C8305E">
        <w:rPr>
          <w:rFonts w:asciiTheme="majorHAnsi" w:hAnsiTheme="majorHAnsi" w:cstheme="majorHAnsi"/>
          <w:color w:val="000000" w:themeColor="text1"/>
          <w:sz w:val="22"/>
          <w:szCs w:val="22"/>
        </w:rPr>
        <w:t xml:space="preserve"> that grounds posterior beliefs about policies</w:t>
      </w:r>
      <w:r w:rsidRPr="00C8305E">
        <w:rPr>
          <w:rStyle w:val="FootnoteReference"/>
          <w:rFonts w:asciiTheme="majorHAnsi" w:hAnsiTheme="majorHAnsi" w:cstheme="majorHAnsi"/>
          <w:color w:val="000000" w:themeColor="text1"/>
          <w:sz w:val="22"/>
          <w:szCs w:val="22"/>
        </w:rPr>
        <w:footnoteReference w:id="6"/>
      </w:r>
      <w:r w:rsidRPr="00C8305E">
        <w:rPr>
          <w:rFonts w:asciiTheme="majorHAnsi" w:hAnsiTheme="majorHAnsi" w:cstheme="majorHAnsi"/>
          <w:color w:val="000000" w:themeColor="text1"/>
          <w:sz w:val="22"/>
          <w:szCs w:val="22"/>
        </w:rPr>
        <w:t xml:space="preserve">. This likelihood is an empirical prior which constitutes expected free energy. The deontic value </w:t>
      </w:r>
      <w:r w:rsidR="00505CC7" w:rsidRPr="00505CC7">
        <w:rPr>
          <w:rFonts w:asciiTheme="majorHAnsi" w:hAnsiTheme="majorHAnsi" w:cstheme="majorHAnsi"/>
          <w:noProof/>
          <w:color w:val="000000" w:themeColor="text1"/>
          <w:position w:val="-12"/>
          <w:sz w:val="22"/>
          <w:szCs w:val="22"/>
        </w:rPr>
        <w:object w:dxaOrig="940" w:dyaOrig="340" w14:anchorId="3E5EAB0D">
          <v:shape id="_x0000_i1026" type="#_x0000_t75" alt="" style="width:46.15pt;height:19.15pt;mso-width-percent:0;mso-height-percent:0;mso-width-percent:0;mso-height-percent:0" o:ole="">
            <v:imagedata r:id="rId102" o:title=""/>
          </v:shape>
          <o:OLEObject Type="Embed" ProgID="Equation.DSMT4" ShapeID="_x0000_i1026" DrawAspect="Content" ObjectID="_1635598319" r:id="rId103"/>
        </w:object>
      </w:r>
      <w:r w:rsidRPr="00C8305E">
        <w:rPr>
          <w:rFonts w:asciiTheme="majorHAnsi" w:hAnsiTheme="majorHAnsi" w:cstheme="majorHAnsi"/>
          <w:color w:val="000000" w:themeColor="text1"/>
          <w:sz w:val="22"/>
          <w:szCs w:val="22"/>
        </w:rPr>
        <w:t xml:space="preserve"> effectively supplements or supplants the likelihood of outcomes under different states </w:t>
      </w:r>
      <w:r w:rsidR="00505CC7" w:rsidRPr="00505CC7">
        <w:rPr>
          <w:rFonts w:asciiTheme="majorHAnsi" w:hAnsiTheme="majorHAnsi" w:cstheme="majorHAnsi"/>
          <w:noProof/>
          <w:color w:val="000000" w:themeColor="text1"/>
          <w:position w:val="-12"/>
          <w:sz w:val="22"/>
          <w:szCs w:val="22"/>
        </w:rPr>
        <w:object w:dxaOrig="780" w:dyaOrig="340" w14:anchorId="124411A9">
          <v:shape id="_x0000_i1025" type="#_x0000_t75" alt="" style="width:38.25pt;height:19.15pt;mso-width-percent:0;mso-height-percent:0;mso-width-percent:0;mso-height-percent:0" o:ole="">
            <v:imagedata r:id="rId104" o:title=""/>
          </v:shape>
          <o:OLEObject Type="Embed" ProgID="Equation.DSMT4" ShapeID="_x0000_i1025" DrawAspect="Content" ObjectID="_1635598320" r:id="rId105"/>
        </w:object>
      </w:r>
      <w:r w:rsidRPr="00C8305E">
        <w:rPr>
          <w:rFonts w:asciiTheme="majorHAnsi" w:hAnsiTheme="majorHAnsi" w:cstheme="majorHAnsi"/>
          <w:color w:val="000000" w:themeColor="text1"/>
          <w:sz w:val="22"/>
          <w:szCs w:val="22"/>
        </w:rPr>
        <w:t xml:space="preserve"> (see figure 3). From the point of view of the generative model, this means that if I am pursuing this policy then these outcomes are more likely (e.g., when I stop doing something, I am likely to see a stop sign). From the point of view of inference, this means that if I see these deontic outcomes, I will infer I am doing this (e.g., if I see a stop sign, I will stop). Put simply, a deontic action is an available (i.e., plausible) policy that is triggered by a sensory input, and which leads directly to an internally consistent action. Crucially, this means that deontic action selection bypasses representational beliefs about states of the world and associated sensory consequences. </w:t>
      </w:r>
    </w:p>
    <w:p w14:paraId="3C7A9BDF"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46BA8B9C" w14:textId="77777777" w:rsidR="00C8305E" w:rsidRPr="00C8305E" w:rsidRDefault="00C8305E" w:rsidP="00507989">
      <w:pPr>
        <w:jc w:val="center"/>
        <w:rPr>
          <w:rFonts w:asciiTheme="majorHAnsi" w:hAnsiTheme="majorHAnsi" w:cstheme="majorHAnsi"/>
          <w:color w:val="000000" w:themeColor="text1"/>
          <w:sz w:val="22"/>
          <w:szCs w:val="22"/>
        </w:rPr>
      </w:pPr>
      <w:r w:rsidRPr="00C8305E">
        <w:rPr>
          <w:rFonts w:asciiTheme="majorHAnsi" w:hAnsiTheme="majorHAnsi" w:cstheme="majorHAnsi"/>
          <w:noProof/>
          <w:color w:val="000000" w:themeColor="text1"/>
          <w:sz w:val="22"/>
          <w:szCs w:val="22"/>
        </w:rPr>
        <w:drawing>
          <wp:inline distT="0" distB="0" distL="0" distR="0" wp14:anchorId="66D7A18A" wp14:editId="795D1D18">
            <wp:extent cx="5972810" cy="2260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b="32708"/>
                    <a:stretch/>
                  </pic:blipFill>
                  <pic:spPr bwMode="auto">
                    <a:xfrm>
                      <a:off x="0" y="0"/>
                      <a:ext cx="5972810" cy="2260879"/>
                    </a:xfrm>
                    <a:prstGeom prst="rect">
                      <a:avLst/>
                    </a:prstGeom>
                    <a:ln>
                      <a:noFill/>
                    </a:ln>
                    <a:extLst>
                      <a:ext uri="{53640926-AAD7-44D8-BBD7-CCE9431645EC}">
                        <a14:shadowObscured xmlns:a14="http://schemas.microsoft.com/office/drawing/2010/main"/>
                      </a:ext>
                    </a:extLst>
                  </pic:spPr>
                </pic:pic>
              </a:graphicData>
            </a:graphic>
          </wp:inline>
        </w:drawing>
      </w:r>
    </w:p>
    <w:p w14:paraId="7D8AB217" w14:textId="252EB543" w:rsidR="00C8305E" w:rsidRPr="00C8305E" w:rsidRDefault="00C8305E" w:rsidP="00507989">
      <w:pPr>
        <w:jc w:val="center"/>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Figure 3. Dynamic pathway. This graphical generative model is the same as the one presented in fig.2. However, it incorporates deontic value, which is read here as a dynamic pathway.</w:t>
      </w:r>
    </w:p>
    <w:p w14:paraId="4CDF1511"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2537F8A1"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The computational architecture of deontic action is a clear candidate to implement a form of dynamicism under active inference. In effect, the information processing underlying deontic action eludes the two sufficient conditions of representationalism presented in section 2:</w:t>
      </w:r>
    </w:p>
    <w:p w14:paraId="6F4A0EF4"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072C9803"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lastRenderedPageBreak/>
        <w:t xml:space="preserve">(i)Since they involve the inversion of a policy-outcome mapping, instead of state-outcomes mappings, deontic processes do not entail a propositional attitude involving the mediation of manipulations of one’s (Bayesian) beliefs standing for sensory causes in the world. Deontic processes do not have ‘aboutness’; </w:t>
      </w:r>
    </w:p>
    <w:p w14:paraId="54D057D2"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rPr>
      </w:pPr>
    </w:p>
    <w:p w14:paraId="57C5FDFC"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shd w:val="clear" w:color="auto" w:fill="FFFFFF"/>
        </w:rPr>
      </w:pPr>
      <w:r w:rsidRPr="00C8305E">
        <w:rPr>
          <w:rFonts w:asciiTheme="majorHAnsi" w:hAnsiTheme="majorHAnsi" w:cstheme="majorHAnsi"/>
          <w:color w:val="000000" w:themeColor="text1"/>
          <w:sz w:val="22"/>
          <w:szCs w:val="22"/>
        </w:rPr>
        <w:t>(ii)</w:t>
      </w:r>
      <w:r w:rsidRPr="00C8305E">
        <w:rPr>
          <w:rFonts w:asciiTheme="majorHAnsi" w:hAnsiTheme="majorHAnsi" w:cstheme="majorHAnsi"/>
          <w:color w:val="000000" w:themeColor="text1"/>
          <w:sz w:val="22"/>
          <w:szCs w:val="22"/>
          <w:shd w:val="clear" w:color="auto" w:fill="FFFFFF"/>
        </w:rPr>
        <w:t xml:space="preserve"> Success conditions in epistemology are about the way an agent’s act (e.g. an assertion, or another kind of speech act) needs to relate to the states of the world towards which it is directed for it to work. This means that usually,</w:t>
      </w:r>
      <w:r w:rsidRPr="00C8305E">
        <w:rPr>
          <w:rFonts w:asciiTheme="majorHAnsi" w:hAnsiTheme="majorHAnsi" w:cstheme="majorHAnsi"/>
          <w:color w:val="000000" w:themeColor="text1"/>
          <w:sz w:val="22"/>
          <w:szCs w:val="22"/>
        </w:rPr>
        <w:t xml:space="preserve"> </w:t>
      </w:r>
      <w:r w:rsidRPr="00C8305E">
        <w:rPr>
          <w:rFonts w:asciiTheme="majorHAnsi" w:hAnsiTheme="majorHAnsi" w:cstheme="majorHAnsi"/>
          <w:color w:val="000000" w:themeColor="text1"/>
          <w:sz w:val="22"/>
          <w:szCs w:val="22"/>
          <w:shd w:val="clear" w:color="auto" w:fill="FFFFFF"/>
        </w:rPr>
        <w:t>what the agent (or her brain) is seeking to optimise isn’t the issue. Under active inference, however, one ought to consider active brain processes and success conditions that do not relate to the external world </w:t>
      </w:r>
      <w:r w:rsidRPr="00C8305E">
        <w:rPr>
          <w:rFonts w:asciiTheme="majorHAnsi" w:hAnsiTheme="majorHAnsi" w:cstheme="majorHAnsi"/>
          <w:i/>
          <w:iCs/>
          <w:color w:val="000000" w:themeColor="text1"/>
          <w:sz w:val="22"/>
          <w:szCs w:val="22"/>
          <w:shd w:val="clear" w:color="auto" w:fill="FFFFFF"/>
        </w:rPr>
        <w:t>per se. </w:t>
      </w:r>
      <w:r w:rsidRPr="00C8305E">
        <w:rPr>
          <w:rFonts w:asciiTheme="majorHAnsi" w:hAnsiTheme="majorHAnsi" w:cstheme="majorHAnsi"/>
          <w:color w:val="000000" w:themeColor="text1"/>
          <w:sz w:val="22"/>
          <w:szCs w:val="22"/>
          <w:shd w:val="clear" w:color="auto" w:fill="FFFFFF"/>
        </w:rPr>
        <w:t xml:space="preserve">Brain processes can arbitrate between successful or unsuccessful alternatives with respect to the internal generative model </w:t>
      </w:r>
      <w:r w:rsidRPr="00C8305E">
        <w:rPr>
          <w:rFonts w:asciiTheme="majorHAnsi" w:hAnsiTheme="majorHAnsi" w:cstheme="majorHAnsi"/>
          <w:i/>
          <w:iCs/>
          <w:color w:val="000000" w:themeColor="text1"/>
          <w:sz w:val="22"/>
          <w:szCs w:val="22"/>
          <w:shd w:val="clear" w:color="auto" w:fill="FFFFFF"/>
        </w:rPr>
        <w:t>per se</w:t>
      </w:r>
      <w:r w:rsidRPr="00C8305E">
        <w:rPr>
          <w:rFonts w:asciiTheme="majorHAnsi" w:hAnsiTheme="majorHAnsi" w:cstheme="majorHAnsi"/>
          <w:color w:val="000000" w:themeColor="text1"/>
          <w:sz w:val="22"/>
          <w:szCs w:val="22"/>
          <w:shd w:val="clear" w:color="auto" w:fill="FFFFFF"/>
        </w:rPr>
        <w:t xml:space="preserve">, such as in the case of action planning, where action policies are compared in terms of the free energy – under the generative model – expected in the future. This means that success conditions can be given with respect to the generative model </w:t>
      </w:r>
      <w:r w:rsidRPr="00C8305E">
        <w:rPr>
          <w:rFonts w:asciiTheme="majorHAnsi" w:hAnsiTheme="majorHAnsi" w:cstheme="majorHAnsi"/>
          <w:i/>
          <w:iCs/>
          <w:color w:val="000000" w:themeColor="text1"/>
          <w:sz w:val="22"/>
          <w:szCs w:val="22"/>
          <w:shd w:val="clear" w:color="auto" w:fill="FFFFFF"/>
        </w:rPr>
        <w:t>per se</w:t>
      </w:r>
      <w:r w:rsidRPr="00C8305E">
        <w:rPr>
          <w:rFonts w:asciiTheme="majorHAnsi" w:hAnsiTheme="majorHAnsi" w:cstheme="majorHAnsi"/>
          <w:color w:val="000000" w:themeColor="text1"/>
          <w:sz w:val="22"/>
          <w:szCs w:val="22"/>
          <w:shd w:val="clear" w:color="auto" w:fill="FFFFFF"/>
        </w:rPr>
        <w:t>, not the world generating the observation (a.k.a. generative process). This is a subtle, yet crucial point, which becomes apparent when considering the probability distributions involved in various inference processes in the brain. For instance, when inferring hidden states (i.e., perceiving), the true posterior (</w:t>
      </w:r>
      <w:r w:rsidRPr="00C8305E">
        <w:rPr>
          <w:rFonts w:asciiTheme="majorHAnsi" w:hAnsiTheme="majorHAnsi" w:cstheme="majorHAnsi"/>
          <w:i/>
          <w:iCs/>
          <w:color w:val="000000" w:themeColor="text1"/>
          <w:sz w:val="22"/>
          <w:szCs w:val="22"/>
          <w:shd w:val="clear" w:color="auto" w:fill="FFFFFF"/>
        </w:rPr>
        <w:t>P</w:t>
      </w:r>
      <w:r w:rsidRPr="00C8305E">
        <w:rPr>
          <w:rFonts w:asciiTheme="majorHAnsi" w:hAnsiTheme="majorHAnsi" w:cstheme="majorHAnsi"/>
          <w:color w:val="000000" w:themeColor="text1"/>
          <w:sz w:val="22"/>
          <w:szCs w:val="22"/>
          <w:shd w:val="clear" w:color="auto" w:fill="FFFFFF"/>
        </w:rPr>
        <w:t>) approximated by the approximate posterior (</w:t>
      </w:r>
      <w:r w:rsidRPr="00C8305E">
        <w:rPr>
          <w:rFonts w:asciiTheme="majorHAnsi" w:hAnsiTheme="majorHAnsi" w:cstheme="majorHAnsi"/>
          <w:i/>
          <w:iCs/>
          <w:color w:val="000000" w:themeColor="text1"/>
          <w:sz w:val="22"/>
          <w:szCs w:val="22"/>
          <w:shd w:val="clear" w:color="auto" w:fill="FFFFFF"/>
        </w:rPr>
        <w:t>Q</w:t>
      </w:r>
      <w:r w:rsidRPr="00C8305E">
        <w:rPr>
          <w:rFonts w:asciiTheme="majorHAnsi" w:hAnsiTheme="majorHAnsi" w:cstheme="majorHAnsi"/>
          <w:color w:val="000000" w:themeColor="text1"/>
          <w:sz w:val="22"/>
          <w:szCs w:val="22"/>
          <w:shd w:val="clear" w:color="auto" w:fill="FFFFFF"/>
        </w:rPr>
        <w:t xml:space="preserve">) is the true posterior probability of the agent's beliefs, not of the cause of the agent's observations. 'Getting it right', in that case, again, is about getting it right with respect to one's own beliefs; e.g., successfully exploring the state space of one's own model of the world. This means that under active inference, there are two layers of success involved, one defined over the model, and one defined over the agent-world coupling (which corresponds to a more traditional epistemological point of view). </w:t>
      </w:r>
    </w:p>
    <w:p w14:paraId="61AD9F8F"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shd w:val="clear" w:color="auto" w:fill="FFFFFF"/>
        </w:rPr>
      </w:pPr>
    </w:p>
    <w:p w14:paraId="5CCF2A2F" w14:textId="77777777" w:rsidR="00C8305E" w:rsidRPr="00C8305E" w:rsidRDefault="00C8305E" w:rsidP="00C8305E">
      <w:pPr>
        <w:spacing w:line="360" w:lineRule="auto"/>
        <w:ind w:left="720"/>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t xml:space="preserve">The second layer allows us to know when a generative model isn’t fit for purpose – e.g., in cases of mental disorders, where behavioural outcomes are maladaptive with respect to the individual’s environment. Those two layers of success are apparent in the fact that one can perform (Bayes) optimal inference while generating suboptimal behaviour because of suboptimal (prior) beliefs (Corlett &amp; Fletcher, 2014). Deontic processes conform to success conditions of this second layer. They do not have success conditions </w:t>
      </w:r>
      <w:r w:rsidRPr="00C8305E">
        <w:rPr>
          <w:rFonts w:asciiTheme="majorHAnsi" w:hAnsiTheme="majorHAnsi" w:cstheme="majorHAnsi"/>
          <w:i/>
          <w:iCs/>
          <w:color w:val="000000" w:themeColor="text1"/>
          <w:sz w:val="22"/>
          <w:szCs w:val="22"/>
          <w:shd w:val="clear" w:color="auto" w:fill="FFFFFF"/>
        </w:rPr>
        <w:t xml:space="preserve">qua </w:t>
      </w:r>
      <w:r w:rsidRPr="00C8305E">
        <w:rPr>
          <w:rFonts w:asciiTheme="majorHAnsi" w:hAnsiTheme="majorHAnsi" w:cstheme="majorHAnsi"/>
          <w:color w:val="000000" w:themeColor="text1"/>
          <w:sz w:val="22"/>
          <w:szCs w:val="22"/>
          <w:shd w:val="clear" w:color="auto" w:fill="FFFFFF"/>
        </w:rPr>
        <w:t xml:space="preserve">brain processes, but rather have success condition </w:t>
      </w:r>
      <w:r w:rsidRPr="00C8305E">
        <w:rPr>
          <w:rFonts w:asciiTheme="majorHAnsi" w:hAnsiTheme="majorHAnsi" w:cstheme="majorHAnsi"/>
          <w:i/>
          <w:iCs/>
          <w:color w:val="000000" w:themeColor="text1"/>
          <w:sz w:val="22"/>
          <w:szCs w:val="22"/>
          <w:shd w:val="clear" w:color="auto" w:fill="FFFFFF"/>
        </w:rPr>
        <w:t>qua</w:t>
      </w:r>
      <w:r w:rsidRPr="00C8305E">
        <w:rPr>
          <w:rFonts w:asciiTheme="majorHAnsi" w:hAnsiTheme="majorHAnsi" w:cstheme="majorHAnsi"/>
          <w:color w:val="000000" w:themeColor="text1"/>
          <w:sz w:val="22"/>
          <w:szCs w:val="22"/>
          <w:shd w:val="clear" w:color="auto" w:fill="FFFFFF"/>
        </w:rPr>
        <w:t xml:space="preserve"> agent-world coupling processes. They are simple observation-action loops; not rich and reconstructive policy selection loops. This is so because deontic processes circumnavigate the </w:t>
      </w:r>
      <w:r w:rsidRPr="00C8305E">
        <w:rPr>
          <w:rFonts w:asciiTheme="majorHAnsi" w:hAnsiTheme="majorHAnsi" w:cstheme="majorHAnsi"/>
          <w:color w:val="000000" w:themeColor="text1"/>
          <w:sz w:val="22"/>
          <w:szCs w:val="22"/>
          <w:shd w:val="clear" w:color="auto" w:fill="FFFFFF"/>
        </w:rPr>
        <w:lastRenderedPageBreak/>
        <w:t>computation of expected free energy, which as we have seen, is used to compare different policies with respect to their ability to maximise instrumental and epistemic values. Under active inference, the maximisation of these values such as captured by expected free energy (</w:t>
      </w:r>
      <w:r w:rsidRPr="00C8305E">
        <w:rPr>
          <w:rFonts w:asciiTheme="majorHAnsi" w:hAnsiTheme="majorHAnsi" w:cstheme="majorHAnsi"/>
          <w:i/>
          <w:iCs/>
          <w:color w:val="000000" w:themeColor="text1"/>
          <w:sz w:val="22"/>
          <w:szCs w:val="22"/>
          <w:shd w:val="clear" w:color="auto" w:fill="FFFFFF"/>
        </w:rPr>
        <w:t>G</w:t>
      </w:r>
      <w:r w:rsidRPr="00C8305E">
        <w:rPr>
          <w:rFonts w:asciiTheme="majorHAnsi" w:hAnsiTheme="majorHAnsi" w:cstheme="majorHAnsi"/>
          <w:color w:val="000000" w:themeColor="text1"/>
          <w:sz w:val="22"/>
          <w:szCs w:val="22"/>
          <w:shd w:val="clear" w:color="auto" w:fill="FFFFFF"/>
        </w:rPr>
        <w:t xml:space="preserve">) is the success condition of non-deontic action selection in the brain. </w:t>
      </w:r>
      <w:r w:rsidRPr="00C8305E">
        <w:rPr>
          <w:rFonts w:asciiTheme="majorHAnsi" w:hAnsiTheme="majorHAnsi" w:cstheme="majorHAnsi"/>
          <w:color w:val="000000" w:themeColor="text1"/>
          <w:sz w:val="22"/>
          <w:szCs w:val="22"/>
        </w:rPr>
        <w:t>This construction means that inferences about states of the world – that admit a representationalist interpretation – are now replaced by direct action, without any intervening inference or representation of the consequences of action</w:t>
      </w:r>
      <w:r w:rsidRPr="00C8305E">
        <w:rPr>
          <w:rFonts w:asciiTheme="majorHAnsi" w:hAnsiTheme="majorHAnsi" w:cstheme="majorHAnsi"/>
          <w:color w:val="000000" w:themeColor="text1"/>
          <w:sz w:val="22"/>
          <w:szCs w:val="22"/>
          <w:shd w:val="clear" w:color="auto" w:fill="FFFFFF"/>
        </w:rPr>
        <w:t>;</w:t>
      </w:r>
    </w:p>
    <w:p w14:paraId="129222DF"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290B8682" w14:textId="6706BB7A"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Having said this, the dual aspect architecture in Figure 3 means that the representationalist and dynamic pathways can happily live side-by-side, mutually informing each other – but both are sufficient for enactive engagement with the niche on their own. The distinction between the pathways – or routes to (subpersonal) action selection have some important implications. For example, deontic action circumnavigates expected free energy and therefore precludes planning as (active) inference. This means that under active inference, systems employing deontic strategies do not need to plan courses of action into the future. They simply act on the basis of the observation. Furthermore, in the absence of inference about hidden states, there could be no phenomenal opacity</w:t>
      </w:r>
      <w:r w:rsidRPr="00C8305E">
        <w:rPr>
          <w:rStyle w:val="FootnoteReference"/>
          <w:rFonts w:asciiTheme="majorHAnsi" w:hAnsiTheme="majorHAnsi" w:cstheme="majorHAnsi"/>
          <w:color w:val="000000" w:themeColor="text1"/>
          <w:sz w:val="22"/>
          <w:szCs w:val="22"/>
        </w:rPr>
        <w:footnoteReference w:id="7"/>
      </w:r>
      <w:r w:rsidRPr="00C8305E">
        <w:rPr>
          <w:rFonts w:asciiTheme="majorHAnsi" w:hAnsiTheme="majorHAnsi" w:cstheme="majorHAnsi"/>
          <w:color w:val="000000" w:themeColor="text1"/>
          <w:sz w:val="22"/>
          <w:szCs w:val="22"/>
        </w:rPr>
        <w:t xml:space="preserve">. For instance, this speaks directly to the sort of actions experts perform (e.g., athletes), which are often complex, though, for which experts do not seem to plan ahead (i.e., ‘in the head’). Such skilled actions seem to yield very little phenomenal opacity (e.g., as when the athlete responds, ‘I don’t know, I just did it in the flow of action’, or ‘we simply executed the game plan’, when interviewed about her game winning shot). </w:t>
      </w:r>
      <w:bookmarkStart w:id="16" w:name="_Toc11499314"/>
    </w:p>
    <w:p w14:paraId="3A33E339" w14:textId="77777777" w:rsidR="00C8305E" w:rsidRPr="00C8305E" w:rsidRDefault="00C8305E" w:rsidP="00C8305E">
      <w:pPr>
        <w:pStyle w:val="Heading2"/>
      </w:pPr>
      <w:r w:rsidRPr="00C8305E">
        <w:t>4.2 Deontic action as a reflex?</w:t>
      </w:r>
      <w:bookmarkEnd w:id="16"/>
    </w:p>
    <w:p w14:paraId="73A0CBCF"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The sort of ‘automatized’ deontic behaviour underwritten by dynamic pathways in the generative model might strike one as being conceptually close to the sort of cognitive processes underlying reflexes and other (homeostatic) functions processed through the autonomic nervous system. The computational pathway of deontic action indeed looks very much like a close control loop – secured by robust causal regularities in the world generating reliable sensory inputs – akin to a reflex processed at the brainstem and spinal cord level, but this time, processed in a ‘constructed local world’ (Constant et al., 2019, cf. Ramstead et al., 2016). Under active inference, motoric and autonomic reflexes are framed as an action that manages the sensory signal that comes from within the system that generated it; e.g., suppression of interoceptive prediction error (Pezzulo, Rigoli, and Friston, 2015). </w:t>
      </w:r>
    </w:p>
    <w:p w14:paraId="7AB7B6B0"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74E86CC1"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Autonomic reflexes facilitate homeostatic regulation by engendering series of events necessary for the activity of the agent; e.g., salivation facilitates ingestion by easing the passing of the food. In this sense, they can be regarded as allostatic in nature. Similarly, one can think of sequences of deontic actions that facilitate social, affective and emotional regulation; e.g., the outcome generated by the red traffic light triggers a stop, which facilitates reaching in my pocket to grab my phone to check my notifications (which itself might trigger salivation). For some enculturated agents, such a sequence of ‘social reflexes’ may be necessary to pass through the day.  </w:t>
      </w:r>
    </w:p>
    <w:p w14:paraId="13A11AD5"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268F1474"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Now, the reader might worry that deontic action ends up being as unexciting as ‘digestive cognition’. But rest reassured, deontic action has been used to account for complex behavioural phenomena like social conformity: a.k.a., deference to the socially approved norm learnt through social influence or learning (Asch, 1955), and cooperative decision-making: a.k.a. decision-making under fairness psychology – as evidenced by the human tendency to zero in on fair decisions in economic games when compared to non-human animals (for a review see Henrich, 2015). Deontic action – as a social reflex – facilitates social interactions by easing the coordination among humans, if you will. </w:t>
      </w:r>
    </w:p>
    <w:p w14:paraId="5A106D06"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43335293"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Deontic action is explained in terms of the circular causality between outsourcing decision-making to trusted others in the form of deontic cues (material or agential) – indicating the locally adaptive action – and learning the underlying cue-policy mappings. The ‘closed’ control loop, then, comprises the enculturated agent and regularities in her (social) environment. In effect, deontic cues are defined as such because they represent a reliable informational aggregate of ‘what would a creature like me would do in this situation’. These cues consolidate over development and through the modification of the environment by generations of other enculturated agents (i.e., creatures like me) (Constant et al., 2019) </w:t>
      </w:r>
    </w:p>
    <w:p w14:paraId="22F3B19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4335EF43" w14:textId="514920F8"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Once the action afforded by these cues is learnt, there is no need for computing future states and associated outcomes; these are secured by the configuration of the cultural setting. For instance, in Canada, you can trust stopping or crossing, according to the deontic cue afforded by the traffic light – because the traffic light has come to represent what others typically do at an intersection – perhaps not in France though. And when faced with an uncertain outcome in an economic game (e.g., ‘if I don’t know what the opponent will do and my reward depends on her response, should I share or should I maximise my gain?’), you can trust </w:t>
      </w:r>
      <w:r w:rsidRPr="00C8305E">
        <w:rPr>
          <w:rFonts w:asciiTheme="majorHAnsi" w:hAnsiTheme="majorHAnsi" w:cstheme="majorHAnsi"/>
          <w:color w:val="000000" w:themeColor="text1"/>
          <w:sz w:val="22"/>
          <w:szCs w:val="22"/>
        </w:rPr>
        <w:lastRenderedPageBreak/>
        <w:t>that the fair option is the one the other is most likely to select since you’ve been socialised  as a ‘typical other’, presumably, just as the other did (for a review see Veissière et al., 2019).</w:t>
      </w:r>
      <w:bookmarkStart w:id="17" w:name="_Toc11499315"/>
    </w:p>
    <w:p w14:paraId="0728A533" w14:textId="77777777" w:rsidR="00C8305E" w:rsidRPr="00C8305E" w:rsidRDefault="00C8305E" w:rsidP="00C8305E">
      <w:pPr>
        <w:pStyle w:val="Heading2"/>
      </w:pPr>
      <w:r w:rsidRPr="00C8305E">
        <w:t>4.3 Summary: deontic actions rest on dynamic processes</w:t>
      </w:r>
      <w:bookmarkEnd w:id="17"/>
    </w:p>
    <w:p w14:paraId="3358103C" w14:textId="12956D3A"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In summary, for proponents of dynamicism, generative models are not rich and reconstructive internal models. Rather, they are fast and frugal. If internal representations play a role at all, that role is thin and simple. As we have seen above, a rich and reconstructive internal model is one in which multiple trajectories of hidden states (with different precisions – more on that below) would be entertained before selecting the action. The fast and frugal alternative is the one that underwrites deontic action. Hence, for enculturated, deontically constrained agents like us, “what may often be doing the work [in generative models] is a kind of perceptually-maintained motor-informational grip on the world: a low-cost perception-action routine that retrieves the right information just-in-time for use, and that is not in the business of building up a rich inner simulacrum” (Clark 2016, 11). This low-cost perception action routine corresponds to the web of deontic, or dynamic pathways learnt through enculturation (Constant et al., 2019).</w:t>
      </w:r>
      <w:bookmarkStart w:id="18" w:name="_Toc11499316"/>
    </w:p>
    <w:p w14:paraId="54738ED5" w14:textId="77777777" w:rsidR="00C8305E" w:rsidRPr="00C8305E" w:rsidRDefault="00C8305E" w:rsidP="00C8305E">
      <w:pPr>
        <w:pStyle w:val="Heading1"/>
      </w:pPr>
      <w:r w:rsidRPr="00C8305E">
        <w:t>5 Worries about rich settings for shallow strategies?</w:t>
      </w:r>
      <w:bookmarkEnd w:id="18"/>
    </w:p>
    <w:p w14:paraId="33F8990C" w14:textId="33145F40"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Although computationally viable under active inference, our description of fast and frugal dynamic pathways based on deontic value might still raise some conceptual worries. In this section, we provide a brief discussion of some such worries </w:t>
      </w:r>
      <w:bookmarkStart w:id="19" w:name="_Toc11499317"/>
    </w:p>
    <w:p w14:paraId="631426D1" w14:textId="77777777" w:rsidR="00C8305E" w:rsidRPr="00C8305E" w:rsidRDefault="00C8305E" w:rsidP="00C8305E">
      <w:pPr>
        <w:pStyle w:val="Heading2"/>
      </w:pPr>
      <w:r w:rsidRPr="00C8305E">
        <w:t>5.1 First worry</w:t>
      </w:r>
      <w:bookmarkEnd w:id="19"/>
      <w:r w:rsidRPr="00C8305E">
        <w:t xml:space="preserve"> </w:t>
      </w:r>
    </w:p>
    <w:p w14:paraId="17220861" w14:textId="77777777"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r w:rsidRPr="00C8305E">
        <w:rPr>
          <w:rFonts w:asciiTheme="majorHAnsi" w:hAnsiTheme="majorHAnsi" w:cstheme="majorHAnsi"/>
          <w:color w:val="000000" w:themeColor="text1"/>
          <w:sz w:val="22"/>
          <w:szCs w:val="22"/>
        </w:rPr>
        <w:t xml:space="preserve">One might worry that even deontic actions have to be selected through inferring the current context. The agent might need first to figure out if the context renders deontic action the most apt response. </w:t>
      </w:r>
      <w:r w:rsidRPr="00C8305E">
        <w:rPr>
          <w:rFonts w:asciiTheme="majorHAnsi" w:hAnsiTheme="majorHAnsi" w:cstheme="majorHAnsi"/>
          <w:color w:val="000000" w:themeColor="text1"/>
          <w:sz w:val="22"/>
          <w:szCs w:val="22"/>
          <w:lang w:val="en-CA"/>
        </w:rPr>
        <w:t xml:space="preserve">This worry raised by representationalists (e.g., Hohwy (2019)) might be a problem for the kind of account developed in this paper, and elsewhere (for example, Clark (2015b)). For even the selection of frugal dynamic strategies would require the on-going inference afforded by a rich inner model, able to determine when such strategies are warranted – and override them when necessary. In other words, the recruitment of the right transient webs of deontic activity, at the right time, is itself a high-grade cognitive achievement where the inner model plays, representationalists argue, a necessary and ongoing role. The upshot is a worry that truly ecumenical accounts may be hostage to “a potential tension…. between allowing and withholding a role for rich models” (Hohwy, 2019). For surely (so the argument goes) the active inference agent must repeatedly </w:t>
      </w:r>
      <w:r w:rsidRPr="00C8305E">
        <w:rPr>
          <w:rFonts w:asciiTheme="majorHAnsi" w:hAnsiTheme="majorHAnsi" w:cstheme="majorHAnsi"/>
          <w:color w:val="000000" w:themeColor="text1"/>
          <w:sz w:val="22"/>
          <w:szCs w:val="22"/>
          <w:lang w:val="en-CA"/>
        </w:rPr>
        <w:lastRenderedPageBreak/>
        <w:t xml:space="preserve">infer when she is in a situation where some low-cost deontic response is viable. In effect, according to representationalists, setting and learning the confidence of prior beliefs through perceptual processes – such as described in section 2 (a.k.a. precision, or gain control on sensory evidence, or prediction error) – needs to be a principled response, and that implicates the rich inner model even when the selected strategy is itself a frugal one. </w:t>
      </w:r>
    </w:p>
    <w:p w14:paraId="0FA82CA9" w14:textId="77777777"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p>
    <w:p w14:paraId="41C60472" w14:textId="77777777"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r w:rsidRPr="00C8305E">
        <w:rPr>
          <w:rFonts w:asciiTheme="majorHAnsi" w:hAnsiTheme="majorHAnsi" w:cstheme="majorHAnsi"/>
          <w:color w:val="000000" w:themeColor="text1"/>
          <w:sz w:val="22"/>
          <w:szCs w:val="22"/>
        </w:rPr>
        <w:t>In active inference, the mapping between causes (e.g.,</w:t>
      </w:r>
      <w:r w:rsidRPr="00C8305E">
        <w:rPr>
          <w:rFonts w:asciiTheme="majorHAnsi" w:hAnsiTheme="majorHAnsi" w:cstheme="majorHAnsi"/>
          <w:noProof/>
          <w:color w:val="000000" w:themeColor="text1"/>
          <w:sz w:val="22"/>
          <w:szCs w:val="22"/>
        </w:rPr>
        <w:t xml:space="preserve"> states and policies</w:t>
      </w:r>
      <w:r w:rsidRPr="00C8305E">
        <w:rPr>
          <w:rFonts w:asciiTheme="majorHAnsi" w:hAnsiTheme="majorHAnsi" w:cstheme="majorHAnsi"/>
          <w:color w:val="000000" w:themeColor="text1"/>
          <w:sz w:val="22"/>
          <w:szCs w:val="22"/>
        </w:rPr>
        <w:t xml:space="preserve">) and consequences (e.g., sensory outcomes) are parameterised in terms of probabilistic mappings that necessarily have a </w:t>
      </w:r>
      <w:r w:rsidRPr="00C8305E">
        <w:rPr>
          <w:rFonts w:asciiTheme="majorHAnsi" w:hAnsiTheme="majorHAnsi" w:cstheme="majorHAnsi"/>
          <w:i/>
          <w:iCs/>
          <w:color w:val="000000" w:themeColor="text1"/>
          <w:sz w:val="22"/>
          <w:szCs w:val="22"/>
        </w:rPr>
        <w:t>precision</w:t>
      </w:r>
      <w:r w:rsidRPr="00C8305E">
        <w:rPr>
          <w:rFonts w:asciiTheme="majorHAnsi" w:hAnsiTheme="majorHAnsi" w:cstheme="majorHAnsi"/>
          <w:color w:val="000000" w:themeColor="text1"/>
          <w:sz w:val="22"/>
          <w:szCs w:val="22"/>
        </w:rPr>
        <w:t xml:space="preserve">. In other words, the contingencies implicit in likelihood mappings can have different degrees of reliability, ambiguity, or uncertainty. For instance, if my child starts running towards the sea, as she gets further away (and closer to the water), my beliefs about whether she is in danger of drowning will become increasingly imprecise. Then, to disambiguate (hidden) states of affairs, I might plan an epistemic, representational strategy: running after my child to ensure she doesn’t go into the water without supervision. Had I known that my child would start running towards danger, I could have restrained her. After multiple visits at the beach, this might become my deontic, automatic, dynamic strategy (e.g., setting foot on the sand causes my arm to grab my child). </w:t>
      </w:r>
    </w:p>
    <w:p w14:paraId="64A553F7" w14:textId="77777777"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p>
    <w:p w14:paraId="359320AB"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lang w:val="en-CA"/>
        </w:rPr>
        <w:t xml:space="preserve">This means that the more ‘representationalist’ picture of the continuous rational influence of planning, we claim, is subtly mistaken. For example, suppose I am playing table-tennis well. My context sensitive ‘precision settings’ are all apt, no unexpected circumstances arise (alien invasions etc.). In such circumstances, I harvest a flow of expected kinds of prediction errors. These get resolved, in broadly predictable ways, as play unfolds without pushing far up the processing hierarchy. But if ‘unexpected surprises’ (for more on this distinction, see Yu &amp; Dayan (2005)) occur, some errors are more fundamentally unresolved and get pushed higher. This provides the seed for re-organizing the precision of various likelihood mappings to lend more weight to different kinds of (internal, external, and action-involving) information. That, we suggest, is how we can remain constantly poised (e.g., Sutton’s compelling (2007) work on expert cricket) for nuance, even while behaving in the fast, fluent manner of a ‘habit machine’. In a deep sense, we exist in that moment as a habit machine – that is nonetheless constantly poised to become another transient machine should the need arise. This speaks to the coalition between representational and dynamic pathways illustrated in figure 3. </w:t>
      </w:r>
    </w:p>
    <w:p w14:paraId="68591636" w14:textId="77777777"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p>
    <w:p w14:paraId="2EBDDE7E" w14:textId="4EBEB540"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r w:rsidRPr="00C8305E">
        <w:rPr>
          <w:rFonts w:asciiTheme="majorHAnsi" w:hAnsiTheme="majorHAnsi" w:cstheme="majorHAnsi"/>
          <w:color w:val="000000" w:themeColor="text1"/>
          <w:sz w:val="22"/>
          <w:szCs w:val="22"/>
          <w:lang w:val="en-CA"/>
        </w:rPr>
        <w:lastRenderedPageBreak/>
        <w:t xml:space="preserve">Put another way, wherever possible, simple ‘habit’ systems should guide behavior, dealing with expected prediction error fluently and fast. But where these fail, or where a change of context indicates the need, more and more knowledge-intensive resources (internal and external) can be assembled, via new waves of precision-weighting, to quash any outstanding prediction errors (i.e., free energy) – see Pezzulo and colleagues (2015) for a complete argument. Hence, we should not deny that there really is, in advanced minds, what representationalists correctly describes as “immense storage of causal knowledge” (Hohwy, 2019). But via moment by moment, self-organising, free energy minimising kinetics, we manifest as a succession of relatively special-purpose brain-body-world devices, strung together by those shifting but self-organising webs of precision-weighting. Importantly, it is self-organising around free energy that itself delivers the subsequent precision variations that recruit the ‘next machine’. There is no precision-master sitting atop this web, carefully deciding moment by moment just how to assign precision – there’s just the generative model itself. </w:t>
      </w:r>
      <w:bookmarkStart w:id="20" w:name="_Toc11499318"/>
    </w:p>
    <w:p w14:paraId="450D4344" w14:textId="77777777" w:rsidR="00C8305E" w:rsidRPr="00C8305E" w:rsidRDefault="00C8305E" w:rsidP="00C8305E">
      <w:pPr>
        <w:pStyle w:val="Heading2"/>
      </w:pPr>
      <w:r w:rsidRPr="00C8305E">
        <w:t>5.2 Second worry</w:t>
      </w:r>
      <w:bookmarkEnd w:id="20"/>
      <w:r w:rsidRPr="00C8305E">
        <w:t xml:space="preserve"> </w:t>
      </w:r>
    </w:p>
    <w:p w14:paraId="5E24946C" w14:textId="31779557" w:rsidR="00C8305E" w:rsidRPr="00C8305E" w:rsidRDefault="00C8305E" w:rsidP="00C8305E">
      <w:pPr>
        <w:spacing w:line="360" w:lineRule="auto"/>
        <w:jc w:val="both"/>
        <w:rPr>
          <w:rFonts w:asciiTheme="majorHAnsi" w:hAnsiTheme="majorHAnsi" w:cstheme="majorHAnsi"/>
          <w:color w:val="000000" w:themeColor="text1"/>
          <w:sz w:val="22"/>
          <w:szCs w:val="22"/>
          <w:lang w:val="en-CA"/>
        </w:rPr>
      </w:pPr>
      <w:r w:rsidRPr="00C8305E">
        <w:rPr>
          <w:rFonts w:asciiTheme="majorHAnsi" w:hAnsiTheme="majorHAnsi" w:cstheme="majorHAnsi"/>
          <w:color w:val="000000" w:themeColor="text1"/>
          <w:sz w:val="22"/>
          <w:szCs w:val="22"/>
          <w:lang w:val="en-CA"/>
        </w:rPr>
        <w:t xml:space="preserve">At this point a new version of representationalist worry may arise. For it may seem that precision estimates – the roots of each episode of re-structuring – are cognitively expensive and purely inner-model-bound. But this too – or so we have been arguing – is subtly mistaken. If we shift perspectives and timescales, we can see the human-built cognitive niche as itself a prime reservoir, both of achieved precision estimations and of tools for cheaply estimating precisions on-the-fly. And once learnt, they allow non-representation involving deontic action pathway (e.g., positioning cheap cues in the world such as warning triangles around a broken-down vehicle). These otherwise arbitrary structures attract attention and act as local proxies for precision (e.g., Roepstorff et al. (2010), Hutchins (2014), Paton, Skewes, Frith and Hohwy (2013). Urgent fonts, food packaging, and priestly robes all provide handy shortcuts for our precision estimating brains. Squint just a little bit and much of the human-built world – including all those patterned social practices such as stopping at red traffic lights – can be seen as a bag of tricks for managing precision estimation and epistemic trust </w:t>
      </w:r>
      <w:r w:rsidRPr="00C8305E">
        <w:rPr>
          <w:rFonts w:asciiTheme="majorHAnsi" w:hAnsiTheme="majorHAnsi" w:cstheme="majorHAnsi"/>
          <w:color w:val="000000" w:themeColor="text1"/>
          <w:sz w:val="22"/>
          <w:szCs w:val="22"/>
          <w:lang w:val="en-CA"/>
        </w:rPr>
        <w:fldChar w:fldCharType="begin">
          <w:fldData xml:space="preserve">PEVuZE5vdGU+PENpdGU+PEF1dGhvcj5Gb25hZ3k8L0F1dGhvcj48WWVhcj4yMDE0PC9ZZWFyPjxS
ZWNOdW0+MjIwNTwvUmVjTnVtPjxEaXNwbGF5VGV4dD4oRm9uYWd5IGFuZCBBbGxpc29uLCAyMDE0
OyBQYXJyIGFuZCBGcmlzdG9uLCAyMDE3KTwvRGlzcGxheVRleHQ+PHJlY29yZD48cmVjLW51bWJl
cj4yMjA1PC9yZWMtbnVtYmVyPjxmb3JlaWduLWtleXM+PGtleSBhcHA9IkVOIiBkYi1pZD0ienJ0
end4czVleHZ3ZGtlc2Z4NHhzd3huenYwcHZlZjVzcGY5IiB0aW1lc3RhbXA9IjE1NTAzMzUwMTUi
PjIyMDU8L2tleT48L2ZvcmVpZ24ta2V5cz48cmVmLXR5cGUgbmFtZT0iSm91cm5hbCBBcnRpY2xl
Ij4xNzwvcmVmLXR5cGU+PGNvbnRyaWJ1dG9ycz48YXV0aG9ycz48YXV0aG9yPkZvbmFneSwgUC48
L2F1dGhvcj48YXV0aG9yPkFsbGlzb24sIEUuPC9hdXRob3I+PC9hdXRob3JzPjwvY29udHJpYnV0
b3JzPjxhdXRoLWFkZHJlc3M+UmVzZWFyY2ggRGVwYXJ0bWVudCBvZiBDbGluaWNhbCwgRWR1Y2F0
aW9uYWwgYW5kIEhlYWx0aCBQc3ljaG9sb2d5LCBVbml2ZXJzaXR5IENvbGxlZ2UgTG9uZG9uLjwv
YXV0aC1hZGRyZXNzPjx0aXRsZXM+PHRpdGxlPlRoZSByb2xlIG9mIG1lbnRhbGl6aW5nIGFuZCBl
cGlzdGVtaWMgdHJ1c3QgaW4gdGhlIHRoZXJhcGV1dGljIHJlbGF0aW9uc2hpcDwvdGl0bGU+PHNl
Y29uZGFyeS10aXRsZT5Qc3ljaG90aGVyYXB5IChDaGljKTwvc2Vjb25kYXJ5LXRpdGxlPjxhbHQt
dGl0bGU+UHN5Y2hvdGhlcmFweSAoQ2hpY2FnbywgSWxsLik8L2FsdC10aXRsZT48L3RpdGxlcz48
cGVyaW9kaWNhbD48ZnVsbC10aXRsZT5Qc3ljaG90aGVyYXB5IChDaGljKTwvZnVsbC10aXRsZT48
YWJici0xPlBzeWNob3RoZXJhcHkgKENoaWNhZ28sIElsbC4pPC9hYmJyLTE+PC9wZXJpb2RpY2Fs
PjxhbHQtcGVyaW9kaWNhbD48ZnVsbC10aXRsZT5Qc3ljaG90aGVyYXB5IChDaGljKTwvZnVsbC10
aXRsZT48YWJici0xPlBzeWNob3RoZXJhcHkgKENoaWNhZ28sIElsbC4pPC9hYmJyLTE+PC9hbHQt
cGVyaW9kaWNhbD48cGFnZXM+MzcyLTgwPC9wYWdlcz48dm9sdW1lPjUxPC92b2x1bWU+PG51bWJl
cj4zPC9udW1iZXI+PGVkaXRpb24+MjAxNC8wNC8zMDwvZWRpdGlvbj48a2V5d29yZHM+PGtleXdv
cmQ+Q29tbXVuaWNhdGlvbjwva2V5d29yZD48a2V5d29yZD5IdW1hbnM8L2tleXdvcmQ+PGtleXdv
cmQ+TWVudGFsIERpc29yZGVycy8qdGhlcmFweTwva2V5d29yZD48a2V5d29yZD5PYmplY3QgQXR0
YWNobWVudDwva2V5d29yZD48a2V5d29yZD4qUHJvZmVzc2lvbmFsLVBhdGllbnQgUmVsYXRpb25z
PC9rZXl3b3JkPjxrZXl3b3JkPlBzeWNob3RoZXJhcHkvKm1ldGhvZHM8L2tleXdvcmQ+PGtleXdv
cmQ+VGhlb3J5IG9mIE1pbmQvKnBoeXNpb2xvZ3k8L2tleXdvcmQ+PGtleXdvcmQ+VHJ1c3QvKnBz
eWNob2xvZ3k8L2tleXdvcmQ+PC9rZXl3b3Jkcz48ZGF0ZXM+PHllYXI+MjAxNDwveWVhcj48cHVi
LWRhdGVzPjxkYXRlPlNlcDwvZGF0ZT48L3B1Yi1kYXRlcz48L2RhdGVzPjxpc2JuPjAwMzMtMzIw
NDwvaXNibj48YWNjZXNzaW9uLW51bT4yNDc3MzA5MjwvYWNjZXNzaW9uLW51bT48dXJscz48L3Vy
bHM+PGVsZWN0cm9uaWMtcmVzb3VyY2UtbnVtPjEwLjEwMzcvYTAwMzY1MDU8L2VsZWN0cm9uaWMt
cmVzb3VyY2UtbnVtPjxyZW1vdGUtZGF0YWJhc2UtcHJvdmlkZXI+TkxNPC9yZW1vdGUtZGF0YWJh
c2UtcHJvdmlkZXI+PGxhbmd1YWdlPmVuZzwvbGFuZ3VhZ2U+PC9yZWNvcmQ+PC9DaXRlPjxDaXRl
PjxBdXRob3I+UGFycjwvQXV0aG9yPjxZZWFyPjIwMTc8L1llYXI+PFJlY051bT4yMTI2PC9SZWNO
dW0+PHJlY29yZD48cmVjLW51bWJlcj4yMTI2PC9yZWMtbnVtYmVyPjxmb3JlaWduLWtleXM+PGtl
eSBhcHA9IkVOIiBkYi1pZD0ienJ0end4czVleHZ3ZGtlc2Z4NHhzd3huenYwcHZlZjVzcGY5IiB0
aW1lc3RhbXA9IjE1MzEwNjEzNjgiPjIxMjY8L2tleT48L2ZvcmVpZ24ta2V5cz48cmVmLXR5cGUg
bmFtZT0iSm91cm5hbCBBcnRpY2xlIj4xNzwvcmVmLXR5cGU+PGNvbnRyaWJ1dG9ycz48YXV0aG9y
cz48YXV0aG9yPlBhcnIsIFRob21hczwvYXV0aG9yPjxhdXRob3I+RnJpc3RvbiwgS2FybCBKLjwv
YXV0aG9yPjwvYXV0aG9ycz48L2NvbnRyaWJ1dG9ycz48dGl0bGVzPjx0aXRsZT5VbmNlcnRhaW50
eSwgZXBpc3RlbWljcyBhbmQgYWN0aXZlIGluZmVyZW5jZTwvdGl0bGU+PHNlY29uZGFyeS10aXRs
ZT5Kb3VybmFsIG9mIHRoZSBSb3lhbCBTb2NpZXR5IEludGVyZmFjZTwvc2Vjb25kYXJ5LXRpdGxl
PjwvdGl0bGVzPjxwZXJpb2RpY2FsPjxmdWxsLXRpdGxlPkpvdXJuYWwgb2YgdGhlIFJveWFsIFNv
Y2lldHkgSW50ZXJmYWNlPC9mdWxsLXRpdGxlPjwvcGVyaW9kaWNhbD48cGFnZXM+MjAxNzAzNzY8
L3BhZ2VzPjx2b2x1bWU+MTQ8L3ZvbHVtZT48bnVtYmVyPjEzNjwvbnVtYmVyPjxkYXRlcz48eWVh
cj4yMDE3PC95ZWFyPjxwdWItZGF0ZXM+PGRhdGU+MTEvMjImI3hEOzA1LzIyL3JlY2VpdmVkJiN4
RDsxMC8yNy9hY2NlcHRlZDwvZGF0ZT48L3B1Yi1kYXRlcz48L2RhdGVzPjxwdWJsaXNoZXI+VGhl
IFJveWFsIFNvY2lldHk8L3B1Ymxpc2hlcj48aXNibj4xNzQyLTU2ODkmI3hEOzE3NDItNTY2Mjwv
aXNibj48YWNjZXNzaW9uLW51bT5QTUM1NzIxMTQ4PC9hY2Nlc3Npb24tbnVtPjx1cmxzPjxyZWxh
dGVkLXVybHM+PHVybD5odHRwOi8vd3d3Lm5jYmkubmxtLm5paC5nb3YvcG1jL2FydGljbGVzL1BN
QzU3MjExNDgvPC91cmw+PC9yZWxhdGVkLXVybHM+PC91cmxzPjxlbGVjdHJvbmljLXJlc291cmNl
LW51bT4xMC4xMDk4L3JzaWYuMjAxNy4wMzc2PC9lbGVjdHJvbmljLXJlc291cmNlLW51bT48cmVt
b3RlLWRhdGFiYXNlLW5hbWU+UE1DPC9yZW1vdGUtZGF0YWJhc2UtbmFtZT48L3JlY29yZD48L0Np
dGU+PC9FbmROb3RlPn==
</w:fldData>
        </w:fldChar>
      </w:r>
      <w:r w:rsidRPr="00C8305E">
        <w:rPr>
          <w:rFonts w:asciiTheme="majorHAnsi" w:hAnsiTheme="majorHAnsi" w:cstheme="majorHAnsi"/>
          <w:color w:val="000000" w:themeColor="text1"/>
          <w:sz w:val="22"/>
          <w:szCs w:val="22"/>
          <w:lang w:val="en-CA"/>
        </w:rPr>
        <w:instrText xml:space="preserve"> ADDIN EN.CITE </w:instrText>
      </w:r>
      <w:r w:rsidRPr="00C8305E">
        <w:rPr>
          <w:rFonts w:asciiTheme="majorHAnsi" w:hAnsiTheme="majorHAnsi" w:cstheme="majorHAnsi"/>
          <w:color w:val="000000" w:themeColor="text1"/>
          <w:sz w:val="22"/>
          <w:szCs w:val="22"/>
          <w:lang w:val="en-CA"/>
        </w:rPr>
        <w:fldChar w:fldCharType="begin">
          <w:fldData xml:space="preserve">PEVuZE5vdGU+PENpdGU+PEF1dGhvcj5Gb25hZ3k8L0F1dGhvcj48WWVhcj4yMDE0PC9ZZWFyPjxS
ZWNOdW0+MjIwNTwvUmVjTnVtPjxEaXNwbGF5VGV4dD4oRm9uYWd5IGFuZCBBbGxpc29uLCAyMDE0
OyBQYXJyIGFuZCBGcmlzdG9uLCAyMDE3KTwvRGlzcGxheVRleHQ+PHJlY29yZD48cmVjLW51bWJl
cj4yMjA1PC9yZWMtbnVtYmVyPjxmb3JlaWduLWtleXM+PGtleSBhcHA9IkVOIiBkYi1pZD0ienJ0
end4czVleHZ3ZGtlc2Z4NHhzd3huenYwcHZlZjVzcGY5IiB0aW1lc3RhbXA9IjE1NTAzMzUwMTUi
PjIyMDU8L2tleT48L2ZvcmVpZ24ta2V5cz48cmVmLXR5cGUgbmFtZT0iSm91cm5hbCBBcnRpY2xl
Ij4xNzwvcmVmLXR5cGU+PGNvbnRyaWJ1dG9ycz48YXV0aG9ycz48YXV0aG9yPkZvbmFneSwgUC48
L2F1dGhvcj48YXV0aG9yPkFsbGlzb24sIEUuPC9hdXRob3I+PC9hdXRob3JzPjwvY29udHJpYnV0
b3JzPjxhdXRoLWFkZHJlc3M+UmVzZWFyY2ggRGVwYXJ0bWVudCBvZiBDbGluaWNhbCwgRWR1Y2F0
aW9uYWwgYW5kIEhlYWx0aCBQc3ljaG9sb2d5LCBVbml2ZXJzaXR5IENvbGxlZ2UgTG9uZG9uLjwv
YXV0aC1hZGRyZXNzPjx0aXRsZXM+PHRpdGxlPlRoZSByb2xlIG9mIG1lbnRhbGl6aW5nIGFuZCBl
cGlzdGVtaWMgdHJ1c3QgaW4gdGhlIHRoZXJhcGV1dGljIHJlbGF0aW9uc2hpcDwvdGl0bGU+PHNl
Y29uZGFyeS10aXRsZT5Qc3ljaG90aGVyYXB5IChDaGljKTwvc2Vjb25kYXJ5LXRpdGxlPjxhbHQt
dGl0bGU+UHN5Y2hvdGhlcmFweSAoQ2hpY2FnbywgSWxsLik8L2FsdC10aXRsZT48L3RpdGxlcz48
cGVyaW9kaWNhbD48ZnVsbC10aXRsZT5Qc3ljaG90aGVyYXB5IChDaGljKTwvZnVsbC10aXRsZT48
YWJici0xPlBzeWNob3RoZXJhcHkgKENoaWNhZ28sIElsbC4pPC9hYmJyLTE+PC9wZXJpb2RpY2Fs
PjxhbHQtcGVyaW9kaWNhbD48ZnVsbC10aXRsZT5Qc3ljaG90aGVyYXB5IChDaGljKTwvZnVsbC10
aXRsZT48YWJici0xPlBzeWNob3RoZXJhcHkgKENoaWNhZ28sIElsbC4pPC9hYmJyLTE+PC9hbHQt
cGVyaW9kaWNhbD48cGFnZXM+MzcyLTgwPC9wYWdlcz48dm9sdW1lPjUxPC92b2x1bWU+PG51bWJl
cj4zPC9udW1iZXI+PGVkaXRpb24+MjAxNC8wNC8zMDwvZWRpdGlvbj48a2V5d29yZHM+PGtleXdv
cmQ+Q29tbXVuaWNhdGlvbjwva2V5d29yZD48a2V5d29yZD5IdW1hbnM8L2tleXdvcmQ+PGtleXdv
cmQ+TWVudGFsIERpc29yZGVycy8qdGhlcmFweTwva2V5d29yZD48a2V5d29yZD5PYmplY3QgQXR0
YWNobWVudDwva2V5d29yZD48a2V5d29yZD4qUHJvZmVzc2lvbmFsLVBhdGllbnQgUmVsYXRpb25z
PC9rZXl3b3JkPjxrZXl3b3JkPlBzeWNob3RoZXJhcHkvKm1ldGhvZHM8L2tleXdvcmQ+PGtleXdv
cmQ+VGhlb3J5IG9mIE1pbmQvKnBoeXNpb2xvZ3k8L2tleXdvcmQ+PGtleXdvcmQ+VHJ1c3QvKnBz
eWNob2xvZ3k8L2tleXdvcmQ+PC9rZXl3b3Jkcz48ZGF0ZXM+PHllYXI+MjAxNDwveWVhcj48cHVi
LWRhdGVzPjxkYXRlPlNlcDwvZGF0ZT48L3B1Yi1kYXRlcz48L2RhdGVzPjxpc2JuPjAwMzMtMzIw
NDwvaXNibj48YWNjZXNzaW9uLW51bT4yNDc3MzA5MjwvYWNjZXNzaW9uLW51bT48dXJscz48L3Vy
bHM+PGVsZWN0cm9uaWMtcmVzb3VyY2UtbnVtPjEwLjEwMzcvYTAwMzY1MDU8L2VsZWN0cm9uaWMt
cmVzb3VyY2UtbnVtPjxyZW1vdGUtZGF0YWJhc2UtcHJvdmlkZXI+TkxNPC9yZW1vdGUtZGF0YWJh
c2UtcHJvdmlkZXI+PGxhbmd1YWdlPmVuZzwvbGFuZ3VhZ2U+PC9yZWNvcmQ+PC9DaXRlPjxDaXRl
PjxBdXRob3I+UGFycjwvQXV0aG9yPjxZZWFyPjIwMTc8L1llYXI+PFJlY051bT4yMTI2PC9SZWNO
dW0+PHJlY29yZD48cmVjLW51bWJlcj4yMTI2PC9yZWMtbnVtYmVyPjxmb3JlaWduLWtleXM+PGtl
eSBhcHA9IkVOIiBkYi1pZD0ienJ0end4czVleHZ3ZGtlc2Z4NHhzd3huenYwcHZlZjVzcGY5IiB0
aW1lc3RhbXA9IjE1MzEwNjEzNjgiPjIxMjY8L2tleT48L2ZvcmVpZ24ta2V5cz48cmVmLXR5cGUg
bmFtZT0iSm91cm5hbCBBcnRpY2xlIj4xNzwvcmVmLXR5cGU+PGNvbnRyaWJ1dG9ycz48YXV0aG9y
cz48YXV0aG9yPlBhcnIsIFRob21hczwvYXV0aG9yPjxhdXRob3I+RnJpc3RvbiwgS2FybCBKLjwv
YXV0aG9yPjwvYXV0aG9ycz48L2NvbnRyaWJ1dG9ycz48dGl0bGVzPjx0aXRsZT5VbmNlcnRhaW50
eSwgZXBpc3RlbWljcyBhbmQgYWN0aXZlIGluZmVyZW5jZTwvdGl0bGU+PHNlY29uZGFyeS10aXRs
ZT5Kb3VybmFsIG9mIHRoZSBSb3lhbCBTb2NpZXR5IEludGVyZmFjZTwvc2Vjb25kYXJ5LXRpdGxl
PjwvdGl0bGVzPjxwZXJpb2RpY2FsPjxmdWxsLXRpdGxlPkpvdXJuYWwgb2YgdGhlIFJveWFsIFNv
Y2lldHkgSW50ZXJmYWNlPC9mdWxsLXRpdGxlPjwvcGVyaW9kaWNhbD48cGFnZXM+MjAxNzAzNzY8
L3BhZ2VzPjx2b2x1bWU+MTQ8L3ZvbHVtZT48bnVtYmVyPjEzNjwvbnVtYmVyPjxkYXRlcz48eWVh
cj4yMDE3PC95ZWFyPjxwdWItZGF0ZXM+PGRhdGU+MTEvMjImI3hEOzA1LzIyL3JlY2VpdmVkJiN4
RDsxMC8yNy9hY2NlcHRlZDwvZGF0ZT48L3B1Yi1kYXRlcz48L2RhdGVzPjxwdWJsaXNoZXI+VGhl
IFJveWFsIFNvY2lldHk8L3B1Ymxpc2hlcj48aXNibj4xNzQyLTU2ODkmI3hEOzE3NDItNTY2Mjwv
aXNibj48YWNjZXNzaW9uLW51bT5QTUM1NzIxMTQ4PC9hY2Nlc3Npb24tbnVtPjx1cmxzPjxyZWxh
dGVkLXVybHM+PHVybD5odHRwOi8vd3d3Lm5jYmkubmxtLm5paC5nb3YvcG1jL2FydGljbGVzL1BN
QzU3MjExNDgvPC91cmw+PC9yZWxhdGVkLXVybHM+PC91cmxzPjxlbGVjdHJvbmljLXJlc291cmNl
LW51bT4xMC4xMDk4L3JzaWYuMjAxNy4wMzc2PC9lbGVjdHJvbmljLXJlc291cmNlLW51bT48cmVt
b3RlLWRhdGFiYXNlLW5hbWU+UE1DPC9yZW1vdGUtZGF0YWJhc2UtbmFtZT48L3JlY29yZD48L0Np
dGU+PC9FbmROb3RlPn==
</w:fldData>
        </w:fldChar>
      </w:r>
      <w:r w:rsidRPr="00C8305E">
        <w:rPr>
          <w:rFonts w:asciiTheme="majorHAnsi" w:hAnsiTheme="majorHAnsi" w:cstheme="majorHAnsi"/>
          <w:color w:val="000000" w:themeColor="text1"/>
          <w:sz w:val="22"/>
          <w:szCs w:val="22"/>
          <w:lang w:val="en-CA"/>
        </w:rPr>
        <w:instrText xml:space="preserve"> ADDIN EN.CITE.DATA </w:instrText>
      </w:r>
      <w:r w:rsidRPr="00C8305E">
        <w:rPr>
          <w:rFonts w:asciiTheme="majorHAnsi" w:hAnsiTheme="majorHAnsi" w:cstheme="majorHAnsi"/>
          <w:color w:val="000000" w:themeColor="text1"/>
          <w:sz w:val="22"/>
          <w:szCs w:val="22"/>
          <w:lang w:val="en-CA"/>
        </w:rPr>
      </w:r>
      <w:r w:rsidRPr="00C8305E">
        <w:rPr>
          <w:rFonts w:asciiTheme="majorHAnsi" w:hAnsiTheme="majorHAnsi" w:cstheme="majorHAnsi"/>
          <w:color w:val="000000" w:themeColor="text1"/>
          <w:sz w:val="22"/>
          <w:szCs w:val="22"/>
          <w:lang w:val="en-CA"/>
        </w:rPr>
        <w:fldChar w:fldCharType="end"/>
      </w:r>
      <w:r w:rsidRPr="00C8305E">
        <w:rPr>
          <w:rFonts w:asciiTheme="majorHAnsi" w:hAnsiTheme="majorHAnsi" w:cstheme="majorHAnsi"/>
          <w:color w:val="000000" w:themeColor="text1"/>
          <w:sz w:val="22"/>
          <w:szCs w:val="22"/>
          <w:lang w:val="en-CA"/>
        </w:rPr>
      </w:r>
      <w:r w:rsidRPr="00C8305E">
        <w:rPr>
          <w:rFonts w:asciiTheme="majorHAnsi" w:hAnsiTheme="majorHAnsi" w:cstheme="majorHAnsi"/>
          <w:color w:val="000000" w:themeColor="text1"/>
          <w:sz w:val="22"/>
          <w:szCs w:val="22"/>
          <w:lang w:val="en-CA"/>
        </w:rPr>
        <w:fldChar w:fldCharType="separate"/>
      </w:r>
      <w:r w:rsidRPr="00C8305E">
        <w:rPr>
          <w:rFonts w:asciiTheme="majorHAnsi" w:hAnsiTheme="majorHAnsi" w:cstheme="majorHAnsi"/>
          <w:noProof/>
          <w:color w:val="000000" w:themeColor="text1"/>
          <w:sz w:val="22"/>
          <w:szCs w:val="22"/>
          <w:lang w:val="en-CA"/>
        </w:rPr>
        <w:t>(Fonagy and Allison, 2014; Parr and Friston, 2017)</w:t>
      </w:r>
      <w:r w:rsidRPr="00C8305E">
        <w:rPr>
          <w:rFonts w:asciiTheme="majorHAnsi" w:hAnsiTheme="majorHAnsi" w:cstheme="majorHAnsi"/>
          <w:color w:val="000000" w:themeColor="text1"/>
          <w:sz w:val="22"/>
          <w:szCs w:val="22"/>
          <w:lang w:val="en-CA"/>
        </w:rPr>
        <w:fldChar w:fldCharType="end"/>
      </w:r>
      <w:r w:rsidRPr="00C8305E">
        <w:rPr>
          <w:rFonts w:asciiTheme="majorHAnsi" w:hAnsiTheme="majorHAnsi" w:cstheme="majorHAnsi"/>
          <w:color w:val="000000" w:themeColor="text1"/>
          <w:sz w:val="22"/>
          <w:szCs w:val="22"/>
          <w:lang w:val="en-CA"/>
        </w:rPr>
        <w:t xml:space="preserve">. And, as we behave in the present niche, we gradually alter it, ‘uploading’ (Constant et al., 2018) more and more of our individual and collective precision estimations into persisting (transmissible) material and social structures. These, in turn, alter the inner models that individuals need to command to negotiate their worlds. </w:t>
      </w:r>
      <w:bookmarkStart w:id="21" w:name="_Toc11499319"/>
    </w:p>
    <w:p w14:paraId="3C5EE98C" w14:textId="77777777" w:rsidR="00C8305E" w:rsidRPr="00C8305E" w:rsidRDefault="00C8305E" w:rsidP="00C8305E">
      <w:pPr>
        <w:pStyle w:val="Heading2"/>
      </w:pPr>
      <w:r w:rsidRPr="00C8305E">
        <w:lastRenderedPageBreak/>
        <w:t>5.3 Third worry</w:t>
      </w:r>
      <w:bookmarkEnd w:id="21"/>
      <w:r w:rsidRPr="00C8305E">
        <w:t xml:space="preserve"> </w:t>
      </w:r>
    </w:p>
    <w:p w14:paraId="4A5CC63E" w14:textId="4EF1D3EC"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A final representationalist worry may be that fast and frugal, non-representational deontic action could simply not yield adaptive behaviour in a highly volatile world like ours and thus may lead to suboptimal, maladaptive decision making (e.g., decision making that fails to generate action that succeeds with respect to environmental challenges); especially, if our generative models of precision are not apt for a volatile world </w:t>
      </w:r>
      <w:r w:rsidRPr="00C8305E">
        <w:rPr>
          <w:rFonts w:asciiTheme="majorHAnsi" w:hAnsiTheme="majorHAnsi" w:cstheme="majorHAnsi"/>
          <w:color w:val="000000" w:themeColor="text1"/>
          <w:sz w:val="22"/>
          <w:szCs w:val="22"/>
        </w:rPr>
        <w:fldChar w:fldCharType="begin">
          <w:fldData xml:space="preserve">PEVuZE5vdGU+PENpdGU+PEF1dGhvcj5QYXJyPC9BdXRob3I+PFllYXI+MjAxODwvWWVhcj48UmVj
TnVtPjIwNzc8L1JlY051bT48RGlzcGxheVRleHQ+KFBhcnIgZXQgYWwuLCAyMDE4YTsgUGFyciBl
dCBhbC4sIDIwMThiKTwvRGlzcGxheVRleHQ+PHJlY29yZD48cmVjLW51bWJlcj4yMDc3PC9yZWMt
bnVtYmVyPjxmb3JlaWduLWtleXM+PGtleSBhcHA9IkVOIiBkYi1pZD0ienJ0end4czVleHZ3ZGtl
c2Z4NHhzd3huenYwcHZlZjVzcGY5IiB0aW1lc3RhbXA9IjE1MjQwNjY4MTYiPjIwNzc8L2tleT48
L2ZvcmVpZ24ta2V5cz48cmVmLXR5cGUgbmFtZT0iSm91cm5hbCBBcnRpY2xlIj4xNzwvcmVmLXR5
cGU+PGNvbnRyaWJ1dG9ycz48YXV0aG9ycz48YXV0aG9yPlBhcnIsIFQuPC9hdXRob3I+PGF1dGhv
cj5SZWVzLCBHLjwvYXV0aG9yPjxhdXRob3I+RnJpc3RvbiwgSy4gSi48L2F1dGhvcj48L2F1dGhv
cnM+PC9jb250cmlidXRvcnM+PGF1dGgtYWRkcmVzcz5XZWxsY29tZSBUcnVzdCBDZW50cmUgZm9y
IE5ldXJvaW1hZ2luZywgSW5zdGl0dXRlIG9mIE5ldXJvbG9neSwgVW5pdmVyc2l0eSBDb2xsZWdl
IExvbmRvbiwgTG9uZG9uLCBVbml0ZWQgS2luZ2RvbS4mI3hEO0luc3RpdHV0ZSBvZiBDb2duaXRp
dmUgTmV1cm9zY2llbmNlLCBVbml2ZXJzaXR5IENvbGxlZ2UgTG9uZG9uLCBMb25kb24sIFVuaXRl
ZCBLaW5nZG9tLjwvYXV0aC1hZGRyZXNzPjx0aXRsZXM+PHRpdGxlPkNvbXB1dGF0aW9uYWwgTmV1
cm9wc3ljaG9sb2d5IGFuZCBCYXllc2lhbiBJbmZlcmVuY2U8L3RpdGxlPjxzZWNvbmRhcnktdGl0
bGU+RnJvbnQgSHVtIE5ldXJvc2NpPC9zZWNvbmRhcnktdGl0bGU+PGFsdC10aXRsZT5Gcm9udGll
cnMgaW4gaHVtYW4gbmV1cm9zY2llbmNlPC9hbHQtdGl0bGU+PC90aXRsZXM+PGFsdC1wZXJpb2Rp
Y2FsPjxmdWxsLXRpdGxlPkZyb250aWVycyBpbiBIdW1hbiBOZXVyb3NjaWVuY2U8L2Z1bGwtdGl0
bGU+PC9hbHQtcGVyaW9kaWNhbD48cGFnZXM+NjE8L3BhZ2VzPjx2b2x1bWU+MTI8L3ZvbHVtZT48
ZWRpdGlvbj4yMDE4LzAzLzEzPC9lZGl0aW9uPjxrZXl3b3Jkcz48a2V5d29yZD5hY3RpdmUgaW5m
ZXJlbmNlPC9rZXl3b3JkPjxrZXl3b3JkPmNvbXB1dGF0aW9uYWwgcGhlbm90eXBpbmc8L2tleXdv
cmQ+PGtleXdvcmQ+bmV1cm9wc3ljaG9sb2d5PC9rZXl3b3JkPjxrZXl3b3JkPnByZWNpc2lvbjwv
a2V5d29yZD48a2V5d29yZD5wcmVkaWN0aXZlIGNvZGluZzwva2V5d29yZD48L2tleXdvcmRzPjxk
YXRlcz48eWVhcj4yMDE4PC95ZWFyPjwvZGF0ZXM+PGlzYm4+MTY2Mi01MTYxIChQcmludCkmI3hE
OzE2NjItNTE2MTwvaXNibj48YWNjZXNzaW9uLW51bT4yOTUyNzE1NzwvYWNjZXNzaW9uLW51bT48
dXJscz48L3VybHM+PGN1c3RvbTI+UG1jNTgyOTQ2MDwvY3VzdG9tMj48ZWxlY3Ryb25pYy1yZXNv
dXJjZS1udW0+MTAuMzM4OS9mbmh1bS4yMDE4LjAwMDYxPC9lbGVjdHJvbmljLXJlc291cmNlLW51
bT48cmVtb3RlLWRhdGFiYXNlLXByb3ZpZGVyPk5MTTwvcmVtb3RlLWRhdGFiYXNlLXByb3ZpZGVy
PjxsYW5ndWFnZT5lbmc8L2xhbmd1YWdlPjwvcmVjb3JkPjwvQ2l0ZT48Q2l0ZT48QXV0aG9yPlBh
cnI8L0F1dGhvcj48WWVhcj4yMDE4PC9ZZWFyPjxSZWNOdW0+MjI2NDwvUmVjTnVtPjxyZWNvcmQ+
PHJlYy1udW1iZXI+MjI2NDwvcmVjLW51bWJlcj48Zm9yZWlnbi1rZXlzPjxrZXkgYXBwPSJFTiIg
ZGItaWQ9InpydHp3eHM1ZXh2d2RrZXNmeDR4c3d4bnp2MHB2ZWY1c3BmOSIgdGltZXN0YW1wPSIx
NTUwOTQzNTMyIj4yMjY0PC9rZXk+PC9mb3JlaWduLWtleXM+PHJlZi10eXBlIG5hbWU9IkpvdXJu
YWwgQXJ0aWNsZSI+MTc8L3JlZi10eXBlPjxjb250cmlidXRvcnM+PGF1dGhvcnM+PGF1dGhvcj5Q
YXJyLCBUaG9tYXM8L2F1dGhvcj48YXV0aG9yPkJlbnJpbW9oLCBEYXZpZDwvYXV0aG9yPjxhdXRo
b3I+VmluY2VudCwgUGV0ZXI8L2F1dGhvcj48YXV0aG9yPkZyaXN0b24sIEthcmw8L2F1dGhvcj48
L2F1dGhvcnM+PC9jb250cmlidXRvcnM+PHRpdGxlcz48dGl0bGU+UHJlY2lzaW9uIGFuZCBmYWxz
ZSBwZXJjZXB0dWFsIGluZmVyZW5jZTwvdGl0bGU+PHNlY29uZGFyeS10aXRsZT5Gcm9udC4gSW50
ZWdyLiBOZXVyb3NjaS48L3NlY29uZGFyeS10aXRsZT48L3RpdGxlcz48cGVyaW9kaWNhbD48ZnVs
bC10aXRsZT5Gcm9udC4gSW50ZWdyLiBOZXVyb3NjaS48L2Z1bGwtdGl0bGU+PC9wZXJpb2RpY2Fs
PjxkYXRlcz48eWVhcj4yMDE4PC95ZWFyPjwvZGF0ZXM+PHVybHM+PHJlbGF0ZWQtdXJscz48dXJs
Pmh0dHBzOi8vd3d3LmZyb250aWVyc2luLm9yZy9hcnRpY2xlcy8xMC4zMzg5L2ZuaW50LjIwMTgu
MDAwMzkvPC91cmw+PC9yZWxhdGVkLXVybHM+PC91cmxzPjxlbGVjdHJvbmljLXJlc291cmNlLW51
bT4xMC4zMzg5L2ZuaW50LjIwMTguMDAwMzk8L2VsZWN0cm9uaWMtcmVzb3VyY2UtbnVtPjwvcmVj
b3JkPjwvQ2l0ZT48L0VuZE5vdGU+
</w:fldData>
        </w:fldChar>
      </w:r>
      <w:r w:rsidRPr="00C8305E">
        <w:rPr>
          <w:rFonts w:asciiTheme="majorHAnsi" w:hAnsiTheme="majorHAnsi" w:cstheme="majorHAnsi"/>
          <w:color w:val="000000" w:themeColor="text1"/>
          <w:sz w:val="22"/>
          <w:szCs w:val="22"/>
        </w:rPr>
        <w:instrText xml:space="preserve"> ADDIN EN.CITE </w:instrText>
      </w:r>
      <w:r w:rsidRPr="00C8305E">
        <w:rPr>
          <w:rFonts w:asciiTheme="majorHAnsi" w:hAnsiTheme="majorHAnsi" w:cstheme="majorHAnsi"/>
          <w:color w:val="000000" w:themeColor="text1"/>
          <w:sz w:val="22"/>
          <w:szCs w:val="22"/>
        </w:rPr>
        <w:fldChar w:fldCharType="begin">
          <w:fldData xml:space="preserve">PEVuZE5vdGU+PENpdGU+PEF1dGhvcj5QYXJyPC9BdXRob3I+PFllYXI+MjAxODwvWWVhcj48UmVj
TnVtPjIwNzc8L1JlY051bT48RGlzcGxheVRleHQ+KFBhcnIgZXQgYWwuLCAyMDE4YTsgUGFyciBl
dCBhbC4sIDIwMThiKTwvRGlzcGxheVRleHQ+PHJlY29yZD48cmVjLW51bWJlcj4yMDc3PC9yZWMt
bnVtYmVyPjxmb3JlaWduLWtleXM+PGtleSBhcHA9IkVOIiBkYi1pZD0ienJ0end4czVleHZ3ZGtl
c2Z4NHhzd3huenYwcHZlZjVzcGY5IiB0aW1lc3RhbXA9IjE1MjQwNjY4MTYiPjIwNzc8L2tleT48
L2ZvcmVpZ24ta2V5cz48cmVmLXR5cGUgbmFtZT0iSm91cm5hbCBBcnRpY2xlIj4xNzwvcmVmLXR5
cGU+PGNvbnRyaWJ1dG9ycz48YXV0aG9ycz48YXV0aG9yPlBhcnIsIFQuPC9hdXRob3I+PGF1dGhv
cj5SZWVzLCBHLjwvYXV0aG9yPjxhdXRob3I+RnJpc3RvbiwgSy4gSi48L2F1dGhvcj48L2F1dGhv
cnM+PC9jb250cmlidXRvcnM+PGF1dGgtYWRkcmVzcz5XZWxsY29tZSBUcnVzdCBDZW50cmUgZm9y
IE5ldXJvaW1hZ2luZywgSW5zdGl0dXRlIG9mIE5ldXJvbG9neSwgVW5pdmVyc2l0eSBDb2xsZWdl
IExvbmRvbiwgTG9uZG9uLCBVbml0ZWQgS2luZ2RvbS4mI3hEO0luc3RpdHV0ZSBvZiBDb2duaXRp
dmUgTmV1cm9zY2llbmNlLCBVbml2ZXJzaXR5IENvbGxlZ2UgTG9uZG9uLCBMb25kb24sIFVuaXRl
ZCBLaW5nZG9tLjwvYXV0aC1hZGRyZXNzPjx0aXRsZXM+PHRpdGxlPkNvbXB1dGF0aW9uYWwgTmV1
cm9wc3ljaG9sb2d5IGFuZCBCYXllc2lhbiBJbmZlcmVuY2U8L3RpdGxlPjxzZWNvbmRhcnktdGl0
bGU+RnJvbnQgSHVtIE5ldXJvc2NpPC9zZWNvbmRhcnktdGl0bGU+PGFsdC10aXRsZT5Gcm9udGll
cnMgaW4gaHVtYW4gbmV1cm9zY2llbmNlPC9hbHQtdGl0bGU+PC90aXRsZXM+PGFsdC1wZXJpb2Rp
Y2FsPjxmdWxsLXRpdGxlPkZyb250aWVycyBpbiBIdW1hbiBOZXVyb3NjaWVuY2U8L2Z1bGwtdGl0
bGU+PC9hbHQtcGVyaW9kaWNhbD48cGFnZXM+NjE8L3BhZ2VzPjx2b2x1bWU+MTI8L3ZvbHVtZT48
ZWRpdGlvbj4yMDE4LzAzLzEzPC9lZGl0aW9uPjxrZXl3b3Jkcz48a2V5d29yZD5hY3RpdmUgaW5m
ZXJlbmNlPC9rZXl3b3JkPjxrZXl3b3JkPmNvbXB1dGF0aW9uYWwgcGhlbm90eXBpbmc8L2tleXdv
cmQ+PGtleXdvcmQ+bmV1cm9wc3ljaG9sb2d5PC9rZXl3b3JkPjxrZXl3b3JkPnByZWNpc2lvbjwv
a2V5d29yZD48a2V5d29yZD5wcmVkaWN0aXZlIGNvZGluZzwva2V5d29yZD48L2tleXdvcmRzPjxk
YXRlcz48eWVhcj4yMDE4PC95ZWFyPjwvZGF0ZXM+PGlzYm4+MTY2Mi01MTYxIChQcmludCkmI3hE
OzE2NjItNTE2MTwvaXNibj48YWNjZXNzaW9uLW51bT4yOTUyNzE1NzwvYWNjZXNzaW9uLW51bT48
dXJscz48L3VybHM+PGN1c3RvbTI+UG1jNTgyOTQ2MDwvY3VzdG9tMj48ZWxlY3Ryb25pYy1yZXNv
dXJjZS1udW0+MTAuMzM4OS9mbmh1bS4yMDE4LjAwMDYxPC9lbGVjdHJvbmljLXJlc291cmNlLW51
bT48cmVtb3RlLWRhdGFiYXNlLXByb3ZpZGVyPk5MTTwvcmVtb3RlLWRhdGFiYXNlLXByb3ZpZGVy
PjxsYW5ndWFnZT5lbmc8L2xhbmd1YWdlPjwvcmVjb3JkPjwvQ2l0ZT48Q2l0ZT48QXV0aG9yPlBh
cnI8L0F1dGhvcj48WWVhcj4yMDE4PC9ZZWFyPjxSZWNOdW0+MjI2NDwvUmVjTnVtPjxyZWNvcmQ+
PHJlYy1udW1iZXI+MjI2NDwvcmVjLW51bWJlcj48Zm9yZWlnbi1rZXlzPjxrZXkgYXBwPSJFTiIg
ZGItaWQ9InpydHp3eHM1ZXh2d2RrZXNmeDR4c3d4bnp2MHB2ZWY1c3BmOSIgdGltZXN0YW1wPSIx
NTUwOTQzNTMyIj4yMjY0PC9rZXk+PC9mb3JlaWduLWtleXM+PHJlZi10eXBlIG5hbWU9IkpvdXJu
YWwgQXJ0aWNsZSI+MTc8L3JlZi10eXBlPjxjb250cmlidXRvcnM+PGF1dGhvcnM+PGF1dGhvcj5Q
YXJyLCBUaG9tYXM8L2F1dGhvcj48YXV0aG9yPkJlbnJpbW9oLCBEYXZpZDwvYXV0aG9yPjxhdXRo
b3I+VmluY2VudCwgUGV0ZXI8L2F1dGhvcj48YXV0aG9yPkZyaXN0b24sIEthcmw8L2F1dGhvcj48
L2F1dGhvcnM+PC9jb250cmlidXRvcnM+PHRpdGxlcz48dGl0bGU+UHJlY2lzaW9uIGFuZCBmYWxz
ZSBwZXJjZXB0dWFsIGluZmVyZW5jZTwvdGl0bGU+PHNlY29uZGFyeS10aXRsZT5Gcm9udC4gSW50
ZWdyLiBOZXVyb3NjaS48L3NlY29uZGFyeS10aXRsZT48L3RpdGxlcz48cGVyaW9kaWNhbD48ZnVs
bC10aXRsZT5Gcm9udC4gSW50ZWdyLiBOZXVyb3NjaS48L2Z1bGwtdGl0bGU+PC9wZXJpb2RpY2Fs
PjxkYXRlcz48eWVhcj4yMDE4PC95ZWFyPjwvZGF0ZXM+PHVybHM+PHJlbGF0ZWQtdXJscz48dXJs
Pmh0dHBzOi8vd3d3LmZyb250aWVyc2luLm9yZy9hcnRpY2xlcy8xMC4zMzg5L2ZuaW50LjIwMTgu
MDAwMzkvPC91cmw+PC9yZWxhdGVkLXVybHM+PC91cmxzPjxlbGVjdHJvbmljLXJlc291cmNlLW51
bT4xMC4zMzg5L2ZuaW50LjIwMTguMDAwMzk8L2VsZWN0cm9uaWMtcmVzb3VyY2UtbnVtPjwvcmVj
b3JkPjwvQ2l0ZT48L0VuZE5vdGU+
</w:fldData>
        </w:fldChar>
      </w:r>
      <w:r w:rsidRPr="00C8305E">
        <w:rPr>
          <w:rFonts w:asciiTheme="majorHAnsi" w:hAnsiTheme="majorHAnsi" w:cstheme="majorHAnsi"/>
          <w:color w:val="000000" w:themeColor="text1"/>
          <w:sz w:val="22"/>
          <w:szCs w:val="22"/>
        </w:rPr>
        <w:instrText xml:space="preserve"> ADDIN EN.CITE.DATA </w:instrText>
      </w:r>
      <w:r w:rsidRPr="00C8305E">
        <w:rPr>
          <w:rFonts w:asciiTheme="majorHAnsi" w:hAnsiTheme="majorHAnsi" w:cstheme="majorHAnsi"/>
          <w:color w:val="000000" w:themeColor="text1"/>
          <w:sz w:val="22"/>
          <w:szCs w:val="22"/>
        </w:rPr>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r>
      <w:r w:rsidRPr="00C8305E">
        <w:rPr>
          <w:rFonts w:asciiTheme="majorHAnsi" w:hAnsiTheme="majorHAnsi" w:cstheme="majorHAnsi"/>
          <w:color w:val="000000" w:themeColor="text1"/>
          <w:sz w:val="22"/>
          <w:szCs w:val="22"/>
        </w:rPr>
        <w:fldChar w:fldCharType="separate"/>
      </w:r>
      <w:r w:rsidRPr="00C8305E">
        <w:rPr>
          <w:rFonts w:asciiTheme="majorHAnsi" w:hAnsiTheme="majorHAnsi" w:cstheme="majorHAnsi"/>
          <w:noProof/>
          <w:color w:val="000000" w:themeColor="text1"/>
          <w:sz w:val="22"/>
          <w:szCs w:val="22"/>
        </w:rPr>
        <w:t>(Parr et al., 2018a; Parr et al., 2018b)</w:t>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t xml:space="preserve">. Consequently, one should favour explanations based on rich reconstructing planning. This is a fair worry; a fair worry for humans in general, not for the dynamicists’ perspective, though. Indeed, humans learn to generate deontic actions that do not always lead to the ‘Machiavellian’, or perhaps ‘Darwinian’ utility maximising option relative to the current environment; we miss steps and fall down the stairs, forget to stop on the red, develop disorders such as PTSD that makes us misperceive threats, and generate many more maladaptive traits </w:t>
      </w:r>
      <w:r w:rsidRPr="00C8305E">
        <w:rPr>
          <w:rFonts w:asciiTheme="majorHAnsi" w:hAnsiTheme="majorHAnsi" w:cstheme="majorHAnsi"/>
          <w:color w:val="000000" w:themeColor="text1"/>
          <w:sz w:val="22"/>
          <w:szCs w:val="22"/>
        </w:rPr>
        <w:fldChar w:fldCharType="begin">
          <w:fldData xml:space="preserve">PEVuZE5vdGU+PENpdGU+PEF1dGhvcj5QZXRlcnM8L0F1dGhvcj48WWVhcj4yMDE3PC9ZZWFyPjxS
ZWNOdW0+MTkwMDwvUmVjTnVtPjxEaXNwbGF5VGV4dD4oQmFkY29jayBldCBhbC4sIDIwMTc7IENv
cm53ZWxsIGV0IGFsLiwgMjAxNzsgUGV0ZXJzIGV0IGFsLiwgMjAxNyk8L0Rpc3BsYXlUZXh0Pjxy
ZWNvcmQ+PHJlYy1udW1iZXI+MTkwMDwvcmVjLW51bWJlcj48Zm9yZWlnbi1rZXlzPjxrZXkgYXBw
PSJFTiIgZGItaWQ9InpydHp3eHM1ZXh2d2RrZXNmeDR4c3d4bnp2MHB2ZWY1c3BmOSIgdGltZXN0
YW1wPSIxNTAwMjM2MDc3Ij4xOTAwPC9rZXk+PC9mb3JlaWduLWtleXM+PHJlZi10eXBlIG5hbWU9
IkpvdXJuYWwgQXJ0aWNsZSI+MTc8L3JlZi10eXBlPjxjb250cmlidXRvcnM+PGF1dGhvcnM+PGF1
dGhvcj5QZXRlcnMsIEEuPC9hdXRob3I+PGF1dGhvcj5NY0V3ZW4sIEIuIFMuPC9hdXRob3I+PGF1
dGhvcj5GcmlzdG9uLCBLLjwvYXV0aG9yPjwvYXV0aG9ycz48L2NvbnRyaWJ1dG9ycz48YXV0aC1h
ZGRyZXNzPk1lZGljYWwgQ2xpbmljIDEsIEVuZG9jcmlub2xvZ3kgJmFtcDsgRGlhYmV0ZXMsIFVu
aXZlcnNpdHkgb2YgTHVlYmVjaywgTHVlYmVjaywgR2VybWFueS4gRWxlY3Ryb25pYyBhZGRyZXNz
OiBhY2hpbS5wZXRlcnNAdWtzaC5kZS4mI3hEO0hhcm9sZCBhbmQgTWFyZ2FyZXQgTWlsbGlrZW4g
SGF0Y2ggTGFib3JhdG9yeSBvZiBOZXVyb2VuZG9jcmlub2xvZ3ksIFRoZSBSb2NrZWZlbGxlciBV
bml2ZXJzaXR5LCBOZXcgWW9yaywgTlksIFVTQS4gRWxlY3Ryb25pYyBhZGRyZXNzOiBtY2V3ZW5A
bWFpbC5yb2NrZWZlbGxlci5lZHUuJiN4RDtUaGUgV2VsbGNvbWUgVHJ1c3QgQ2VudHJlIGZvciBO
ZXVyb2ltYWdpbmcsIFVuaXZlcnNpdHkgQ29sbGVnZSBMb25kb24sIExvbmRvbiwgVUsuIEVsZWN0
cm9uaWMgYWRkcmVzczogay5mcmlzdG9uQHVjbC5hYy51ay48L2F1dGgtYWRkcmVzcz48dGl0bGVz
Pjx0aXRsZT5VbmNlcnRhaW50eSBhbmQgc3RyZXNzOiBXaHkgaXQgY2F1c2VzIGRpc2Vhc2VzIGFu
ZCBob3cgaXQgaXMgbWFzdGVyZWQgYnkgdGhlIGJyYWluPC90aXRsZT48c2Vjb25kYXJ5LXRpdGxl
PlByb2cgTmV1cm9iaW9sPC9zZWNvbmRhcnktdGl0bGU+PGFsdC10aXRsZT5Qcm9ncmVzcyBpbiBu
ZXVyb2Jpb2xvZ3k8L2FsdC10aXRsZT48L3RpdGxlcz48cGVyaW9kaWNhbD48ZnVsbC10aXRsZT5Q
cm9nIE5ldXJvYmlvbDwvZnVsbC10aXRsZT48L3BlcmlvZGljYWw+PGFsdC1wZXJpb2RpY2FsPjxm
dWxsLXRpdGxlPlByb2dyZXNzIGluIE5ldXJvYmlvbG9neTwvZnVsbC10aXRsZT48YWJici0xPlBy
b2cuIE5ldXJvYmlvbC48L2FiYnItMT48L2FsdC1wZXJpb2RpY2FsPjxlZGl0aW9uPjIwMTcvMDYv
MDQ8L2VkaXRpb24+PGtleXdvcmRzPjxrZXl3b3JkPkFsbG9zdGF0aWMgbG9hZDwva2V5d29yZD48
a2V5d29yZD5BdGhlcm9zY2xlcm9zaXM8L2tleXdvcmQ+PGtleXdvcmQ+QXR0ZW50aW9uPC9rZXl3
b3JkPjxrZXl3b3JkPkJheWVzaWFuIEJyYWluPC9rZXl3b3JkPjxrZXl3b3JkPkJyYWluIGVuZXJn
eSBtZXRhYm9saXNtPC9rZXl3b3JkPjxrZXl3b3JkPkxlYXJuaW5nPC9rZXl3b3JkPjxrZXl3b3Jk
PlNlbGZpc2ggQnJhaW48L2tleXdvcmQ+PGtleXdvcmQ+U3RyZXNzIGRlZmluaXRpb248L2tleXdv
cmQ+PGtleXdvcmQ+U3RyZXNzIGhhYml0dWF0aW9uPC9rZXl3b3JkPjxrZXl3b3JkPlVuY2VydGFp
bnR5PC9rZXl3b3JkPjxrZXl3b3JkPlZhcmlhdGlvbmFsIGZyZWUgZW5lcmd5PC9rZXl3b3JkPjxr
ZXl3b3JkPm1vcnRhbGl0eTwva2V5d29yZD48L2tleXdvcmRzPjxkYXRlcz48eWVhcj4yMDE3PC95
ZWFyPjxwdWItZGF0ZXM+PGRhdGU+TWF5IDMwPC9kYXRlPjwvcHViLWRhdGVzPjwvZGF0ZXM+PGlz
Ym4+MDMwMS0wMDgyPC9pc2JuPjxhY2Nlc3Npb24tbnVtPjI4NTc2NjY0PC9hY2Nlc3Npb24tbnVt
Pjx1cmxzPjwvdXJscz48ZWxlY3Ryb25pYy1yZXNvdXJjZS1udW0+MTAuMTAxNi9qLnBuZXVyb2Jp
by4yMDE3LjA1LjAwNDwvZWxlY3Ryb25pYy1yZXNvdXJjZS1udW0+PHJlbW90ZS1kYXRhYmFzZS1w
cm92aWRlcj5OTE08L3JlbW90ZS1kYXRhYmFzZS1wcm92aWRlcj48bGFuZ3VhZ2U+ZW5nPC9sYW5n
dWFnZT48L3JlY29yZD48L0NpdGU+PENpdGU+PEF1dGhvcj5Db3Jud2VsbDwvQXV0aG9yPjxZZWFy
PjIwMTc8L1llYXI+PFJlY051bT4yMDQ5PC9SZWNOdW0+PHJlY29yZD48cmVjLW51bWJlcj4yMDQ5
PC9yZWMtbnVtYmVyPjxmb3JlaWduLWtleXM+PGtleSBhcHA9IkVOIiBkYi1pZD0ienJ0end4czVl
eHZ3ZGtlc2Z4NHhzd3huenYwcHZlZjVzcGY5IiB0aW1lc3RhbXA9IjE1MTgyODAyODUiPjIwNDk8
L2tleT48L2ZvcmVpZ24ta2V5cz48cmVmLXR5cGUgbmFtZT0iSm91cm5hbCBBcnRpY2xlIj4xNzwv
cmVmLXR5cGU+PGNvbnRyaWJ1dG9ycz48YXV0aG9ycz48YXV0aG9yPkNvcm53ZWxsLCBCLiBSLjwv
YXV0aG9yPjxhdXRob3I+R2FycmlkbywgTS4gSS48L2F1dGhvcj48YXV0aG9yPk92ZXJzdHJlZXQs
IEMuPC9hdXRob3I+PGF1dGhvcj5QaW5lLCBELiBTLjwvYXV0aG9yPjxhdXRob3I+R3JpbGxvbiwg
Qy48L2F1dGhvcj48L2F1dGhvcnM+PC9jb250cmlidXRvcnM+PGF1dGgtYWRkcmVzcz5CcmFpbiBh
bmQgUHN5Y2hvbG9naWNhbCBTY2llbmNlcyBSZXNlYXJjaCBDZW50cmUsIEZhY3VsdHkgb2YgSGVh
bHRoLCBBcnRzIGFuZCBEZXNpZ24sIFN3aW5idXJuZSBVbml2ZXJzaXR5IG9mIFRlY2hub2xvZ3ks
IEhhd3Rob3JuLCBBdXN0cmFsaWE7IE5hdGlvbmFsIEluc3RpdHV0ZSBvZiBNZW50YWwgSGVhbHRo
LCBOYXRpb25hbCBJbnN0aXR1dGVzIG9mIEhlYWx0aCwgQmV0aGVzZGEsIE1hcnlsYW5kLiBFbGVj
dHJvbmljIGFkZHJlc3M6IGJjb3Jud2VsbEBzd2luLmVkdS5hdS4mI3hEO1F1ZWVuc2xhbmQgQnJh
aW4gSW5zdGl0dXRlLCBDZW50cmUgZm9yIEFkdmFuY2VkIEltYWdpbmcgYW5kIEFSQyBDZW50cmUg
b2YgRXhjZWxsZW5jZSBmb3IgSW50ZWdyYXRpdmUgQnJhaW4gRnVuY3Rpb24sIFVuaXZlcnNpdHkg
b2YgUXVlZW5zbGFuZCwgQnJpc2JhbmUsIEF1c3RyYWxpYTsgU2Nob29sIG9mIE1hdGhlbWF0aWNz
IGFuZCBQaHlzaWNzLCBVbml2ZXJzaXR5IG9mIFF1ZWVuc2xhbmQsIEJyaXNiYW5lLCBBdXN0cmFs
aWEuJiN4RDtQc3ljaG9sb2d5IERlcGFydG1lbnQsIFZpcmdpbmlhIENvbW1vbndlYWx0aCBVbml2
ZXJzaXR5LCBSaWNobW9uZCwgVmlyZ2luaWEuJiN4RDtOYXRpb25hbCBJbnN0aXR1dGUgb2YgTWVu
dGFsIEhlYWx0aCwgTmF0aW9uYWwgSW5zdGl0dXRlcyBvZiBIZWFsdGgsIEJldGhlc2RhLCBNYXJ5
bGFuZC48L2F1dGgtYWRkcmVzcz48dGl0bGVzPjx0aXRsZT5UaGUgVW5wcmVkaWN0aXZlIEJyYWlu
IFVuZGVyIFRocmVhdDogQSBOZXVyb2NvbXB1dGF0aW9uYWwgQWNjb3VudCBvZiBBbnhpb3VzIEh5
cGVydmlnaWxhbmNlPC90aXRsZT48c2Vjb25kYXJ5LXRpdGxlPkJpb2wgUHN5Y2hpYXRyeTwvc2Vj
b25kYXJ5LXRpdGxlPjxhbHQtdGl0bGU+QmlvbG9naWNhbCBwc3ljaGlhdHJ5PC9hbHQtdGl0bGU+
PC90aXRsZXM+PHBlcmlvZGljYWw+PGZ1bGwtdGl0bGU+QmlvbCBQc3ljaGlhdHJ5PC9mdWxsLXRp
dGxlPjwvcGVyaW9kaWNhbD48YWx0LXBlcmlvZGljYWw+PGZ1bGwtdGl0bGU+QmlvbG9naWNhbCBQ
c3ljaGlhdHJ5PC9mdWxsLXRpdGxlPjwvYWx0LXBlcmlvZGljYWw+PHBhZ2VzPjQ0Ny00NTQ8L3Bh
Z2VzPjx2b2x1bWU+ODI8L3ZvbHVtZT48bnVtYmVyPjY8L251bWJlcj48ZWRpdGlvbj4yMDE3LzA4
LzI2PC9lZGl0aW9uPjxrZXl3b3Jkcz48a2V5d29yZD5BbnhpZXR5PC9rZXl3b3JkPjxrZXl3b3Jk
PkR5bmFtaWMgY2F1c2FsIG1vZGVsaW5nPC9rZXl3b3JkPjxrZXl3b3JkPkdhYmE8L2tleXdvcmQ+
PGtleXdvcmQ+SHlwZXJ2aWdpbGFuY2U8L2tleXdvcmQ+PGtleXdvcmQ+TWFnbmV0b2VuY2VwaGFs
b2dyYXBoeTwva2V5d29yZD48a2V5d29yZD5NaXNtYXRjaCBuZWdhdGl2aXR5PC9rZXl3b3JkPjwv
a2V5d29yZHM+PGRhdGVzPjx5ZWFyPjIwMTc8L3llYXI+PHB1Yi1kYXRlcz48ZGF0ZT5TZXAgMTU8
L2RhdGU+PC9wdWItZGF0ZXM+PC9kYXRlcz48aXNibj4wMDA2LTMyMjM8L2lzYm4+PGFjY2Vzc2lv
bi1udW0+Mjg4Mzg0Njk8L2FjY2Vzc2lvbi1udW0+PHVybHM+PC91cmxzPjxjdXN0b20yPlBtYzU1
ODQ1Nzk8L2N1c3RvbTI+PGN1c3RvbTY+TmlobXM4OTE3MTc8L2N1c3RvbTY+PGVsZWN0cm9uaWMt
cmVzb3VyY2UtbnVtPjEwLjEwMTYvai5iaW9wc3ljaC4yMDE3LjA2LjAzMTwvZWxlY3Ryb25pYy1y
ZXNvdXJjZS1udW0+PHJlbW90ZS1kYXRhYmFzZS1wcm92aWRlcj5OTE08L3JlbW90ZS1kYXRhYmFz
ZS1wcm92aWRlcj48bGFuZ3VhZ2U+ZW5nPC9sYW5ndWFnZT48L3JlY29yZD48L0NpdGU+PENpdGU+
PEF1dGhvcj5CYWRjb2NrPC9BdXRob3I+PFllYXI+MjAxNzwvWWVhcj48UmVjTnVtPjIxMjQ8L1Jl
Y051bT48cmVjb3JkPjxyZWMtbnVtYmVyPjIxMjQ8L3JlYy1udW1iZXI+PGZvcmVpZ24ta2V5cz48
a2V5IGFwcD0iRU4iIGRiLWlkPSJ6cnR6d3hzNWV4dndka2VzZng0eHN3eG56djBwdmVmNXNwZjki
IHRpbWVzdGFtcD0iMTUzMTA1Mzc1MCI+MjEyNDwva2V5PjwvZm9yZWlnbi1rZXlzPjxyZWYtdHlw
ZSBuYW1lPSJKb3VybmFsIEFydGljbGUiPjE3PC9yZWYtdHlwZT48Y29udHJpYnV0b3JzPjxhdXRo
b3JzPjxhdXRob3I+QmFkY29jaywgUGF1bCBCLjwvYXV0aG9yPjxhdXRob3I+RGF2ZXksIENocmlz
dG9waGVyIEcuPC9hdXRob3I+PGF1dGhvcj5XaGl0dGxlLCBTYXJhaDwvYXV0aG9yPjxhdXRob3I+
QWxsZW4sIE5pY2hvbGFzIEIuPC9hdXRob3I+PGF1dGhvcj5GcmlzdG9uLCBLYXJsIEouPC9hdXRo
b3I+PC9hdXRob3JzPjwvY29udHJpYnV0b3JzPjx0aXRsZXM+PHRpdGxlPlRoZSBEZXByZXNzZWQg
QnJhaW46IEFuIEV2b2x1dGlvbmFyeSBTeXN0ZW1zIFRoZW9yeTwvdGl0bGU+PHNlY29uZGFyeS10
aXRsZT5UcmVuZHMgaW4gQ29nbml0aXZlIFNjaWVuY2VzPC9zZWNvbmRhcnktdGl0bGU+PC90aXRs
ZXM+PHBlcmlvZGljYWw+PGZ1bGwtdGl0bGU+VHJlbmRzIGluIENvZ25pdGl2ZSBTY2llbmNlczwv
ZnVsbC10aXRsZT48L3BlcmlvZGljYWw+PHBhZ2VzPjE4Mi0xOTQ8L3BhZ2VzPjx2b2x1bWU+MjE8
L3ZvbHVtZT48bnVtYmVyPjM8L251bWJlcj48ZGF0ZXM+PHllYXI+MjAxNzwveWVhcj48L2RhdGVz
PjxwdWJsaXNoZXI+RWxzZXZpZXI8L3B1Ymxpc2hlcj48aXNibj4xMzY0LTY2MTM8L2lzYm4+PHVy
bHM+PHJlbGF0ZWQtdXJscz48dXJsPmh0dHA6Ly9keC5kb2kub3JnLzEwLjEwMTYvai50aWNzLjIw
MTcuMDEuMDA1PC91cmw+PC9yZWxhdGVkLXVybHM+PC91cmxzPjxlbGVjdHJvbmljLXJlc291cmNl
LW51bT4xMC4xMDE2L2oudGljcy4yMDE3LjAxLjAwNTwvZWxlY3Ryb25pYy1yZXNvdXJjZS1udW0+
PGFjY2Vzcy1kYXRlPjIwMTgvMDcvMDg8L2FjY2Vzcy1kYXRlPjwvcmVjb3JkPjwvQ2l0ZT48L0Vu
ZE5vdGU+
</w:fldData>
        </w:fldChar>
      </w:r>
      <w:r w:rsidRPr="00C8305E">
        <w:rPr>
          <w:rFonts w:asciiTheme="majorHAnsi" w:hAnsiTheme="majorHAnsi" w:cstheme="majorHAnsi"/>
          <w:color w:val="000000" w:themeColor="text1"/>
          <w:sz w:val="22"/>
          <w:szCs w:val="22"/>
        </w:rPr>
        <w:instrText xml:space="preserve"> ADDIN EN.CITE </w:instrText>
      </w:r>
      <w:r w:rsidRPr="00C8305E">
        <w:rPr>
          <w:rFonts w:asciiTheme="majorHAnsi" w:hAnsiTheme="majorHAnsi" w:cstheme="majorHAnsi"/>
          <w:color w:val="000000" w:themeColor="text1"/>
          <w:sz w:val="22"/>
          <w:szCs w:val="22"/>
        </w:rPr>
        <w:fldChar w:fldCharType="begin">
          <w:fldData xml:space="preserve">PEVuZE5vdGU+PENpdGU+PEF1dGhvcj5QZXRlcnM8L0F1dGhvcj48WWVhcj4yMDE3PC9ZZWFyPjxS
ZWNOdW0+MTkwMDwvUmVjTnVtPjxEaXNwbGF5VGV4dD4oQmFkY29jayBldCBhbC4sIDIwMTc7IENv
cm53ZWxsIGV0IGFsLiwgMjAxNzsgUGV0ZXJzIGV0IGFsLiwgMjAxNyk8L0Rpc3BsYXlUZXh0Pjxy
ZWNvcmQ+PHJlYy1udW1iZXI+MTkwMDwvcmVjLW51bWJlcj48Zm9yZWlnbi1rZXlzPjxrZXkgYXBw
PSJFTiIgZGItaWQ9InpydHp3eHM1ZXh2d2RrZXNmeDR4c3d4bnp2MHB2ZWY1c3BmOSIgdGltZXN0
YW1wPSIxNTAwMjM2MDc3Ij4xOTAwPC9rZXk+PC9mb3JlaWduLWtleXM+PHJlZi10eXBlIG5hbWU9
IkpvdXJuYWwgQXJ0aWNsZSI+MTc8L3JlZi10eXBlPjxjb250cmlidXRvcnM+PGF1dGhvcnM+PGF1
dGhvcj5QZXRlcnMsIEEuPC9hdXRob3I+PGF1dGhvcj5NY0V3ZW4sIEIuIFMuPC9hdXRob3I+PGF1
dGhvcj5GcmlzdG9uLCBLLjwvYXV0aG9yPjwvYXV0aG9ycz48L2NvbnRyaWJ1dG9ycz48YXV0aC1h
ZGRyZXNzPk1lZGljYWwgQ2xpbmljIDEsIEVuZG9jcmlub2xvZ3kgJmFtcDsgRGlhYmV0ZXMsIFVu
aXZlcnNpdHkgb2YgTHVlYmVjaywgTHVlYmVjaywgR2VybWFueS4gRWxlY3Ryb25pYyBhZGRyZXNz
OiBhY2hpbS5wZXRlcnNAdWtzaC5kZS4mI3hEO0hhcm9sZCBhbmQgTWFyZ2FyZXQgTWlsbGlrZW4g
SGF0Y2ggTGFib3JhdG9yeSBvZiBOZXVyb2VuZG9jcmlub2xvZ3ksIFRoZSBSb2NrZWZlbGxlciBV
bml2ZXJzaXR5LCBOZXcgWW9yaywgTlksIFVTQS4gRWxlY3Ryb25pYyBhZGRyZXNzOiBtY2V3ZW5A
bWFpbC5yb2NrZWZlbGxlci5lZHUuJiN4RDtUaGUgV2VsbGNvbWUgVHJ1c3QgQ2VudHJlIGZvciBO
ZXVyb2ltYWdpbmcsIFVuaXZlcnNpdHkgQ29sbGVnZSBMb25kb24sIExvbmRvbiwgVUsuIEVsZWN0
cm9uaWMgYWRkcmVzczogay5mcmlzdG9uQHVjbC5hYy51ay48L2F1dGgtYWRkcmVzcz48dGl0bGVz
Pjx0aXRsZT5VbmNlcnRhaW50eSBhbmQgc3RyZXNzOiBXaHkgaXQgY2F1c2VzIGRpc2Vhc2VzIGFu
ZCBob3cgaXQgaXMgbWFzdGVyZWQgYnkgdGhlIGJyYWluPC90aXRsZT48c2Vjb25kYXJ5LXRpdGxl
PlByb2cgTmV1cm9iaW9sPC9zZWNvbmRhcnktdGl0bGU+PGFsdC10aXRsZT5Qcm9ncmVzcyBpbiBu
ZXVyb2Jpb2xvZ3k8L2FsdC10aXRsZT48L3RpdGxlcz48cGVyaW9kaWNhbD48ZnVsbC10aXRsZT5Q
cm9nIE5ldXJvYmlvbDwvZnVsbC10aXRsZT48L3BlcmlvZGljYWw+PGFsdC1wZXJpb2RpY2FsPjxm
dWxsLXRpdGxlPlByb2dyZXNzIGluIE5ldXJvYmlvbG9neTwvZnVsbC10aXRsZT48YWJici0xPlBy
b2cuIE5ldXJvYmlvbC48L2FiYnItMT48L2FsdC1wZXJpb2RpY2FsPjxlZGl0aW9uPjIwMTcvMDYv
MDQ8L2VkaXRpb24+PGtleXdvcmRzPjxrZXl3b3JkPkFsbG9zdGF0aWMgbG9hZDwva2V5d29yZD48
a2V5d29yZD5BdGhlcm9zY2xlcm9zaXM8L2tleXdvcmQ+PGtleXdvcmQ+QXR0ZW50aW9uPC9rZXl3
b3JkPjxrZXl3b3JkPkJheWVzaWFuIEJyYWluPC9rZXl3b3JkPjxrZXl3b3JkPkJyYWluIGVuZXJn
eSBtZXRhYm9saXNtPC9rZXl3b3JkPjxrZXl3b3JkPkxlYXJuaW5nPC9rZXl3b3JkPjxrZXl3b3Jk
PlNlbGZpc2ggQnJhaW48L2tleXdvcmQ+PGtleXdvcmQ+U3RyZXNzIGRlZmluaXRpb248L2tleXdv
cmQ+PGtleXdvcmQ+U3RyZXNzIGhhYml0dWF0aW9uPC9rZXl3b3JkPjxrZXl3b3JkPlVuY2VydGFp
bnR5PC9rZXl3b3JkPjxrZXl3b3JkPlZhcmlhdGlvbmFsIGZyZWUgZW5lcmd5PC9rZXl3b3JkPjxr
ZXl3b3JkPm1vcnRhbGl0eTwva2V5d29yZD48L2tleXdvcmRzPjxkYXRlcz48eWVhcj4yMDE3PC95
ZWFyPjxwdWItZGF0ZXM+PGRhdGU+TWF5IDMwPC9kYXRlPjwvcHViLWRhdGVzPjwvZGF0ZXM+PGlz
Ym4+MDMwMS0wMDgyPC9pc2JuPjxhY2Nlc3Npb24tbnVtPjI4NTc2NjY0PC9hY2Nlc3Npb24tbnVt
Pjx1cmxzPjwvdXJscz48ZWxlY3Ryb25pYy1yZXNvdXJjZS1udW0+MTAuMTAxNi9qLnBuZXVyb2Jp
by4yMDE3LjA1LjAwNDwvZWxlY3Ryb25pYy1yZXNvdXJjZS1udW0+PHJlbW90ZS1kYXRhYmFzZS1w
cm92aWRlcj5OTE08L3JlbW90ZS1kYXRhYmFzZS1wcm92aWRlcj48bGFuZ3VhZ2U+ZW5nPC9sYW5n
dWFnZT48L3JlY29yZD48L0NpdGU+PENpdGU+PEF1dGhvcj5Db3Jud2VsbDwvQXV0aG9yPjxZZWFy
PjIwMTc8L1llYXI+PFJlY051bT4yMDQ5PC9SZWNOdW0+PHJlY29yZD48cmVjLW51bWJlcj4yMDQ5
PC9yZWMtbnVtYmVyPjxmb3JlaWduLWtleXM+PGtleSBhcHA9IkVOIiBkYi1pZD0ienJ0end4czVl
eHZ3ZGtlc2Z4NHhzd3huenYwcHZlZjVzcGY5IiB0aW1lc3RhbXA9IjE1MTgyODAyODUiPjIwNDk8
L2tleT48L2ZvcmVpZ24ta2V5cz48cmVmLXR5cGUgbmFtZT0iSm91cm5hbCBBcnRpY2xlIj4xNzwv
cmVmLXR5cGU+PGNvbnRyaWJ1dG9ycz48YXV0aG9ycz48YXV0aG9yPkNvcm53ZWxsLCBCLiBSLjwv
YXV0aG9yPjxhdXRob3I+R2FycmlkbywgTS4gSS48L2F1dGhvcj48YXV0aG9yPk92ZXJzdHJlZXQs
IEMuPC9hdXRob3I+PGF1dGhvcj5QaW5lLCBELiBTLjwvYXV0aG9yPjxhdXRob3I+R3JpbGxvbiwg
Qy48L2F1dGhvcj48L2F1dGhvcnM+PC9jb250cmlidXRvcnM+PGF1dGgtYWRkcmVzcz5CcmFpbiBh
bmQgUHN5Y2hvbG9naWNhbCBTY2llbmNlcyBSZXNlYXJjaCBDZW50cmUsIEZhY3VsdHkgb2YgSGVh
bHRoLCBBcnRzIGFuZCBEZXNpZ24sIFN3aW5idXJuZSBVbml2ZXJzaXR5IG9mIFRlY2hub2xvZ3ks
IEhhd3Rob3JuLCBBdXN0cmFsaWE7IE5hdGlvbmFsIEluc3RpdHV0ZSBvZiBNZW50YWwgSGVhbHRo
LCBOYXRpb25hbCBJbnN0aXR1dGVzIG9mIEhlYWx0aCwgQmV0aGVzZGEsIE1hcnlsYW5kLiBFbGVj
dHJvbmljIGFkZHJlc3M6IGJjb3Jud2VsbEBzd2luLmVkdS5hdS4mI3hEO1F1ZWVuc2xhbmQgQnJh
aW4gSW5zdGl0dXRlLCBDZW50cmUgZm9yIEFkdmFuY2VkIEltYWdpbmcgYW5kIEFSQyBDZW50cmUg
b2YgRXhjZWxsZW5jZSBmb3IgSW50ZWdyYXRpdmUgQnJhaW4gRnVuY3Rpb24sIFVuaXZlcnNpdHkg
b2YgUXVlZW5zbGFuZCwgQnJpc2JhbmUsIEF1c3RyYWxpYTsgU2Nob29sIG9mIE1hdGhlbWF0aWNz
IGFuZCBQaHlzaWNzLCBVbml2ZXJzaXR5IG9mIFF1ZWVuc2xhbmQsIEJyaXNiYW5lLCBBdXN0cmFs
aWEuJiN4RDtQc3ljaG9sb2d5IERlcGFydG1lbnQsIFZpcmdpbmlhIENvbW1vbndlYWx0aCBVbml2
ZXJzaXR5LCBSaWNobW9uZCwgVmlyZ2luaWEuJiN4RDtOYXRpb25hbCBJbnN0aXR1dGUgb2YgTWVu
dGFsIEhlYWx0aCwgTmF0aW9uYWwgSW5zdGl0dXRlcyBvZiBIZWFsdGgsIEJldGhlc2RhLCBNYXJ5
bGFuZC48L2F1dGgtYWRkcmVzcz48dGl0bGVzPjx0aXRsZT5UaGUgVW5wcmVkaWN0aXZlIEJyYWlu
IFVuZGVyIFRocmVhdDogQSBOZXVyb2NvbXB1dGF0aW9uYWwgQWNjb3VudCBvZiBBbnhpb3VzIEh5
cGVydmlnaWxhbmNlPC90aXRsZT48c2Vjb25kYXJ5LXRpdGxlPkJpb2wgUHN5Y2hpYXRyeTwvc2Vj
b25kYXJ5LXRpdGxlPjxhbHQtdGl0bGU+QmlvbG9naWNhbCBwc3ljaGlhdHJ5PC9hbHQtdGl0bGU+
PC90aXRsZXM+PHBlcmlvZGljYWw+PGZ1bGwtdGl0bGU+QmlvbCBQc3ljaGlhdHJ5PC9mdWxsLXRp
dGxlPjwvcGVyaW9kaWNhbD48YWx0LXBlcmlvZGljYWw+PGZ1bGwtdGl0bGU+QmlvbG9naWNhbCBQ
c3ljaGlhdHJ5PC9mdWxsLXRpdGxlPjwvYWx0LXBlcmlvZGljYWw+PHBhZ2VzPjQ0Ny00NTQ8L3Bh
Z2VzPjx2b2x1bWU+ODI8L3ZvbHVtZT48bnVtYmVyPjY8L251bWJlcj48ZWRpdGlvbj4yMDE3LzA4
LzI2PC9lZGl0aW9uPjxrZXl3b3Jkcz48a2V5d29yZD5BbnhpZXR5PC9rZXl3b3JkPjxrZXl3b3Jk
PkR5bmFtaWMgY2F1c2FsIG1vZGVsaW5nPC9rZXl3b3JkPjxrZXl3b3JkPkdhYmE8L2tleXdvcmQ+
PGtleXdvcmQ+SHlwZXJ2aWdpbGFuY2U8L2tleXdvcmQ+PGtleXdvcmQ+TWFnbmV0b2VuY2VwaGFs
b2dyYXBoeTwva2V5d29yZD48a2V5d29yZD5NaXNtYXRjaCBuZWdhdGl2aXR5PC9rZXl3b3JkPjwv
a2V5d29yZHM+PGRhdGVzPjx5ZWFyPjIwMTc8L3llYXI+PHB1Yi1kYXRlcz48ZGF0ZT5TZXAgMTU8
L2RhdGU+PC9wdWItZGF0ZXM+PC9kYXRlcz48aXNibj4wMDA2LTMyMjM8L2lzYm4+PGFjY2Vzc2lv
bi1udW0+Mjg4Mzg0Njk8L2FjY2Vzc2lvbi1udW0+PHVybHM+PC91cmxzPjxjdXN0b20yPlBtYzU1
ODQ1Nzk8L2N1c3RvbTI+PGN1c3RvbTY+TmlobXM4OTE3MTc8L2N1c3RvbTY+PGVsZWN0cm9uaWMt
cmVzb3VyY2UtbnVtPjEwLjEwMTYvai5iaW9wc3ljaC4yMDE3LjA2LjAzMTwvZWxlY3Ryb25pYy1y
ZXNvdXJjZS1udW0+PHJlbW90ZS1kYXRhYmFzZS1wcm92aWRlcj5OTE08L3JlbW90ZS1kYXRhYmFz
ZS1wcm92aWRlcj48bGFuZ3VhZ2U+ZW5nPC9sYW5ndWFnZT48L3JlY29yZD48L0NpdGU+PENpdGU+
PEF1dGhvcj5CYWRjb2NrPC9BdXRob3I+PFllYXI+MjAxNzwvWWVhcj48UmVjTnVtPjIxMjQ8L1Jl
Y051bT48cmVjb3JkPjxyZWMtbnVtYmVyPjIxMjQ8L3JlYy1udW1iZXI+PGZvcmVpZ24ta2V5cz48
a2V5IGFwcD0iRU4iIGRiLWlkPSJ6cnR6d3hzNWV4dndka2VzZng0eHN3eG56djBwdmVmNXNwZjki
IHRpbWVzdGFtcD0iMTUzMTA1Mzc1MCI+MjEyNDwva2V5PjwvZm9yZWlnbi1rZXlzPjxyZWYtdHlw
ZSBuYW1lPSJKb3VybmFsIEFydGljbGUiPjE3PC9yZWYtdHlwZT48Y29udHJpYnV0b3JzPjxhdXRo
b3JzPjxhdXRob3I+QmFkY29jaywgUGF1bCBCLjwvYXV0aG9yPjxhdXRob3I+RGF2ZXksIENocmlz
dG9waGVyIEcuPC9hdXRob3I+PGF1dGhvcj5XaGl0dGxlLCBTYXJhaDwvYXV0aG9yPjxhdXRob3I+
QWxsZW4sIE5pY2hvbGFzIEIuPC9hdXRob3I+PGF1dGhvcj5GcmlzdG9uLCBLYXJsIEouPC9hdXRo
b3I+PC9hdXRob3JzPjwvY29udHJpYnV0b3JzPjx0aXRsZXM+PHRpdGxlPlRoZSBEZXByZXNzZWQg
QnJhaW46IEFuIEV2b2x1dGlvbmFyeSBTeXN0ZW1zIFRoZW9yeTwvdGl0bGU+PHNlY29uZGFyeS10
aXRsZT5UcmVuZHMgaW4gQ29nbml0aXZlIFNjaWVuY2VzPC9zZWNvbmRhcnktdGl0bGU+PC90aXRs
ZXM+PHBlcmlvZGljYWw+PGZ1bGwtdGl0bGU+VHJlbmRzIGluIENvZ25pdGl2ZSBTY2llbmNlczwv
ZnVsbC10aXRsZT48L3BlcmlvZGljYWw+PHBhZ2VzPjE4Mi0xOTQ8L3BhZ2VzPjx2b2x1bWU+MjE8
L3ZvbHVtZT48bnVtYmVyPjM8L251bWJlcj48ZGF0ZXM+PHllYXI+MjAxNzwveWVhcj48L2RhdGVz
PjxwdWJsaXNoZXI+RWxzZXZpZXI8L3B1Ymxpc2hlcj48aXNibj4xMzY0LTY2MTM8L2lzYm4+PHVy
bHM+PHJlbGF0ZWQtdXJscz48dXJsPmh0dHA6Ly9keC5kb2kub3JnLzEwLjEwMTYvai50aWNzLjIw
MTcuMDEuMDA1PC91cmw+PC9yZWxhdGVkLXVybHM+PC91cmxzPjxlbGVjdHJvbmljLXJlc291cmNl
LW51bT4xMC4xMDE2L2oudGljcy4yMDE3LjAxLjAwNTwvZWxlY3Ryb25pYy1yZXNvdXJjZS1udW0+
PGFjY2Vzcy1kYXRlPjIwMTgvMDcvMDg8L2FjY2Vzcy1kYXRlPjwvcmVjb3JkPjwvQ2l0ZT48L0Vu
ZE5vdGU+
</w:fldData>
        </w:fldChar>
      </w:r>
      <w:r w:rsidRPr="00C8305E">
        <w:rPr>
          <w:rFonts w:asciiTheme="majorHAnsi" w:hAnsiTheme="majorHAnsi" w:cstheme="majorHAnsi"/>
          <w:color w:val="000000" w:themeColor="text1"/>
          <w:sz w:val="22"/>
          <w:szCs w:val="22"/>
        </w:rPr>
        <w:instrText xml:space="preserve"> ADDIN EN.CITE.DATA </w:instrText>
      </w:r>
      <w:r w:rsidRPr="00C8305E">
        <w:rPr>
          <w:rFonts w:asciiTheme="majorHAnsi" w:hAnsiTheme="majorHAnsi" w:cstheme="majorHAnsi"/>
          <w:color w:val="000000" w:themeColor="text1"/>
          <w:sz w:val="22"/>
          <w:szCs w:val="22"/>
        </w:rPr>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r>
      <w:r w:rsidRPr="00C8305E">
        <w:rPr>
          <w:rFonts w:asciiTheme="majorHAnsi" w:hAnsiTheme="majorHAnsi" w:cstheme="majorHAnsi"/>
          <w:color w:val="000000" w:themeColor="text1"/>
          <w:sz w:val="22"/>
          <w:szCs w:val="22"/>
        </w:rPr>
        <w:fldChar w:fldCharType="separate"/>
      </w:r>
      <w:r w:rsidRPr="00C8305E">
        <w:rPr>
          <w:rFonts w:asciiTheme="majorHAnsi" w:hAnsiTheme="majorHAnsi" w:cstheme="majorHAnsi"/>
          <w:noProof/>
          <w:color w:val="000000" w:themeColor="text1"/>
          <w:sz w:val="22"/>
          <w:szCs w:val="22"/>
        </w:rPr>
        <w:t>(Badcock et al., 2017; Cornwell et al., 2017; Peters et al., 2017)</w:t>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t xml:space="preserve">. The tricks humans employ – to minimise the potential cost of normal maladaptive actions – is not to plan more ‘in the head’, but to plan more ‘in the world’; e.g., making sure that the synchronisation of the traffic lights is consistent with the traffic flow at different hours of the day.  This ‘planning the world’ solution stabilises the environment to enable the acquisition (i.e., learning through representationalist processes) of cheap deontic action shared among ‘cultural’ conspecifics – ‘people enculturated like me, on a 9 to 5 schedule’ (Constant et al., 2018a; Constant et al., 2018b). </w:t>
      </w:r>
      <w:r w:rsidRPr="00C8305E">
        <w:rPr>
          <w:rFonts w:asciiTheme="majorHAnsi" w:hAnsiTheme="majorHAnsi" w:cstheme="majorHAnsi"/>
          <w:color w:val="000000" w:themeColor="text1"/>
          <w:sz w:val="22"/>
          <w:szCs w:val="22"/>
          <w:lang w:val="en-CA"/>
        </w:rPr>
        <w:t xml:space="preserve">Under that view, in certain situations, one can dispense with rich models that “stand-in for that world for the purposes of planning, reasoning, and the guidance of action” (Clark 2016, 6). In a word, for enculturated, deontically construed agents like us, the world is often ‘our shared’ best model. </w:t>
      </w:r>
      <w:bookmarkStart w:id="22" w:name="_Toc11499320"/>
    </w:p>
    <w:p w14:paraId="642E2205" w14:textId="77777777" w:rsidR="00C8305E" w:rsidRPr="00C8305E" w:rsidRDefault="00C8305E" w:rsidP="00C8305E">
      <w:pPr>
        <w:pStyle w:val="Heading1"/>
      </w:pPr>
      <w:r w:rsidRPr="00C8305E">
        <w:t>6 Conclusions: bury the hatchet, or use it to carve a new path</w:t>
      </w:r>
      <w:bookmarkEnd w:id="22"/>
      <w:r w:rsidRPr="00C8305E">
        <w:t>(way)</w:t>
      </w:r>
    </w:p>
    <w:p w14:paraId="58DC106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This paper offers a mathematically informed reading of generative models that could accommodate both richly representationalist and dynamicist views of cognition. Is cognition under active inference a richly representational or a dynamic, process reliant on simple cues and couplings? The answer is both. What remains unclear, however, is whether particular cognitive processes underlying certain behaviour are representational or not. To debate on that based on active inference, one ought to take the hatchet, and ask whether a new theoretical path(way) in generative models should be carved out. Indeed, any debate in the philosophy of cognitive science appealing to active inference (and its kin such as predictive processing, the Bayesian brain, and predictive coding) should  clarify at the outset the manner in which the cognitive </w:t>
      </w:r>
      <w:r w:rsidRPr="00C8305E">
        <w:rPr>
          <w:rFonts w:asciiTheme="majorHAnsi" w:hAnsiTheme="majorHAnsi" w:cstheme="majorHAnsi"/>
          <w:color w:val="000000" w:themeColor="text1"/>
          <w:sz w:val="22"/>
          <w:szCs w:val="22"/>
        </w:rPr>
        <w:lastRenderedPageBreak/>
        <w:t>process of interest is implemented in the generative model, and what are the components of the graphical model involved in the process. Clarifying at the outset the architecture of the generative model of interest should be sufficient to settle the technical dimension of the debate.</w:t>
      </w:r>
    </w:p>
    <w:p w14:paraId="0D6F140C"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p>
    <w:p w14:paraId="7960B9CB"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 xml:space="preserve">Such good practice would allow researchers to save time and energy by simply showing the manner in which the cognitive process of interests may be already implemented by existing neurocomputational architecture. In effect, the name of the game with active inference is to show how cognitive processes can be expressed as rearrangements or decompositions of the free energy functional and the architecture it implements in the graphical model; i.e., to show the manner in which the dynamics of the process of interest are built in the free energy formalism, that is, the manner in which the formalism unifies the process of interest as a special case of free energy minimisation. Researchers could first explore the currently available generative models (relevant material is all freely available either in theoretical articles or as part of the Statistical Parametric Mapping 12 MATLAB toolbox). If the literature on the cognitive function of interest is not yet available, researchers could consider this a great opportunity for ‘getting their hands dirty’ and proposing novel architectures that could account for the cognitive process and the associated behaviour they want to characterise </w:t>
      </w:r>
      <w:r w:rsidRPr="00C8305E">
        <w:rPr>
          <w:rFonts w:asciiTheme="majorHAnsi" w:hAnsiTheme="majorHAnsi" w:cstheme="majorHAnsi"/>
          <w:color w:val="000000" w:themeColor="text1"/>
          <w:sz w:val="22"/>
          <w:szCs w:val="22"/>
        </w:rPr>
        <w:fldChar w:fldCharType="begin">
          <w:fldData xml:space="preserve">PEVuZE5vdGU+PENpdGU+PEF1dGhvcj5Nb250YWd1ZTwvQXV0aG9yPjxZZWFyPjIwMTI8L1llYXI+
PFJlY051bT4xMTMwPC9SZWNOdW0+PERpc3BsYXlUZXh0PihNb250YWd1ZSBldCBhbC4sIDIwMTI7
IFNjaHdhcnRlbmJlY2sgYW5kIEZyaXN0b24sIDIwMTYpPC9EaXNwbGF5VGV4dD48cmVjb3JkPjxy
ZWMtbnVtYmVyPjExMzA8L3JlYy1udW1iZXI+PGZvcmVpZ24ta2V5cz48a2V5IGFwcD0iRU4iIGRi
LWlkPSJ6cnR6d3hzNWV4dndka2VzZng0eHN3eG56djBwdmVmNXNwZjkiIHRpbWVzdGFtcD0iMTQz
ODE4NTE1MiI+MTEzMDwva2V5PjwvZm9yZWlnbi1rZXlzPjxyZWYtdHlwZSBuYW1lPSJKb3VybmFs
IEFydGljbGUiPjE3PC9yZWYtdHlwZT48Y29udHJpYnV0b3JzPjxhdXRob3JzPjxhdXRob3I+TW9u
dGFndWUsIFAuIFIuPC9hdXRob3I+PGF1dGhvcj5Eb2xhbiwgUi4gSi48L2F1dGhvcj48YXV0aG9y
PkZyaXN0b24sIEsuIEouPC9hdXRob3I+PGF1dGhvcj5EYXlhbiwgUC48L2F1dGhvcj48L2F1dGhv
cnM+PC9jb250cmlidXRvcnM+PGF1dGgtYWRkcmVzcz5WaXJnaW5pYSBUZWNoIENhcmlsaW9uIFJl
c2VhcmNoIEluc3RpdHV0ZSBhbmQgRGVwYXJ0bWVudCBvZiBQaHlzaWNzLCBWaXJnaW5pYSBUZWNo
LCAyIFJpdmVyc2lkZSBDaXJjbGUsIFJvYW5va2UsIFZBIDI0MDE2LCBVU0EuIHJlYWRAdnQuZWR1
PC9hdXRoLWFkZHJlc3M+PHRpdGxlcz48dGl0bGU+Q29tcHV0YXRpb25hbCBwc3ljaGlhdHJ5PC90
aXRsZT48c2Vjb25kYXJ5LXRpdGxlPlRyZW5kcyBDb2duIFNjaTwvc2Vjb25kYXJ5LXRpdGxlPjxh
bHQtdGl0bGU+VHJlbmRzIGluIGNvZ25pdGl2ZSBzY2llbmNlczwvYWx0LXRpdGxlPjwvdGl0bGVz
PjxwZXJpb2RpY2FsPjxmdWxsLXRpdGxlPlRyZW5kcyBDb2duIFNjaTwvZnVsbC10aXRsZT48L3Bl
cmlvZGljYWw+PGFsdC1wZXJpb2RpY2FsPjxmdWxsLXRpdGxlPlRyZW5kcyBpbiBDb2duaXRpdmUg
U2NpZW5jZXM8L2Z1bGwtdGl0bGU+PC9hbHQtcGVyaW9kaWNhbD48cGFnZXM+NzItODA8L3BhZ2Vz
Pjx2b2x1bWU+MTY8L3ZvbHVtZT48bnVtYmVyPjE8L251bWJlcj48ZWRpdGlvbj4yMDExLzEyLzIw
PC9lZGl0aW9uPjxrZXl3b3Jkcz48a2V5d29yZD5CaW9sb2dpY2FsIFBzeWNoaWF0cnkvKm1ldGhv
ZHM8L2tleXdvcmQ+PGtleXdvcmQ+QnJhaW4vcGh5c2lvcGF0aG9sb2d5PC9rZXl3b3JkPjxrZXl3
b3JkPkNvbXB1dGF0aW9uYWwgQmlvbG9neS8qbWV0aG9kczwva2V5d29yZD48a2V5d29yZD4qQ29u
Y2VwdCBGb3JtYXRpb248L2tleXdvcmQ+PGtleXdvcmQ+KkRlY2lzaW9uIE1ha2luZzwva2V5d29y
ZD48a2V5d29yZD5HYW1lIFRoZW9yeTwva2V5d29yZD48a2V5d29yZD5IdW1hbnM8L2tleXdvcmQ+
PGtleXdvcmQ+TWVudGFsIERpc29yZGVycy9waHlzaW9wYXRob2xvZ3k8L2tleXdvcmQ+PGtleXdv
cmQ+TW9kZWxzLCBOZXVyb2xvZ2ljYWw8L2tleXdvcmQ+PGtleXdvcmQ+TmV1cm9zY2llbmNlcy8q
bWV0aG9kczwva2V5d29yZD48a2V5d29yZD4qUmVpbmZvcmNlbWVudCAoUHN5Y2hvbG9neSk8L2tl
eXdvcmQ+PC9rZXl3b3Jkcz48ZGF0ZXM+PHllYXI+MjAxMjwveWVhcj48cHViLWRhdGVzPjxkYXRl
PkphbjwvZGF0ZT48L3B1Yi1kYXRlcz48L2RhdGVzPjxpc2JuPjEzNjQtNjYxMzwvaXNibj48YWNj
ZXNzaW9uLW51bT4yMjE3NzAzMjwvYWNjZXNzaW9uLW51bT48dXJscz48L3VybHM+PGN1c3RvbTI+
UG1jMzU1NjgyMjwvY3VzdG9tMj48Y3VzdG9tNj5OaWhtczM0NTI4NjwvY3VzdG9tNj48ZWxlY3Ry
b25pYy1yZXNvdXJjZS1udW0+MTAuMTAxNi9qLnRpY3MuMjAxMS4xMS4wMTg8L2VsZWN0cm9uaWMt
cmVzb3VyY2UtbnVtPjxyZW1vdGUtZGF0YWJhc2UtcHJvdmlkZXI+TkxNPC9yZW1vdGUtZGF0YWJh
c2UtcHJvdmlkZXI+PGxhbmd1YWdlPmVuZzwvbGFuZ3VhZ2U+PC9yZWNvcmQ+PC9DaXRlPjxDaXRl
PjxBdXRob3I+U2Nod2FydGVuYmVjazwvQXV0aG9yPjxZZWFyPjIwMTY8L1llYXI+PFJlY051bT4x
NjM3PC9SZWNOdW0+PHJlY29yZD48cmVjLW51bWJlcj4xNjM3PC9yZWMtbnVtYmVyPjxmb3JlaWdu
LWtleXM+PGtleSBhcHA9IkVOIiBkYi1pZD0ienJ0end4czVleHZ3ZGtlc2Z4NHhzd3huenYwcHZl
ZjVzcGY5IiB0aW1lc3RhbXA9IjE0NzI1NTAxNTEiPjE2Mzc8L2tleT48L2ZvcmVpZ24ta2V5cz48
cmVmLXR5cGUgbmFtZT0iSm91cm5hbCBBcnRpY2xlIj4xNzwvcmVmLXR5cGU+PGNvbnRyaWJ1dG9y
cz48YXV0aG9ycz48YXV0aG9yPlNjaHdhcnRlbmJlY2ssIFAuPC9hdXRob3I+PGF1dGhvcj5Gcmlz
dG9uLCBLLjwvYXV0aG9yPjwvYXV0aG9ycz48L2NvbnRyaWJ1dG9ycz48YXV0aC1hZGRyZXNzPlRo
ZSBXZWxsY29tZSBUcnVzdCBDZW50cmUgZm9yIE5ldXJvaW1hZ2luZywgVUNMLCBMb25kb24gV0Mx
TiAzQkcsIFVLOyBDZW50cmUgZm9yIENvZ25pdGl2ZSBOZXVyb3NjaWVuY2UsIFVuaXZlcnNpdHkg
b2YgU2FsemJ1cmcsIDUwMjAgU2FsemJ1cmcsIEF1c3RyaWE7IE5ldXJvc2NpZW5jZSBJbnN0aXR1
dGUsIENocmlzdGlhbi1Eb3BwbGVyLUtsaW5paywgUGFyYWNlbHN1cyBNZWRpY2FsIFVuaXZlcnNp
dHkgU2FsemJ1cmcsIEEtNTAyMCBTYWx6YnVyZywgQXVzdHJpYTsgTWF4IFBsYW5jayBVQ0wgQ2Vu
dHJlIGZvciBDb21wdXRhdGlvbmFsIFBzeWNoaWF0cnkgYW5kIEFnZWluZyBSZXNlYXJjaCwgTG9u
ZG9uIFdDMUIgNUVILCBVSy4mI3hEO1RoZSBXZWxsY29tZSBUcnVzdCBDZW50cmUgZm9yIE5ldXJv
aW1hZ2luZywgVUNMICwgTG9uZG9uIFdDMU4gM0JHLCBVSy48L2F1dGgtYWRkcmVzcz48dGl0bGVz
Pjx0aXRsZT5Db21wdXRhdGlvbmFsIFBoZW5vdHlwaW5nIGluIFBzeWNoaWF0cnk6IEEgV29ya2Vk
IEV4YW1wbGU8L3RpdGxlPjxzZWNvbmRhcnktdGl0bGU+ZU5ldXJvPC9zZWNvbmRhcnktdGl0bGU+
PGFsdC10aXRsZT5lTmV1cm88L2FsdC10aXRsZT48L3RpdGxlcz48cGVyaW9kaWNhbD48ZnVsbC10
aXRsZT5lTmV1cm88L2Z1bGwtdGl0bGU+PGFiYnItMT5lTmV1cm88L2FiYnItMT48L3BlcmlvZGlj
YWw+PGFsdC1wZXJpb2RpY2FsPjxmdWxsLXRpdGxlPmVOZXVybzwvZnVsbC10aXRsZT48YWJici0x
PmVOZXVybzwvYWJici0xPjwvYWx0LXBlcmlvZGljYWw+PHZvbHVtZT4zPC92b2x1bWU+PG51bWJl
cj40PC9udW1iZXI+PGtleXdvcmRzPjxrZXl3b3JkPkJheWVzIFRoZW9yZW08L2tleXdvcmQ+PGtl
eXdvcmQ+Q2hvaWNlIEJlaGF2aW9yPC9rZXl3b3JkPjxrZXl3b3JkPkNvbXB1dGF0aW9uYWwgQmlv
bG9neTwva2V5d29yZD48a2V5d29yZD4qQ29tcHV0ZXIgU2ltdWxhdGlvbjwva2V5d29yZD48a2V5
d29yZD5IdW1hbnM8L2tleXdvcmQ+PGtleXdvcmQ+TGVhcm5pbmc8L2tleXdvcmQ+PGtleXdvcmQ+
TWFya292IENoYWluczwva2V5d29yZD48a2V5d29yZD4qTWVudGFsIERpc29yZGVyczwva2V5d29y
ZD48a2V5d29yZD5QaGVub3R5cGU8L2tleXdvcmQ+PGtleXdvcmQ+UHN5Y2hpYXRyeTwva2V5d29y
ZD48a2V5d29yZD5Tb2Z0d2FyZTwva2V5d29yZD48a2V5d29yZD4qTWFya292IGRlY2lzaW9uIHBy
b2Nlc3M8L2tleXdvcmQ+PGtleXdvcmQ+KmFjdGl2ZSBpbmZlcmVuY2U8L2tleXdvcmQ+PGtleXdv
cmQ+KmNvbXB1dGF0aW9uYWwgcHN5Y2hpYXRyeTwva2V5d29yZD48a2V5d29yZD4qZ2VuZXJhdGl2
ZSBtb2RlbDwva2V5d29yZD48a2V5d29yZD4qbW9kZWwgaW52ZXJzaW9uPC9rZXl3b3JkPjwva2V5
d29yZHM+PGRhdGVzPjx5ZWFyPjIwMTY8L3llYXI+PHB1Yi1kYXRlcz48ZGF0ZT5KdWwtQXVnPC9k
YXRlPjwvcHViLWRhdGVzPjwvZGF0ZXM+PGlzYm4+MjM3My0yODIyIChFbGVjdHJvbmljKSYjeEQ7
MjM3My0yODIyIChMaW5raW5nKTwvaXNibj48YWNjZXNzaW9uLW51bT4yNzUxNzA4NzwvYWNjZXNz
aW9uLW51bT48dXJscz48cmVsYXRlZC11cmxzPjx1cmw+aHR0cHM6Ly93d3cubmNiaS5ubG0ubmlo
Lmdvdi9wdWJtZWQvMjc1MTcwODc8L3VybD48L3JlbGF0ZWQtdXJscz48L3VybHM+PGN1c3RvbTI+
UE1DNDk2OTY2ODwvY3VzdG9tMj48ZWxlY3Ryb25pYy1yZXNvdXJjZS1udW0+MTAuMTUyMy9FTkVV
Uk8uMDA0OS0xNi4yMDE2PC9lbGVjdHJvbmljLXJlc291cmNlLW51bT48cmVtb3RlLWRhdGFiYXNl
LXByb3ZpZGVyPk5MTTwvcmVtb3RlLWRhdGFiYXNlLXByb3ZpZGVyPjwvcmVjb3JkPjwvQ2l0ZT48
L0VuZE5vdGU+
</w:fldData>
        </w:fldChar>
      </w:r>
      <w:r w:rsidRPr="00C8305E">
        <w:rPr>
          <w:rFonts w:asciiTheme="majorHAnsi" w:hAnsiTheme="majorHAnsi" w:cstheme="majorHAnsi"/>
          <w:color w:val="000000" w:themeColor="text1"/>
          <w:sz w:val="22"/>
          <w:szCs w:val="22"/>
        </w:rPr>
        <w:instrText xml:space="preserve"> ADDIN EN.CITE </w:instrText>
      </w:r>
      <w:r w:rsidRPr="00C8305E">
        <w:rPr>
          <w:rFonts w:asciiTheme="majorHAnsi" w:hAnsiTheme="majorHAnsi" w:cstheme="majorHAnsi"/>
          <w:color w:val="000000" w:themeColor="text1"/>
          <w:sz w:val="22"/>
          <w:szCs w:val="22"/>
        </w:rPr>
        <w:fldChar w:fldCharType="begin">
          <w:fldData xml:space="preserve">PEVuZE5vdGU+PENpdGU+PEF1dGhvcj5Nb250YWd1ZTwvQXV0aG9yPjxZZWFyPjIwMTI8L1llYXI+
PFJlY051bT4xMTMwPC9SZWNOdW0+PERpc3BsYXlUZXh0PihNb250YWd1ZSBldCBhbC4sIDIwMTI7
IFNjaHdhcnRlbmJlY2sgYW5kIEZyaXN0b24sIDIwMTYpPC9EaXNwbGF5VGV4dD48cmVjb3JkPjxy
ZWMtbnVtYmVyPjExMzA8L3JlYy1udW1iZXI+PGZvcmVpZ24ta2V5cz48a2V5IGFwcD0iRU4iIGRi
LWlkPSJ6cnR6d3hzNWV4dndka2VzZng0eHN3eG56djBwdmVmNXNwZjkiIHRpbWVzdGFtcD0iMTQz
ODE4NTE1MiI+MTEzMDwva2V5PjwvZm9yZWlnbi1rZXlzPjxyZWYtdHlwZSBuYW1lPSJKb3VybmFs
IEFydGljbGUiPjE3PC9yZWYtdHlwZT48Y29udHJpYnV0b3JzPjxhdXRob3JzPjxhdXRob3I+TW9u
dGFndWUsIFAuIFIuPC9hdXRob3I+PGF1dGhvcj5Eb2xhbiwgUi4gSi48L2F1dGhvcj48YXV0aG9y
PkZyaXN0b24sIEsuIEouPC9hdXRob3I+PGF1dGhvcj5EYXlhbiwgUC48L2F1dGhvcj48L2F1dGhv
cnM+PC9jb250cmlidXRvcnM+PGF1dGgtYWRkcmVzcz5WaXJnaW5pYSBUZWNoIENhcmlsaW9uIFJl
c2VhcmNoIEluc3RpdHV0ZSBhbmQgRGVwYXJ0bWVudCBvZiBQaHlzaWNzLCBWaXJnaW5pYSBUZWNo
LCAyIFJpdmVyc2lkZSBDaXJjbGUsIFJvYW5va2UsIFZBIDI0MDE2LCBVU0EuIHJlYWRAdnQuZWR1
PC9hdXRoLWFkZHJlc3M+PHRpdGxlcz48dGl0bGU+Q29tcHV0YXRpb25hbCBwc3ljaGlhdHJ5PC90
aXRsZT48c2Vjb25kYXJ5LXRpdGxlPlRyZW5kcyBDb2duIFNjaTwvc2Vjb25kYXJ5LXRpdGxlPjxh
bHQtdGl0bGU+VHJlbmRzIGluIGNvZ25pdGl2ZSBzY2llbmNlczwvYWx0LXRpdGxlPjwvdGl0bGVz
PjxwZXJpb2RpY2FsPjxmdWxsLXRpdGxlPlRyZW5kcyBDb2duIFNjaTwvZnVsbC10aXRsZT48L3Bl
cmlvZGljYWw+PGFsdC1wZXJpb2RpY2FsPjxmdWxsLXRpdGxlPlRyZW5kcyBpbiBDb2duaXRpdmUg
U2NpZW5jZXM8L2Z1bGwtdGl0bGU+PC9hbHQtcGVyaW9kaWNhbD48cGFnZXM+NzItODA8L3BhZ2Vz
Pjx2b2x1bWU+MTY8L3ZvbHVtZT48bnVtYmVyPjE8L251bWJlcj48ZWRpdGlvbj4yMDExLzEyLzIw
PC9lZGl0aW9uPjxrZXl3b3Jkcz48a2V5d29yZD5CaW9sb2dpY2FsIFBzeWNoaWF0cnkvKm1ldGhv
ZHM8L2tleXdvcmQ+PGtleXdvcmQ+QnJhaW4vcGh5c2lvcGF0aG9sb2d5PC9rZXl3b3JkPjxrZXl3
b3JkPkNvbXB1dGF0aW9uYWwgQmlvbG9neS8qbWV0aG9kczwva2V5d29yZD48a2V5d29yZD4qQ29u
Y2VwdCBGb3JtYXRpb248L2tleXdvcmQ+PGtleXdvcmQ+KkRlY2lzaW9uIE1ha2luZzwva2V5d29y
ZD48a2V5d29yZD5HYW1lIFRoZW9yeTwva2V5d29yZD48a2V5d29yZD5IdW1hbnM8L2tleXdvcmQ+
PGtleXdvcmQ+TWVudGFsIERpc29yZGVycy9waHlzaW9wYXRob2xvZ3k8L2tleXdvcmQ+PGtleXdv
cmQ+TW9kZWxzLCBOZXVyb2xvZ2ljYWw8L2tleXdvcmQ+PGtleXdvcmQ+TmV1cm9zY2llbmNlcy8q
bWV0aG9kczwva2V5d29yZD48a2V5d29yZD4qUmVpbmZvcmNlbWVudCAoUHN5Y2hvbG9neSk8L2tl
eXdvcmQ+PC9rZXl3b3Jkcz48ZGF0ZXM+PHllYXI+MjAxMjwveWVhcj48cHViLWRhdGVzPjxkYXRl
PkphbjwvZGF0ZT48L3B1Yi1kYXRlcz48L2RhdGVzPjxpc2JuPjEzNjQtNjYxMzwvaXNibj48YWNj
ZXNzaW9uLW51bT4yMjE3NzAzMjwvYWNjZXNzaW9uLW51bT48dXJscz48L3VybHM+PGN1c3RvbTI+
UG1jMzU1NjgyMjwvY3VzdG9tMj48Y3VzdG9tNj5OaWhtczM0NTI4NjwvY3VzdG9tNj48ZWxlY3Ry
b25pYy1yZXNvdXJjZS1udW0+MTAuMTAxNi9qLnRpY3MuMjAxMS4xMS4wMTg8L2VsZWN0cm9uaWMt
cmVzb3VyY2UtbnVtPjxyZW1vdGUtZGF0YWJhc2UtcHJvdmlkZXI+TkxNPC9yZW1vdGUtZGF0YWJh
c2UtcHJvdmlkZXI+PGxhbmd1YWdlPmVuZzwvbGFuZ3VhZ2U+PC9yZWNvcmQ+PC9DaXRlPjxDaXRl
PjxBdXRob3I+U2Nod2FydGVuYmVjazwvQXV0aG9yPjxZZWFyPjIwMTY8L1llYXI+PFJlY051bT4x
NjM3PC9SZWNOdW0+PHJlY29yZD48cmVjLW51bWJlcj4xNjM3PC9yZWMtbnVtYmVyPjxmb3JlaWdu
LWtleXM+PGtleSBhcHA9IkVOIiBkYi1pZD0ienJ0end4czVleHZ3ZGtlc2Z4NHhzd3huenYwcHZl
ZjVzcGY5IiB0aW1lc3RhbXA9IjE0NzI1NTAxNTEiPjE2Mzc8L2tleT48L2ZvcmVpZ24ta2V5cz48
cmVmLXR5cGUgbmFtZT0iSm91cm5hbCBBcnRpY2xlIj4xNzwvcmVmLXR5cGU+PGNvbnRyaWJ1dG9y
cz48YXV0aG9ycz48YXV0aG9yPlNjaHdhcnRlbmJlY2ssIFAuPC9hdXRob3I+PGF1dGhvcj5Gcmlz
dG9uLCBLLjwvYXV0aG9yPjwvYXV0aG9ycz48L2NvbnRyaWJ1dG9ycz48YXV0aC1hZGRyZXNzPlRo
ZSBXZWxsY29tZSBUcnVzdCBDZW50cmUgZm9yIE5ldXJvaW1hZ2luZywgVUNMLCBMb25kb24gV0Mx
TiAzQkcsIFVLOyBDZW50cmUgZm9yIENvZ25pdGl2ZSBOZXVyb3NjaWVuY2UsIFVuaXZlcnNpdHkg
b2YgU2FsemJ1cmcsIDUwMjAgU2FsemJ1cmcsIEF1c3RyaWE7IE5ldXJvc2NpZW5jZSBJbnN0aXR1
dGUsIENocmlzdGlhbi1Eb3BwbGVyLUtsaW5paywgUGFyYWNlbHN1cyBNZWRpY2FsIFVuaXZlcnNp
dHkgU2FsemJ1cmcsIEEtNTAyMCBTYWx6YnVyZywgQXVzdHJpYTsgTWF4IFBsYW5jayBVQ0wgQ2Vu
dHJlIGZvciBDb21wdXRhdGlvbmFsIFBzeWNoaWF0cnkgYW5kIEFnZWluZyBSZXNlYXJjaCwgTG9u
ZG9uIFdDMUIgNUVILCBVSy4mI3hEO1RoZSBXZWxsY29tZSBUcnVzdCBDZW50cmUgZm9yIE5ldXJv
aW1hZ2luZywgVUNMICwgTG9uZG9uIFdDMU4gM0JHLCBVSy48L2F1dGgtYWRkcmVzcz48dGl0bGVz
Pjx0aXRsZT5Db21wdXRhdGlvbmFsIFBoZW5vdHlwaW5nIGluIFBzeWNoaWF0cnk6IEEgV29ya2Vk
IEV4YW1wbGU8L3RpdGxlPjxzZWNvbmRhcnktdGl0bGU+ZU5ldXJvPC9zZWNvbmRhcnktdGl0bGU+
PGFsdC10aXRsZT5lTmV1cm88L2FsdC10aXRsZT48L3RpdGxlcz48cGVyaW9kaWNhbD48ZnVsbC10
aXRsZT5lTmV1cm88L2Z1bGwtdGl0bGU+PGFiYnItMT5lTmV1cm88L2FiYnItMT48L3BlcmlvZGlj
YWw+PGFsdC1wZXJpb2RpY2FsPjxmdWxsLXRpdGxlPmVOZXVybzwvZnVsbC10aXRsZT48YWJici0x
PmVOZXVybzwvYWJici0xPjwvYWx0LXBlcmlvZGljYWw+PHZvbHVtZT4zPC92b2x1bWU+PG51bWJl
cj40PC9udW1iZXI+PGtleXdvcmRzPjxrZXl3b3JkPkJheWVzIFRoZW9yZW08L2tleXdvcmQ+PGtl
eXdvcmQ+Q2hvaWNlIEJlaGF2aW9yPC9rZXl3b3JkPjxrZXl3b3JkPkNvbXB1dGF0aW9uYWwgQmlv
bG9neTwva2V5d29yZD48a2V5d29yZD4qQ29tcHV0ZXIgU2ltdWxhdGlvbjwva2V5d29yZD48a2V5
d29yZD5IdW1hbnM8L2tleXdvcmQ+PGtleXdvcmQ+TGVhcm5pbmc8L2tleXdvcmQ+PGtleXdvcmQ+
TWFya292IENoYWluczwva2V5d29yZD48a2V5d29yZD4qTWVudGFsIERpc29yZGVyczwva2V5d29y
ZD48a2V5d29yZD5QaGVub3R5cGU8L2tleXdvcmQ+PGtleXdvcmQ+UHN5Y2hpYXRyeTwva2V5d29y
ZD48a2V5d29yZD5Tb2Z0d2FyZTwva2V5d29yZD48a2V5d29yZD4qTWFya292IGRlY2lzaW9uIHBy
b2Nlc3M8L2tleXdvcmQ+PGtleXdvcmQ+KmFjdGl2ZSBpbmZlcmVuY2U8L2tleXdvcmQ+PGtleXdv
cmQ+KmNvbXB1dGF0aW9uYWwgcHN5Y2hpYXRyeTwva2V5d29yZD48a2V5d29yZD4qZ2VuZXJhdGl2
ZSBtb2RlbDwva2V5d29yZD48a2V5d29yZD4qbW9kZWwgaW52ZXJzaW9uPC9rZXl3b3JkPjwva2V5
d29yZHM+PGRhdGVzPjx5ZWFyPjIwMTY8L3llYXI+PHB1Yi1kYXRlcz48ZGF0ZT5KdWwtQXVnPC9k
YXRlPjwvcHViLWRhdGVzPjwvZGF0ZXM+PGlzYm4+MjM3My0yODIyIChFbGVjdHJvbmljKSYjeEQ7
MjM3My0yODIyIChMaW5raW5nKTwvaXNibj48YWNjZXNzaW9uLW51bT4yNzUxNzA4NzwvYWNjZXNz
aW9uLW51bT48dXJscz48cmVsYXRlZC11cmxzPjx1cmw+aHR0cHM6Ly93d3cubmNiaS5ubG0ubmlo
Lmdvdi9wdWJtZWQvMjc1MTcwODc8L3VybD48L3JlbGF0ZWQtdXJscz48L3VybHM+PGN1c3RvbTI+
UE1DNDk2OTY2ODwvY3VzdG9tMj48ZWxlY3Ryb25pYy1yZXNvdXJjZS1udW0+MTAuMTUyMy9FTkVV
Uk8uMDA0OS0xNi4yMDE2PC9lbGVjdHJvbmljLXJlc291cmNlLW51bT48cmVtb3RlLWRhdGFiYXNl
LXByb3ZpZGVyPk5MTTwvcmVtb3RlLWRhdGFiYXNlLXByb3ZpZGVyPjwvcmVjb3JkPjwvQ2l0ZT48
L0VuZE5vdGU+
</w:fldData>
        </w:fldChar>
      </w:r>
      <w:r w:rsidRPr="00C8305E">
        <w:rPr>
          <w:rFonts w:asciiTheme="majorHAnsi" w:hAnsiTheme="majorHAnsi" w:cstheme="majorHAnsi"/>
          <w:color w:val="000000" w:themeColor="text1"/>
          <w:sz w:val="22"/>
          <w:szCs w:val="22"/>
        </w:rPr>
        <w:instrText xml:space="preserve"> ADDIN EN.CITE.DATA </w:instrText>
      </w:r>
      <w:r w:rsidRPr="00C8305E">
        <w:rPr>
          <w:rFonts w:asciiTheme="majorHAnsi" w:hAnsiTheme="majorHAnsi" w:cstheme="majorHAnsi"/>
          <w:color w:val="000000" w:themeColor="text1"/>
          <w:sz w:val="22"/>
          <w:szCs w:val="22"/>
        </w:rPr>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r>
      <w:r w:rsidRPr="00C8305E">
        <w:rPr>
          <w:rFonts w:asciiTheme="majorHAnsi" w:hAnsiTheme="majorHAnsi" w:cstheme="majorHAnsi"/>
          <w:color w:val="000000" w:themeColor="text1"/>
          <w:sz w:val="22"/>
          <w:szCs w:val="22"/>
        </w:rPr>
        <w:fldChar w:fldCharType="separate"/>
      </w:r>
      <w:r w:rsidRPr="00C8305E">
        <w:rPr>
          <w:rFonts w:asciiTheme="majorHAnsi" w:hAnsiTheme="majorHAnsi" w:cstheme="majorHAnsi"/>
          <w:noProof/>
          <w:color w:val="000000" w:themeColor="text1"/>
          <w:sz w:val="22"/>
          <w:szCs w:val="22"/>
        </w:rPr>
        <w:t>(Montague et al., 2012; Schwartenbeck and Friston, 2016)</w:t>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t xml:space="preserve">. Ideally, these novel architectures should complement existing data on neuroanatomy and hierarchical neural dynamics </w:t>
      </w:r>
      <w:r w:rsidRPr="00C8305E">
        <w:rPr>
          <w:rFonts w:asciiTheme="majorHAnsi" w:hAnsiTheme="majorHAnsi" w:cstheme="majorHAnsi"/>
          <w:color w:val="000000" w:themeColor="text1"/>
          <w:sz w:val="22"/>
          <w:szCs w:val="22"/>
        </w:rPr>
        <w:fldChar w:fldCharType="begin"/>
      </w:r>
      <w:r w:rsidRPr="00C8305E">
        <w:rPr>
          <w:rFonts w:asciiTheme="majorHAnsi" w:hAnsiTheme="majorHAnsi" w:cstheme="majorHAnsi"/>
          <w:color w:val="000000" w:themeColor="text1"/>
          <w:sz w:val="22"/>
          <w:szCs w:val="22"/>
        </w:rPr>
        <w:instrText xml:space="preserve"> ADDIN EN.CITE &lt;EndNote&gt;&lt;Cite&gt;&lt;Author&gt;Friston&lt;/Author&gt;&lt;Year&gt;2017&lt;/Year&gt;&lt;RecNum&gt;2217&lt;/RecNum&gt;&lt;DisplayText&gt;(Friston et al., 2017)&lt;/DisplayText&gt;&lt;record&gt;&lt;rec-number&gt;2217&lt;/rec-number&gt;&lt;foreign-keys&gt;&lt;key app="EN" db-id="zrtzwxs5exvwdkesfx4xswxnzv0pvef5spf9" timestamp="1550943523"&gt;2217&lt;/key&gt;&lt;/foreign-keys&gt;&lt;ref-type name="Journal Article"&gt;17&lt;/ref-type&gt;&lt;contributors&gt;&lt;authors&gt;&lt;author&gt;Friston, K. J.&lt;/author&gt;&lt;author&gt;Parr, T.&lt;/author&gt;&lt;author&gt;de Vries, B.&lt;/author&gt;&lt;/authors&gt;&lt;/contributors&gt;&lt;auth-address&gt;Wellcome Trust Centre for Neuroimaging, Institute of Neurology, University College London, United Kingdom.&amp;#xD;Eindhoven University of Technology, Department of Electrical Engineering, Eindhoven, The Netherlands.&amp;#xD;GN Hearing, Eindhoven, The Netherlands.&lt;/auth-address&gt;&lt;titles&gt;&lt;title&gt;The graphical brain: Belief propagation and active inference&lt;/title&gt;&lt;secondary-title&gt;Netw Neurosci&lt;/secondary-title&gt;&lt;alt-title&gt;Network neuroscience&lt;/alt-title&gt;&lt;/titles&gt;&lt;periodical&gt;&lt;full-title&gt;Netw Neurosci&lt;/full-title&gt;&lt;abbr-1&gt;Network neuroscience (Cambridge, Mass.)&lt;/abbr-1&gt;&lt;/periodical&gt;&lt;alt-periodical&gt;&lt;full-title&gt;Network Neuroscience&lt;/full-title&gt;&lt;/alt-periodical&gt;&lt;pages&gt;381-414&lt;/pages&gt;&lt;volume&gt;1&lt;/volume&gt;&lt;number&gt;4&lt;/number&gt;&lt;edition&gt;2017&lt;/edition&gt;&lt;keywords&gt;&lt;keyword&gt;Bayesian,neuronal,connectivity,factor graphs,free energy,belief propagation,message passing&lt;/keyword&gt;&lt;/keywords&gt;&lt;dates&gt;&lt;year&gt;2017&lt;/year&gt;&lt;pub-dates&gt;&lt;date&gt;2017&lt;/date&gt;&lt;/pub-dates&gt;&lt;/dates&gt;&lt;isbn&gt;2472-1751 (Electronic)&amp;#xD;2472-1751 (Linking)&lt;/isbn&gt;&lt;accession-num&gt;29417960&lt;/accession-num&gt;&lt;urls&gt;&lt;related-urls&gt;&lt;url&gt;http://www.ncbi.nlm.nih.gov/pubmed/29417960&lt;/url&gt;&lt;/related-urls&gt;&lt;/urls&gt;&lt;custom2&gt;5798592&lt;/custom2&gt;&lt;electronic-resource-num&gt;10.1162/NETN_a_00018&lt;/electronic-resource-num&gt;&lt;/record&gt;&lt;/Cite&gt;&lt;/EndNote&gt;</w:instrText>
      </w:r>
      <w:r w:rsidRPr="00C8305E">
        <w:rPr>
          <w:rFonts w:asciiTheme="majorHAnsi" w:hAnsiTheme="majorHAnsi" w:cstheme="majorHAnsi"/>
          <w:color w:val="000000" w:themeColor="text1"/>
          <w:sz w:val="22"/>
          <w:szCs w:val="22"/>
        </w:rPr>
        <w:fldChar w:fldCharType="separate"/>
      </w:r>
      <w:r w:rsidRPr="00C8305E">
        <w:rPr>
          <w:rFonts w:asciiTheme="majorHAnsi" w:hAnsiTheme="majorHAnsi" w:cstheme="majorHAnsi"/>
          <w:noProof/>
          <w:color w:val="000000" w:themeColor="text1"/>
          <w:sz w:val="22"/>
          <w:szCs w:val="22"/>
        </w:rPr>
        <w:t>(Friston et al., 2017)</w:t>
      </w:r>
      <w:r w:rsidRPr="00C8305E">
        <w:rPr>
          <w:rFonts w:asciiTheme="majorHAnsi" w:hAnsiTheme="majorHAnsi" w:cstheme="majorHAnsi"/>
          <w:color w:val="000000" w:themeColor="text1"/>
          <w:sz w:val="22"/>
          <w:szCs w:val="22"/>
        </w:rPr>
        <w:fldChar w:fldCharType="end"/>
      </w:r>
      <w:r w:rsidRPr="00C8305E">
        <w:rPr>
          <w:rFonts w:asciiTheme="majorHAnsi" w:hAnsiTheme="majorHAnsi" w:cstheme="majorHAnsi"/>
          <w:color w:val="000000" w:themeColor="text1"/>
          <w:sz w:val="22"/>
          <w:szCs w:val="22"/>
        </w:rPr>
        <w:t xml:space="preserve">. </w:t>
      </w:r>
    </w:p>
    <w:p w14:paraId="0EC48BBF"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bookmarkStart w:id="23" w:name="_bzxiw2jl5yia" w:colFirst="0" w:colLast="0"/>
      <w:bookmarkEnd w:id="23"/>
    </w:p>
    <w:p w14:paraId="2531E08D" w14:textId="77777777" w:rsidR="00C8305E" w:rsidRPr="00C8305E" w:rsidRDefault="00C8305E" w:rsidP="00C8305E">
      <w:pPr>
        <w:spacing w:line="360" w:lineRule="auto"/>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Finally, a limitation of the current paper is that we do not know yet what existing neurophysiology implements the dynamicist pathway we describe in section 3. We have shown that dynamicism has a computational grip when implemented in the theory of active inference. However, one has yet to propose candidate neural correlates, which is a research enterprise for neuroscience made possible on the basis of implementable theory, such as the one discussed in this paper. Thus, despite the lack of empirical evidence, we consider settling the general active inference debate about representationalism a major development; since it is a first step towards scientifically informed debates on the representational nature of specific pathways, </w:t>
      </w:r>
      <w:bookmarkStart w:id="24" w:name="_wismltm5sr7r" w:colFirst="0" w:colLast="0"/>
      <w:bookmarkEnd w:id="24"/>
      <w:r w:rsidRPr="00C8305E">
        <w:rPr>
          <w:rFonts w:asciiTheme="majorHAnsi" w:eastAsia="Calibri" w:hAnsiTheme="majorHAnsi" w:cstheme="majorHAnsi"/>
          <w:color w:val="000000" w:themeColor="text1"/>
          <w:sz w:val="22"/>
          <w:szCs w:val="22"/>
        </w:rPr>
        <w:t xml:space="preserve">which could then feedback to further strengthen future philosophical discussions and inform research trajectories..  </w:t>
      </w:r>
    </w:p>
    <w:p w14:paraId="0580439D" w14:textId="77777777" w:rsidR="00C8305E" w:rsidRPr="00C8305E" w:rsidRDefault="00C8305E" w:rsidP="00C8305E">
      <w:pPr>
        <w:spacing w:line="360" w:lineRule="auto"/>
        <w:jc w:val="both"/>
        <w:rPr>
          <w:rFonts w:asciiTheme="majorHAnsi" w:hAnsiTheme="majorHAnsi" w:cstheme="majorHAnsi"/>
          <w:color w:val="000000" w:themeColor="text1"/>
          <w:sz w:val="22"/>
          <w:szCs w:val="22"/>
        </w:rPr>
      </w:pPr>
      <w:bookmarkStart w:id="25" w:name="_Toc11499321"/>
    </w:p>
    <w:p w14:paraId="24AE8EF7" w14:textId="77777777" w:rsidR="00C8305E" w:rsidRPr="00C8305E" w:rsidRDefault="00C8305E" w:rsidP="00C8305E">
      <w:pPr>
        <w:pStyle w:val="Heading1"/>
      </w:pPr>
      <w:r w:rsidRPr="00C8305E">
        <w:lastRenderedPageBreak/>
        <w:t>References</w:t>
      </w:r>
      <w:bookmarkEnd w:id="25"/>
    </w:p>
    <w:p w14:paraId="57AF64A8"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t>Allen, M., &amp; Friston, K. J. (2016). From cognitivism to autopoiesis: towards a computational framework for the embodied mind. </w:t>
      </w:r>
      <w:r w:rsidRPr="00C8305E">
        <w:rPr>
          <w:rFonts w:asciiTheme="majorHAnsi" w:hAnsiTheme="majorHAnsi" w:cstheme="majorHAnsi"/>
          <w:i/>
          <w:iCs/>
          <w:color w:val="000000" w:themeColor="text1"/>
          <w:sz w:val="22"/>
          <w:szCs w:val="22"/>
          <w:shd w:val="clear" w:color="auto" w:fill="FFFFFF"/>
        </w:rPr>
        <w:t>Synthese</w:t>
      </w:r>
      <w:r w:rsidRPr="00C8305E">
        <w:rPr>
          <w:rFonts w:asciiTheme="majorHAnsi" w:hAnsiTheme="majorHAnsi" w:cstheme="majorHAnsi"/>
          <w:color w:val="000000" w:themeColor="text1"/>
          <w:sz w:val="22"/>
          <w:szCs w:val="22"/>
          <w:shd w:val="clear" w:color="auto" w:fill="FFFFFF"/>
        </w:rPr>
        <w:t>, 1–24.</w:t>
      </w:r>
    </w:p>
    <w:p w14:paraId="7EB57371" w14:textId="77777777" w:rsidR="00C8305E" w:rsidRPr="00C8305E" w:rsidRDefault="00C8305E" w:rsidP="00507989">
      <w:pPr>
        <w:jc w:val="both"/>
        <w:rPr>
          <w:rFonts w:asciiTheme="majorHAnsi" w:hAnsiTheme="majorHAnsi" w:cstheme="majorHAnsi"/>
          <w:color w:val="000000" w:themeColor="text1"/>
          <w:sz w:val="22"/>
          <w:szCs w:val="22"/>
        </w:rPr>
      </w:pPr>
    </w:p>
    <w:p w14:paraId="121AC445"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Asch, S. E. (1955). Opinions and Social Pressure. Scientific American, 193(5), 31–35.</w:t>
      </w:r>
    </w:p>
    <w:p w14:paraId="27E8354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124FBC35"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Badcock, P. B., Friston, K. J., &amp; Ramstead, M. J. D. (2019). The hierarchically mechanistic mind: A free-energy formulation of the human psyche. Physics of Life Reviews.</w:t>
      </w:r>
    </w:p>
    <w:p w14:paraId="17F3FC92"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62D332D"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Badcock, P.B., Davey, C.G., Whittle, S., Allen, N.B., Friston, K.J., 2017. The Depressed Brain: An Evolutionary Systems Theory. Trends in Cognitive Sciences 21, 182-194.</w:t>
      </w:r>
    </w:p>
    <w:p w14:paraId="0F10F96D" w14:textId="77777777" w:rsidR="00C8305E" w:rsidRPr="00C8305E" w:rsidRDefault="00C8305E" w:rsidP="00507989">
      <w:pPr>
        <w:pStyle w:val="EndNoteBibliography"/>
        <w:jc w:val="both"/>
        <w:rPr>
          <w:rFonts w:asciiTheme="majorHAnsi" w:hAnsiTheme="majorHAnsi" w:cstheme="majorHAnsi"/>
          <w:sz w:val="22"/>
        </w:rPr>
      </w:pPr>
    </w:p>
    <w:p w14:paraId="193D874B"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Barto, A., Mirolli, M., Baldassarre, G., 2013. Novelty or Surprise? Frontiers in Psychology 4.</w:t>
      </w:r>
    </w:p>
    <w:p w14:paraId="687C00AA"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78327157"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Bastos, A. M., Usrey, W. M., Adams, R. A., Mangun, G. R., Fries, P., &amp; Friston, K. J. (2012). Canonical microcircuits for predictive coding. Neuron, 76(4), 695-711.).</w:t>
      </w:r>
    </w:p>
    <w:p w14:paraId="423312E9"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C695BAC"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Beal, M. J. (2003). Variational algorithms for approximate Bayesian inference. University of London London.</w:t>
      </w:r>
    </w:p>
    <w:p w14:paraId="30EEA5F5"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E6184FD"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Beer, R. D. (2000). Dynamical approaches to cognitive science. Trends in cognitive sciences, 4(3), 91-99.</w:t>
      </w:r>
    </w:p>
    <w:p w14:paraId="0E37C7B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CF556E1"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Bogacz, R. (2017). A tutorial on the free-energy framework for modelling perception and learning. Journal of Mathematical Psychology, 76(Pt B), 198–211.</w:t>
      </w:r>
    </w:p>
    <w:p w14:paraId="3B12AD5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6908D8A"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Bruineberg, J., Kiverstein, J., &amp; Rietveld, E. (2016). The anticipating brain is not a scientist: the free-energy principle from an ecological-enactive perspective. Synthese, 1–28.</w:t>
      </w:r>
    </w:p>
    <w:p w14:paraId="0292C40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377BCD3"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Buckley, C. L., Kim, C. S., McGregor, S., &amp; Seth, A. K. (2017). The free energy principle for action and perception: A mathematical review. Journal of Mathematical Psychology, 81(Supplement C), 55–79.</w:t>
      </w:r>
    </w:p>
    <w:p w14:paraId="3393DAE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A4177C8"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Chemero, A. (2009). Radical embodied cognition. Cambridge, MA: MIT Press.</w:t>
      </w:r>
    </w:p>
    <w:p w14:paraId="4C9CFF69"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DFF2B1F"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Churchland, P. M. (1989). Some Reductive Strategies in Cognitive Neurobiology. In S. Silvers (Ed.), Rerepresentation: Readings in the Philosophy of Mental Representation (pp. 223–253). Dordrecht: Springer Netherlands. Clark, A. (2005). Intrinsic Content, Active Memory and the Extended Mind. Analysis, 65(1), 1–11.</w:t>
      </w:r>
    </w:p>
    <w:p w14:paraId="0126252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2F6BD0F6"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Clark, A. (2013a). Whatever next? Predictive brains, situated agents, and the future of cognitive science. The Behavioral and Brain Sciences, 36(03), 181–204.</w:t>
      </w:r>
    </w:p>
    <w:p w14:paraId="563C4303"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0E3A0AB"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Clark, A. (2015b). Surfing uncertainty: prediction, action, and the embodied mind. New York, N.Y.: Oxford University Press.</w:t>
      </w:r>
    </w:p>
    <w:p w14:paraId="1797A8B9"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0308A90"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Clark, A. (2015c). Predicting Peace: The End of the Representation Wars-A Reply to Michael Madary. In T. Metzinger &amp; J. M. Windt (Eds). Open MIND: 7(R). Frankfurt am Main: MIND Group. doi: 10.15502/9783958570979</w:t>
      </w:r>
    </w:p>
    <w:p w14:paraId="5140897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3E7255A" w14:textId="77777777" w:rsidR="00C8305E" w:rsidRPr="00C8305E" w:rsidRDefault="00C8305E" w:rsidP="00507989">
      <w:pPr>
        <w:jc w:val="both"/>
        <w:rPr>
          <w:rFonts w:asciiTheme="majorHAnsi" w:eastAsia="Arial"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lastRenderedPageBreak/>
        <w:t>Clark, A. (2015). Radical Predictive Processing. </w:t>
      </w:r>
      <w:r w:rsidRPr="00C8305E">
        <w:rPr>
          <w:rFonts w:asciiTheme="majorHAnsi" w:hAnsiTheme="majorHAnsi" w:cstheme="majorHAnsi"/>
          <w:i/>
          <w:iCs/>
          <w:color w:val="000000" w:themeColor="text1"/>
          <w:sz w:val="22"/>
          <w:szCs w:val="22"/>
          <w:shd w:val="clear" w:color="auto" w:fill="FFFFFF"/>
        </w:rPr>
        <w:t>The Southern Journal of Philosophy</w:t>
      </w:r>
      <w:r w:rsidRPr="00C8305E">
        <w:rPr>
          <w:rFonts w:asciiTheme="majorHAnsi" w:hAnsiTheme="majorHAnsi" w:cstheme="majorHAnsi"/>
          <w:color w:val="000000" w:themeColor="text1"/>
          <w:sz w:val="22"/>
          <w:szCs w:val="22"/>
          <w:shd w:val="clear" w:color="auto" w:fill="FFFFFF"/>
        </w:rPr>
        <w:t>, </w:t>
      </w:r>
      <w:r w:rsidRPr="00C8305E">
        <w:rPr>
          <w:rFonts w:asciiTheme="majorHAnsi" w:hAnsiTheme="majorHAnsi" w:cstheme="majorHAnsi"/>
          <w:i/>
          <w:iCs/>
          <w:color w:val="000000" w:themeColor="text1"/>
          <w:sz w:val="22"/>
          <w:szCs w:val="22"/>
          <w:shd w:val="clear" w:color="auto" w:fill="FFFFFF"/>
        </w:rPr>
        <w:t>53</w:t>
      </w:r>
      <w:r w:rsidRPr="00C8305E">
        <w:rPr>
          <w:rFonts w:asciiTheme="majorHAnsi" w:hAnsiTheme="majorHAnsi" w:cstheme="majorHAnsi"/>
          <w:color w:val="000000" w:themeColor="text1"/>
          <w:sz w:val="22"/>
          <w:szCs w:val="22"/>
          <w:shd w:val="clear" w:color="auto" w:fill="FFFFFF"/>
        </w:rPr>
        <w:t>, 3–27.</w:t>
      </w:r>
    </w:p>
    <w:p w14:paraId="4590B63A"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BABA250"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Clark, A., &amp; Chalmers, D. (1998). The Extended Mind. Analysis, 58(1), 7–19.</w:t>
      </w:r>
    </w:p>
    <w:p w14:paraId="627ECFB2"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5F2CA70" w14:textId="77777777" w:rsidR="00C8305E" w:rsidRPr="00C8305E" w:rsidRDefault="00C8305E" w:rsidP="00507989">
      <w:pPr>
        <w:jc w:val="both"/>
        <w:rPr>
          <w:rFonts w:asciiTheme="majorHAnsi" w:hAnsiTheme="majorHAnsi" w:cstheme="majorHAnsi"/>
          <w:color w:val="000000" w:themeColor="text1"/>
          <w:sz w:val="22"/>
          <w:szCs w:val="22"/>
          <w:shd w:val="clear" w:color="auto" w:fill="FFFFFF"/>
        </w:rPr>
      </w:pPr>
      <w:r w:rsidRPr="00C8305E">
        <w:rPr>
          <w:rFonts w:asciiTheme="majorHAnsi" w:hAnsiTheme="majorHAnsi" w:cstheme="majorHAnsi"/>
          <w:color w:val="000000" w:themeColor="text1"/>
          <w:sz w:val="22"/>
          <w:szCs w:val="22"/>
          <w:shd w:val="clear" w:color="auto" w:fill="FFFFFF"/>
        </w:rPr>
        <w:t>Clark, A. (1997). The Dynamical Challenge. </w:t>
      </w:r>
      <w:r w:rsidRPr="00C8305E">
        <w:rPr>
          <w:rFonts w:asciiTheme="majorHAnsi" w:hAnsiTheme="majorHAnsi" w:cstheme="majorHAnsi"/>
          <w:i/>
          <w:iCs/>
          <w:color w:val="000000" w:themeColor="text1"/>
          <w:sz w:val="22"/>
          <w:szCs w:val="22"/>
          <w:shd w:val="clear" w:color="auto" w:fill="FFFFFF"/>
        </w:rPr>
        <w:t>Cognitive Science</w:t>
      </w:r>
      <w:r w:rsidRPr="00C8305E">
        <w:rPr>
          <w:rFonts w:asciiTheme="majorHAnsi" w:hAnsiTheme="majorHAnsi" w:cstheme="majorHAnsi"/>
          <w:color w:val="000000" w:themeColor="text1"/>
          <w:sz w:val="22"/>
          <w:szCs w:val="22"/>
          <w:shd w:val="clear" w:color="auto" w:fill="FFFFFF"/>
        </w:rPr>
        <w:t>, </w:t>
      </w:r>
      <w:r w:rsidRPr="00C8305E">
        <w:rPr>
          <w:rFonts w:asciiTheme="majorHAnsi" w:hAnsiTheme="majorHAnsi" w:cstheme="majorHAnsi"/>
          <w:i/>
          <w:iCs/>
          <w:color w:val="000000" w:themeColor="text1"/>
          <w:sz w:val="22"/>
          <w:szCs w:val="22"/>
          <w:shd w:val="clear" w:color="auto" w:fill="FFFFFF"/>
        </w:rPr>
        <w:t>21</w:t>
      </w:r>
      <w:r w:rsidRPr="00C8305E">
        <w:rPr>
          <w:rFonts w:asciiTheme="majorHAnsi" w:hAnsiTheme="majorHAnsi" w:cstheme="majorHAnsi"/>
          <w:color w:val="000000" w:themeColor="text1"/>
          <w:sz w:val="22"/>
          <w:szCs w:val="22"/>
          <w:shd w:val="clear" w:color="auto" w:fill="FFFFFF"/>
        </w:rPr>
        <w:t>(4), 461–481.</w:t>
      </w:r>
    </w:p>
    <w:p w14:paraId="3E4CFE4F" w14:textId="77777777" w:rsidR="00C8305E" w:rsidRPr="00C8305E" w:rsidRDefault="00C8305E" w:rsidP="00507989">
      <w:pPr>
        <w:jc w:val="both"/>
        <w:rPr>
          <w:rFonts w:asciiTheme="majorHAnsi" w:hAnsiTheme="majorHAnsi" w:cstheme="majorHAnsi"/>
          <w:color w:val="000000" w:themeColor="text1"/>
          <w:sz w:val="22"/>
          <w:szCs w:val="22"/>
          <w:shd w:val="clear" w:color="auto" w:fill="FFFFFF"/>
        </w:rPr>
      </w:pPr>
    </w:p>
    <w:p w14:paraId="2AC4EB73"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Clark, A (1989) Microcognition: Philosophy, Cognitive Science and Parallel Distributed Processing, MIT Press/Bradford Books, Cambridge: MA)</w:t>
      </w:r>
    </w:p>
    <w:p w14:paraId="5F8970F1" w14:textId="77777777" w:rsidR="00C8305E" w:rsidRPr="00C8305E" w:rsidRDefault="00C8305E" w:rsidP="00507989">
      <w:pPr>
        <w:jc w:val="both"/>
        <w:rPr>
          <w:rFonts w:asciiTheme="majorHAnsi" w:hAnsiTheme="majorHAnsi" w:cstheme="majorHAnsi"/>
          <w:color w:val="000000" w:themeColor="text1"/>
          <w:sz w:val="22"/>
          <w:szCs w:val="22"/>
        </w:rPr>
      </w:pPr>
    </w:p>
    <w:p w14:paraId="36BEC968"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Clark, A (1993) Associative Engines: Connectionism, Concepts And Representational Change (MIT Press, Bradford Books)</w:t>
      </w:r>
    </w:p>
    <w:p w14:paraId="50417E49" w14:textId="77777777" w:rsidR="00C8305E" w:rsidRPr="00C8305E" w:rsidRDefault="00C8305E" w:rsidP="00507989">
      <w:pPr>
        <w:jc w:val="both"/>
        <w:rPr>
          <w:rFonts w:asciiTheme="majorHAnsi" w:hAnsiTheme="majorHAnsi" w:cstheme="majorHAnsi"/>
          <w:color w:val="000000" w:themeColor="text1"/>
          <w:sz w:val="22"/>
          <w:szCs w:val="22"/>
        </w:rPr>
      </w:pPr>
    </w:p>
    <w:p w14:paraId="7B9698BF"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lang w:val="fr-CA"/>
        </w:rPr>
        <w:t xml:space="preserve">Constant, A., Clark, A., &amp; J, K. F. (2019, June). </w:t>
      </w:r>
      <w:r w:rsidRPr="00C8305E">
        <w:rPr>
          <w:rFonts w:asciiTheme="majorHAnsi" w:hAnsiTheme="majorHAnsi" w:cstheme="majorHAnsi"/>
          <w:color w:val="000000" w:themeColor="text1"/>
          <w:sz w:val="22"/>
          <w:szCs w:val="22"/>
        </w:rPr>
        <w:t>Representation Wars: Enacting an Armistice through Active Inference. Retrieved from http://philsci-archive.pitt.edu/16125/</w:t>
      </w:r>
    </w:p>
    <w:p w14:paraId="5B6EDC9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7122503"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Constant, A., Ramstead, M. J. D., Veissière, S. P. L., Campbell, J. O., &amp; Friston, K. J. (2018)a. A variational approach to niche construction. Journal of the Royal Society, Interface / the Royal Society, 15(141). https://doi.org/10.1098/rsif.2017.0685</w:t>
      </w:r>
    </w:p>
    <w:p w14:paraId="1E22C3DA"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6C03AEB"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Constant, A., Bervoets, J., Hens, K., &amp; Van de Cruys, S. (2018)b. Precise Worlds for Certain Minds: An Ecological Perspective on the Relational Self in Autism. Topoi. An International Review of Philosophy. </w:t>
      </w:r>
      <w:hyperlink r:id="rId107" w:history="1">
        <w:r w:rsidRPr="00C8305E">
          <w:rPr>
            <w:rStyle w:val="Hyperlink"/>
            <w:rFonts w:asciiTheme="majorHAnsi" w:eastAsia="Calibri" w:hAnsiTheme="majorHAnsi" w:cstheme="majorHAnsi"/>
            <w:color w:val="000000" w:themeColor="text1"/>
            <w:sz w:val="22"/>
            <w:szCs w:val="22"/>
          </w:rPr>
          <w:t>https://doi.org/10.1007/s11245-018-9546-4</w:t>
        </w:r>
      </w:hyperlink>
    </w:p>
    <w:p w14:paraId="07A1101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8F3A144"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Constant, A., Ramstead, M., Veissière, S., &amp; Friston, K. J. (2019). Regimes of Expectations: An Active Inference Model of Social Conformity and Decision Making. Frontiers in Psychology. </w:t>
      </w:r>
      <w:hyperlink r:id="rId108" w:history="1">
        <w:r w:rsidRPr="00C8305E">
          <w:rPr>
            <w:rStyle w:val="Hyperlink"/>
            <w:rFonts w:asciiTheme="majorHAnsi" w:eastAsia="Calibri" w:hAnsiTheme="majorHAnsi" w:cstheme="majorHAnsi"/>
            <w:color w:val="000000" w:themeColor="text1"/>
            <w:sz w:val="22"/>
            <w:szCs w:val="22"/>
          </w:rPr>
          <w:t>https://doi.org/10.3389/fpsyg.2019.00679</w:t>
        </w:r>
      </w:hyperlink>
    </w:p>
    <w:p w14:paraId="457E9627"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245337F4"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Corlett, P. R., &amp; Fletcher, P. C. (2014). Computational psychiatry: a Rosetta Stone linking the brain to mental illness. The Lancet. Psychiatry, 1(5), 399–402.</w:t>
      </w:r>
    </w:p>
    <w:p w14:paraId="279640B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A3C90DB"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Cornwell, B.R., Garrido, M.I., Overstreet, C., Pine, D.S., Grillon, C., 2017. The Unpredictive Brain Under Threat: A Neurocomputational Account of Anxious Hypervigilance. Biol Psychiatry 82, 447-454.</w:t>
      </w:r>
    </w:p>
    <w:p w14:paraId="108DF123"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0687B72"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Dayan, P., Hinton, G. E., Neal, R. M., &amp; Zemel, R. S. (1995). The Helmholtz machine. Neural Computation, 7(5), 889–904.</w:t>
      </w:r>
    </w:p>
    <w:p w14:paraId="335492F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E95E8D0" w14:textId="77777777" w:rsidR="00C8305E" w:rsidRPr="00C8305E" w:rsidRDefault="00C8305E" w:rsidP="00507989">
      <w:pPr>
        <w:jc w:val="both"/>
        <w:rPr>
          <w:rFonts w:asciiTheme="majorHAnsi" w:eastAsia="Arial"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t>Dolega, K. (2017). </w:t>
      </w:r>
      <w:r w:rsidRPr="00C8305E">
        <w:rPr>
          <w:rFonts w:asciiTheme="majorHAnsi" w:hAnsiTheme="majorHAnsi" w:cstheme="majorHAnsi"/>
          <w:i/>
          <w:iCs/>
          <w:color w:val="000000" w:themeColor="text1"/>
          <w:sz w:val="22"/>
          <w:szCs w:val="22"/>
          <w:shd w:val="clear" w:color="auto" w:fill="FFFFFF"/>
        </w:rPr>
        <w:t>Moderate Predictive Processing</w:t>
      </w:r>
      <w:r w:rsidRPr="00C8305E">
        <w:rPr>
          <w:rFonts w:asciiTheme="majorHAnsi" w:hAnsiTheme="majorHAnsi" w:cstheme="majorHAnsi"/>
          <w:color w:val="000000" w:themeColor="text1"/>
          <w:sz w:val="22"/>
          <w:szCs w:val="22"/>
          <w:shd w:val="clear" w:color="auto" w:fill="FFFFFF"/>
        </w:rPr>
        <w:t>. https://doi.org/10.15502/9783958573116</w:t>
      </w:r>
    </w:p>
    <w:p w14:paraId="6811556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7C06CC40"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Feldman, H., &amp; Friston, K. J. (2010). Attention, uncertainty, and free-energy. Frontiers in Human Neuroscience, 4, 215.</w:t>
      </w:r>
    </w:p>
    <w:p w14:paraId="2BD6A00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3C6BC4E"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Feynman, R. (1972). Statistical mechanics: a set of lectures. Reading, MA: Benjamin/Cummings Publishing.</w:t>
      </w:r>
    </w:p>
    <w:p w14:paraId="5A32F545"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FF83859"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Fodor, J. A. (1975). The language of thought (Vol. 5). Harvard University Press.</w:t>
      </w:r>
    </w:p>
    <w:p w14:paraId="209697D5"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C4B96A0"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Fonagy, P., Allison, E., 2014. The role of mentalizing and epistemic trust in the therapeutic relationship. Psychotherapy (Chicago, Ill.) 51, 372-380.</w:t>
      </w:r>
    </w:p>
    <w:p w14:paraId="0ADE6693" w14:textId="77777777" w:rsidR="00C8305E" w:rsidRPr="00C8305E" w:rsidRDefault="00C8305E" w:rsidP="00507989">
      <w:pPr>
        <w:pStyle w:val="EndNoteBibliography"/>
        <w:jc w:val="both"/>
        <w:rPr>
          <w:rFonts w:asciiTheme="majorHAnsi" w:hAnsiTheme="majorHAnsi" w:cstheme="majorHAnsi"/>
          <w:sz w:val="22"/>
        </w:rPr>
      </w:pPr>
    </w:p>
    <w:p w14:paraId="1111BED7"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lastRenderedPageBreak/>
        <w:t>Friston, K., 2013. Life as we know it. J R Soc Interface 10, 20130475.</w:t>
      </w:r>
    </w:p>
    <w:p w14:paraId="70D302BD" w14:textId="77777777" w:rsidR="00C8305E" w:rsidRPr="00C8305E" w:rsidRDefault="00C8305E" w:rsidP="00507989">
      <w:pPr>
        <w:pStyle w:val="EndNoteBibliography"/>
        <w:jc w:val="both"/>
        <w:rPr>
          <w:rFonts w:asciiTheme="majorHAnsi" w:hAnsiTheme="majorHAnsi" w:cstheme="majorHAnsi"/>
          <w:sz w:val="22"/>
        </w:rPr>
      </w:pPr>
    </w:p>
    <w:p w14:paraId="6A1CF52F"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Friston, K., Rigoli, F., Ognibene, D., Mathys, C., Fitzgerald, T., Pezzulo, G., 2015. Active inference and epistemic value. Cogn Neurosci 6, 187-214.</w:t>
      </w:r>
    </w:p>
    <w:p w14:paraId="73F6F4E5" w14:textId="77777777" w:rsidR="00C8305E" w:rsidRPr="00C8305E" w:rsidRDefault="00C8305E" w:rsidP="00507989">
      <w:pPr>
        <w:pStyle w:val="EndNoteBibliography"/>
        <w:jc w:val="both"/>
        <w:rPr>
          <w:rFonts w:asciiTheme="majorHAnsi" w:hAnsiTheme="majorHAnsi" w:cstheme="majorHAnsi"/>
          <w:sz w:val="22"/>
        </w:rPr>
      </w:pPr>
    </w:p>
    <w:p w14:paraId="641DF9D0"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Friston, K.J., Parr, T., de Vries, B., 2017. The graphical brain: Belief propagation and active inference. Network neuroscience (Cambridge, Mass.) 1, 381-414.</w:t>
      </w:r>
    </w:p>
    <w:p w14:paraId="6D058DE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920F178" w14:textId="77777777" w:rsidR="00C8305E" w:rsidRPr="00C8305E" w:rsidRDefault="00C8305E" w:rsidP="00507989">
      <w:pPr>
        <w:jc w:val="both"/>
        <w:rPr>
          <w:rFonts w:asciiTheme="majorHAnsi" w:eastAsia="Calibri" w:hAnsiTheme="majorHAnsi" w:cstheme="majorHAnsi"/>
          <w:color w:val="000000" w:themeColor="text1"/>
          <w:sz w:val="22"/>
          <w:szCs w:val="22"/>
          <w:lang w:val="fr-CA"/>
        </w:rPr>
      </w:pPr>
      <w:r w:rsidRPr="00C8305E">
        <w:rPr>
          <w:rFonts w:asciiTheme="majorHAnsi" w:eastAsia="Calibri" w:hAnsiTheme="majorHAnsi" w:cstheme="majorHAnsi"/>
          <w:color w:val="000000" w:themeColor="text1"/>
          <w:sz w:val="22"/>
          <w:szCs w:val="22"/>
        </w:rPr>
        <w:t xml:space="preserve">Friston, K. (2018). Does predictive coding have a future? </w:t>
      </w:r>
      <w:r w:rsidRPr="00C8305E">
        <w:rPr>
          <w:rFonts w:asciiTheme="majorHAnsi" w:eastAsia="Calibri" w:hAnsiTheme="majorHAnsi" w:cstheme="majorHAnsi"/>
          <w:color w:val="000000" w:themeColor="text1"/>
          <w:sz w:val="22"/>
          <w:szCs w:val="22"/>
          <w:lang w:val="fr-CA"/>
        </w:rPr>
        <w:t>Nature Neuroscience, 21(8), 1019–1021.</w:t>
      </w:r>
    </w:p>
    <w:p w14:paraId="4FDC3E77" w14:textId="77777777" w:rsidR="00C8305E" w:rsidRPr="00C8305E" w:rsidRDefault="00C8305E" w:rsidP="00507989">
      <w:pPr>
        <w:jc w:val="both"/>
        <w:rPr>
          <w:rFonts w:asciiTheme="majorHAnsi" w:eastAsia="Calibri" w:hAnsiTheme="majorHAnsi" w:cstheme="majorHAnsi"/>
          <w:color w:val="000000" w:themeColor="text1"/>
          <w:sz w:val="22"/>
          <w:szCs w:val="22"/>
          <w:lang w:val="fr-CA"/>
        </w:rPr>
      </w:pPr>
    </w:p>
    <w:p w14:paraId="4F554C12"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lang w:val="fr-CA"/>
        </w:rPr>
        <w:t xml:space="preserve">Friston, K. J. (2010). </w:t>
      </w:r>
      <w:r w:rsidRPr="00C8305E">
        <w:rPr>
          <w:rFonts w:asciiTheme="majorHAnsi" w:eastAsia="Calibri" w:hAnsiTheme="majorHAnsi" w:cstheme="majorHAnsi"/>
          <w:color w:val="000000" w:themeColor="text1"/>
          <w:sz w:val="22"/>
          <w:szCs w:val="22"/>
        </w:rPr>
        <w:t>The free-energy principle: a unified brain theory? Nature Reviews. Neuroscience, 11(2), 127–138.</w:t>
      </w:r>
    </w:p>
    <w:p w14:paraId="16543D83" w14:textId="77777777" w:rsidR="00C8305E" w:rsidRPr="00C8305E" w:rsidRDefault="00C8305E" w:rsidP="00507989">
      <w:pPr>
        <w:jc w:val="both"/>
        <w:rPr>
          <w:rFonts w:asciiTheme="majorHAnsi" w:hAnsiTheme="majorHAnsi" w:cstheme="majorHAnsi"/>
          <w:color w:val="000000" w:themeColor="text1"/>
          <w:sz w:val="22"/>
          <w:szCs w:val="22"/>
        </w:rPr>
      </w:pPr>
    </w:p>
    <w:p w14:paraId="38C87E71" w14:textId="77777777" w:rsidR="00C8305E" w:rsidRPr="00C8305E" w:rsidRDefault="00C8305E" w:rsidP="00507989">
      <w:pPr>
        <w:jc w:val="both"/>
        <w:rPr>
          <w:rFonts w:asciiTheme="majorHAnsi" w:hAnsiTheme="majorHAnsi" w:cstheme="majorHAnsi"/>
          <w:color w:val="000000" w:themeColor="text1"/>
          <w:sz w:val="22"/>
          <w:szCs w:val="22"/>
          <w:lang w:val="en-CA"/>
        </w:rPr>
      </w:pPr>
      <w:r w:rsidRPr="00C8305E">
        <w:rPr>
          <w:rFonts w:asciiTheme="majorHAnsi" w:hAnsiTheme="majorHAnsi" w:cstheme="majorHAnsi"/>
          <w:color w:val="000000" w:themeColor="text1"/>
          <w:sz w:val="22"/>
          <w:szCs w:val="22"/>
        </w:rPr>
        <w:t xml:space="preserve">Friston, K., 2013. Life as we know it. </w:t>
      </w:r>
      <w:r w:rsidRPr="00C8305E">
        <w:rPr>
          <w:rFonts w:asciiTheme="majorHAnsi" w:hAnsiTheme="majorHAnsi" w:cstheme="majorHAnsi"/>
          <w:color w:val="000000" w:themeColor="text1"/>
          <w:sz w:val="22"/>
          <w:szCs w:val="22"/>
          <w:lang w:val="en-CA"/>
        </w:rPr>
        <w:t>J R Soc Interface 10, 20130475.</w:t>
      </w:r>
    </w:p>
    <w:p w14:paraId="7EA78333"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7B6126AC"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Friston, K. J., FitzGerald, T., Rigoli, F., Schwartenbeck, P., O Doherty, J., &amp; Pezzulo, G. (2016). Active inference and learning. Neuroscience and Biobehavioral Reviews, 68, 862–879.</w:t>
      </w:r>
    </w:p>
    <w:p w14:paraId="59158B18"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2A86063D"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Friston, K. J., FitzGerald, T., Rigoli, F., Schwartenbeck, P., &amp; Pezzulo, G. (2017). Active inference: a process theory. Neural Computation, 29(1), 1–49.</w:t>
      </w:r>
    </w:p>
    <w:p w14:paraId="72AA28ED"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4F0F2FA"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Friston, K. J., &amp; Frith, C. (2015). A Duet for one. Consciousness and Cognition, 36, 390–405.</w:t>
      </w:r>
    </w:p>
    <w:p w14:paraId="2AA6236F"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2AA1F28"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Friston, K. J., Harrison, L., &amp; Penny, W. (2003). Dynamic causal modelling. NeuroImage, 19(4), 1273–1302.</w:t>
      </w:r>
    </w:p>
    <w:p w14:paraId="137A267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0224A0B"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Friston, K. J., Rosch, R., Parr, T., Price, C., &amp; Bowman, H. (2017). Deep temporal models and active inference. Neuroscience and Biobehavioral Reviews, 77, 388–402.</w:t>
      </w:r>
    </w:p>
    <w:p w14:paraId="4E7F6548"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85D5A78"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Friston, K., Schwartenbeck, P., Fitzgerald, T., Moutoussis, M., Behrens, T., &amp; Dolan, R. J. (2013). The anatomy of choice: active inference and agency. Frontiers in Human Neuroscience, 7, 598.</w:t>
      </w:r>
    </w:p>
    <w:p w14:paraId="006462DF"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2631BE1C"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t>Friston, K. J., Kilner, J., &amp; Harrison, L. (2006). A free energy principle for the brain. </w:t>
      </w:r>
      <w:r w:rsidRPr="00C8305E">
        <w:rPr>
          <w:rFonts w:asciiTheme="majorHAnsi" w:hAnsiTheme="majorHAnsi" w:cstheme="majorHAnsi"/>
          <w:i/>
          <w:iCs/>
          <w:color w:val="000000" w:themeColor="text1"/>
          <w:sz w:val="22"/>
          <w:szCs w:val="22"/>
          <w:shd w:val="clear" w:color="auto" w:fill="FFFFFF"/>
        </w:rPr>
        <w:t>Journal of Physiology, Paris</w:t>
      </w:r>
      <w:r w:rsidRPr="00C8305E">
        <w:rPr>
          <w:rFonts w:asciiTheme="majorHAnsi" w:hAnsiTheme="majorHAnsi" w:cstheme="majorHAnsi"/>
          <w:color w:val="000000" w:themeColor="text1"/>
          <w:sz w:val="22"/>
          <w:szCs w:val="22"/>
          <w:shd w:val="clear" w:color="auto" w:fill="FFFFFF"/>
        </w:rPr>
        <w:t>, </w:t>
      </w:r>
      <w:r w:rsidRPr="00C8305E">
        <w:rPr>
          <w:rFonts w:asciiTheme="majorHAnsi" w:hAnsiTheme="majorHAnsi" w:cstheme="majorHAnsi"/>
          <w:i/>
          <w:iCs/>
          <w:color w:val="000000" w:themeColor="text1"/>
          <w:sz w:val="22"/>
          <w:szCs w:val="22"/>
          <w:shd w:val="clear" w:color="auto" w:fill="FFFFFF"/>
        </w:rPr>
        <w:t>100</w:t>
      </w:r>
      <w:r w:rsidRPr="00C8305E">
        <w:rPr>
          <w:rFonts w:asciiTheme="majorHAnsi" w:hAnsiTheme="majorHAnsi" w:cstheme="majorHAnsi"/>
          <w:color w:val="000000" w:themeColor="text1"/>
          <w:sz w:val="22"/>
          <w:szCs w:val="22"/>
          <w:shd w:val="clear" w:color="auto" w:fill="FFFFFF"/>
        </w:rPr>
        <w:t>(1-3), 70–87.</w:t>
      </w:r>
    </w:p>
    <w:p w14:paraId="5D56FB62"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CF6C434"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t>Gładziejewski, P. (2016). Predictive coding and representationalism. </w:t>
      </w:r>
      <w:r w:rsidRPr="00C8305E">
        <w:rPr>
          <w:rFonts w:asciiTheme="majorHAnsi" w:hAnsiTheme="majorHAnsi" w:cstheme="majorHAnsi"/>
          <w:i/>
          <w:iCs/>
          <w:color w:val="000000" w:themeColor="text1"/>
          <w:sz w:val="22"/>
          <w:szCs w:val="22"/>
          <w:shd w:val="clear" w:color="auto" w:fill="FFFFFF"/>
        </w:rPr>
        <w:t>Synthese</w:t>
      </w:r>
      <w:r w:rsidRPr="00C8305E">
        <w:rPr>
          <w:rFonts w:asciiTheme="majorHAnsi" w:hAnsiTheme="majorHAnsi" w:cstheme="majorHAnsi"/>
          <w:color w:val="000000" w:themeColor="text1"/>
          <w:sz w:val="22"/>
          <w:szCs w:val="22"/>
          <w:shd w:val="clear" w:color="auto" w:fill="FFFFFF"/>
        </w:rPr>
        <w:t>, </w:t>
      </w:r>
      <w:r w:rsidRPr="00C8305E">
        <w:rPr>
          <w:rFonts w:asciiTheme="majorHAnsi" w:hAnsiTheme="majorHAnsi" w:cstheme="majorHAnsi"/>
          <w:i/>
          <w:iCs/>
          <w:color w:val="000000" w:themeColor="text1"/>
          <w:sz w:val="22"/>
          <w:szCs w:val="22"/>
          <w:shd w:val="clear" w:color="auto" w:fill="FFFFFF"/>
        </w:rPr>
        <w:t>193</w:t>
      </w:r>
      <w:r w:rsidRPr="00C8305E">
        <w:rPr>
          <w:rFonts w:asciiTheme="majorHAnsi" w:hAnsiTheme="majorHAnsi" w:cstheme="majorHAnsi"/>
          <w:color w:val="000000" w:themeColor="text1"/>
          <w:sz w:val="22"/>
          <w:szCs w:val="22"/>
          <w:shd w:val="clear" w:color="auto" w:fill="FFFFFF"/>
        </w:rPr>
        <w:t>(2), 559–582.</w:t>
      </w:r>
    </w:p>
    <w:p w14:paraId="51D1E46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7C34BB81"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Henrich, J. (2015). The secret of our success: how culture is driving human evolution, domesticating our species, and making us smarter. Princeton, NJ: Princeton University Press.</w:t>
      </w:r>
    </w:p>
    <w:p w14:paraId="0E0A2D84"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780D8ED"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Hohwy, J. (2013). The predictive mind. Oxford: Oxford University Press.</w:t>
      </w:r>
    </w:p>
    <w:p w14:paraId="650EC9DF"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3635EAF"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Hohwy, J. (2016). The self‐evidencing brain. Noûs, 50(2), 259–285.</w:t>
      </w:r>
    </w:p>
    <w:p w14:paraId="16341DE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86C78A4"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Hohwy, J. (2019). Quick’n'lean or Slow and Rich? Andy Clark on predictive processing and embodied cognition. In M. Colombo, E. Irvine, &amp; M. Stapleton (Eds.), Andy Clark and His Critics (pp. 191–205). Oxford University Press.</w:t>
      </w:r>
    </w:p>
    <w:p w14:paraId="245D153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22043042"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Hutchins, E. (2014). The cultural ecosystem of human cognition. Philosophical Psychology, 27(1), 34–49.</w:t>
      </w:r>
    </w:p>
    <w:p w14:paraId="15BC13D2"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B510979"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Hutto, D. D., &amp; Myin, E. (2013). Radicalizing enactivism: Basic minds without content. MIT Press.</w:t>
      </w:r>
    </w:p>
    <w:p w14:paraId="1EE54AEA"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D77B278"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Joffily, M., &amp; Coricelli, G. (2013). Emotional valence and the free-energy principle. PLoS Computational Biology, 9(6),e1003094.</w:t>
      </w:r>
    </w:p>
    <w:p w14:paraId="5406A007"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1D35FEBE"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Kaplan, R., &amp; Friston, K. J. (2018). Planning and navigation as active inference. Biological Cybernetics. https://doi.org/10.1007/s00422-018-0753-2</w:t>
      </w:r>
    </w:p>
    <w:p w14:paraId="3B7A7C77"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505B8F8"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Keller, G. B., &amp; Mrsic-Flogel, T. D. (2018). Predictive Processing: A Canonical Cortical Computation. Neuron, 100(2), 424–435.</w:t>
      </w:r>
    </w:p>
    <w:p w14:paraId="2795F6D5"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F2B2312"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Kiefer, A., &amp; Hohwy, J. (2017). Content and misrepresentation in hierarchical generative models. Synthese, 1–29.</w:t>
      </w:r>
    </w:p>
    <w:p w14:paraId="74ED2D45"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9EEB810"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Kirchhoff, M., Parr, T., Palacios, E., Friston, K. J., &amp; Kiverstein, J. (2018). The Markov blankets of life: autonomy, active inference and the free energy principle. Journal of the Royal Society, Interface / the Royal Society, 15(138). https://doi.org/10.1098/rsif.2017.0792</w:t>
      </w:r>
    </w:p>
    <w:p w14:paraId="66180B5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378C88D"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Kirchhoff, M. D., &amp; Robertson, I. (2018). Enactivism and Predictive Processing: A Non-Representational View. Philosophical Explorations: An International Journal for the Philosophy of Mind and Action, 21(2), 264–281.</w:t>
      </w:r>
    </w:p>
    <w:p w14:paraId="0BB293EE"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CE1C89B"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Itti, L., Baldi, P., 2009. Bayesian Surprise Attracts Human Attention. Vision Res. 49, 1295-1306.</w:t>
      </w:r>
    </w:p>
    <w:p w14:paraId="5CD9D685"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Kauder, E., 1953. Genesis of the Marginal Utility Theory: From Aristotle to the End of the Eighteenth Century. The Economic Journal 63, 638-650.</w:t>
      </w:r>
    </w:p>
    <w:p w14:paraId="2C07A1F5"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BDCEE39"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LeCun, Y., Bengio, Y., &amp; Hinton, G. (2015). Deep learning. Nature, 521(7553), 436–444.</w:t>
      </w:r>
    </w:p>
    <w:p w14:paraId="25ABDFB8" w14:textId="77777777" w:rsidR="00C8305E" w:rsidRPr="00C8305E" w:rsidRDefault="00C8305E" w:rsidP="00507989">
      <w:pPr>
        <w:jc w:val="both"/>
        <w:rPr>
          <w:rFonts w:asciiTheme="majorHAnsi" w:hAnsiTheme="majorHAnsi" w:cstheme="majorHAnsi"/>
          <w:color w:val="000000" w:themeColor="text1"/>
          <w:sz w:val="22"/>
          <w:szCs w:val="22"/>
        </w:rPr>
      </w:pPr>
    </w:p>
    <w:p w14:paraId="4DB2559B"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Limanowski, J., Friston, K., 2018. ‘Seeing the Dark’: Grounding Phenomenal Transparency and Opacity in Precision Estimation for Active Inference. Frontiers in Psychology 9, 643.</w:t>
      </w:r>
    </w:p>
    <w:p w14:paraId="4D8B0B40"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A3B7E53"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Metzinger, T., &amp; Wiese, W. (2017). Philosophy and predictive processing. MIND Group: Frankfurt Am Main. </w:t>
      </w:r>
    </w:p>
    <w:p w14:paraId="076A1B7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CAC2129"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Mirza, M. B., Adams, R. A., Mathys, C. D., &amp; Friston, K. J. (2016). Scene Construction, Visual Foraging, and Active Inference.Frontiers in Computational Neuroscience, 10, 56.</w:t>
      </w:r>
    </w:p>
    <w:p w14:paraId="66B3EA95" w14:textId="10793244"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Parr, T., &amp; Friston, K. J. (2017). Working memory, attention, and salience in active inference. Scientific Reports, 7(1), 14678.</w:t>
      </w:r>
    </w:p>
    <w:p w14:paraId="1F3B4686" w14:textId="77777777" w:rsidR="00C8305E" w:rsidRPr="00C8305E" w:rsidRDefault="00C8305E" w:rsidP="00507989">
      <w:pPr>
        <w:pStyle w:val="EndNoteBibliography"/>
        <w:jc w:val="both"/>
        <w:rPr>
          <w:rFonts w:asciiTheme="majorHAnsi" w:hAnsiTheme="majorHAnsi" w:cstheme="majorHAnsi"/>
          <w:sz w:val="22"/>
        </w:rPr>
      </w:pPr>
    </w:p>
    <w:p w14:paraId="400D47D7"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Montague, P.R., Dolan, R.J., Friston, K.J., Dayan, P., 2012. Computational psychiatry. Trends Cogn Sci 16, 72-80.</w:t>
      </w:r>
    </w:p>
    <w:p w14:paraId="5889CFAE" w14:textId="77777777" w:rsidR="00C8305E" w:rsidRPr="00C8305E" w:rsidRDefault="00C8305E" w:rsidP="00507989">
      <w:pPr>
        <w:pStyle w:val="EndNoteBibliography"/>
        <w:jc w:val="both"/>
        <w:rPr>
          <w:rFonts w:asciiTheme="majorHAnsi" w:hAnsiTheme="majorHAnsi" w:cstheme="majorHAnsi"/>
          <w:sz w:val="22"/>
        </w:rPr>
      </w:pPr>
    </w:p>
    <w:p w14:paraId="39F1387A"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Oudeyer, P.-Y., Kaplan, F., 2007. What is intrinsic motivation? a typology of computational approaches. Frontiers in Neurorobotics 1, 6.</w:t>
      </w:r>
    </w:p>
    <w:p w14:paraId="76107A3B" w14:textId="77777777" w:rsidR="00C8305E" w:rsidRPr="00C8305E" w:rsidRDefault="00C8305E" w:rsidP="00507989">
      <w:pPr>
        <w:pStyle w:val="EndNoteBibliography"/>
        <w:jc w:val="both"/>
        <w:rPr>
          <w:rFonts w:asciiTheme="majorHAnsi" w:hAnsiTheme="majorHAnsi" w:cstheme="majorHAnsi"/>
          <w:sz w:val="22"/>
        </w:rPr>
      </w:pPr>
    </w:p>
    <w:p w14:paraId="712E286F"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Parr, T., Benrimoh, D., Vincent, P., Friston, K., 2018a. Precision and false perceptual inference. Front. Integr. Neurosci.</w:t>
      </w:r>
    </w:p>
    <w:p w14:paraId="12D22609" w14:textId="77777777" w:rsidR="00C8305E" w:rsidRPr="00C8305E" w:rsidRDefault="00C8305E" w:rsidP="00507989">
      <w:pPr>
        <w:pStyle w:val="EndNoteBibliography"/>
        <w:jc w:val="both"/>
        <w:rPr>
          <w:rFonts w:asciiTheme="majorHAnsi" w:hAnsiTheme="majorHAnsi" w:cstheme="majorHAnsi"/>
          <w:sz w:val="22"/>
        </w:rPr>
      </w:pPr>
    </w:p>
    <w:p w14:paraId="2309D68D"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lastRenderedPageBreak/>
        <w:t>Parr, T., Friston, K.J., 2017. Uncertainty, epistemics and active inference. Journal of the Royal Society Interface 14, 20170376.</w:t>
      </w:r>
    </w:p>
    <w:p w14:paraId="4B78AA4D" w14:textId="77777777" w:rsidR="00C8305E" w:rsidRPr="00C8305E" w:rsidRDefault="00C8305E" w:rsidP="00507989">
      <w:pPr>
        <w:pStyle w:val="EndNoteBibliography"/>
        <w:jc w:val="both"/>
        <w:rPr>
          <w:rFonts w:asciiTheme="majorHAnsi" w:hAnsiTheme="majorHAnsi" w:cstheme="majorHAnsi"/>
          <w:sz w:val="22"/>
        </w:rPr>
      </w:pPr>
    </w:p>
    <w:p w14:paraId="6F2A25F5"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Parr, T., Rees, G., Friston, K.J., 2018b. Computational Neuropsychology and Bayesian Inference. Front Hum Neurosci 12, 61.</w:t>
      </w:r>
    </w:p>
    <w:p w14:paraId="3EFF2DFA" w14:textId="77777777" w:rsidR="00C8305E" w:rsidRPr="00C8305E" w:rsidRDefault="00C8305E" w:rsidP="00507989">
      <w:pPr>
        <w:pStyle w:val="EndNoteBibliography"/>
        <w:jc w:val="both"/>
        <w:rPr>
          <w:rFonts w:asciiTheme="majorHAnsi" w:hAnsiTheme="majorHAnsi" w:cstheme="majorHAnsi"/>
          <w:sz w:val="22"/>
        </w:rPr>
      </w:pPr>
    </w:p>
    <w:p w14:paraId="5E93A0F7"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Peters, A., McEwen, B.S., Friston, K., 2017. Uncertainty and stress: Why it causes diseases and how it is mastered by the brain. Prog Neurobiol.</w:t>
      </w:r>
    </w:p>
    <w:p w14:paraId="6093191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06358C41"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shd w:val="clear" w:color="auto" w:fill="FFFFFF"/>
        </w:rPr>
        <w:t>Parr, T., Markovic, D., Kiebel, S. J., &amp; Friston, K. J. (2019). Neuronal message passing using Mean-field, Bethe, and Marginal approximations. </w:t>
      </w:r>
      <w:r w:rsidRPr="00C8305E">
        <w:rPr>
          <w:rFonts w:asciiTheme="majorHAnsi" w:hAnsiTheme="majorHAnsi" w:cstheme="majorHAnsi"/>
          <w:i/>
          <w:iCs/>
          <w:color w:val="000000" w:themeColor="text1"/>
          <w:sz w:val="22"/>
          <w:szCs w:val="22"/>
          <w:shd w:val="clear" w:color="auto" w:fill="FFFFFF"/>
        </w:rPr>
        <w:t>Scientific Reports</w:t>
      </w:r>
      <w:r w:rsidRPr="00C8305E">
        <w:rPr>
          <w:rFonts w:asciiTheme="majorHAnsi" w:hAnsiTheme="majorHAnsi" w:cstheme="majorHAnsi"/>
          <w:color w:val="000000" w:themeColor="text1"/>
          <w:sz w:val="22"/>
          <w:szCs w:val="22"/>
          <w:shd w:val="clear" w:color="auto" w:fill="FFFFFF"/>
        </w:rPr>
        <w:t>, </w:t>
      </w:r>
      <w:r w:rsidRPr="00C8305E">
        <w:rPr>
          <w:rFonts w:asciiTheme="majorHAnsi" w:hAnsiTheme="majorHAnsi" w:cstheme="majorHAnsi"/>
          <w:i/>
          <w:iCs/>
          <w:color w:val="000000" w:themeColor="text1"/>
          <w:sz w:val="22"/>
          <w:szCs w:val="22"/>
          <w:shd w:val="clear" w:color="auto" w:fill="FFFFFF"/>
        </w:rPr>
        <w:t>9</w:t>
      </w:r>
      <w:r w:rsidRPr="00C8305E">
        <w:rPr>
          <w:rFonts w:asciiTheme="majorHAnsi" w:hAnsiTheme="majorHAnsi" w:cstheme="majorHAnsi"/>
          <w:color w:val="000000" w:themeColor="text1"/>
          <w:sz w:val="22"/>
          <w:szCs w:val="22"/>
          <w:shd w:val="clear" w:color="auto" w:fill="FFFFFF"/>
        </w:rPr>
        <w:t>(1), 1889.</w:t>
      </w:r>
    </w:p>
    <w:p w14:paraId="4F523C6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20E339DF"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Pezzulo, G., Rigoli, F., &amp; Friston, K. (2015). Active Inference, homeostatic regulation and adaptive behavioural control. Progress in Neurobiology, 134, 17–35.</w:t>
      </w:r>
    </w:p>
    <w:p w14:paraId="482FD150"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D7DD7D4"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Ryan, R., Deci, E., 1985. Intrinsic motivation and self-determination in human behavior. Plenum, New York.</w:t>
      </w:r>
    </w:p>
    <w:p w14:paraId="0FCDE431"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8B7EF29"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Ramstead, M. J. D., Veissière, S. P. L., &amp; Kirmayer, L. J. (2016). Cultural affordances: scaffolding local worlds through shared intentionality and regimes of attention. Frontiers in Psychology, 7, 1090.</w:t>
      </w:r>
    </w:p>
    <w:p w14:paraId="735EDD0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1952F771"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Ramstead, M. J. D., Badcock, P. B., &amp; Friston, K. J. (2017). Answering Schrödinger’s question: A free-energy formulation. Physics of Life Reviews, 24, 1–16.</w:t>
      </w:r>
    </w:p>
    <w:p w14:paraId="1EEB7B0D"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ADC62C3"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Ramstead, M. J. D., Kirchhoff, M., &amp; Friston, K. J. (2019). A tale of two densities: Active inference is enactive inference. Manuscript submitted for publication.</w:t>
      </w:r>
    </w:p>
    <w:p w14:paraId="03C59FC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4F8FF720"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Roepstorff, A, Niewöhner, J, &amp; Beck, S. (2010). Enculturating brains through patterned practices. Neural Networks, 23, 1051 1059.</w:t>
      </w:r>
    </w:p>
    <w:p w14:paraId="6108724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1C15A820"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Siegel, S. (2010). The Contents of Visual Experience. Oxford University Press.</w:t>
      </w:r>
    </w:p>
    <w:p w14:paraId="05DF974A"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DBBA62E"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Schmidhuber, J., 2010. Formal Theory of Creativity, Fun, and Intrinsic Motivation (1990-2010). Ieee Transactions on Autonomous Mental Development 2, 230-247.</w:t>
      </w:r>
    </w:p>
    <w:p w14:paraId="52E32AAC" w14:textId="77777777" w:rsidR="00C8305E" w:rsidRPr="00C8305E" w:rsidRDefault="00C8305E" w:rsidP="00507989">
      <w:pPr>
        <w:pStyle w:val="EndNoteBibliography"/>
        <w:jc w:val="both"/>
        <w:rPr>
          <w:rFonts w:asciiTheme="majorHAnsi" w:hAnsiTheme="majorHAnsi" w:cstheme="majorHAnsi"/>
          <w:sz w:val="22"/>
        </w:rPr>
      </w:pPr>
    </w:p>
    <w:p w14:paraId="6FE8DAFA"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Schwartenbeck, P., Friston, K., 2016. Computational Phenotyping in Psychiatry: A Worked Example. eNeuro 3.</w:t>
      </w:r>
    </w:p>
    <w:p w14:paraId="5325A87F" w14:textId="77777777" w:rsidR="00C8305E" w:rsidRPr="00C8305E" w:rsidRDefault="00C8305E" w:rsidP="00507989">
      <w:pPr>
        <w:pStyle w:val="EndNoteBibliography"/>
        <w:jc w:val="both"/>
        <w:rPr>
          <w:rFonts w:asciiTheme="majorHAnsi" w:hAnsiTheme="majorHAnsi" w:cstheme="majorHAnsi"/>
          <w:sz w:val="22"/>
        </w:rPr>
      </w:pPr>
    </w:p>
    <w:p w14:paraId="66BDFDC1"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Sun, Y., Gomez, F., Schmidhuber, J., 2011. Planning to be surprised: optimal Bayesian exploration in dynamic environments, Proceedings of the 4th international conference on Artificial general intelligence. Springer-Verlag, Mountain View, CA, pp. 41-51.</w:t>
      </w:r>
    </w:p>
    <w:p w14:paraId="21BCCB5A"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2D2074C"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Sutton, John (2007) 'Batting, Habit and Memory: The Embodied Mind and the Nature of Skill', Sport in Society, 10:5, 763 –786</w:t>
      </w:r>
    </w:p>
    <w:p w14:paraId="2E6ED304"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6CA20336"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Sutton, R.S., Barto, A.G., 1998. Reinforcement Learning: An Introduction. MIT Press, Cambridge, MA.</w:t>
      </w:r>
    </w:p>
    <w:p w14:paraId="1E6228C1" w14:textId="77777777" w:rsidR="00C8305E" w:rsidRPr="00C8305E" w:rsidRDefault="00C8305E" w:rsidP="00507989">
      <w:pPr>
        <w:pStyle w:val="EndNoteBibliography"/>
        <w:jc w:val="both"/>
        <w:rPr>
          <w:rFonts w:asciiTheme="majorHAnsi" w:hAnsiTheme="majorHAnsi" w:cstheme="majorHAnsi"/>
          <w:sz w:val="22"/>
        </w:rPr>
      </w:pPr>
      <w:r w:rsidRPr="00C8305E">
        <w:rPr>
          <w:rFonts w:asciiTheme="majorHAnsi" w:hAnsiTheme="majorHAnsi" w:cstheme="majorHAnsi"/>
          <w:sz w:val="22"/>
        </w:rPr>
        <w:t>Tschacher, W., Haken, H., 2007. Intentionality in non-equilibrium systems? The functional aspects of self-organised pattern formation. New Ideas in Psychology 25, 1-15.</w:t>
      </w:r>
    </w:p>
    <w:p w14:paraId="36C22A96"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1E8985A"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lastRenderedPageBreak/>
        <w:t>Thelen, E., &amp; Smith, L. B. (1996). A dynamic systems approach to the development of cognition and action. MIT press.</w:t>
      </w:r>
    </w:p>
    <w:p w14:paraId="6329A90F"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04781A9"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Thompson, E. (2007). Mind in life: biology, phenomenology, and the sciences of mind. Cambridge, MA: Harvard University Press.</w:t>
      </w:r>
    </w:p>
    <w:p w14:paraId="624608BC"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33C9F40E"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 xml:space="preserve">Van Gelder, T. (1995). What might cognition be if not computation? Journal of Philosophy, 91, 345–381 </w:t>
      </w:r>
    </w:p>
    <w:p w14:paraId="65A49C2B"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77080AB7"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Varela, F. J., Thompson, E., &amp; Rosch, E. (1991). The embodied mind: Cognitive science and human experience, 308.</w:t>
      </w:r>
    </w:p>
    <w:p w14:paraId="0A8FFA4E" w14:textId="77777777" w:rsidR="00C8305E" w:rsidRPr="00C8305E" w:rsidRDefault="00C8305E" w:rsidP="00507989">
      <w:pPr>
        <w:jc w:val="both"/>
        <w:rPr>
          <w:rFonts w:asciiTheme="majorHAnsi" w:eastAsia="Calibri" w:hAnsiTheme="majorHAnsi" w:cstheme="majorHAnsi"/>
          <w:color w:val="000000" w:themeColor="text1"/>
          <w:sz w:val="22"/>
          <w:szCs w:val="22"/>
        </w:rPr>
      </w:pPr>
    </w:p>
    <w:p w14:paraId="5082447F" w14:textId="77777777" w:rsidR="00C8305E" w:rsidRPr="00C8305E" w:rsidRDefault="00C8305E" w:rsidP="00507989">
      <w:pPr>
        <w:jc w:val="both"/>
        <w:rPr>
          <w:rFonts w:asciiTheme="majorHAnsi" w:eastAsia="Calibri" w:hAnsiTheme="majorHAnsi" w:cstheme="majorHAnsi"/>
          <w:color w:val="000000" w:themeColor="text1"/>
          <w:sz w:val="22"/>
          <w:szCs w:val="22"/>
        </w:rPr>
      </w:pPr>
      <w:r w:rsidRPr="00C8305E">
        <w:rPr>
          <w:rFonts w:asciiTheme="majorHAnsi" w:eastAsia="Calibri" w:hAnsiTheme="majorHAnsi" w:cstheme="majorHAnsi"/>
          <w:color w:val="000000" w:themeColor="text1"/>
          <w:sz w:val="22"/>
          <w:szCs w:val="22"/>
        </w:rPr>
        <w:t>Veissière, S. P. L., Constant, A., Ramstead, M. J. D., Friston, K. J., &amp; Kirmayer, L. J. (2019). Thinking Through Other Minds: A Variational Approach to Cognition and Culture. The Behavioral and Brain Sciences, 1–97.</w:t>
      </w:r>
    </w:p>
    <w:p w14:paraId="308AA4E3" w14:textId="77777777" w:rsidR="00C8305E" w:rsidRPr="00C8305E" w:rsidRDefault="00C8305E" w:rsidP="00507989">
      <w:pPr>
        <w:jc w:val="both"/>
        <w:rPr>
          <w:rFonts w:asciiTheme="majorHAnsi" w:hAnsiTheme="majorHAnsi" w:cstheme="majorHAnsi"/>
          <w:color w:val="000000" w:themeColor="text1"/>
          <w:sz w:val="22"/>
          <w:szCs w:val="22"/>
        </w:rPr>
      </w:pPr>
    </w:p>
    <w:p w14:paraId="51E46FC1" w14:textId="77777777" w:rsidR="00C8305E" w:rsidRPr="00C8305E" w:rsidRDefault="00C8305E" w:rsidP="00507989">
      <w:pPr>
        <w:jc w:val="both"/>
        <w:rPr>
          <w:rFonts w:asciiTheme="majorHAnsi" w:hAnsiTheme="majorHAnsi" w:cstheme="majorHAnsi"/>
          <w:color w:val="000000" w:themeColor="text1"/>
          <w:sz w:val="22"/>
          <w:szCs w:val="22"/>
        </w:rPr>
      </w:pPr>
      <w:r w:rsidRPr="00C8305E">
        <w:rPr>
          <w:rFonts w:asciiTheme="majorHAnsi" w:hAnsiTheme="majorHAnsi" w:cstheme="majorHAnsi"/>
          <w:color w:val="000000" w:themeColor="text1"/>
          <w:sz w:val="22"/>
          <w:szCs w:val="22"/>
        </w:rPr>
        <w:t>Williams, D. (2018). Predictive Processing and the Representation Wars. Minds and Machines, 28(1), 141–172.</w:t>
      </w:r>
    </w:p>
    <w:p w14:paraId="43A03068" w14:textId="77777777" w:rsidR="00C8305E" w:rsidRPr="00C8305E" w:rsidRDefault="00C8305E" w:rsidP="00507989">
      <w:pPr>
        <w:jc w:val="both"/>
        <w:rPr>
          <w:rFonts w:asciiTheme="majorHAnsi" w:hAnsiTheme="majorHAnsi" w:cstheme="majorHAnsi"/>
          <w:color w:val="000000" w:themeColor="text1"/>
          <w:sz w:val="22"/>
          <w:szCs w:val="22"/>
        </w:rPr>
      </w:pPr>
    </w:p>
    <w:p w14:paraId="5143E129" w14:textId="77777777" w:rsidR="004E2661" w:rsidRPr="00C8305E" w:rsidRDefault="004E2661" w:rsidP="00507989">
      <w:pPr>
        <w:jc w:val="both"/>
        <w:rPr>
          <w:rFonts w:asciiTheme="majorHAnsi" w:hAnsiTheme="majorHAnsi" w:cstheme="majorHAnsi"/>
          <w:sz w:val="22"/>
          <w:szCs w:val="22"/>
        </w:rPr>
      </w:pPr>
      <w:bookmarkStart w:id="26" w:name="_GoBack"/>
      <w:bookmarkEnd w:id="26"/>
    </w:p>
    <w:sectPr w:rsidR="004E2661" w:rsidRPr="00C8305E" w:rsidSect="00F03761">
      <w:headerReference w:type="even" r:id="rId109"/>
      <w:headerReference w:type="default" r:id="rId110"/>
      <w:footerReference w:type="even" r:id="rId111"/>
      <w:footerReference w:type="default" r:id="rId112"/>
      <w:headerReference w:type="first" r:id="rId113"/>
      <w:footerReference w:type="first" r:id="rId114"/>
      <w:pgSz w:w="12240" w:h="15840"/>
      <w:pgMar w:top="1417" w:right="1417" w:bottom="1417" w:left="1417" w:header="720" w:footer="720" w:gutter="0"/>
      <w:lnNumType w:countBy="1"/>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BEED3" w14:textId="77777777" w:rsidR="00505CC7" w:rsidRDefault="00505CC7" w:rsidP="00C8305E">
      <w:r>
        <w:separator/>
      </w:r>
    </w:p>
  </w:endnote>
  <w:endnote w:type="continuationSeparator" w:id="0">
    <w:p w14:paraId="0A5CEB34" w14:textId="77777777" w:rsidR="00505CC7" w:rsidRDefault="00505CC7" w:rsidP="00C8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8190699"/>
      <w:docPartObj>
        <w:docPartGallery w:val="Page Numbers (Bottom of Page)"/>
        <w:docPartUnique/>
      </w:docPartObj>
    </w:sdtPr>
    <w:sdtEndPr>
      <w:rPr>
        <w:rStyle w:val="PageNumber"/>
      </w:rPr>
    </w:sdtEndPr>
    <w:sdtContent>
      <w:p w14:paraId="028236F0" w14:textId="77777777" w:rsidR="00302C28" w:rsidRDefault="00505CC7" w:rsidP="00AB79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241B2" w14:textId="77777777" w:rsidR="00302C28" w:rsidRDefault="00505C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9682926"/>
      <w:docPartObj>
        <w:docPartGallery w:val="Page Numbers (Bottom of Page)"/>
        <w:docPartUnique/>
      </w:docPartObj>
    </w:sdtPr>
    <w:sdtEndPr>
      <w:rPr>
        <w:rStyle w:val="PageNumber"/>
      </w:rPr>
    </w:sdtEndPr>
    <w:sdtContent>
      <w:p w14:paraId="7D06BB85" w14:textId="77777777" w:rsidR="00302C28" w:rsidRDefault="00505CC7" w:rsidP="00AB791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654CC5D" w14:textId="77777777" w:rsidR="00302C28" w:rsidRDefault="00505C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63ED" w14:textId="77777777" w:rsidR="00302C28" w:rsidRDefault="00505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F5723" w14:textId="77777777" w:rsidR="00505CC7" w:rsidRDefault="00505CC7" w:rsidP="00C8305E">
      <w:r>
        <w:separator/>
      </w:r>
    </w:p>
  </w:footnote>
  <w:footnote w:type="continuationSeparator" w:id="0">
    <w:p w14:paraId="460EBCE6" w14:textId="77777777" w:rsidR="00505CC7" w:rsidRDefault="00505CC7" w:rsidP="00C8305E">
      <w:r>
        <w:continuationSeparator/>
      </w:r>
    </w:p>
  </w:footnote>
  <w:footnote w:id="1">
    <w:p w14:paraId="04322C7D" w14:textId="77777777" w:rsidR="00C8305E" w:rsidRPr="005A685E" w:rsidRDefault="00C8305E" w:rsidP="00C8305E">
      <w:pPr>
        <w:pStyle w:val="FootnoteText"/>
        <w:rPr>
          <w:rFonts w:ascii="Times New Roman" w:hAnsi="Times New Roman" w:cs="Times New Roman"/>
          <w:sz w:val="18"/>
          <w:szCs w:val="18"/>
        </w:rPr>
      </w:pPr>
      <w:r w:rsidRPr="005A685E">
        <w:rPr>
          <w:rStyle w:val="FootnoteReference"/>
          <w:rFonts w:ascii="Times New Roman" w:hAnsi="Times New Roman" w:cs="Times New Roman"/>
          <w:sz w:val="18"/>
          <w:szCs w:val="18"/>
        </w:rPr>
        <w:footnoteRef/>
      </w:r>
      <w:r w:rsidRPr="005A685E">
        <w:rPr>
          <w:rFonts w:ascii="Times New Roman" w:hAnsi="Times New Roman" w:cs="Times New Roman"/>
          <w:sz w:val="18"/>
          <w:szCs w:val="18"/>
        </w:rPr>
        <w:t xml:space="preserve"> The word ‘entails’ has a particular meaning here because, strictly speaking, the brain is viewed as performing inference under a generative model. Technically, the generative model is just a probability distribution over the (unobserved) causes of (observed) sensations. As such, the generative model only exists to the extent that neuronal dynamics maximise the evidence for that model (for a discussion see Ramstead, Badcock, and Friston, 2017).</w:t>
      </w:r>
    </w:p>
  </w:footnote>
  <w:footnote w:id="2">
    <w:p w14:paraId="13E17A2D" w14:textId="77777777" w:rsidR="00C8305E" w:rsidRPr="000B5E16" w:rsidRDefault="00C8305E" w:rsidP="00C8305E">
      <w:pPr>
        <w:pStyle w:val="FootnoteText"/>
        <w:rPr>
          <w:rFonts w:ascii="Calibri Light" w:hAnsi="Calibri Light" w:cs="Calibri Light"/>
          <w:sz w:val="18"/>
          <w:szCs w:val="18"/>
        </w:rPr>
      </w:pPr>
      <w:r w:rsidRPr="005A685E">
        <w:rPr>
          <w:rStyle w:val="FootnoteReference"/>
          <w:rFonts w:ascii="Times New Roman" w:hAnsi="Times New Roman" w:cs="Times New Roman"/>
          <w:sz w:val="18"/>
          <w:szCs w:val="18"/>
        </w:rPr>
        <w:footnoteRef/>
      </w:r>
      <w:r w:rsidRPr="005A685E">
        <w:rPr>
          <w:rFonts w:ascii="Times New Roman" w:hAnsi="Times New Roman" w:cs="Times New Roman"/>
          <w:sz w:val="18"/>
          <w:szCs w:val="18"/>
        </w:rPr>
        <w:t xml:space="preserve"> Hidden states are sometimes called latent states and refer to variables that cannot be observed. There are effectively hidden behind observations and have to be inferred as random variables.</w:t>
      </w:r>
    </w:p>
  </w:footnote>
  <w:footnote w:id="3">
    <w:p w14:paraId="4C18BDC1" w14:textId="77777777" w:rsidR="00C8305E" w:rsidRPr="005A685E" w:rsidRDefault="00C8305E" w:rsidP="00C8305E">
      <w:pPr>
        <w:pStyle w:val="FootnoteText"/>
        <w:rPr>
          <w:rFonts w:ascii="Times New Roman" w:hAnsi="Times New Roman" w:cs="Times New Roman"/>
          <w:sz w:val="18"/>
          <w:szCs w:val="18"/>
        </w:rPr>
      </w:pPr>
      <w:r w:rsidRPr="005A685E">
        <w:rPr>
          <w:rStyle w:val="FootnoteReference"/>
          <w:rFonts w:ascii="Times New Roman" w:hAnsi="Times New Roman" w:cs="Times New Roman"/>
          <w:sz w:val="18"/>
          <w:szCs w:val="18"/>
        </w:rPr>
        <w:footnoteRef/>
      </w:r>
      <w:r w:rsidRPr="005A685E">
        <w:rPr>
          <w:rFonts w:ascii="Times New Roman" w:hAnsi="Times New Roman" w:cs="Times New Roman"/>
          <w:sz w:val="18"/>
          <w:szCs w:val="18"/>
        </w:rPr>
        <w:t xml:space="preserve"> Approximate Bayesian inference should not be read as inference that is approximate; rather, it should be read as inference that can be realised. Indeed, as we will see later, exact Bayesian inference is a special case of approximate Bayesian inference when certain conditions are met.</w:t>
      </w:r>
    </w:p>
  </w:footnote>
  <w:footnote w:id="4">
    <w:p w14:paraId="6C3471CC" w14:textId="77777777" w:rsidR="00C8305E" w:rsidRPr="007E0169" w:rsidRDefault="00C8305E" w:rsidP="00C8305E">
      <w:pPr>
        <w:pStyle w:val="FootnoteText"/>
        <w:rPr>
          <w:rFonts w:ascii="Calibri Light" w:hAnsi="Calibri Light" w:cs="Calibri Light"/>
          <w:sz w:val="18"/>
          <w:szCs w:val="18"/>
        </w:rPr>
      </w:pPr>
      <w:r w:rsidRPr="005A685E">
        <w:rPr>
          <w:rStyle w:val="FootnoteReference"/>
          <w:rFonts w:ascii="Times New Roman" w:hAnsi="Times New Roman" w:cs="Times New Roman"/>
          <w:sz w:val="18"/>
          <w:szCs w:val="18"/>
        </w:rPr>
        <w:footnoteRef/>
      </w:r>
      <w:r w:rsidRPr="005A685E">
        <w:rPr>
          <w:rFonts w:ascii="Times New Roman" w:hAnsi="Times New Roman" w:cs="Times New Roman"/>
          <w:sz w:val="18"/>
          <w:szCs w:val="18"/>
        </w:rPr>
        <w:t xml:space="preserve"> This arbitrary probability distribution is variously called an approximate posterior, a recognition distribution or more simply a Bayesian belief.</w:t>
      </w:r>
    </w:p>
  </w:footnote>
  <w:footnote w:id="5">
    <w:p w14:paraId="32FE9366" w14:textId="77777777" w:rsidR="00C8305E" w:rsidRPr="005A685E" w:rsidRDefault="00C8305E" w:rsidP="00C8305E">
      <w:pPr>
        <w:pStyle w:val="FootnoteText"/>
        <w:rPr>
          <w:rFonts w:ascii="Times New Roman" w:hAnsi="Times New Roman" w:cs="Times New Roman"/>
          <w:sz w:val="18"/>
          <w:szCs w:val="18"/>
        </w:rPr>
      </w:pPr>
      <w:r w:rsidRPr="005A685E">
        <w:rPr>
          <w:rStyle w:val="FootnoteReference"/>
          <w:rFonts w:ascii="Times New Roman" w:hAnsi="Times New Roman" w:cs="Times New Roman"/>
          <w:sz w:val="18"/>
          <w:szCs w:val="18"/>
        </w:rPr>
        <w:footnoteRef/>
      </w:r>
      <w:r w:rsidRPr="005A685E">
        <w:rPr>
          <w:rFonts w:ascii="Times New Roman" w:hAnsi="Times New Roman" w:cs="Times New Roman"/>
          <w:sz w:val="18"/>
          <w:szCs w:val="18"/>
        </w:rPr>
        <w:t xml:space="preserve"> Note that not every deontic action need be socially sanctioned; or rather, we humans have the ability to socially sanction ourselves. For instance, one might come up with a solo practice; a habit that is all mine, such as putting a sock on the doorknob to stop me leaving without my keys. After some time, I might forget why I put a sock on my doorknob, until the day where for some reason my habit fails me. Coming back home, realising that I forgot my key, and explaining the situation to myself, I will realise that I forgot my key because I should have put the sock on the doorknob. I might think, “this is what someone ‘like me’ would and should have done!”</w:t>
      </w:r>
    </w:p>
  </w:footnote>
  <w:footnote w:id="6">
    <w:p w14:paraId="6B69864B" w14:textId="77777777" w:rsidR="00C8305E" w:rsidRPr="00AA0B64" w:rsidRDefault="00C8305E" w:rsidP="00C8305E">
      <w:pPr>
        <w:pStyle w:val="FootnoteText"/>
        <w:rPr>
          <w:rFonts w:ascii="Calibri Light" w:hAnsi="Calibri Light" w:cs="Calibri Light"/>
          <w:sz w:val="18"/>
          <w:szCs w:val="18"/>
        </w:rPr>
      </w:pPr>
      <w:r w:rsidRPr="005A685E">
        <w:rPr>
          <w:rStyle w:val="FootnoteReference"/>
          <w:rFonts w:ascii="Times New Roman" w:hAnsi="Times New Roman" w:cs="Times New Roman"/>
          <w:sz w:val="18"/>
          <w:szCs w:val="18"/>
        </w:rPr>
        <w:footnoteRef/>
      </w:r>
      <w:r w:rsidRPr="005A685E">
        <w:rPr>
          <w:rFonts w:ascii="Times New Roman" w:hAnsi="Times New Roman" w:cs="Times New Roman"/>
          <w:sz w:val="18"/>
          <w:szCs w:val="18"/>
        </w:rPr>
        <w:t xml:space="preserve"> E.g., when I see the sock on my night table, I put it in my pocket.</w:t>
      </w:r>
    </w:p>
  </w:footnote>
  <w:footnote w:id="7">
    <w:p w14:paraId="4A51EE12" w14:textId="77777777" w:rsidR="00C8305E" w:rsidRPr="00E76CF0" w:rsidRDefault="00C8305E" w:rsidP="00C8305E">
      <w:pPr>
        <w:pStyle w:val="FootnoteText"/>
        <w:rPr>
          <w:rFonts w:ascii="Calibri Light" w:hAnsi="Calibri Light" w:cs="Calibri Light"/>
          <w:sz w:val="18"/>
          <w:szCs w:val="18"/>
        </w:rPr>
      </w:pPr>
      <w:r w:rsidRPr="00E76CF0">
        <w:rPr>
          <w:rStyle w:val="FootnoteReference"/>
          <w:rFonts w:ascii="Calibri Light" w:hAnsi="Calibri Light" w:cs="Calibri Light"/>
          <w:sz w:val="18"/>
          <w:szCs w:val="18"/>
        </w:rPr>
        <w:footnoteRef/>
      </w:r>
      <w:r w:rsidRPr="00E76CF0">
        <w:rPr>
          <w:rFonts w:ascii="Calibri Light" w:hAnsi="Calibri Light" w:cs="Calibri Light"/>
          <w:sz w:val="18"/>
          <w:szCs w:val="18"/>
        </w:rPr>
        <w:t xml:space="preserve"> In the sense that there would be no opportunity to optimise the precision of the likelihood mapping between hidden states and outcomes that, in active inference, is usually associated with (covert) mental action and attention</w:t>
      </w:r>
      <w:r>
        <w:rPr>
          <w:rFonts w:ascii="Calibri Light" w:hAnsi="Calibri Light" w:cs="Calibri Light"/>
          <w:sz w:val="18"/>
          <w:szCs w:val="18"/>
        </w:rPr>
        <w:t xml:space="preserve"> (Limanowski et al., 2018).</w:t>
      </w:r>
      <w:r w:rsidRPr="00E76CF0">
        <w:rPr>
          <w:rFonts w:ascii="Calibri Light" w:hAnsi="Calibri Light" w:cs="Calibri Light"/>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70813" w14:textId="77777777" w:rsidR="00302C28" w:rsidRDefault="00505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77BA" w14:textId="77777777" w:rsidR="00302C28" w:rsidRDefault="00505C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B215" w14:textId="77777777" w:rsidR="00302C28" w:rsidRDefault="00505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3100"/>
    <w:multiLevelType w:val="hybridMultilevel"/>
    <w:tmpl w:val="89B8D050"/>
    <w:lvl w:ilvl="0" w:tplc="EEF4CD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A1112"/>
    <w:multiLevelType w:val="multilevel"/>
    <w:tmpl w:val="09BEF7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5197A9B"/>
    <w:multiLevelType w:val="hybridMultilevel"/>
    <w:tmpl w:val="ECF06724"/>
    <w:lvl w:ilvl="0" w:tplc="505081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584E9A"/>
    <w:multiLevelType w:val="hybridMultilevel"/>
    <w:tmpl w:val="E44A7912"/>
    <w:lvl w:ilvl="0" w:tplc="0FEAEC90">
      <w:start w:val="1"/>
      <w:numFmt w:val="lowerRoman"/>
      <w:lvlText w:val="(%1)"/>
      <w:lvlJc w:val="left"/>
      <w:pPr>
        <w:ind w:left="1440" w:hanging="720"/>
      </w:pPr>
      <w:rPr>
        <w:rFonts w:eastAsia="Calibr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A4E7B09"/>
    <w:multiLevelType w:val="hybridMultilevel"/>
    <w:tmpl w:val="ACA8234A"/>
    <w:lvl w:ilvl="0" w:tplc="0409001B">
      <w:start w:val="1"/>
      <w:numFmt w:val="lowerRoman"/>
      <w:lvlText w:val="%1."/>
      <w:lvlJc w:val="righ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 w15:restartNumberingAfterBreak="0">
    <w:nsid w:val="417618D3"/>
    <w:multiLevelType w:val="hybridMultilevel"/>
    <w:tmpl w:val="C0588CB6"/>
    <w:lvl w:ilvl="0" w:tplc="0484AE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37FF9"/>
    <w:multiLevelType w:val="hybridMultilevel"/>
    <w:tmpl w:val="EBDCE69E"/>
    <w:lvl w:ilvl="0" w:tplc="6A0E1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8F77A6"/>
    <w:multiLevelType w:val="hybridMultilevel"/>
    <w:tmpl w:val="3704F4B6"/>
    <w:lvl w:ilvl="0" w:tplc="6644DD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D61B09"/>
    <w:multiLevelType w:val="multilevel"/>
    <w:tmpl w:val="AEC66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FEE1269"/>
    <w:multiLevelType w:val="hybridMultilevel"/>
    <w:tmpl w:val="E70683BC"/>
    <w:lvl w:ilvl="0" w:tplc="B5C0FD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E47B18"/>
    <w:multiLevelType w:val="hybridMultilevel"/>
    <w:tmpl w:val="BDD2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EC6558"/>
    <w:multiLevelType w:val="hybridMultilevel"/>
    <w:tmpl w:val="74C4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676116"/>
    <w:multiLevelType w:val="multilevel"/>
    <w:tmpl w:val="A260AB1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3"/>
  </w:num>
  <w:num w:numId="4">
    <w:abstractNumId w:val="5"/>
  </w:num>
  <w:num w:numId="5">
    <w:abstractNumId w:val="10"/>
  </w:num>
  <w:num w:numId="6">
    <w:abstractNumId w:val="11"/>
  </w:num>
  <w:num w:numId="7">
    <w:abstractNumId w:val="6"/>
  </w:num>
  <w:num w:numId="8">
    <w:abstractNumId w:val="12"/>
  </w:num>
  <w:num w:numId="9">
    <w:abstractNumId w:val="0"/>
  </w:num>
  <w:num w:numId="10">
    <w:abstractNumId w:val="4"/>
  </w:num>
  <w:num w:numId="11">
    <w:abstractNumId w:val="7"/>
  </w:num>
  <w:num w:numId="12">
    <w:abstractNumId w:val="2"/>
  </w:num>
  <w:num w:numId="1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iston, Karl">
    <w15:presenceInfo w15:providerId="AD" w15:userId="S::skaakjf@ucl.ac.uk::9cd60be7-7772-44db-baeb-082a85f92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5E"/>
    <w:rsid w:val="001D3C0D"/>
    <w:rsid w:val="004240E7"/>
    <w:rsid w:val="004E2661"/>
    <w:rsid w:val="00505CC7"/>
    <w:rsid w:val="00507989"/>
    <w:rsid w:val="00563EAA"/>
    <w:rsid w:val="00A3191C"/>
    <w:rsid w:val="00B0603A"/>
    <w:rsid w:val="00C83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14524"/>
  <w15:chartTrackingRefBased/>
  <w15:docId w15:val="{A73F746C-41C1-6F4C-B6A7-5067559F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305E"/>
    <w:pPr>
      <w:keepNext/>
      <w:keepLines/>
      <w:spacing w:before="400" w:after="120" w:line="276" w:lineRule="auto"/>
      <w:outlineLvl w:val="0"/>
    </w:pPr>
    <w:rPr>
      <w:rFonts w:ascii="Arial" w:eastAsia="Arial" w:hAnsi="Arial" w:cs="Arial"/>
      <w:sz w:val="40"/>
      <w:szCs w:val="40"/>
      <w:lang w:val="en-GB"/>
    </w:rPr>
  </w:style>
  <w:style w:type="paragraph" w:styleId="Heading2">
    <w:name w:val="heading 2"/>
    <w:basedOn w:val="Normal"/>
    <w:next w:val="Normal"/>
    <w:link w:val="Heading2Char"/>
    <w:uiPriority w:val="9"/>
    <w:unhideWhenUsed/>
    <w:qFormat/>
    <w:rsid w:val="00C8305E"/>
    <w:pPr>
      <w:keepNext/>
      <w:keepLines/>
      <w:spacing w:before="360" w:after="120" w:line="276" w:lineRule="auto"/>
      <w:outlineLvl w:val="1"/>
    </w:pPr>
    <w:rPr>
      <w:rFonts w:ascii="Arial" w:eastAsia="Arial" w:hAnsi="Arial" w:cs="Arial"/>
      <w:sz w:val="32"/>
      <w:szCs w:val="32"/>
      <w:lang w:val="en-GB"/>
    </w:rPr>
  </w:style>
  <w:style w:type="paragraph" w:styleId="Heading3">
    <w:name w:val="heading 3"/>
    <w:basedOn w:val="Normal"/>
    <w:next w:val="Normal"/>
    <w:link w:val="Heading3Char"/>
    <w:uiPriority w:val="9"/>
    <w:unhideWhenUsed/>
    <w:qFormat/>
    <w:rsid w:val="00C8305E"/>
    <w:pPr>
      <w:keepNext/>
      <w:keepLines/>
      <w:spacing w:before="320" w:after="80" w:line="276" w:lineRule="auto"/>
      <w:outlineLvl w:val="2"/>
    </w:pPr>
    <w:rPr>
      <w:rFonts w:ascii="Arial" w:eastAsia="Arial" w:hAnsi="Arial" w:cs="Arial"/>
      <w:color w:val="434343"/>
      <w:sz w:val="28"/>
      <w:szCs w:val="28"/>
      <w:lang w:val="en-GB"/>
    </w:rPr>
  </w:style>
  <w:style w:type="paragraph" w:styleId="Heading4">
    <w:name w:val="heading 4"/>
    <w:basedOn w:val="Normal"/>
    <w:next w:val="Normal"/>
    <w:link w:val="Heading4Char"/>
    <w:uiPriority w:val="9"/>
    <w:semiHidden/>
    <w:unhideWhenUsed/>
    <w:qFormat/>
    <w:rsid w:val="00C8305E"/>
    <w:pPr>
      <w:keepNext/>
      <w:keepLines/>
      <w:spacing w:before="280" w:after="80" w:line="276" w:lineRule="auto"/>
      <w:outlineLvl w:val="3"/>
    </w:pPr>
    <w:rPr>
      <w:rFonts w:ascii="Arial" w:eastAsia="Arial" w:hAnsi="Arial" w:cs="Arial"/>
      <w:color w:val="666666"/>
      <w:lang w:val="en-GB"/>
    </w:rPr>
  </w:style>
  <w:style w:type="paragraph" w:styleId="Heading5">
    <w:name w:val="heading 5"/>
    <w:basedOn w:val="Normal"/>
    <w:next w:val="Normal"/>
    <w:link w:val="Heading5Char"/>
    <w:uiPriority w:val="9"/>
    <w:semiHidden/>
    <w:unhideWhenUsed/>
    <w:qFormat/>
    <w:rsid w:val="00C8305E"/>
    <w:pPr>
      <w:keepNext/>
      <w:keepLines/>
      <w:spacing w:before="240" w:after="80" w:line="276" w:lineRule="auto"/>
      <w:outlineLvl w:val="4"/>
    </w:pPr>
    <w:rPr>
      <w:rFonts w:ascii="Arial" w:eastAsia="Arial" w:hAnsi="Arial" w:cs="Arial"/>
      <w:color w:val="666666"/>
      <w:sz w:val="22"/>
      <w:szCs w:val="22"/>
      <w:lang w:val="en-GB"/>
    </w:rPr>
  </w:style>
  <w:style w:type="paragraph" w:styleId="Heading6">
    <w:name w:val="heading 6"/>
    <w:basedOn w:val="Normal"/>
    <w:next w:val="Normal"/>
    <w:link w:val="Heading6Char"/>
    <w:uiPriority w:val="9"/>
    <w:semiHidden/>
    <w:unhideWhenUsed/>
    <w:qFormat/>
    <w:rsid w:val="00C8305E"/>
    <w:pPr>
      <w:keepNext/>
      <w:keepLines/>
      <w:spacing w:before="240" w:after="80" w:line="276" w:lineRule="auto"/>
      <w:outlineLvl w:val="5"/>
    </w:pPr>
    <w:rPr>
      <w:rFonts w:ascii="Arial" w:eastAsia="Arial" w:hAnsi="Arial" w:cs="Arial"/>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05E"/>
    <w:rPr>
      <w:rFonts w:ascii="Arial" w:eastAsia="Arial" w:hAnsi="Arial" w:cs="Arial"/>
      <w:sz w:val="40"/>
      <w:szCs w:val="40"/>
      <w:lang w:val="en-GB"/>
    </w:rPr>
  </w:style>
  <w:style w:type="character" w:customStyle="1" w:styleId="Heading2Char">
    <w:name w:val="Heading 2 Char"/>
    <w:basedOn w:val="DefaultParagraphFont"/>
    <w:link w:val="Heading2"/>
    <w:uiPriority w:val="9"/>
    <w:rsid w:val="00C8305E"/>
    <w:rPr>
      <w:rFonts w:ascii="Arial" w:eastAsia="Arial" w:hAnsi="Arial" w:cs="Arial"/>
      <w:sz w:val="32"/>
      <w:szCs w:val="32"/>
      <w:lang w:val="en-GB"/>
    </w:rPr>
  </w:style>
  <w:style w:type="character" w:customStyle="1" w:styleId="Heading3Char">
    <w:name w:val="Heading 3 Char"/>
    <w:basedOn w:val="DefaultParagraphFont"/>
    <w:link w:val="Heading3"/>
    <w:uiPriority w:val="9"/>
    <w:rsid w:val="00C8305E"/>
    <w:rPr>
      <w:rFonts w:ascii="Arial" w:eastAsia="Arial" w:hAnsi="Arial" w:cs="Arial"/>
      <w:color w:val="434343"/>
      <w:sz w:val="28"/>
      <w:szCs w:val="28"/>
      <w:lang w:val="en-GB"/>
    </w:rPr>
  </w:style>
  <w:style w:type="character" w:customStyle="1" w:styleId="Heading4Char">
    <w:name w:val="Heading 4 Char"/>
    <w:basedOn w:val="DefaultParagraphFont"/>
    <w:link w:val="Heading4"/>
    <w:uiPriority w:val="9"/>
    <w:semiHidden/>
    <w:rsid w:val="00C8305E"/>
    <w:rPr>
      <w:rFonts w:ascii="Arial" w:eastAsia="Arial" w:hAnsi="Arial" w:cs="Arial"/>
      <w:color w:val="666666"/>
      <w:lang w:val="en-GB"/>
    </w:rPr>
  </w:style>
  <w:style w:type="character" w:customStyle="1" w:styleId="Heading5Char">
    <w:name w:val="Heading 5 Char"/>
    <w:basedOn w:val="DefaultParagraphFont"/>
    <w:link w:val="Heading5"/>
    <w:uiPriority w:val="9"/>
    <w:semiHidden/>
    <w:rsid w:val="00C8305E"/>
    <w:rPr>
      <w:rFonts w:ascii="Arial" w:eastAsia="Arial" w:hAnsi="Arial" w:cs="Arial"/>
      <w:color w:val="666666"/>
      <w:sz w:val="22"/>
      <w:szCs w:val="22"/>
      <w:lang w:val="en-GB"/>
    </w:rPr>
  </w:style>
  <w:style w:type="character" w:customStyle="1" w:styleId="Heading6Char">
    <w:name w:val="Heading 6 Char"/>
    <w:basedOn w:val="DefaultParagraphFont"/>
    <w:link w:val="Heading6"/>
    <w:uiPriority w:val="9"/>
    <w:semiHidden/>
    <w:rsid w:val="00C8305E"/>
    <w:rPr>
      <w:rFonts w:ascii="Arial" w:eastAsia="Arial" w:hAnsi="Arial" w:cs="Arial"/>
      <w:i/>
      <w:color w:val="666666"/>
      <w:sz w:val="22"/>
      <w:szCs w:val="22"/>
      <w:lang w:val="en-GB"/>
    </w:rPr>
  </w:style>
  <w:style w:type="paragraph" w:styleId="Title">
    <w:name w:val="Title"/>
    <w:basedOn w:val="Normal"/>
    <w:next w:val="Normal"/>
    <w:link w:val="TitleChar"/>
    <w:uiPriority w:val="10"/>
    <w:qFormat/>
    <w:rsid w:val="00C8305E"/>
    <w:pPr>
      <w:keepNext/>
      <w:keepLines/>
      <w:spacing w:after="60" w:line="276" w:lineRule="auto"/>
    </w:pPr>
    <w:rPr>
      <w:rFonts w:ascii="Arial" w:eastAsia="Arial" w:hAnsi="Arial" w:cs="Arial"/>
      <w:sz w:val="52"/>
      <w:szCs w:val="52"/>
      <w:lang w:val="en-GB"/>
    </w:rPr>
  </w:style>
  <w:style w:type="character" w:customStyle="1" w:styleId="TitleChar">
    <w:name w:val="Title Char"/>
    <w:basedOn w:val="DefaultParagraphFont"/>
    <w:link w:val="Title"/>
    <w:uiPriority w:val="10"/>
    <w:rsid w:val="00C8305E"/>
    <w:rPr>
      <w:rFonts w:ascii="Arial" w:eastAsia="Arial" w:hAnsi="Arial" w:cs="Arial"/>
      <w:sz w:val="52"/>
      <w:szCs w:val="52"/>
      <w:lang w:val="en-GB"/>
    </w:rPr>
  </w:style>
  <w:style w:type="paragraph" w:styleId="Subtitle">
    <w:name w:val="Subtitle"/>
    <w:basedOn w:val="Normal"/>
    <w:next w:val="Normal"/>
    <w:link w:val="SubtitleChar"/>
    <w:uiPriority w:val="11"/>
    <w:qFormat/>
    <w:rsid w:val="00C8305E"/>
    <w:pPr>
      <w:keepNext/>
      <w:keepLines/>
      <w:spacing w:after="320" w:line="276" w:lineRule="auto"/>
    </w:pPr>
    <w:rPr>
      <w:rFonts w:ascii="Arial" w:eastAsia="Arial" w:hAnsi="Arial" w:cs="Arial"/>
      <w:color w:val="666666"/>
      <w:sz w:val="30"/>
      <w:szCs w:val="30"/>
      <w:lang w:val="en-GB"/>
    </w:rPr>
  </w:style>
  <w:style w:type="character" w:customStyle="1" w:styleId="SubtitleChar">
    <w:name w:val="Subtitle Char"/>
    <w:basedOn w:val="DefaultParagraphFont"/>
    <w:link w:val="Subtitle"/>
    <w:uiPriority w:val="11"/>
    <w:rsid w:val="00C8305E"/>
    <w:rPr>
      <w:rFonts w:ascii="Arial" w:eastAsia="Arial" w:hAnsi="Arial" w:cs="Arial"/>
      <w:color w:val="666666"/>
      <w:sz w:val="30"/>
      <w:szCs w:val="30"/>
      <w:lang w:val="en-GB"/>
    </w:rPr>
  </w:style>
  <w:style w:type="paragraph" w:styleId="Header">
    <w:name w:val="header"/>
    <w:basedOn w:val="Normal"/>
    <w:link w:val="HeaderChar"/>
    <w:uiPriority w:val="99"/>
    <w:unhideWhenUsed/>
    <w:rsid w:val="00C8305E"/>
    <w:pPr>
      <w:tabs>
        <w:tab w:val="center" w:pos="4680"/>
        <w:tab w:val="right" w:pos="9360"/>
      </w:tabs>
    </w:pPr>
    <w:rPr>
      <w:rFonts w:ascii="Arial" w:eastAsia="Arial" w:hAnsi="Arial" w:cs="Arial"/>
      <w:sz w:val="22"/>
      <w:szCs w:val="22"/>
      <w:lang w:val="en-GB"/>
    </w:rPr>
  </w:style>
  <w:style w:type="character" w:customStyle="1" w:styleId="HeaderChar">
    <w:name w:val="Header Char"/>
    <w:basedOn w:val="DefaultParagraphFont"/>
    <w:link w:val="Header"/>
    <w:uiPriority w:val="99"/>
    <w:rsid w:val="00C8305E"/>
    <w:rPr>
      <w:rFonts w:ascii="Arial" w:eastAsia="Arial" w:hAnsi="Arial" w:cs="Arial"/>
      <w:sz w:val="22"/>
      <w:szCs w:val="22"/>
      <w:lang w:val="en-GB"/>
    </w:rPr>
  </w:style>
  <w:style w:type="paragraph" w:styleId="Footer">
    <w:name w:val="footer"/>
    <w:basedOn w:val="Normal"/>
    <w:link w:val="FooterChar"/>
    <w:uiPriority w:val="99"/>
    <w:unhideWhenUsed/>
    <w:rsid w:val="00C8305E"/>
    <w:pPr>
      <w:tabs>
        <w:tab w:val="center" w:pos="4680"/>
        <w:tab w:val="right" w:pos="9360"/>
      </w:tabs>
    </w:pPr>
    <w:rPr>
      <w:rFonts w:ascii="Arial" w:eastAsia="Arial" w:hAnsi="Arial" w:cs="Arial"/>
      <w:sz w:val="22"/>
      <w:szCs w:val="22"/>
      <w:lang w:val="en-GB"/>
    </w:rPr>
  </w:style>
  <w:style w:type="character" w:customStyle="1" w:styleId="FooterChar">
    <w:name w:val="Footer Char"/>
    <w:basedOn w:val="DefaultParagraphFont"/>
    <w:link w:val="Footer"/>
    <w:uiPriority w:val="99"/>
    <w:rsid w:val="00C8305E"/>
    <w:rPr>
      <w:rFonts w:ascii="Arial" w:eastAsia="Arial" w:hAnsi="Arial" w:cs="Arial"/>
      <w:sz w:val="22"/>
      <w:szCs w:val="22"/>
      <w:lang w:val="en-GB"/>
    </w:rPr>
  </w:style>
  <w:style w:type="paragraph" w:styleId="BalloonText">
    <w:name w:val="Balloon Text"/>
    <w:basedOn w:val="Normal"/>
    <w:link w:val="BalloonTextChar"/>
    <w:uiPriority w:val="99"/>
    <w:semiHidden/>
    <w:unhideWhenUsed/>
    <w:rsid w:val="00C8305E"/>
    <w:rPr>
      <w:rFonts w:ascii="Times New Roman" w:eastAsia="Arial"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C8305E"/>
    <w:rPr>
      <w:rFonts w:ascii="Times New Roman" w:eastAsia="Arial" w:hAnsi="Times New Roman" w:cs="Times New Roman"/>
      <w:sz w:val="18"/>
      <w:szCs w:val="18"/>
      <w:lang w:val="en-GB"/>
    </w:rPr>
  </w:style>
  <w:style w:type="paragraph" w:styleId="NormalWeb">
    <w:name w:val="Normal (Web)"/>
    <w:basedOn w:val="Normal"/>
    <w:uiPriority w:val="99"/>
    <w:unhideWhenUsed/>
    <w:rsid w:val="00C8305E"/>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C8305E"/>
    <w:pPr>
      <w:spacing w:line="276" w:lineRule="auto"/>
      <w:ind w:left="720"/>
      <w:contextualSpacing/>
    </w:pPr>
    <w:rPr>
      <w:rFonts w:ascii="Arial" w:eastAsia="Arial" w:hAnsi="Arial" w:cs="Arial"/>
      <w:sz w:val="22"/>
      <w:szCs w:val="22"/>
      <w:lang w:val="en-GB"/>
    </w:rPr>
  </w:style>
  <w:style w:type="character" w:styleId="Hyperlink">
    <w:name w:val="Hyperlink"/>
    <w:basedOn w:val="DefaultParagraphFont"/>
    <w:uiPriority w:val="99"/>
    <w:unhideWhenUsed/>
    <w:rsid w:val="00C8305E"/>
    <w:rPr>
      <w:color w:val="0000FF"/>
      <w:u w:val="single"/>
    </w:rPr>
  </w:style>
  <w:style w:type="character" w:styleId="FollowedHyperlink">
    <w:name w:val="FollowedHyperlink"/>
    <w:basedOn w:val="DefaultParagraphFont"/>
    <w:uiPriority w:val="99"/>
    <w:semiHidden/>
    <w:unhideWhenUsed/>
    <w:rsid w:val="00C8305E"/>
    <w:rPr>
      <w:color w:val="954F72" w:themeColor="followedHyperlink"/>
      <w:u w:val="single"/>
    </w:rPr>
  </w:style>
  <w:style w:type="character" w:styleId="LineNumber">
    <w:name w:val="line number"/>
    <w:basedOn w:val="DefaultParagraphFont"/>
    <w:uiPriority w:val="99"/>
    <w:semiHidden/>
    <w:unhideWhenUsed/>
    <w:rsid w:val="00C8305E"/>
  </w:style>
  <w:style w:type="character" w:styleId="PageNumber">
    <w:name w:val="page number"/>
    <w:basedOn w:val="DefaultParagraphFont"/>
    <w:uiPriority w:val="99"/>
    <w:semiHidden/>
    <w:unhideWhenUsed/>
    <w:rsid w:val="00C8305E"/>
  </w:style>
  <w:style w:type="character" w:styleId="CommentReference">
    <w:name w:val="annotation reference"/>
    <w:basedOn w:val="DefaultParagraphFont"/>
    <w:uiPriority w:val="99"/>
    <w:semiHidden/>
    <w:unhideWhenUsed/>
    <w:rsid w:val="00C8305E"/>
    <w:rPr>
      <w:sz w:val="16"/>
      <w:szCs w:val="16"/>
    </w:rPr>
  </w:style>
  <w:style w:type="paragraph" w:styleId="CommentText">
    <w:name w:val="annotation text"/>
    <w:basedOn w:val="Normal"/>
    <w:link w:val="CommentTextChar"/>
    <w:uiPriority w:val="99"/>
    <w:semiHidden/>
    <w:unhideWhenUsed/>
    <w:rsid w:val="00C8305E"/>
    <w:rPr>
      <w:rFonts w:ascii="Arial" w:eastAsia="Arial" w:hAnsi="Arial" w:cs="Arial"/>
      <w:sz w:val="20"/>
      <w:szCs w:val="20"/>
      <w:lang w:val="en-GB"/>
    </w:rPr>
  </w:style>
  <w:style w:type="character" w:customStyle="1" w:styleId="CommentTextChar">
    <w:name w:val="Comment Text Char"/>
    <w:basedOn w:val="DefaultParagraphFont"/>
    <w:link w:val="CommentText"/>
    <w:uiPriority w:val="99"/>
    <w:semiHidden/>
    <w:rsid w:val="00C8305E"/>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C8305E"/>
    <w:rPr>
      <w:b/>
      <w:bCs/>
    </w:rPr>
  </w:style>
  <w:style w:type="character" w:customStyle="1" w:styleId="CommentSubjectChar">
    <w:name w:val="Comment Subject Char"/>
    <w:basedOn w:val="CommentTextChar"/>
    <w:link w:val="CommentSubject"/>
    <w:uiPriority w:val="99"/>
    <w:semiHidden/>
    <w:rsid w:val="00C8305E"/>
    <w:rPr>
      <w:rFonts w:ascii="Arial" w:eastAsia="Arial" w:hAnsi="Arial" w:cs="Arial"/>
      <w:b/>
      <w:bCs/>
      <w:sz w:val="20"/>
      <w:szCs w:val="20"/>
      <w:lang w:val="en-GB"/>
    </w:rPr>
  </w:style>
  <w:style w:type="paragraph" w:styleId="TOCHeading">
    <w:name w:val="TOC Heading"/>
    <w:basedOn w:val="Heading1"/>
    <w:next w:val="Normal"/>
    <w:uiPriority w:val="39"/>
    <w:unhideWhenUsed/>
    <w:qFormat/>
    <w:rsid w:val="00C8305E"/>
    <w:pPr>
      <w:spacing w:before="480" w:after="0"/>
      <w:outlineLvl w:val="9"/>
    </w:pPr>
    <w:rPr>
      <w:rFonts w:asciiTheme="majorHAnsi" w:eastAsiaTheme="majorEastAsia" w:hAnsiTheme="majorHAnsi" w:cstheme="majorBidi"/>
      <w:b/>
      <w:bCs/>
      <w:color w:val="2F5496" w:themeColor="accent1" w:themeShade="BF"/>
      <w:sz w:val="28"/>
      <w:szCs w:val="28"/>
      <w:lang w:val="en-US"/>
    </w:rPr>
  </w:style>
  <w:style w:type="paragraph" w:styleId="TOC1">
    <w:name w:val="toc 1"/>
    <w:basedOn w:val="Normal"/>
    <w:next w:val="Normal"/>
    <w:autoRedefine/>
    <w:uiPriority w:val="39"/>
    <w:unhideWhenUsed/>
    <w:rsid w:val="00C8305E"/>
    <w:pPr>
      <w:tabs>
        <w:tab w:val="right" w:leader="dot" w:pos="9062"/>
      </w:tabs>
      <w:spacing w:before="240" w:after="120" w:line="480" w:lineRule="auto"/>
    </w:pPr>
    <w:rPr>
      <w:rFonts w:eastAsia="Arial" w:cs="Arial"/>
      <w:b/>
      <w:bCs/>
      <w:sz w:val="20"/>
      <w:szCs w:val="20"/>
      <w:lang w:val="en-GB"/>
    </w:rPr>
  </w:style>
  <w:style w:type="paragraph" w:styleId="TOC2">
    <w:name w:val="toc 2"/>
    <w:basedOn w:val="Normal"/>
    <w:next w:val="Normal"/>
    <w:autoRedefine/>
    <w:uiPriority w:val="39"/>
    <w:unhideWhenUsed/>
    <w:rsid w:val="00C8305E"/>
    <w:pPr>
      <w:spacing w:before="120" w:line="276" w:lineRule="auto"/>
      <w:ind w:left="220"/>
    </w:pPr>
    <w:rPr>
      <w:rFonts w:eastAsia="Arial" w:cs="Arial"/>
      <w:i/>
      <w:iCs/>
      <w:sz w:val="20"/>
      <w:szCs w:val="20"/>
      <w:lang w:val="en-GB"/>
    </w:rPr>
  </w:style>
  <w:style w:type="paragraph" w:styleId="TOC3">
    <w:name w:val="toc 3"/>
    <w:basedOn w:val="Normal"/>
    <w:next w:val="Normal"/>
    <w:autoRedefine/>
    <w:uiPriority w:val="39"/>
    <w:semiHidden/>
    <w:unhideWhenUsed/>
    <w:rsid w:val="00C8305E"/>
    <w:pPr>
      <w:spacing w:line="276" w:lineRule="auto"/>
      <w:ind w:left="440"/>
    </w:pPr>
    <w:rPr>
      <w:rFonts w:eastAsia="Arial" w:cs="Arial"/>
      <w:sz w:val="20"/>
      <w:szCs w:val="20"/>
      <w:lang w:val="en-GB"/>
    </w:rPr>
  </w:style>
  <w:style w:type="paragraph" w:styleId="TOC4">
    <w:name w:val="toc 4"/>
    <w:basedOn w:val="Normal"/>
    <w:next w:val="Normal"/>
    <w:autoRedefine/>
    <w:uiPriority w:val="39"/>
    <w:semiHidden/>
    <w:unhideWhenUsed/>
    <w:rsid w:val="00C8305E"/>
    <w:pPr>
      <w:spacing w:line="276" w:lineRule="auto"/>
      <w:ind w:left="660"/>
    </w:pPr>
    <w:rPr>
      <w:rFonts w:eastAsia="Arial" w:cs="Arial"/>
      <w:sz w:val="20"/>
      <w:szCs w:val="20"/>
      <w:lang w:val="en-GB"/>
    </w:rPr>
  </w:style>
  <w:style w:type="paragraph" w:styleId="TOC5">
    <w:name w:val="toc 5"/>
    <w:basedOn w:val="Normal"/>
    <w:next w:val="Normal"/>
    <w:autoRedefine/>
    <w:uiPriority w:val="39"/>
    <w:semiHidden/>
    <w:unhideWhenUsed/>
    <w:rsid w:val="00C8305E"/>
    <w:pPr>
      <w:spacing w:line="276" w:lineRule="auto"/>
      <w:ind w:left="880"/>
    </w:pPr>
    <w:rPr>
      <w:rFonts w:eastAsia="Arial" w:cs="Arial"/>
      <w:sz w:val="20"/>
      <w:szCs w:val="20"/>
      <w:lang w:val="en-GB"/>
    </w:rPr>
  </w:style>
  <w:style w:type="paragraph" w:styleId="TOC6">
    <w:name w:val="toc 6"/>
    <w:basedOn w:val="Normal"/>
    <w:next w:val="Normal"/>
    <w:autoRedefine/>
    <w:uiPriority w:val="39"/>
    <w:semiHidden/>
    <w:unhideWhenUsed/>
    <w:rsid w:val="00C8305E"/>
    <w:pPr>
      <w:spacing w:line="276" w:lineRule="auto"/>
      <w:ind w:left="1100"/>
    </w:pPr>
    <w:rPr>
      <w:rFonts w:eastAsia="Arial" w:cs="Arial"/>
      <w:sz w:val="20"/>
      <w:szCs w:val="20"/>
      <w:lang w:val="en-GB"/>
    </w:rPr>
  </w:style>
  <w:style w:type="paragraph" w:styleId="TOC7">
    <w:name w:val="toc 7"/>
    <w:basedOn w:val="Normal"/>
    <w:next w:val="Normal"/>
    <w:autoRedefine/>
    <w:uiPriority w:val="39"/>
    <w:semiHidden/>
    <w:unhideWhenUsed/>
    <w:rsid w:val="00C8305E"/>
    <w:pPr>
      <w:spacing w:line="276" w:lineRule="auto"/>
      <w:ind w:left="1320"/>
    </w:pPr>
    <w:rPr>
      <w:rFonts w:eastAsia="Arial" w:cs="Arial"/>
      <w:sz w:val="20"/>
      <w:szCs w:val="20"/>
      <w:lang w:val="en-GB"/>
    </w:rPr>
  </w:style>
  <w:style w:type="paragraph" w:styleId="TOC8">
    <w:name w:val="toc 8"/>
    <w:basedOn w:val="Normal"/>
    <w:next w:val="Normal"/>
    <w:autoRedefine/>
    <w:uiPriority w:val="39"/>
    <w:semiHidden/>
    <w:unhideWhenUsed/>
    <w:rsid w:val="00C8305E"/>
    <w:pPr>
      <w:spacing w:line="276" w:lineRule="auto"/>
      <w:ind w:left="1540"/>
    </w:pPr>
    <w:rPr>
      <w:rFonts w:eastAsia="Arial" w:cs="Arial"/>
      <w:sz w:val="20"/>
      <w:szCs w:val="20"/>
      <w:lang w:val="en-GB"/>
    </w:rPr>
  </w:style>
  <w:style w:type="paragraph" w:styleId="TOC9">
    <w:name w:val="toc 9"/>
    <w:basedOn w:val="Normal"/>
    <w:next w:val="Normal"/>
    <w:autoRedefine/>
    <w:uiPriority w:val="39"/>
    <w:semiHidden/>
    <w:unhideWhenUsed/>
    <w:rsid w:val="00C8305E"/>
    <w:pPr>
      <w:spacing w:line="276" w:lineRule="auto"/>
      <w:ind w:left="1760"/>
    </w:pPr>
    <w:rPr>
      <w:rFonts w:eastAsia="Arial" w:cs="Arial"/>
      <w:sz w:val="20"/>
      <w:szCs w:val="20"/>
      <w:lang w:val="en-GB"/>
    </w:rPr>
  </w:style>
  <w:style w:type="paragraph" w:styleId="EndnoteText">
    <w:name w:val="endnote text"/>
    <w:basedOn w:val="Normal"/>
    <w:link w:val="EndnoteTextChar"/>
    <w:uiPriority w:val="99"/>
    <w:semiHidden/>
    <w:unhideWhenUsed/>
    <w:rsid w:val="00C8305E"/>
    <w:rPr>
      <w:rFonts w:ascii="Arial" w:eastAsia="Arial" w:hAnsi="Arial" w:cs="Arial"/>
      <w:sz w:val="20"/>
      <w:szCs w:val="20"/>
      <w:lang w:val="en-GB"/>
    </w:rPr>
  </w:style>
  <w:style w:type="character" w:customStyle="1" w:styleId="EndnoteTextChar">
    <w:name w:val="Endnote Text Char"/>
    <w:basedOn w:val="DefaultParagraphFont"/>
    <w:link w:val="EndnoteText"/>
    <w:uiPriority w:val="99"/>
    <w:semiHidden/>
    <w:rsid w:val="00C8305E"/>
    <w:rPr>
      <w:rFonts w:ascii="Arial" w:eastAsia="Arial" w:hAnsi="Arial" w:cs="Arial"/>
      <w:sz w:val="20"/>
      <w:szCs w:val="20"/>
      <w:lang w:val="en-GB"/>
    </w:rPr>
  </w:style>
  <w:style w:type="character" w:styleId="EndnoteReference">
    <w:name w:val="endnote reference"/>
    <w:basedOn w:val="DefaultParagraphFont"/>
    <w:uiPriority w:val="99"/>
    <w:semiHidden/>
    <w:unhideWhenUsed/>
    <w:rsid w:val="00C8305E"/>
    <w:rPr>
      <w:vertAlign w:val="superscript"/>
    </w:rPr>
  </w:style>
  <w:style w:type="paragraph" w:styleId="FootnoteText">
    <w:name w:val="footnote text"/>
    <w:basedOn w:val="Normal"/>
    <w:link w:val="FootnoteTextChar"/>
    <w:uiPriority w:val="99"/>
    <w:semiHidden/>
    <w:unhideWhenUsed/>
    <w:rsid w:val="00C8305E"/>
    <w:rPr>
      <w:rFonts w:ascii="Arial" w:eastAsia="Arial" w:hAnsi="Arial" w:cs="Arial"/>
      <w:sz w:val="20"/>
      <w:szCs w:val="20"/>
      <w:lang w:val="en-GB"/>
    </w:rPr>
  </w:style>
  <w:style w:type="character" w:customStyle="1" w:styleId="FootnoteTextChar">
    <w:name w:val="Footnote Text Char"/>
    <w:basedOn w:val="DefaultParagraphFont"/>
    <w:link w:val="FootnoteText"/>
    <w:uiPriority w:val="99"/>
    <w:semiHidden/>
    <w:rsid w:val="00C8305E"/>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C8305E"/>
    <w:rPr>
      <w:vertAlign w:val="superscript"/>
    </w:rPr>
  </w:style>
  <w:style w:type="paragraph" w:customStyle="1" w:styleId="EndNoteBibliographyTitle">
    <w:name w:val="EndNote Bibliography Title"/>
    <w:basedOn w:val="Normal"/>
    <w:link w:val="EndNoteBibliographyTitleChar"/>
    <w:rsid w:val="00C8305E"/>
    <w:pPr>
      <w:spacing w:line="276" w:lineRule="auto"/>
      <w:jc w:val="center"/>
    </w:pPr>
    <w:rPr>
      <w:rFonts w:ascii="Arial" w:eastAsia="Arial" w:hAnsi="Arial" w:cs="Arial"/>
      <w:noProof/>
      <w:sz w:val="20"/>
      <w:szCs w:val="22"/>
      <w:lang w:val="en-US"/>
    </w:rPr>
  </w:style>
  <w:style w:type="character" w:customStyle="1" w:styleId="EndNoteBibliographyTitleChar">
    <w:name w:val="EndNote Bibliography Title Char"/>
    <w:basedOn w:val="DefaultParagraphFont"/>
    <w:link w:val="EndNoteBibliographyTitle"/>
    <w:rsid w:val="00C8305E"/>
    <w:rPr>
      <w:rFonts w:ascii="Arial" w:eastAsia="Arial" w:hAnsi="Arial" w:cs="Arial"/>
      <w:noProof/>
      <w:sz w:val="20"/>
      <w:szCs w:val="22"/>
      <w:lang w:val="en-US"/>
    </w:rPr>
  </w:style>
  <w:style w:type="paragraph" w:customStyle="1" w:styleId="EndNoteBibliography">
    <w:name w:val="EndNote Bibliography"/>
    <w:basedOn w:val="Normal"/>
    <w:link w:val="EndNoteBibliographyChar"/>
    <w:rsid w:val="00C8305E"/>
    <w:rPr>
      <w:rFonts w:ascii="Arial" w:eastAsia="Arial" w:hAnsi="Arial" w:cs="Arial"/>
      <w:noProof/>
      <w:sz w:val="20"/>
      <w:szCs w:val="22"/>
      <w:lang w:val="en-US"/>
    </w:rPr>
  </w:style>
  <w:style w:type="character" w:customStyle="1" w:styleId="EndNoteBibliographyChar">
    <w:name w:val="EndNote Bibliography Char"/>
    <w:basedOn w:val="DefaultParagraphFont"/>
    <w:link w:val="EndNoteBibliography"/>
    <w:rsid w:val="00C8305E"/>
    <w:rPr>
      <w:rFonts w:ascii="Arial" w:eastAsia="Arial" w:hAnsi="Arial" w:cs="Arial"/>
      <w:noProof/>
      <w:sz w:val="20"/>
      <w:szCs w:val="22"/>
      <w:lang w:val="en-US"/>
    </w:rPr>
  </w:style>
  <w:style w:type="character" w:customStyle="1" w:styleId="UnresolvedMention1">
    <w:name w:val="Unresolved Mention1"/>
    <w:basedOn w:val="DefaultParagraphFont"/>
    <w:uiPriority w:val="99"/>
    <w:semiHidden/>
    <w:unhideWhenUsed/>
    <w:rsid w:val="00C8305E"/>
    <w:rPr>
      <w:color w:val="605E5C"/>
      <w:shd w:val="clear" w:color="auto" w:fill="E1DFDD"/>
    </w:rPr>
  </w:style>
  <w:style w:type="paragraph" w:styleId="Revision">
    <w:name w:val="Revision"/>
    <w:hidden/>
    <w:uiPriority w:val="99"/>
    <w:semiHidden/>
    <w:rsid w:val="00C8305E"/>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C83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theme" Target="theme/theme1.xml"/><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8.bin"/><Relationship Id="rId112" Type="http://schemas.openxmlformats.org/officeDocument/2006/relationships/footer" Target="footer2.xml"/><Relationship Id="rId16" Type="http://schemas.openxmlformats.org/officeDocument/2006/relationships/image" Target="media/image3.emf"/><Relationship Id="rId107" Type="http://schemas.openxmlformats.org/officeDocument/2006/relationships/hyperlink" Target="https://doi.org/10.1007/s11245-018-9546-4" TargetMode="External"/><Relationship Id="rId11" Type="http://schemas.openxmlformats.org/officeDocument/2006/relationships/hyperlink" Target="https://paperpile.com/c/9SdDf0/4iHG+Y4Jj"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image" Target="media/image21.emf"/><Relationship Id="rId58" Type="http://schemas.openxmlformats.org/officeDocument/2006/relationships/oleObject" Target="embeddings/oleObject23.bin"/><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image" Target="media/image46.emf"/><Relationship Id="rId5" Type="http://schemas.openxmlformats.org/officeDocument/2006/relationships/footnotes" Target="footnotes.xml"/><Relationship Id="rId90" Type="http://schemas.openxmlformats.org/officeDocument/2006/relationships/image" Target="media/image40.emf"/><Relationship Id="rId95" Type="http://schemas.openxmlformats.org/officeDocument/2006/relationships/oleObject" Target="embeddings/oleObject41.bin"/><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oleObject" Target="embeddings/oleObject28.bin"/><Relationship Id="rId113" Type="http://schemas.openxmlformats.org/officeDocument/2006/relationships/header" Target="header3.xml"/><Relationship Id="rId80" Type="http://schemas.openxmlformats.org/officeDocument/2006/relationships/image" Target="media/image35.e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oleObject" Target="embeddings/oleObject45.bin"/><Relationship Id="rId108" Type="http://schemas.openxmlformats.org/officeDocument/2006/relationships/hyperlink" Target="https://doi.org/10.3389/fpsyg.2019.00679" TargetMode="External"/><Relationship Id="rId54" Type="http://schemas.openxmlformats.org/officeDocument/2006/relationships/oleObject" Target="embeddings/oleObject21.bin"/><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image" Target="media/image19.emf"/><Relationship Id="rId114" Type="http://schemas.openxmlformats.org/officeDocument/2006/relationships/footer" Target="footer3.xml"/><Relationship Id="rId10" Type="http://schemas.openxmlformats.org/officeDocument/2006/relationships/hyperlink" Target="https://paperpile.com/c/9SdDf0/uvAx+0H9b+aRQi" TargetMode="External"/><Relationship Id="rId31" Type="http://schemas.openxmlformats.org/officeDocument/2006/relationships/hyperlink" Target="https://paperpile.com/c/9SdDf0/o6XH+2ROc+DwUb" TargetMode="External"/><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hyperlink" Target="https://paperpile.com/c/9SdDf0/O2kV+QoVt+StgP+JZzS+5MaV+CpFD+WUtz+s7qa"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header" Target="header1.xml"/><Relationship Id="rId34" Type="http://schemas.openxmlformats.org/officeDocument/2006/relationships/image" Target="media/image12.emf"/><Relationship Id="rId50" Type="http://schemas.openxmlformats.org/officeDocument/2006/relationships/oleObject" Target="embeddings/oleObject19.bin"/><Relationship Id="rId55" Type="http://schemas.openxmlformats.org/officeDocument/2006/relationships/image" Target="media/image22.emf"/><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emf"/><Relationship Id="rId7" Type="http://schemas.openxmlformats.org/officeDocument/2006/relationships/hyperlink" Target="https://paperpile.com/c/9SdDf0/6IVE+YQjE+DwUb+tZRZ+tj6H" TargetMode="External"/><Relationship Id="rId71" Type="http://schemas.openxmlformats.org/officeDocument/2006/relationships/oleObject" Target="embeddings/oleObject29.bin"/><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image" Target="media/image15.emf"/><Relationship Id="rId45" Type="http://schemas.openxmlformats.org/officeDocument/2006/relationships/image" Target="media/image17.emf"/><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image" Target="media/image25.emf"/><Relationship Id="rId82" Type="http://schemas.openxmlformats.org/officeDocument/2006/relationships/image" Target="media/image36.emf"/><Relationship Id="rId19" Type="http://schemas.openxmlformats.org/officeDocument/2006/relationships/oleObject" Target="embeddings/oleObject4.bin"/><Relationship Id="rId14" Type="http://schemas.openxmlformats.org/officeDocument/2006/relationships/image" Target="media/image2.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8" Type="http://schemas.openxmlformats.org/officeDocument/2006/relationships/hyperlink" Target="https://paperpile.com/c/9SdDf0/TLip+O2kV" TargetMode="External"/><Relationship Id="rId51" Type="http://schemas.openxmlformats.org/officeDocument/2006/relationships/image" Target="media/image20.emf"/><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emf"/><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microsoft.com/office/2011/relationships/people" Target="people.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image" Target="media/image23.emf"/><Relationship Id="rId106"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11443</Words>
  <Characters>65231</Characters>
  <Application>Microsoft Office Word</Application>
  <DocSecurity>0</DocSecurity>
  <Lines>543</Lines>
  <Paragraphs>153</Paragraphs>
  <ScaleCrop>false</ScaleCrop>
  <Company/>
  <LinksUpToDate>false</LinksUpToDate>
  <CharactersWithSpaces>76521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Constant Pruvost</dc:creator>
  <cp:keywords/>
  <dc:description/>
  <cp:lastModifiedBy>Axel Constant Pruvost</cp:lastModifiedBy>
  <cp:revision>3</cp:revision>
  <cp:lastPrinted>2019-11-18T04:55:00Z</cp:lastPrinted>
  <dcterms:created xsi:type="dcterms:W3CDTF">2019-11-18T04:55:00Z</dcterms:created>
  <dcterms:modified xsi:type="dcterms:W3CDTF">2019-11-18T04:56:00Z</dcterms:modified>
</cp:coreProperties>
</file>