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673D" w14:textId="77777777" w:rsidR="002649D6" w:rsidRPr="00C965A7" w:rsidRDefault="003E1B7C" w:rsidP="003E1B7C">
      <w:pPr>
        <w:jc w:val="center"/>
        <w:rPr>
          <w:rFonts w:ascii="Times New Roman" w:hAnsi="Times New Roman" w:cs="Times New Roman"/>
          <w:b/>
          <w:sz w:val="36"/>
          <w:szCs w:val="36"/>
        </w:rPr>
      </w:pPr>
      <w:r w:rsidRPr="00C965A7">
        <w:rPr>
          <w:rFonts w:ascii="Times New Roman" w:hAnsi="Times New Roman" w:cs="Times New Roman"/>
          <w:b/>
          <w:sz w:val="36"/>
          <w:szCs w:val="36"/>
        </w:rPr>
        <w:t>Supplementary</w:t>
      </w:r>
    </w:p>
    <w:p w14:paraId="13973D18" w14:textId="77777777" w:rsidR="003E1B7C" w:rsidRPr="00C965A7" w:rsidRDefault="003E1B7C" w:rsidP="003E1B7C">
      <w:pPr>
        <w:pStyle w:val="NoSpacing"/>
        <w:rPr>
          <w:rFonts w:ascii="Times New Roman" w:hAnsi="Times New Roman" w:cs="Times New Roman"/>
          <w:b/>
        </w:rPr>
      </w:pPr>
    </w:p>
    <w:p w14:paraId="2C0F8275" w14:textId="77777777" w:rsidR="003E1B7C" w:rsidRPr="00C965A7" w:rsidRDefault="003E1B7C" w:rsidP="003E1B7C">
      <w:pPr>
        <w:pStyle w:val="Heading2"/>
        <w:spacing w:line="480" w:lineRule="auto"/>
        <w:rPr>
          <w:lang w:val="en-US"/>
        </w:rPr>
      </w:pPr>
      <w:r w:rsidRPr="00C965A7">
        <w:rPr>
          <w:lang w:val="en-US"/>
        </w:rPr>
        <w:t>Statistical Analyses – Technical details</w:t>
      </w:r>
    </w:p>
    <w:p w14:paraId="6A0C99F1" w14:textId="77777777" w:rsidR="003E1B7C" w:rsidRPr="00C965A7" w:rsidRDefault="003E1B7C" w:rsidP="003E1B7C">
      <w:pPr>
        <w:rPr>
          <w:rFonts w:ascii="Times New Roman" w:hAnsi="Times New Roman" w:cs="Times New Roman"/>
          <w:b/>
          <w:i/>
          <w:lang w:eastAsia="de-DE"/>
        </w:rPr>
      </w:pPr>
      <w:r w:rsidRPr="00C965A7">
        <w:rPr>
          <w:rFonts w:ascii="Times New Roman" w:hAnsi="Times New Roman" w:cs="Times New Roman"/>
          <w:b/>
          <w:i/>
          <w:lang w:eastAsia="de-DE"/>
        </w:rPr>
        <w:t>Principal component analysis/ exploratory factor analysis</w:t>
      </w:r>
    </w:p>
    <w:p w14:paraId="007AB1C9" w14:textId="77777777" w:rsidR="003E1B7C" w:rsidRPr="00C965A7" w:rsidRDefault="003E1B7C" w:rsidP="003E1B7C">
      <w:pPr>
        <w:autoSpaceDE w:val="0"/>
        <w:spacing w:line="480" w:lineRule="auto"/>
        <w:jc w:val="both"/>
        <w:rPr>
          <w:rFonts w:ascii="Times New Roman" w:hAnsi="Times New Roman" w:cs="Times New Roman"/>
          <w:bCs/>
        </w:rPr>
      </w:pPr>
      <w:r w:rsidRPr="00C965A7">
        <w:rPr>
          <w:rFonts w:ascii="Times New Roman" w:hAnsi="Times New Roman" w:cs="Times New Roman"/>
          <w:bCs/>
        </w:rPr>
        <w:t xml:space="preserve">We analyzed physicists’ answers by principal component analysis (PCA), an unsupervised learning method that is popular in the analysis of psychological data to describe the questionnaire’s structure and dimensionality. We performed PCA with singular value decomposition and data centering and used </w:t>
      </w:r>
      <w:proofErr w:type="spellStart"/>
      <w:r w:rsidRPr="00C965A7">
        <w:rPr>
          <w:rFonts w:ascii="Times New Roman" w:hAnsi="Times New Roman" w:cs="Times New Roman"/>
          <w:bCs/>
        </w:rPr>
        <w:t>promax</w:t>
      </w:r>
      <w:proofErr w:type="spellEnd"/>
      <w:r w:rsidRPr="00C965A7">
        <w:rPr>
          <w:rFonts w:ascii="Times New Roman" w:hAnsi="Times New Roman" w:cs="Times New Roman"/>
          <w:bCs/>
        </w:rPr>
        <w:t xml:space="preserve"> rotation to facilitate their interpretation of factor loadings. As a control analysis, we also employed exploratory factor analysis with maximum likelihood estimation and </w:t>
      </w:r>
      <w:proofErr w:type="spellStart"/>
      <w:r w:rsidRPr="00C965A7">
        <w:rPr>
          <w:rFonts w:ascii="Times New Roman" w:hAnsi="Times New Roman" w:cs="Times New Roman"/>
          <w:bCs/>
        </w:rPr>
        <w:t>promax</w:t>
      </w:r>
      <w:proofErr w:type="spellEnd"/>
      <w:r w:rsidRPr="00C965A7">
        <w:rPr>
          <w:rFonts w:ascii="Times New Roman" w:hAnsi="Times New Roman" w:cs="Times New Roman"/>
          <w:bCs/>
        </w:rPr>
        <w:t xml:space="preserve"> rotation with the same objective. Factor analysis is a method that is conceptually </w:t>
      </w:r>
      <w:proofErr w:type="gramStart"/>
      <w:r w:rsidRPr="00C965A7">
        <w:rPr>
          <w:rFonts w:ascii="Times New Roman" w:hAnsi="Times New Roman" w:cs="Times New Roman"/>
          <w:bCs/>
        </w:rPr>
        <w:t>similar to</w:t>
      </w:r>
      <w:proofErr w:type="gramEnd"/>
      <w:r w:rsidRPr="00C965A7">
        <w:rPr>
          <w:rFonts w:ascii="Times New Roman" w:hAnsi="Times New Roman" w:cs="Times New Roman"/>
          <w:bCs/>
        </w:rPr>
        <w:t xml:space="preserve"> PCA and more commonly used to estimate latent psychological variables.</w:t>
      </w:r>
    </w:p>
    <w:p w14:paraId="7E030977" w14:textId="77777777" w:rsidR="003E1B7C" w:rsidRPr="00C965A7" w:rsidRDefault="003E1B7C" w:rsidP="003E1B7C">
      <w:pPr>
        <w:rPr>
          <w:rFonts w:ascii="Times New Roman" w:hAnsi="Times New Roman" w:cs="Times New Roman"/>
          <w:b/>
          <w:i/>
          <w:lang w:eastAsia="de-DE"/>
        </w:rPr>
      </w:pPr>
      <w:r w:rsidRPr="00C965A7">
        <w:rPr>
          <w:rFonts w:ascii="Times New Roman" w:hAnsi="Times New Roman" w:cs="Times New Roman"/>
          <w:b/>
          <w:i/>
          <w:lang w:eastAsia="de-DE"/>
        </w:rPr>
        <w:t>k-means clustering</w:t>
      </w:r>
    </w:p>
    <w:p w14:paraId="558F02D5" w14:textId="77777777" w:rsidR="003E1B7C" w:rsidRPr="00C965A7" w:rsidRDefault="003E1B7C" w:rsidP="003E1B7C">
      <w:pPr>
        <w:autoSpaceDE w:val="0"/>
        <w:spacing w:line="480" w:lineRule="auto"/>
        <w:jc w:val="both"/>
        <w:rPr>
          <w:rFonts w:ascii="Times New Roman" w:hAnsi="Times New Roman" w:cs="Times New Roman"/>
          <w:bCs/>
        </w:rPr>
      </w:pPr>
      <w:r w:rsidRPr="00C965A7">
        <w:rPr>
          <w:rFonts w:ascii="Times New Roman" w:hAnsi="Times New Roman" w:cs="Times New Roman"/>
          <w:bCs/>
        </w:rPr>
        <w:t>We analyzed physicists’ answers by a k-means clustering algorithm to create a typology of physicists regarding their philosophical position. We used the squared Euclidian distance as a scoring function and derived the optimal number of c</w:t>
      </w:r>
      <w:r w:rsidR="00FE0B66" w:rsidRPr="00C965A7">
        <w:rPr>
          <w:rFonts w:ascii="Times New Roman" w:hAnsi="Times New Roman" w:cs="Times New Roman"/>
          <w:bCs/>
        </w:rPr>
        <w:t>lusters with the gap-statistic</w:t>
      </w:r>
      <w:r w:rsidRPr="00C965A7">
        <w:rPr>
          <w:rFonts w:ascii="Times New Roman" w:hAnsi="Times New Roman" w:cs="Times New Roman"/>
          <w:bCs/>
        </w:rPr>
        <w:t xml:space="preserve"> for solutions from 1 to 10 clusters. We repeated the analysis 10,000 times to identify a potentially optimal clustering solution.</w:t>
      </w:r>
    </w:p>
    <w:p w14:paraId="6A6C7A45" w14:textId="77777777" w:rsidR="003E1B7C" w:rsidRPr="00C965A7" w:rsidRDefault="003E1B7C" w:rsidP="003E1B7C">
      <w:pPr>
        <w:rPr>
          <w:rFonts w:ascii="Times New Roman" w:hAnsi="Times New Roman" w:cs="Times New Roman"/>
          <w:b/>
          <w:i/>
          <w:lang w:eastAsia="de-DE"/>
        </w:rPr>
      </w:pPr>
      <w:r w:rsidRPr="00C965A7">
        <w:rPr>
          <w:rFonts w:ascii="Times New Roman" w:hAnsi="Times New Roman" w:cs="Times New Roman"/>
          <w:b/>
          <w:i/>
          <w:lang w:eastAsia="de-DE"/>
        </w:rPr>
        <w:t>Further statistical analyses</w:t>
      </w:r>
    </w:p>
    <w:p w14:paraId="5E9BA18D" w14:textId="77777777" w:rsidR="003E1B7C" w:rsidRPr="00C965A7" w:rsidRDefault="003E1B7C" w:rsidP="003E1B7C">
      <w:pPr>
        <w:autoSpaceDE w:val="0"/>
        <w:spacing w:line="480" w:lineRule="auto"/>
        <w:jc w:val="both"/>
        <w:rPr>
          <w:rFonts w:ascii="Times New Roman" w:hAnsi="Times New Roman" w:cs="Times New Roman"/>
          <w:bCs/>
        </w:rPr>
      </w:pPr>
      <w:r w:rsidRPr="00C965A7">
        <w:rPr>
          <w:rFonts w:ascii="Times New Roman" w:hAnsi="Times New Roman" w:cs="Times New Roman"/>
          <w:bCs/>
        </w:rPr>
        <w:t xml:space="preserve">We performed group comparisons between all clusters for the demographic variables and opinion on building a bigger particle collider (Q26). Further, we aimed to assess how demographic variables relate to an overall degree of scientific realism. As a proxy for a participant’s degree of inclination towards scientific realism, we used the mean score of the 22 questions that aimed to assess scientific realism or instrumentalism. Before that, we aligned all questions in the same conceptual direction, </w:t>
      </w:r>
      <w:proofErr w:type="gramStart"/>
      <w:r w:rsidRPr="00C965A7">
        <w:rPr>
          <w:rFonts w:ascii="Times New Roman" w:hAnsi="Times New Roman" w:cs="Times New Roman"/>
          <w:bCs/>
        </w:rPr>
        <w:t>i.e.</w:t>
      </w:r>
      <w:proofErr w:type="gramEnd"/>
      <w:r w:rsidRPr="00C965A7">
        <w:rPr>
          <w:rFonts w:ascii="Times New Roman" w:hAnsi="Times New Roman" w:cs="Times New Roman"/>
          <w:bCs/>
        </w:rPr>
        <w:t xml:space="preserve"> that higher values indicated inclination towards scientific realism. We tested categorical data with the Approximative Pearson Chi-Squared Test using the ‘coin’ package in R software with 10,000 permutations, and, due to </w:t>
      </w:r>
      <w:r w:rsidRPr="00C965A7">
        <w:rPr>
          <w:rFonts w:ascii="Times New Roman" w:hAnsi="Times New Roman" w:cs="Times New Roman"/>
          <w:bCs/>
        </w:rPr>
        <w:lastRenderedPageBreak/>
        <w:t>skewed data, non-categorical data with the non-parametric Kruskal-</w:t>
      </w:r>
      <w:proofErr w:type="gramStart"/>
      <w:r w:rsidRPr="00C965A7">
        <w:rPr>
          <w:rFonts w:ascii="Times New Roman" w:hAnsi="Times New Roman" w:cs="Times New Roman"/>
          <w:bCs/>
        </w:rPr>
        <w:t>Wallis</w:t>
      </w:r>
      <w:proofErr w:type="gramEnd"/>
      <w:r w:rsidRPr="00C965A7">
        <w:rPr>
          <w:rFonts w:ascii="Times New Roman" w:hAnsi="Times New Roman" w:cs="Times New Roman"/>
          <w:bCs/>
        </w:rPr>
        <w:t xml:space="preserve"> test. In the case of a significant omnibus test, we performed </w:t>
      </w:r>
      <w:proofErr w:type="spellStart"/>
      <w:r w:rsidRPr="00C965A7">
        <w:rPr>
          <w:rFonts w:ascii="Times New Roman" w:hAnsi="Times New Roman" w:cs="Times New Roman"/>
          <w:bCs/>
        </w:rPr>
        <w:t>posthoc</w:t>
      </w:r>
      <w:proofErr w:type="spellEnd"/>
      <w:r w:rsidRPr="00C965A7">
        <w:rPr>
          <w:rFonts w:ascii="Times New Roman" w:hAnsi="Times New Roman" w:cs="Times New Roman"/>
          <w:bCs/>
        </w:rPr>
        <w:t xml:space="preserve"> comparisons with a Bonferroni-Holm correction.</w:t>
      </w:r>
    </w:p>
    <w:p w14:paraId="13917B10" w14:textId="77777777" w:rsidR="003E1B7C" w:rsidRPr="00C965A7" w:rsidRDefault="003E1B7C" w:rsidP="003E1B7C">
      <w:pPr>
        <w:rPr>
          <w:rFonts w:ascii="Times New Roman" w:hAnsi="Times New Roman" w:cs="Times New Roman"/>
          <w:lang w:eastAsia="de-DE"/>
        </w:rPr>
      </w:pPr>
    </w:p>
    <w:p w14:paraId="4F2ACA50" w14:textId="77777777" w:rsidR="003E1B7C" w:rsidRPr="00C965A7" w:rsidRDefault="003E1B7C" w:rsidP="003E1B7C">
      <w:pPr>
        <w:pStyle w:val="Heading2"/>
        <w:spacing w:line="480" w:lineRule="auto"/>
        <w:rPr>
          <w:lang w:val="en-US"/>
        </w:rPr>
      </w:pPr>
      <w:r w:rsidRPr="00C965A7">
        <w:rPr>
          <w:lang w:val="en-US"/>
        </w:rPr>
        <w:t>Results of the principal components analysis and factor analysis</w:t>
      </w:r>
    </w:p>
    <w:p w14:paraId="37A02D10" w14:textId="77777777" w:rsidR="00A027AB" w:rsidRPr="00C965A7" w:rsidRDefault="00A027AB" w:rsidP="00A027AB">
      <w:pPr>
        <w:autoSpaceDE w:val="0"/>
        <w:spacing w:line="480" w:lineRule="auto"/>
        <w:jc w:val="both"/>
        <w:rPr>
          <w:rFonts w:ascii="Times New Roman" w:hAnsi="Times New Roman" w:cs="Times New Roman"/>
          <w:bCs/>
        </w:rPr>
      </w:pPr>
      <w:r w:rsidRPr="00C965A7">
        <w:rPr>
          <w:rFonts w:ascii="Times New Roman" w:hAnsi="Times New Roman" w:cs="Times New Roman"/>
          <w:bCs/>
        </w:rPr>
        <w:t xml:space="preserve">The principal components analysis (PCA) of the physicists’ answers to all 29 questions found a first factor that explained 27.6% of the variance, followed by nine factors that explained each between 7.9% and 3.0% of the variance. The first ten factors accumulatively explained only 69.3% of the variance. Hence, we did not find a low-dimensional variable space that satisfyingly explained the data. Accordingly, the determination of the number of factors to retain was not straightforward. A qualitative evaluation of the Scree plot suggested two factors, the Kaiser criterion nine. Given the discrepancy, we performed an additional Horn parallel analysis that suggested three factors. We chose the latter solution as it is based on an objective statistical procedure and provides a compromise between the other suggestions. The rotated coefficients (see online materials for details), however, did not give rise to an intuitive and meaningful interpretation of the factors. </w:t>
      </w:r>
    </w:p>
    <w:p w14:paraId="16ED9C07" w14:textId="77777777" w:rsidR="00A027AB" w:rsidRPr="00C965A7" w:rsidRDefault="00A027AB" w:rsidP="00A027AB">
      <w:pPr>
        <w:autoSpaceDE w:val="0"/>
        <w:spacing w:line="480" w:lineRule="auto"/>
        <w:ind w:firstLine="709"/>
        <w:jc w:val="both"/>
        <w:rPr>
          <w:rFonts w:ascii="Times New Roman" w:hAnsi="Times New Roman" w:cs="Times New Roman"/>
          <w:bCs/>
        </w:rPr>
      </w:pPr>
      <w:r w:rsidRPr="00C965A7">
        <w:rPr>
          <w:rFonts w:ascii="Times New Roman" w:hAnsi="Times New Roman" w:cs="Times New Roman"/>
          <w:bCs/>
        </w:rPr>
        <w:t xml:space="preserve">Therefore, we additionally investigated the set of only 22 questions that assessed the instrumentalism versus scientific realism position, i.e., a part of the questionnaire that should be better explainable with few variables due to higher conceptual consistency. The results of the PCA were not markedly different. The first factor explained 32.1% of the variance, followed by nine factors that explained between 8.1% and 3.0% of the variance. The first ten factors explained an accumulated variance of 78.1%. Horn analysis suggested two factors. This time, the rotated solution suggested a to some degree meaningful interpretation. </w:t>
      </w:r>
      <w:bookmarkStart w:id="0" w:name="_Hlk104040724"/>
      <w:r w:rsidRPr="00C965A7">
        <w:rPr>
          <w:rFonts w:ascii="Times New Roman" w:hAnsi="Times New Roman" w:cs="Times New Roman"/>
          <w:bCs/>
        </w:rPr>
        <w:t>The first factor loaded highly on S1, S10, S15, and S21</w:t>
      </w:r>
      <w:bookmarkEnd w:id="0"/>
      <w:r w:rsidRPr="00C965A7">
        <w:rPr>
          <w:rFonts w:ascii="Times New Roman" w:hAnsi="Times New Roman" w:cs="Times New Roman"/>
          <w:bCs/>
        </w:rPr>
        <w:t xml:space="preserve">, and it loaded positively on all factors except S16 and S25. Therefore, this factor might broadly represent a participant’s inclination towards scientific realism. However, we failed to identify a meaningful and unifying concept behind the set of items with the highest loadings. The second rotated factor, with the </w:t>
      </w:r>
      <w:r w:rsidRPr="00C965A7">
        <w:rPr>
          <w:rFonts w:ascii="Times New Roman" w:hAnsi="Times New Roman" w:cs="Times New Roman"/>
          <w:bCs/>
        </w:rPr>
        <w:lastRenderedPageBreak/>
        <w:t>highest loadings on S9, S16, S23, and S25, loaded highest on questions that were formulated to cover a typical instrumentalist position. Still, the first two factors only explained 40.2% of the variance, and with the unsatisfyingly meaningful interpretation, the rotated PCA did not markedly deepen our understanding of the philosophical stances of physicists. The factorial analysis ran into the same problem, which was not surprising given the conceptual similarities with PCA. The variance explained by the extracted factors was critically low (always &lt;50%), so that, according to common guidelines, interpretation of the factors was not appropriate.</w:t>
      </w:r>
    </w:p>
    <w:p w14:paraId="34876A85" w14:textId="77777777" w:rsidR="00A027AB" w:rsidRPr="00C965A7" w:rsidRDefault="00A027AB" w:rsidP="00A027AB">
      <w:pPr>
        <w:autoSpaceDE w:val="0"/>
        <w:spacing w:line="480" w:lineRule="auto"/>
        <w:ind w:firstLine="709"/>
        <w:jc w:val="both"/>
        <w:rPr>
          <w:rFonts w:ascii="Times New Roman" w:hAnsi="Times New Roman" w:cs="Times New Roman"/>
          <w:bCs/>
        </w:rPr>
      </w:pPr>
      <w:r w:rsidRPr="00C965A7">
        <w:rPr>
          <w:rFonts w:ascii="Times New Roman" w:hAnsi="Times New Roman" w:cs="Times New Roman"/>
          <w:bCs/>
        </w:rPr>
        <w:t xml:space="preserve">Further, we repeated the same analysis, </w:t>
      </w:r>
      <w:proofErr w:type="gramStart"/>
      <w:r w:rsidRPr="00C965A7">
        <w:rPr>
          <w:rFonts w:ascii="Times New Roman" w:hAnsi="Times New Roman" w:cs="Times New Roman"/>
          <w:bCs/>
        </w:rPr>
        <w:t>i.e.</w:t>
      </w:r>
      <w:proofErr w:type="gramEnd"/>
      <w:r w:rsidRPr="00C965A7">
        <w:rPr>
          <w:rFonts w:ascii="Times New Roman" w:hAnsi="Times New Roman" w:cs="Times New Roman"/>
          <w:bCs/>
        </w:rPr>
        <w:t xml:space="preserve"> an unrotated PCA on 22 items, on the philosophers’ answers. This resulted in a very similar first factor, which further increased the confidence in this interpretation of the factor. Interestingly, for philosophers, the first factor explained 47.6% of variance, compared to 32.1% for physicists.</w:t>
      </w:r>
    </w:p>
    <w:p w14:paraId="4A0E5013" w14:textId="77777777" w:rsidR="003E1B7C" w:rsidRDefault="00A027AB" w:rsidP="00A027AB">
      <w:pPr>
        <w:autoSpaceDE w:val="0"/>
        <w:spacing w:line="480" w:lineRule="auto"/>
        <w:ind w:firstLine="709"/>
        <w:jc w:val="both"/>
        <w:rPr>
          <w:rFonts w:ascii="Times New Roman" w:hAnsi="Times New Roman" w:cs="Times New Roman"/>
          <w:bCs/>
        </w:rPr>
      </w:pPr>
      <w:r w:rsidRPr="00C965A7">
        <w:rPr>
          <w:rFonts w:ascii="Times New Roman" w:hAnsi="Times New Roman" w:cs="Times New Roman"/>
          <w:bCs/>
        </w:rPr>
        <w:t xml:space="preserve">In summary, the use of PCA on the questionnaire data only provided limited insights into the fundamental factors underlying the physicists’ philosophical positions. A general stance on the realism continuum, as well as, to a smaller degree, the stance on an instrumentalism continuum, appear to be fundamental to a physicist’s philosophical position. Still, </w:t>
      </w:r>
      <w:proofErr w:type="gramStart"/>
      <w:r w:rsidRPr="00C965A7">
        <w:rPr>
          <w:rFonts w:ascii="Times New Roman" w:hAnsi="Times New Roman" w:cs="Times New Roman"/>
          <w:bCs/>
        </w:rPr>
        <w:t>the vast majority of</w:t>
      </w:r>
      <w:proofErr w:type="gramEnd"/>
      <w:r w:rsidRPr="00C965A7">
        <w:rPr>
          <w:rFonts w:ascii="Times New Roman" w:hAnsi="Times New Roman" w:cs="Times New Roman"/>
          <w:bCs/>
        </w:rPr>
        <w:t xml:space="preserve"> the variance remains unexplained by these factors, and we found no means to describe this variance with a low-dimensional variable space. Hence, the physicists’ positions appear to be highly complex and heterogeneous.</w:t>
      </w:r>
    </w:p>
    <w:p w14:paraId="45C22530" w14:textId="2EBC1103" w:rsidR="00D25469" w:rsidRPr="00963C3B" w:rsidRDefault="004815C6" w:rsidP="00D25469">
      <w:pPr>
        <w:autoSpaceDE w:val="0"/>
        <w:spacing w:line="480" w:lineRule="auto"/>
        <w:jc w:val="both"/>
        <w:rPr>
          <w:rFonts w:ascii="Times New Roman" w:hAnsi="Times New Roman" w:cs="Times New Roman"/>
          <w:b/>
          <w:i/>
          <w:iCs/>
          <w:sz w:val="28"/>
          <w:szCs w:val="28"/>
        </w:rPr>
      </w:pPr>
      <w:r w:rsidRPr="00963C3B">
        <w:rPr>
          <w:rFonts w:ascii="Times New Roman" w:hAnsi="Times New Roman" w:cs="Times New Roman"/>
          <w:b/>
          <w:i/>
          <w:iCs/>
          <w:sz w:val="28"/>
          <w:szCs w:val="28"/>
        </w:rPr>
        <w:t>Additional t</w:t>
      </w:r>
      <w:r w:rsidR="00D25469" w:rsidRPr="00963C3B">
        <w:rPr>
          <w:rFonts w:ascii="Times New Roman" w:hAnsi="Times New Roman" w:cs="Times New Roman"/>
          <w:b/>
          <w:i/>
          <w:iCs/>
          <w:sz w:val="28"/>
          <w:szCs w:val="28"/>
        </w:rPr>
        <w: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362"/>
        <w:gridCol w:w="2176"/>
      </w:tblGrid>
      <w:tr w:rsidR="001A3C07" w:rsidRPr="0034577E" w14:paraId="18E38C99" w14:textId="00E6E0AF" w:rsidTr="002C0E3A">
        <w:trPr>
          <w:trHeight w:val="298"/>
          <w:jc w:val="center"/>
        </w:trPr>
        <w:tc>
          <w:tcPr>
            <w:tcW w:w="0" w:type="auto"/>
            <w:shd w:val="clear" w:color="auto" w:fill="auto"/>
            <w:noWrap/>
            <w:vAlign w:val="center"/>
          </w:tcPr>
          <w:p w14:paraId="5EB9CC68" w14:textId="77777777" w:rsidR="001A3C07" w:rsidRPr="007F45DE" w:rsidRDefault="001A3C07" w:rsidP="00956E31">
            <w:pPr>
              <w:spacing w:after="0" w:line="240" w:lineRule="auto"/>
              <w:jc w:val="center"/>
            </w:pPr>
          </w:p>
        </w:tc>
        <w:tc>
          <w:tcPr>
            <w:tcW w:w="0" w:type="auto"/>
          </w:tcPr>
          <w:p w14:paraId="79259CC7" w14:textId="5A624C75" w:rsidR="001A3C07" w:rsidRPr="0034577E" w:rsidRDefault="00EA0020" w:rsidP="00956E31">
            <w:pPr>
              <w:spacing w:after="0" w:line="240" w:lineRule="auto"/>
              <w:jc w:val="center"/>
              <w:rPr>
                <w:b/>
                <w:bCs/>
              </w:rPr>
            </w:pPr>
            <w:r w:rsidRPr="0034577E">
              <w:rPr>
                <w:b/>
                <w:bCs/>
              </w:rPr>
              <w:t>Experimental physicists</w:t>
            </w:r>
          </w:p>
        </w:tc>
        <w:tc>
          <w:tcPr>
            <w:tcW w:w="0" w:type="auto"/>
          </w:tcPr>
          <w:p w14:paraId="34463B25" w14:textId="545A4AEA" w:rsidR="001A3C07" w:rsidRPr="0034577E" w:rsidRDefault="00EA0020" w:rsidP="00956E31">
            <w:pPr>
              <w:spacing w:after="0" w:line="240" w:lineRule="auto"/>
              <w:jc w:val="center"/>
              <w:rPr>
                <w:b/>
                <w:bCs/>
              </w:rPr>
            </w:pPr>
            <w:r w:rsidRPr="0034577E">
              <w:rPr>
                <w:b/>
                <w:bCs/>
              </w:rPr>
              <w:t>Theoretical physicists</w:t>
            </w:r>
          </w:p>
        </w:tc>
      </w:tr>
      <w:tr w:rsidR="0034577E" w:rsidRPr="007F45DE" w14:paraId="4BB24E0C" w14:textId="77777777" w:rsidTr="002C0E3A">
        <w:trPr>
          <w:trHeight w:val="298"/>
          <w:jc w:val="center"/>
        </w:trPr>
        <w:tc>
          <w:tcPr>
            <w:tcW w:w="0" w:type="auto"/>
            <w:shd w:val="clear" w:color="auto" w:fill="auto"/>
            <w:noWrap/>
            <w:vAlign w:val="center"/>
          </w:tcPr>
          <w:p w14:paraId="40F32E92" w14:textId="49C37CE4" w:rsidR="0034577E" w:rsidRPr="0034577E" w:rsidRDefault="0034577E" w:rsidP="00956E31">
            <w:pPr>
              <w:spacing w:after="0" w:line="240" w:lineRule="auto"/>
              <w:jc w:val="center"/>
              <w:rPr>
                <w:b/>
                <w:bCs/>
              </w:rPr>
            </w:pPr>
            <w:r w:rsidRPr="0034577E">
              <w:rPr>
                <w:b/>
                <w:bCs/>
              </w:rPr>
              <w:t># participants</w:t>
            </w:r>
          </w:p>
        </w:tc>
        <w:tc>
          <w:tcPr>
            <w:tcW w:w="0" w:type="auto"/>
          </w:tcPr>
          <w:p w14:paraId="4C4E6A5C" w14:textId="6520F098" w:rsidR="0034577E" w:rsidRPr="0034577E" w:rsidRDefault="0034577E" w:rsidP="00956E31">
            <w:pPr>
              <w:spacing w:after="0" w:line="240" w:lineRule="auto"/>
              <w:jc w:val="center"/>
              <w:rPr>
                <w:b/>
                <w:bCs/>
              </w:rPr>
            </w:pPr>
            <w:r w:rsidRPr="0034577E">
              <w:rPr>
                <w:b/>
                <w:bCs/>
              </w:rPr>
              <w:t>171</w:t>
            </w:r>
          </w:p>
        </w:tc>
        <w:tc>
          <w:tcPr>
            <w:tcW w:w="0" w:type="auto"/>
          </w:tcPr>
          <w:p w14:paraId="775324A9" w14:textId="0DFC7B46" w:rsidR="0034577E" w:rsidRPr="0034577E" w:rsidRDefault="0034577E" w:rsidP="00956E31">
            <w:pPr>
              <w:spacing w:after="0" w:line="240" w:lineRule="auto"/>
              <w:jc w:val="center"/>
              <w:rPr>
                <w:b/>
                <w:bCs/>
              </w:rPr>
            </w:pPr>
            <w:r w:rsidRPr="0034577E">
              <w:rPr>
                <w:b/>
                <w:bCs/>
              </w:rPr>
              <w:t>212</w:t>
            </w:r>
          </w:p>
        </w:tc>
      </w:tr>
      <w:tr w:rsidR="001A3C07" w:rsidRPr="007F45DE" w14:paraId="2DE16177" w14:textId="0557BC4F" w:rsidTr="002C0E3A">
        <w:trPr>
          <w:trHeight w:val="298"/>
          <w:jc w:val="center"/>
        </w:trPr>
        <w:tc>
          <w:tcPr>
            <w:tcW w:w="0" w:type="auto"/>
            <w:shd w:val="clear" w:color="auto" w:fill="auto"/>
            <w:noWrap/>
            <w:vAlign w:val="center"/>
            <w:hideMark/>
          </w:tcPr>
          <w:p w14:paraId="3B25A2C0" w14:textId="77777777" w:rsidR="001A3C07" w:rsidRPr="007F45DE" w:rsidRDefault="001A3C07" w:rsidP="00956E31">
            <w:pPr>
              <w:spacing w:after="0" w:line="240" w:lineRule="auto"/>
              <w:jc w:val="center"/>
              <w:rPr>
                <w:lang w:eastAsia="en-GB"/>
              </w:rPr>
            </w:pPr>
            <w:r w:rsidRPr="007F45DE">
              <w:t>S1 REAL</w:t>
            </w:r>
          </w:p>
        </w:tc>
        <w:tc>
          <w:tcPr>
            <w:tcW w:w="0" w:type="auto"/>
          </w:tcPr>
          <w:p w14:paraId="1CAD12F4" w14:textId="2CC63EF9" w:rsidR="001A3C07" w:rsidRPr="007F45DE" w:rsidRDefault="00EA0020" w:rsidP="00956E31">
            <w:pPr>
              <w:spacing w:after="0" w:line="240" w:lineRule="auto"/>
              <w:jc w:val="center"/>
            </w:pPr>
            <w:r>
              <w:t>66.3</w:t>
            </w:r>
          </w:p>
        </w:tc>
        <w:tc>
          <w:tcPr>
            <w:tcW w:w="0" w:type="auto"/>
          </w:tcPr>
          <w:p w14:paraId="11DFD4B8" w14:textId="7797BC0D" w:rsidR="001A3C07" w:rsidRPr="007F45DE" w:rsidRDefault="00EA0020" w:rsidP="00956E31">
            <w:pPr>
              <w:spacing w:after="0" w:line="240" w:lineRule="auto"/>
              <w:jc w:val="center"/>
            </w:pPr>
            <w:r>
              <w:t>63.8</w:t>
            </w:r>
          </w:p>
        </w:tc>
      </w:tr>
      <w:tr w:rsidR="001A3C07" w:rsidRPr="007F45DE" w14:paraId="48B94EA4" w14:textId="52F0408A" w:rsidTr="002C0E3A">
        <w:trPr>
          <w:trHeight w:val="298"/>
          <w:jc w:val="center"/>
        </w:trPr>
        <w:tc>
          <w:tcPr>
            <w:tcW w:w="0" w:type="auto"/>
            <w:shd w:val="clear" w:color="auto" w:fill="auto"/>
            <w:noWrap/>
            <w:vAlign w:val="center"/>
            <w:hideMark/>
          </w:tcPr>
          <w:p w14:paraId="3A64D12C" w14:textId="77777777" w:rsidR="001A3C07" w:rsidRPr="007F45DE" w:rsidRDefault="001A3C07" w:rsidP="00956E31">
            <w:pPr>
              <w:spacing w:after="0" w:line="240" w:lineRule="auto"/>
              <w:jc w:val="center"/>
              <w:rPr>
                <w:lang w:eastAsia="en-GB"/>
              </w:rPr>
            </w:pPr>
            <w:r w:rsidRPr="007F45DE">
              <w:t>S2 REAL</w:t>
            </w:r>
          </w:p>
        </w:tc>
        <w:tc>
          <w:tcPr>
            <w:tcW w:w="0" w:type="auto"/>
          </w:tcPr>
          <w:p w14:paraId="06B1AA40" w14:textId="2A39C3FE" w:rsidR="001A3C07" w:rsidRPr="007F45DE" w:rsidRDefault="00EA0020" w:rsidP="00956E31">
            <w:pPr>
              <w:spacing w:after="0" w:line="240" w:lineRule="auto"/>
              <w:jc w:val="center"/>
            </w:pPr>
            <w:r>
              <w:t>80.5</w:t>
            </w:r>
          </w:p>
        </w:tc>
        <w:tc>
          <w:tcPr>
            <w:tcW w:w="0" w:type="auto"/>
          </w:tcPr>
          <w:p w14:paraId="65E8DE56" w14:textId="2A3043D7" w:rsidR="001A3C07" w:rsidRPr="007F45DE" w:rsidRDefault="00EA0020" w:rsidP="00956E31">
            <w:pPr>
              <w:spacing w:after="0" w:line="240" w:lineRule="auto"/>
              <w:jc w:val="center"/>
            </w:pPr>
            <w:r>
              <w:t>78.4</w:t>
            </w:r>
          </w:p>
        </w:tc>
      </w:tr>
      <w:tr w:rsidR="001A3C07" w:rsidRPr="007F45DE" w14:paraId="1D656F29" w14:textId="31A67690" w:rsidTr="002C0E3A">
        <w:trPr>
          <w:trHeight w:val="298"/>
          <w:jc w:val="center"/>
        </w:trPr>
        <w:tc>
          <w:tcPr>
            <w:tcW w:w="0" w:type="auto"/>
            <w:shd w:val="clear" w:color="auto" w:fill="auto"/>
            <w:noWrap/>
            <w:vAlign w:val="center"/>
            <w:hideMark/>
          </w:tcPr>
          <w:p w14:paraId="080AB243" w14:textId="77777777" w:rsidR="001A3C07" w:rsidRPr="007F45DE" w:rsidRDefault="001A3C07" w:rsidP="00956E31">
            <w:pPr>
              <w:spacing w:after="0" w:line="240" w:lineRule="auto"/>
              <w:jc w:val="center"/>
              <w:rPr>
                <w:lang w:eastAsia="en-GB"/>
              </w:rPr>
            </w:pPr>
            <w:r w:rsidRPr="007F45DE">
              <w:t>S3 INST</w:t>
            </w:r>
          </w:p>
        </w:tc>
        <w:tc>
          <w:tcPr>
            <w:tcW w:w="0" w:type="auto"/>
          </w:tcPr>
          <w:p w14:paraId="05E74E99" w14:textId="68274C75" w:rsidR="001A3C07" w:rsidRPr="007F45DE" w:rsidRDefault="00EA0020" w:rsidP="00956E31">
            <w:pPr>
              <w:spacing w:after="0" w:line="240" w:lineRule="auto"/>
              <w:jc w:val="center"/>
            </w:pPr>
            <w:r>
              <w:t>40</w:t>
            </w:r>
          </w:p>
        </w:tc>
        <w:tc>
          <w:tcPr>
            <w:tcW w:w="0" w:type="auto"/>
          </w:tcPr>
          <w:p w14:paraId="5A1F4CAD" w14:textId="61F5C6CD" w:rsidR="001A3C07" w:rsidRPr="007F45DE" w:rsidRDefault="00EA0020" w:rsidP="00956E31">
            <w:pPr>
              <w:spacing w:after="0" w:line="240" w:lineRule="auto"/>
              <w:jc w:val="center"/>
            </w:pPr>
            <w:r>
              <w:t>39.1</w:t>
            </w:r>
          </w:p>
        </w:tc>
      </w:tr>
      <w:tr w:rsidR="001A3C07" w:rsidRPr="007F45DE" w14:paraId="08FBE643" w14:textId="7DCD64EE" w:rsidTr="002C0E3A">
        <w:trPr>
          <w:trHeight w:val="298"/>
          <w:jc w:val="center"/>
        </w:trPr>
        <w:tc>
          <w:tcPr>
            <w:tcW w:w="0" w:type="auto"/>
            <w:shd w:val="clear" w:color="auto" w:fill="auto"/>
            <w:noWrap/>
            <w:vAlign w:val="center"/>
            <w:hideMark/>
          </w:tcPr>
          <w:p w14:paraId="576641EC" w14:textId="77777777" w:rsidR="001A3C07" w:rsidRPr="007F45DE" w:rsidRDefault="001A3C07" w:rsidP="00956E31">
            <w:pPr>
              <w:spacing w:after="0" w:line="240" w:lineRule="auto"/>
              <w:jc w:val="center"/>
              <w:rPr>
                <w:lang w:eastAsia="en-GB"/>
              </w:rPr>
            </w:pPr>
            <w:r w:rsidRPr="007F45DE">
              <w:t>S4 ER</w:t>
            </w:r>
          </w:p>
        </w:tc>
        <w:tc>
          <w:tcPr>
            <w:tcW w:w="0" w:type="auto"/>
          </w:tcPr>
          <w:p w14:paraId="57640B4A" w14:textId="1C55682C" w:rsidR="001A3C07" w:rsidRPr="007F45DE" w:rsidRDefault="00EA0020" w:rsidP="00956E31">
            <w:pPr>
              <w:spacing w:after="0" w:line="240" w:lineRule="auto"/>
              <w:jc w:val="center"/>
            </w:pPr>
            <w:r>
              <w:t>80.8</w:t>
            </w:r>
          </w:p>
        </w:tc>
        <w:tc>
          <w:tcPr>
            <w:tcW w:w="0" w:type="auto"/>
          </w:tcPr>
          <w:p w14:paraId="4BA607BB" w14:textId="32A38CD8" w:rsidR="001A3C07" w:rsidRPr="007F45DE" w:rsidRDefault="00EA0020" w:rsidP="00956E31">
            <w:pPr>
              <w:spacing w:after="0" w:line="240" w:lineRule="auto"/>
              <w:jc w:val="center"/>
            </w:pPr>
            <w:r>
              <w:t>80</w:t>
            </w:r>
          </w:p>
        </w:tc>
      </w:tr>
      <w:tr w:rsidR="001A3C07" w:rsidRPr="007F45DE" w14:paraId="7115997C" w14:textId="3B8361C8" w:rsidTr="002C0E3A">
        <w:trPr>
          <w:trHeight w:val="298"/>
          <w:jc w:val="center"/>
        </w:trPr>
        <w:tc>
          <w:tcPr>
            <w:tcW w:w="0" w:type="auto"/>
            <w:shd w:val="clear" w:color="auto" w:fill="auto"/>
            <w:noWrap/>
            <w:vAlign w:val="center"/>
            <w:hideMark/>
          </w:tcPr>
          <w:p w14:paraId="42BD3E8E" w14:textId="77777777" w:rsidR="001A3C07" w:rsidRPr="007F45DE" w:rsidRDefault="001A3C07" w:rsidP="00956E31">
            <w:pPr>
              <w:spacing w:after="0" w:line="240" w:lineRule="auto"/>
              <w:jc w:val="center"/>
              <w:rPr>
                <w:lang w:eastAsia="en-GB"/>
              </w:rPr>
            </w:pPr>
            <w:r w:rsidRPr="007F45DE">
              <w:t>S5 FICT</w:t>
            </w:r>
          </w:p>
        </w:tc>
        <w:tc>
          <w:tcPr>
            <w:tcW w:w="0" w:type="auto"/>
          </w:tcPr>
          <w:p w14:paraId="2E714607" w14:textId="724DEA14" w:rsidR="001A3C07" w:rsidRPr="007F45DE" w:rsidRDefault="00EA0020" w:rsidP="00956E31">
            <w:pPr>
              <w:spacing w:after="0" w:line="240" w:lineRule="auto"/>
              <w:jc w:val="center"/>
            </w:pPr>
            <w:r>
              <w:t>27.8</w:t>
            </w:r>
          </w:p>
        </w:tc>
        <w:tc>
          <w:tcPr>
            <w:tcW w:w="0" w:type="auto"/>
          </w:tcPr>
          <w:p w14:paraId="3A4B0F1F" w14:textId="2A7625CE" w:rsidR="001A3C07" w:rsidRPr="007F45DE" w:rsidRDefault="00EA0020" w:rsidP="00956E31">
            <w:pPr>
              <w:spacing w:after="0" w:line="240" w:lineRule="auto"/>
              <w:jc w:val="center"/>
            </w:pPr>
            <w:r>
              <w:t>31.2</w:t>
            </w:r>
          </w:p>
        </w:tc>
      </w:tr>
      <w:tr w:rsidR="001A3C07" w:rsidRPr="007F45DE" w14:paraId="089A8ACC" w14:textId="6C8FED74" w:rsidTr="002C0E3A">
        <w:trPr>
          <w:trHeight w:val="69"/>
          <w:jc w:val="center"/>
        </w:trPr>
        <w:tc>
          <w:tcPr>
            <w:tcW w:w="0" w:type="auto"/>
            <w:shd w:val="clear" w:color="auto" w:fill="auto"/>
            <w:noWrap/>
            <w:vAlign w:val="center"/>
            <w:hideMark/>
          </w:tcPr>
          <w:p w14:paraId="64AE2A52" w14:textId="77777777" w:rsidR="001A3C07" w:rsidRPr="007F45DE" w:rsidRDefault="001A3C07" w:rsidP="00956E31">
            <w:pPr>
              <w:spacing w:after="0" w:line="240" w:lineRule="auto"/>
              <w:jc w:val="center"/>
              <w:rPr>
                <w:lang w:eastAsia="en-GB"/>
              </w:rPr>
            </w:pPr>
            <w:r w:rsidRPr="007F45DE">
              <w:t>S6 REAL</w:t>
            </w:r>
          </w:p>
        </w:tc>
        <w:tc>
          <w:tcPr>
            <w:tcW w:w="0" w:type="auto"/>
          </w:tcPr>
          <w:p w14:paraId="4F82B570" w14:textId="35382619" w:rsidR="001A3C07" w:rsidRPr="007F45DE" w:rsidRDefault="00EA0020" w:rsidP="00956E31">
            <w:pPr>
              <w:spacing w:after="0" w:line="240" w:lineRule="auto"/>
              <w:jc w:val="center"/>
            </w:pPr>
            <w:r>
              <w:t>73.1</w:t>
            </w:r>
          </w:p>
        </w:tc>
        <w:tc>
          <w:tcPr>
            <w:tcW w:w="0" w:type="auto"/>
          </w:tcPr>
          <w:p w14:paraId="68956922" w14:textId="1D2F3C34" w:rsidR="001A3C07" w:rsidRPr="007F45DE" w:rsidRDefault="00EA0020" w:rsidP="00956E31">
            <w:pPr>
              <w:spacing w:after="0" w:line="240" w:lineRule="auto"/>
              <w:jc w:val="center"/>
            </w:pPr>
            <w:r>
              <w:t>70.5</w:t>
            </w:r>
          </w:p>
        </w:tc>
      </w:tr>
      <w:tr w:rsidR="001A3C07" w:rsidRPr="007F45DE" w14:paraId="34A25F0E" w14:textId="46EF3011" w:rsidTr="002C0E3A">
        <w:trPr>
          <w:trHeight w:val="298"/>
          <w:jc w:val="center"/>
        </w:trPr>
        <w:tc>
          <w:tcPr>
            <w:tcW w:w="0" w:type="auto"/>
            <w:shd w:val="clear" w:color="auto" w:fill="auto"/>
            <w:noWrap/>
            <w:vAlign w:val="center"/>
            <w:hideMark/>
          </w:tcPr>
          <w:p w14:paraId="2BCB6304" w14:textId="77777777" w:rsidR="001A3C07" w:rsidRPr="007F45DE" w:rsidRDefault="001A3C07" w:rsidP="00956E31">
            <w:pPr>
              <w:spacing w:after="0" w:line="240" w:lineRule="auto"/>
              <w:jc w:val="center"/>
              <w:rPr>
                <w:lang w:eastAsia="en-GB"/>
              </w:rPr>
            </w:pPr>
            <w:r w:rsidRPr="007F45DE">
              <w:t>S7 CONST</w:t>
            </w:r>
          </w:p>
        </w:tc>
        <w:tc>
          <w:tcPr>
            <w:tcW w:w="0" w:type="auto"/>
          </w:tcPr>
          <w:p w14:paraId="5596482B" w14:textId="5B604F46" w:rsidR="001A3C07" w:rsidRPr="007F45DE" w:rsidRDefault="00804062" w:rsidP="00956E31">
            <w:pPr>
              <w:spacing w:after="0" w:line="240" w:lineRule="auto"/>
              <w:jc w:val="center"/>
            </w:pPr>
            <w:r>
              <w:t>47.9</w:t>
            </w:r>
          </w:p>
        </w:tc>
        <w:tc>
          <w:tcPr>
            <w:tcW w:w="0" w:type="auto"/>
          </w:tcPr>
          <w:p w14:paraId="6113D989" w14:textId="276DBDAF" w:rsidR="001A3C07" w:rsidRPr="007F45DE" w:rsidRDefault="00391362" w:rsidP="00956E31">
            <w:pPr>
              <w:spacing w:after="0" w:line="240" w:lineRule="auto"/>
              <w:jc w:val="center"/>
            </w:pPr>
            <w:r>
              <w:t>45.3</w:t>
            </w:r>
          </w:p>
        </w:tc>
      </w:tr>
      <w:tr w:rsidR="001A3C07" w:rsidRPr="007F45DE" w14:paraId="39865529" w14:textId="518D430C" w:rsidTr="002C0E3A">
        <w:trPr>
          <w:trHeight w:val="298"/>
          <w:jc w:val="center"/>
        </w:trPr>
        <w:tc>
          <w:tcPr>
            <w:tcW w:w="0" w:type="auto"/>
            <w:shd w:val="clear" w:color="auto" w:fill="auto"/>
            <w:noWrap/>
            <w:vAlign w:val="center"/>
            <w:hideMark/>
          </w:tcPr>
          <w:p w14:paraId="54256451" w14:textId="77777777" w:rsidR="001A3C07" w:rsidRPr="007F45DE" w:rsidRDefault="001A3C07" w:rsidP="00956E31">
            <w:pPr>
              <w:spacing w:after="0" w:line="240" w:lineRule="auto"/>
              <w:jc w:val="center"/>
              <w:rPr>
                <w:lang w:eastAsia="en-GB"/>
              </w:rPr>
            </w:pPr>
            <w:r w:rsidRPr="007F45DE">
              <w:lastRenderedPageBreak/>
              <w:t>S8 REAL</w:t>
            </w:r>
          </w:p>
        </w:tc>
        <w:tc>
          <w:tcPr>
            <w:tcW w:w="0" w:type="auto"/>
          </w:tcPr>
          <w:p w14:paraId="2D07606D" w14:textId="780C128F" w:rsidR="001A3C07" w:rsidRPr="007F45DE" w:rsidRDefault="00A66C31" w:rsidP="00956E31">
            <w:pPr>
              <w:spacing w:after="0" w:line="240" w:lineRule="auto"/>
              <w:jc w:val="center"/>
            </w:pPr>
            <w:r>
              <w:t>71.7</w:t>
            </w:r>
          </w:p>
        </w:tc>
        <w:tc>
          <w:tcPr>
            <w:tcW w:w="0" w:type="auto"/>
          </w:tcPr>
          <w:p w14:paraId="3351FAE0" w14:textId="1A285CE6" w:rsidR="001A3C07" w:rsidRPr="007F45DE" w:rsidRDefault="00A66C31" w:rsidP="00956E31">
            <w:pPr>
              <w:spacing w:after="0" w:line="240" w:lineRule="auto"/>
              <w:jc w:val="center"/>
            </w:pPr>
            <w:r>
              <w:t>75.7</w:t>
            </w:r>
          </w:p>
        </w:tc>
      </w:tr>
      <w:tr w:rsidR="001A3C07" w:rsidRPr="007F45DE" w14:paraId="06531195" w14:textId="6B124335" w:rsidTr="002C0E3A">
        <w:trPr>
          <w:trHeight w:val="298"/>
          <w:jc w:val="center"/>
        </w:trPr>
        <w:tc>
          <w:tcPr>
            <w:tcW w:w="0" w:type="auto"/>
            <w:shd w:val="clear" w:color="auto" w:fill="auto"/>
            <w:noWrap/>
            <w:vAlign w:val="center"/>
            <w:hideMark/>
          </w:tcPr>
          <w:p w14:paraId="717DE8A6" w14:textId="77777777" w:rsidR="001A3C07" w:rsidRPr="007F45DE" w:rsidRDefault="001A3C07" w:rsidP="00956E31">
            <w:pPr>
              <w:spacing w:after="0" w:line="240" w:lineRule="auto"/>
              <w:jc w:val="center"/>
              <w:rPr>
                <w:lang w:eastAsia="en-GB"/>
              </w:rPr>
            </w:pPr>
            <w:r w:rsidRPr="007F45DE">
              <w:t>S9 INST</w:t>
            </w:r>
          </w:p>
        </w:tc>
        <w:tc>
          <w:tcPr>
            <w:tcW w:w="0" w:type="auto"/>
          </w:tcPr>
          <w:p w14:paraId="36D1F38F" w14:textId="31CB9759" w:rsidR="001A3C07" w:rsidRPr="007F45DE" w:rsidRDefault="00A66C31" w:rsidP="00956E31">
            <w:pPr>
              <w:spacing w:after="0" w:line="240" w:lineRule="auto"/>
              <w:jc w:val="center"/>
            </w:pPr>
            <w:r>
              <w:t>50.3</w:t>
            </w:r>
          </w:p>
        </w:tc>
        <w:tc>
          <w:tcPr>
            <w:tcW w:w="0" w:type="auto"/>
          </w:tcPr>
          <w:p w14:paraId="36A92E4F" w14:textId="434B3F34" w:rsidR="001A3C07" w:rsidRPr="007F45DE" w:rsidRDefault="00A66C31" w:rsidP="00956E31">
            <w:pPr>
              <w:spacing w:after="0" w:line="240" w:lineRule="auto"/>
              <w:jc w:val="center"/>
            </w:pPr>
            <w:r>
              <w:t>42.7</w:t>
            </w:r>
          </w:p>
        </w:tc>
      </w:tr>
      <w:tr w:rsidR="001A3C07" w:rsidRPr="007F45DE" w14:paraId="24DDA246" w14:textId="13624F50" w:rsidTr="002C0E3A">
        <w:trPr>
          <w:trHeight w:val="298"/>
          <w:jc w:val="center"/>
        </w:trPr>
        <w:tc>
          <w:tcPr>
            <w:tcW w:w="0" w:type="auto"/>
            <w:shd w:val="clear" w:color="auto" w:fill="auto"/>
            <w:noWrap/>
            <w:vAlign w:val="center"/>
            <w:hideMark/>
          </w:tcPr>
          <w:p w14:paraId="3BD63C8C" w14:textId="77777777" w:rsidR="001A3C07" w:rsidRPr="007F45DE" w:rsidRDefault="001A3C07" w:rsidP="00956E31">
            <w:pPr>
              <w:spacing w:after="0" w:line="240" w:lineRule="auto"/>
              <w:jc w:val="center"/>
              <w:rPr>
                <w:lang w:eastAsia="en-GB"/>
              </w:rPr>
            </w:pPr>
            <w:r w:rsidRPr="007F45DE">
              <w:t>S10 REAL</w:t>
            </w:r>
          </w:p>
        </w:tc>
        <w:tc>
          <w:tcPr>
            <w:tcW w:w="0" w:type="auto"/>
          </w:tcPr>
          <w:p w14:paraId="65355F5A" w14:textId="02F75941" w:rsidR="001A3C07" w:rsidRPr="007F45DE" w:rsidRDefault="00F9391C" w:rsidP="00956E31">
            <w:pPr>
              <w:spacing w:after="0" w:line="240" w:lineRule="auto"/>
              <w:jc w:val="center"/>
            </w:pPr>
            <w:r>
              <w:t>47.9</w:t>
            </w:r>
          </w:p>
        </w:tc>
        <w:tc>
          <w:tcPr>
            <w:tcW w:w="0" w:type="auto"/>
          </w:tcPr>
          <w:p w14:paraId="3D8975E5" w14:textId="13450F37" w:rsidR="001A3C07" w:rsidRPr="007F45DE" w:rsidRDefault="00F9391C" w:rsidP="00956E31">
            <w:pPr>
              <w:spacing w:after="0" w:line="240" w:lineRule="auto"/>
              <w:jc w:val="center"/>
            </w:pPr>
            <w:r>
              <w:t>51.6</w:t>
            </w:r>
          </w:p>
        </w:tc>
      </w:tr>
      <w:tr w:rsidR="001A3C07" w:rsidRPr="007F45DE" w14:paraId="57CF901F" w14:textId="5D7CB71E" w:rsidTr="002C0E3A">
        <w:trPr>
          <w:trHeight w:val="298"/>
          <w:jc w:val="center"/>
        </w:trPr>
        <w:tc>
          <w:tcPr>
            <w:tcW w:w="0" w:type="auto"/>
            <w:shd w:val="clear" w:color="auto" w:fill="auto"/>
            <w:noWrap/>
            <w:vAlign w:val="center"/>
            <w:hideMark/>
          </w:tcPr>
          <w:p w14:paraId="65A721FB" w14:textId="77777777" w:rsidR="001A3C07" w:rsidRPr="007F45DE" w:rsidRDefault="001A3C07" w:rsidP="00956E31">
            <w:pPr>
              <w:spacing w:after="0" w:line="240" w:lineRule="auto"/>
              <w:jc w:val="center"/>
              <w:rPr>
                <w:lang w:eastAsia="en-GB"/>
              </w:rPr>
            </w:pPr>
            <w:r w:rsidRPr="007F45DE">
              <w:t>S11 MR</w:t>
            </w:r>
          </w:p>
        </w:tc>
        <w:tc>
          <w:tcPr>
            <w:tcW w:w="0" w:type="auto"/>
          </w:tcPr>
          <w:p w14:paraId="21048EF2" w14:textId="0932839E" w:rsidR="001A3C07" w:rsidRPr="007F45DE" w:rsidRDefault="00B51B3B" w:rsidP="00956E31">
            <w:pPr>
              <w:spacing w:after="0" w:line="240" w:lineRule="auto"/>
              <w:jc w:val="center"/>
            </w:pPr>
            <w:r>
              <w:t>80</w:t>
            </w:r>
          </w:p>
        </w:tc>
        <w:tc>
          <w:tcPr>
            <w:tcW w:w="0" w:type="auto"/>
          </w:tcPr>
          <w:p w14:paraId="1489ED71" w14:textId="373E281A" w:rsidR="001A3C07" w:rsidRPr="007F45DE" w:rsidRDefault="00B51B3B" w:rsidP="00956E31">
            <w:pPr>
              <w:spacing w:after="0" w:line="240" w:lineRule="auto"/>
              <w:jc w:val="center"/>
            </w:pPr>
            <w:r>
              <w:t>74.3</w:t>
            </w:r>
          </w:p>
        </w:tc>
      </w:tr>
      <w:tr w:rsidR="001A3C07" w:rsidRPr="007F45DE" w14:paraId="27FE3096" w14:textId="0A66BEFA" w:rsidTr="002C0E3A">
        <w:trPr>
          <w:trHeight w:val="298"/>
          <w:jc w:val="center"/>
        </w:trPr>
        <w:tc>
          <w:tcPr>
            <w:tcW w:w="0" w:type="auto"/>
            <w:shd w:val="clear" w:color="auto" w:fill="auto"/>
            <w:noWrap/>
            <w:vAlign w:val="center"/>
            <w:hideMark/>
          </w:tcPr>
          <w:p w14:paraId="50D8CB5B" w14:textId="77777777" w:rsidR="001A3C07" w:rsidRPr="007F45DE" w:rsidRDefault="001A3C07" w:rsidP="00956E31">
            <w:pPr>
              <w:spacing w:after="0" w:line="240" w:lineRule="auto"/>
              <w:jc w:val="center"/>
              <w:rPr>
                <w:lang w:eastAsia="en-GB"/>
              </w:rPr>
            </w:pPr>
            <w:r w:rsidRPr="007F45DE">
              <w:t>S12 INST</w:t>
            </w:r>
            <w:r>
              <w:t>, PMI</w:t>
            </w:r>
          </w:p>
        </w:tc>
        <w:tc>
          <w:tcPr>
            <w:tcW w:w="0" w:type="auto"/>
          </w:tcPr>
          <w:p w14:paraId="7D6056D5" w14:textId="6B93FFEC" w:rsidR="001A3C07" w:rsidRPr="007F45DE" w:rsidRDefault="00446227" w:rsidP="00956E31">
            <w:pPr>
              <w:spacing w:after="0" w:line="240" w:lineRule="auto"/>
              <w:jc w:val="center"/>
            </w:pPr>
            <w:r>
              <w:t>51.1</w:t>
            </w:r>
          </w:p>
        </w:tc>
        <w:tc>
          <w:tcPr>
            <w:tcW w:w="0" w:type="auto"/>
          </w:tcPr>
          <w:p w14:paraId="22B935C5" w14:textId="1F0F5961" w:rsidR="001A3C07" w:rsidRPr="007F45DE" w:rsidRDefault="00446227" w:rsidP="00956E31">
            <w:pPr>
              <w:spacing w:after="0" w:line="240" w:lineRule="auto"/>
              <w:jc w:val="center"/>
            </w:pPr>
            <w:r>
              <w:t>51.5</w:t>
            </w:r>
          </w:p>
        </w:tc>
      </w:tr>
      <w:tr w:rsidR="001A3C07" w:rsidRPr="007F45DE" w14:paraId="11BBECF9" w14:textId="36507BD7" w:rsidTr="002C0E3A">
        <w:trPr>
          <w:trHeight w:val="298"/>
          <w:jc w:val="center"/>
        </w:trPr>
        <w:tc>
          <w:tcPr>
            <w:tcW w:w="0" w:type="auto"/>
            <w:shd w:val="clear" w:color="auto" w:fill="auto"/>
            <w:noWrap/>
            <w:vAlign w:val="center"/>
            <w:hideMark/>
          </w:tcPr>
          <w:p w14:paraId="5D9AABC1" w14:textId="77777777" w:rsidR="001A3C07" w:rsidRPr="007F45DE" w:rsidRDefault="001A3C07" w:rsidP="00956E31">
            <w:pPr>
              <w:spacing w:after="0" w:line="240" w:lineRule="auto"/>
              <w:jc w:val="center"/>
              <w:rPr>
                <w:lang w:eastAsia="en-GB"/>
              </w:rPr>
            </w:pPr>
            <w:r w:rsidRPr="007F45DE">
              <w:t>S13 ER</w:t>
            </w:r>
          </w:p>
        </w:tc>
        <w:tc>
          <w:tcPr>
            <w:tcW w:w="0" w:type="auto"/>
          </w:tcPr>
          <w:p w14:paraId="5CF147E6" w14:textId="7634FCC8" w:rsidR="001A3C07" w:rsidRPr="007F45DE" w:rsidRDefault="00446227" w:rsidP="00956E31">
            <w:pPr>
              <w:spacing w:after="0" w:line="240" w:lineRule="auto"/>
              <w:jc w:val="center"/>
            </w:pPr>
            <w:r>
              <w:t>85.8</w:t>
            </w:r>
          </w:p>
        </w:tc>
        <w:tc>
          <w:tcPr>
            <w:tcW w:w="0" w:type="auto"/>
          </w:tcPr>
          <w:p w14:paraId="48ABC690" w14:textId="488E0824" w:rsidR="001A3C07" w:rsidRPr="007F45DE" w:rsidRDefault="00446227" w:rsidP="00956E31">
            <w:pPr>
              <w:spacing w:after="0" w:line="240" w:lineRule="auto"/>
              <w:jc w:val="center"/>
            </w:pPr>
            <w:r>
              <w:t>85</w:t>
            </w:r>
          </w:p>
        </w:tc>
      </w:tr>
      <w:tr w:rsidR="001A3C07" w:rsidRPr="007F45DE" w14:paraId="27DDB6C1" w14:textId="00ED6BE4" w:rsidTr="002C0E3A">
        <w:trPr>
          <w:trHeight w:val="298"/>
          <w:jc w:val="center"/>
        </w:trPr>
        <w:tc>
          <w:tcPr>
            <w:tcW w:w="0" w:type="auto"/>
            <w:shd w:val="clear" w:color="auto" w:fill="auto"/>
            <w:noWrap/>
            <w:vAlign w:val="center"/>
            <w:hideMark/>
          </w:tcPr>
          <w:p w14:paraId="717EC879" w14:textId="77777777" w:rsidR="001A3C07" w:rsidRPr="007F45DE" w:rsidRDefault="001A3C07" w:rsidP="00956E31">
            <w:pPr>
              <w:spacing w:after="0" w:line="240" w:lineRule="auto"/>
              <w:jc w:val="center"/>
              <w:rPr>
                <w:lang w:eastAsia="en-GB"/>
              </w:rPr>
            </w:pPr>
            <w:r w:rsidRPr="007F45DE">
              <w:t>S14 ER, MR</w:t>
            </w:r>
          </w:p>
        </w:tc>
        <w:tc>
          <w:tcPr>
            <w:tcW w:w="0" w:type="auto"/>
          </w:tcPr>
          <w:p w14:paraId="1619D5C3" w14:textId="19C60BB1" w:rsidR="001A3C07" w:rsidRPr="007F45DE" w:rsidRDefault="00710CEE" w:rsidP="00956E31">
            <w:pPr>
              <w:spacing w:after="0" w:line="240" w:lineRule="auto"/>
              <w:jc w:val="center"/>
            </w:pPr>
            <w:r>
              <w:t>79.6</w:t>
            </w:r>
          </w:p>
        </w:tc>
        <w:tc>
          <w:tcPr>
            <w:tcW w:w="0" w:type="auto"/>
          </w:tcPr>
          <w:p w14:paraId="2F50BAAF" w14:textId="474722EF" w:rsidR="001A3C07" w:rsidRPr="007F45DE" w:rsidRDefault="00710CEE" w:rsidP="00956E31">
            <w:pPr>
              <w:spacing w:after="0" w:line="240" w:lineRule="auto"/>
              <w:jc w:val="center"/>
            </w:pPr>
            <w:r>
              <w:t>76.8</w:t>
            </w:r>
          </w:p>
        </w:tc>
      </w:tr>
      <w:tr w:rsidR="001A3C07" w:rsidRPr="007F45DE" w14:paraId="71926A61" w14:textId="47168F89" w:rsidTr="002C0E3A">
        <w:trPr>
          <w:trHeight w:val="298"/>
          <w:jc w:val="center"/>
        </w:trPr>
        <w:tc>
          <w:tcPr>
            <w:tcW w:w="0" w:type="auto"/>
            <w:shd w:val="clear" w:color="auto" w:fill="auto"/>
            <w:noWrap/>
            <w:vAlign w:val="center"/>
            <w:hideMark/>
          </w:tcPr>
          <w:p w14:paraId="7FB8DA0F" w14:textId="77777777" w:rsidR="001A3C07" w:rsidRPr="007F45DE" w:rsidRDefault="001A3C07" w:rsidP="00956E31">
            <w:pPr>
              <w:spacing w:after="0" w:line="240" w:lineRule="auto"/>
              <w:jc w:val="center"/>
              <w:rPr>
                <w:lang w:eastAsia="en-GB"/>
              </w:rPr>
            </w:pPr>
            <w:r w:rsidRPr="007F45DE">
              <w:t>S15 ER, MR</w:t>
            </w:r>
          </w:p>
        </w:tc>
        <w:tc>
          <w:tcPr>
            <w:tcW w:w="0" w:type="auto"/>
          </w:tcPr>
          <w:p w14:paraId="0AED6234" w14:textId="293C1947" w:rsidR="001A3C07" w:rsidRPr="007F45DE" w:rsidRDefault="00000F5B" w:rsidP="00956E31">
            <w:pPr>
              <w:spacing w:after="0" w:line="240" w:lineRule="auto"/>
              <w:jc w:val="center"/>
            </w:pPr>
            <w:r>
              <w:t>76.3</w:t>
            </w:r>
          </w:p>
        </w:tc>
        <w:tc>
          <w:tcPr>
            <w:tcW w:w="0" w:type="auto"/>
          </w:tcPr>
          <w:p w14:paraId="478D5672" w14:textId="092DD0FD" w:rsidR="001A3C07" w:rsidRPr="007F45DE" w:rsidRDefault="00B256D0" w:rsidP="00956E31">
            <w:pPr>
              <w:spacing w:after="0" w:line="240" w:lineRule="auto"/>
              <w:jc w:val="center"/>
            </w:pPr>
            <w:r>
              <w:t>72.3</w:t>
            </w:r>
          </w:p>
        </w:tc>
      </w:tr>
      <w:tr w:rsidR="001A3C07" w:rsidRPr="007F45DE" w14:paraId="65A2F4AC" w14:textId="143A2337" w:rsidTr="002C0E3A">
        <w:trPr>
          <w:trHeight w:val="298"/>
          <w:jc w:val="center"/>
        </w:trPr>
        <w:tc>
          <w:tcPr>
            <w:tcW w:w="0" w:type="auto"/>
            <w:shd w:val="clear" w:color="auto" w:fill="auto"/>
            <w:noWrap/>
            <w:vAlign w:val="center"/>
            <w:hideMark/>
          </w:tcPr>
          <w:p w14:paraId="190811E3" w14:textId="77777777" w:rsidR="001A3C07" w:rsidRPr="007F45DE" w:rsidRDefault="001A3C07" w:rsidP="00956E31">
            <w:pPr>
              <w:spacing w:after="0" w:line="240" w:lineRule="auto"/>
              <w:jc w:val="center"/>
              <w:rPr>
                <w:lang w:eastAsia="en-GB"/>
              </w:rPr>
            </w:pPr>
            <w:r w:rsidRPr="007F45DE">
              <w:t>S16 IR</w:t>
            </w:r>
          </w:p>
        </w:tc>
        <w:tc>
          <w:tcPr>
            <w:tcW w:w="0" w:type="auto"/>
          </w:tcPr>
          <w:p w14:paraId="7097D8D6" w14:textId="0C0724AD" w:rsidR="001A3C07" w:rsidRPr="007F45DE" w:rsidRDefault="00B256D0" w:rsidP="00956E31">
            <w:pPr>
              <w:spacing w:after="0" w:line="240" w:lineRule="auto"/>
              <w:jc w:val="center"/>
            </w:pPr>
            <w:r>
              <w:t>45.1</w:t>
            </w:r>
          </w:p>
        </w:tc>
        <w:tc>
          <w:tcPr>
            <w:tcW w:w="0" w:type="auto"/>
          </w:tcPr>
          <w:p w14:paraId="1565B99E" w14:textId="063EA55F" w:rsidR="001A3C07" w:rsidRPr="007F45DE" w:rsidRDefault="00B256D0" w:rsidP="00956E31">
            <w:pPr>
              <w:spacing w:after="0" w:line="240" w:lineRule="auto"/>
              <w:jc w:val="center"/>
            </w:pPr>
            <w:r>
              <w:t>43.4</w:t>
            </w:r>
          </w:p>
        </w:tc>
      </w:tr>
      <w:tr w:rsidR="001A3C07" w:rsidRPr="007F45DE" w14:paraId="60521822" w14:textId="7A8EA48F" w:rsidTr="002C0E3A">
        <w:trPr>
          <w:trHeight w:val="298"/>
          <w:jc w:val="center"/>
        </w:trPr>
        <w:tc>
          <w:tcPr>
            <w:tcW w:w="0" w:type="auto"/>
            <w:shd w:val="clear" w:color="auto" w:fill="auto"/>
            <w:noWrap/>
            <w:vAlign w:val="center"/>
            <w:hideMark/>
          </w:tcPr>
          <w:p w14:paraId="37916811" w14:textId="77777777" w:rsidR="001A3C07" w:rsidRPr="007F45DE" w:rsidRDefault="001A3C07" w:rsidP="00956E31">
            <w:pPr>
              <w:spacing w:after="0" w:line="240" w:lineRule="auto"/>
              <w:jc w:val="center"/>
              <w:rPr>
                <w:lang w:eastAsia="en-GB"/>
              </w:rPr>
            </w:pPr>
            <w:r w:rsidRPr="007F45DE">
              <w:t>S17 ER, IR</w:t>
            </w:r>
          </w:p>
        </w:tc>
        <w:tc>
          <w:tcPr>
            <w:tcW w:w="0" w:type="auto"/>
          </w:tcPr>
          <w:p w14:paraId="501B1076" w14:textId="68C67C2B" w:rsidR="001A3C07" w:rsidRPr="007F45DE" w:rsidRDefault="00B256D0" w:rsidP="00956E31">
            <w:pPr>
              <w:spacing w:after="0" w:line="240" w:lineRule="auto"/>
              <w:jc w:val="center"/>
            </w:pPr>
            <w:r>
              <w:t>87.3</w:t>
            </w:r>
          </w:p>
        </w:tc>
        <w:tc>
          <w:tcPr>
            <w:tcW w:w="0" w:type="auto"/>
          </w:tcPr>
          <w:p w14:paraId="4D4BEAB3" w14:textId="12688FF8" w:rsidR="001A3C07" w:rsidRPr="007F45DE" w:rsidRDefault="00B256D0" w:rsidP="00956E31">
            <w:pPr>
              <w:spacing w:after="0" w:line="240" w:lineRule="auto"/>
              <w:jc w:val="center"/>
            </w:pPr>
            <w:r>
              <w:t>86.5</w:t>
            </w:r>
          </w:p>
        </w:tc>
      </w:tr>
      <w:tr w:rsidR="001A3C07" w:rsidRPr="007F45DE" w14:paraId="42FED9F1" w14:textId="7477AC51" w:rsidTr="002C0E3A">
        <w:trPr>
          <w:trHeight w:val="298"/>
          <w:jc w:val="center"/>
        </w:trPr>
        <w:tc>
          <w:tcPr>
            <w:tcW w:w="0" w:type="auto"/>
            <w:shd w:val="clear" w:color="auto" w:fill="auto"/>
            <w:noWrap/>
            <w:vAlign w:val="center"/>
            <w:hideMark/>
          </w:tcPr>
          <w:p w14:paraId="4874C6E3" w14:textId="77777777" w:rsidR="001A3C07" w:rsidRPr="007F45DE" w:rsidRDefault="001A3C07" w:rsidP="00956E31">
            <w:pPr>
              <w:spacing w:after="0" w:line="240" w:lineRule="auto"/>
              <w:jc w:val="center"/>
              <w:rPr>
                <w:lang w:eastAsia="en-GB"/>
              </w:rPr>
            </w:pPr>
            <w:r w:rsidRPr="007F45DE">
              <w:t>S18 ER</w:t>
            </w:r>
          </w:p>
        </w:tc>
        <w:tc>
          <w:tcPr>
            <w:tcW w:w="0" w:type="auto"/>
          </w:tcPr>
          <w:p w14:paraId="4CAD12DE" w14:textId="42736313" w:rsidR="001A3C07" w:rsidRPr="007F45DE" w:rsidRDefault="0014514D" w:rsidP="00956E31">
            <w:pPr>
              <w:spacing w:after="0" w:line="240" w:lineRule="auto"/>
              <w:jc w:val="center"/>
            </w:pPr>
            <w:r>
              <w:t>81.5</w:t>
            </w:r>
          </w:p>
        </w:tc>
        <w:tc>
          <w:tcPr>
            <w:tcW w:w="0" w:type="auto"/>
          </w:tcPr>
          <w:p w14:paraId="2E1A90B8" w14:textId="20A91719" w:rsidR="001A3C07" w:rsidRPr="007F45DE" w:rsidRDefault="0014514D" w:rsidP="00956E31">
            <w:pPr>
              <w:spacing w:after="0" w:line="240" w:lineRule="auto"/>
              <w:jc w:val="center"/>
            </w:pPr>
            <w:r>
              <w:t>79.7</w:t>
            </w:r>
          </w:p>
        </w:tc>
      </w:tr>
      <w:tr w:rsidR="001A3C07" w:rsidRPr="007F45DE" w14:paraId="66F9D437" w14:textId="4C2EAEE5" w:rsidTr="002C0E3A">
        <w:trPr>
          <w:trHeight w:val="298"/>
          <w:jc w:val="center"/>
        </w:trPr>
        <w:tc>
          <w:tcPr>
            <w:tcW w:w="0" w:type="auto"/>
            <w:shd w:val="clear" w:color="auto" w:fill="auto"/>
            <w:noWrap/>
            <w:vAlign w:val="center"/>
            <w:hideMark/>
          </w:tcPr>
          <w:p w14:paraId="45FBC678" w14:textId="77777777" w:rsidR="001A3C07" w:rsidRPr="007F45DE" w:rsidRDefault="001A3C07" w:rsidP="00956E31">
            <w:pPr>
              <w:spacing w:after="0" w:line="240" w:lineRule="auto"/>
              <w:jc w:val="center"/>
              <w:rPr>
                <w:lang w:eastAsia="en-GB"/>
              </w:rPr>
            </w:pPr>
            <w:r w:rsidRPr="007F45DE">
              <w:t>S19 ER, PLUR</w:t>
            </w:r>
          </w:p>
        </w:tc>
        <w:tc>
          <w:tcPr>
            <w:tcW w:w="0" w:type="auto"/>
          </w:tcPr>
          <w:p w14:paraId="3A878056" w14:textId="69E90CFD" w:rsidR="001A3C07" w:rsidRPr="007F45DE" w:rsidRDefault="00391FA3" w:rsidP="00956E31">
            <w:pPr>
              <w:spacing w:after="0" w:line="240" w:lineRule="auto"/>
              <w:jc w:val="center"/>
            </w:pPr>
            <w:r>
              <w:t>73.6</w:t>
            </w:r>
          </w:p>
        </w:tc>
        <w:tc>
          <w:tcPr>
            <w:tcW w:w="0" w:type="auto"/>
          </w:tcPr>
          <w:p w14:paraId="35F86F0B" w14:textId="53D6D4C4" w:rsidR="001A3C07" w:rsidRPr="007F45DE" w:rsidRDefault="00391FA3" w:rsidP="00956E31">
            <w:pPr>
              <w:spacing w:after="0" w:line="240" w:lineRule="auto"/>
              <w:jc w:val="center"/>
            </w:pPr>
            <w:r>
              <w:t>72.7</w:t>
            </w:r>
          </w:p>
        </w:tc>
      </w:tr>
      <w:tr w:rsidR="001A3C07" w:rsidRPr="007F45DE" w14:paraId="0DA5998A" w14:textId="16C8C966" w:rsidTr="002C0E3A">
        <w:trPr>
          <w:trHeight w:val="298"/>
          <w:jc w:val="center"/>
        </w:trPr>
        <w:tc>
          <w:tcPr>
            <w:tcW w:w="0" w:type="auto"/>
            <w:shd w:val="clear" w:color="auto" w:fill="auto"/>
            <w:noWrap/>
            <w:vAlign w:val="center"/>
            <w:hideMark/>
          </w:tcPr>
          <w:p w14:paraId="194F2E08" w14:textId="77777777" w:rsidR="001A3C07" w:rsidRPr="007F45DE" w:rsidRDefault="001A3C07" w:rsidP="00956E31">
            <w:pPr>
              <w:spacing w:after="0" w:line="240" w:lineRule="auto"/>
              <w:jc w:val="center"/>
              <w:rPr>
                <w:lang w:eastAsia="en-GB"/>
              </w:rPr>
            </w:pPr>
            <w:r w:rsidRPr="007F45DE">
              <w:t>S20 REAL</w:t>
            </w:r>
          </w:p>
        </w:tc>
        <w:tc>
          <w:tcPr>
            <w:tcW w:w="0" w:type="auto"/>
          </w:tcPr>
          <w:p w14:paraId="3F86EC67" w14:textId="5D1C4071" w:rsidR="001A3C07" w:rsidRPr="007F45DE" w:rsidRDefault="002464AE" w:rsidP="00956E31">
            <w:pPr>
              <w:spacing w:after="0" w:line="240" w:lineRule="auto"/>
              <w:jc w:val="center"/>
            </w:pPr>
            <w:r>
              <w:t>71.2</w:t>
            </w:r>
          </w:p>
        </w:tc>
        <w:tc>
          <w:tcPr>
            <w:tcW w:w="0" w:type="auto"/>
          </w:tcPr>
          <w:p w14:paraId="2FE2FDB6" w14:textId="31A41D37" w:rsidR="001A3C07" w:rsidRPr="007F45DE" w:rsidRDefault="002464AE" w:rsidP="00956E31">
            <w:pPr>
              <w:spacing w:after="0" w:line="240" w:lineRule="auto"/>
              <w:jc w:val="center"/>
            </w:pPr>
            <w:r>
              <w:t>67.6</w:t>
            </w:r>
          </w:p>
        </w:tc>
      </w:tr>
      <w:tr w:rsidR="001A3C07" w:rsidRPr="007F45DE" w14:paraId="09FAF7FA" w14:textId="322BF6AD" w:rsidTr="002C0E3A">
        <w:trPr>
          <w:trHeight w:val="298"/>
          <w:jc w:val="center"/>
        </w:trPr>
        <w:tc>
          <w:tcPr>
            <w:tcW w:w="0" w:type="auto"/>
            <w:shd w:val="clear" w:color="auto" w:fill="auto"/>
            <w:noWrap/>
            <w:vAlign w:val="center"/>
            <w:hideMark/>
          </w:tcPr>
          <w:p w14:paraId="24FFF231" w14:textId="77777777" w:rsidR="001A3C07" w:rsidRPr="007F45DE" w:rsidRDefault="001A3C07" w:rsidP="00956E31">
            <w:pPr>
              <w:spacing w:after="0" w:line="240" w:lineRule="auto"/>
              <w:jc w:val="center"/>
              <w:rPr>
                <w:lang w:eastAsia="en-GB"/>
              </w:rPr>
            </w:pPr>
            <w:r w:rsidRPr="007F45DE">
              <w:t>S21 REAL</w:t>
            </w:r>
          </w:p>
        </w:tc>
        <w:tc>
          <w:tcPr>
            <w:tcW w:w="0" w:type="auto"/>
          </w:tcPr>
          <w:p w14:paraId="3630DFBD" w14:textId="434D021C" w:rsidR="001A3C07" w:rsidRPr="007F45DE" w:rsidRDefault="002464AE" w:rsidP="00956E31">
            <w:pPr>
              <w:spacing w:after="0" w:line="240" w:lineRule="auto"/>
              <w:jc w:val="center"/>
            </w:pPr>
            <w:r>
              <w:t>72.5</w:t>
            </w:r>
          </w:p>
        </w:tc>
        <w:tc>
          <w:tcPr>
            <w:tcW w:w="0" w:type="auto"/>
          </w:tcPr>
          <w:p w14:paraId="5BA3103B" w14:textId="0444443E" w:rsidR="001A3C07" w:rsidRPr="007F45DE" w:rsidRDefault="002464AE" w:rsidP="00956E31">
            <w:pPr>
              <w:spacing w:after="0" w:line="240" w:lineRule="auto"/>
              <w:jc w:val="center"/>
            </w:pPr>
            <w:r>
              <w:t>68.8</w:t>
            </w:r>
          </w:p>
        </w:tc>
      </w:tr>
      <w:tr w:rsidR="001A3C07" w:rsidRPr="007F45DE" w14:paraId="57D470AF" w14:textId="19B288EB" w:rsidTr="002C0E3A">
        <w:trPr>
          <w:trHeight w:val="298"/>
          <w:jc w:val="center"/>
        </w:trPr>
        <w:tc>
          <w:tcPr>
            <w:tcW w:w="0" w:type="auto"/>
            <w:shd w:val="clear" w:color="auto" w:fill="auto"/>
            <w:noWrap/>
            <w:vAlign w:val="center"/>
            <w:hideMark/>
          </w:tcPr>
          <w:p w14:paraId="7C07F1CE" w14:textId="77777777" w:rsidR="001A3C07" w:rsidRPr="007F45DE" w:rsidRDefault="001A3C07" w:rsidP="00956E31">
            <w:pPr>
              <w:spacing w:after="0" w:line="240" w:lineRule="auto"/>
              <w:jc w:val="center"/>
              <w:rPr>
                <w:lang w:eastAsia="en-GB"/>
              </w:rPr>
            </w:pPr>
            <w:r w:rsidRPr="007F45DE">
              <w:t>S22 REAL</w:t>
            </w:r>
          </w:p>
        </w:tc>
        <w:tc>
          <w:tcPr>
            <w:tcW w:w="0" w:type="auto"/>
          </w:tcPr>
          <w:p w14:paraId="16A21E8E" w14:textId="22F209E1" w:rsidR="001A3C07" w:rsidRPr="007F45DE" w:rsidRDefault="002464AE" w:rsidP="00956E31">
            <w:pPr>
              <w:spacing w:after="0" w:line="240" w:lineRule="auto"/>
              <w:jc w:val="center"/>
            </w:pPr>
            <w:r>
              <w:t>81.1</w:t>
            </w:r>
          </w:p>
        </w:tc>
        <w:tc>
          <w:tcPr>
            <w:tcW w:w="0" w:type="auto"/>
          </w:tcPr>
          <w:p w14:paraId="713B5EE8" w14:textId="1A8E53B8" w:rsidR="001A3C07" w:rsidRPr="007F45DE" w:rsidRDefault="002464AE" w:rsidP="00956E31">
            <w:pPr>
              <w:spacing w:after="0" w:line="240" w:lineRule="auto"/>
              <w:jc w:val="center"/>
            </w:pPr>
            <w:r>
              <w:t>82.9</w:t>
            </w:r>
          </w:p>
        </w:tc>
      </w:tr>
      <w:tr w:rsidR="001A3C07" w:rsidRPr="007F45DE" w14:paraId="21E747D2" w14:textId="0DB4EBB0" w:rsidTr="002C0E3A">
        <w:trPr>
          <w:trHeight w:val="298"/>
          <w:jc w:val="center"/>
        </w:trPr>
        <w:tc>
          <w:tcPr>
            <w:tcW w:w="0" w:type="auto"/>
            <w:shd w:val="clear" w:color="auto" w:fill="auto"/>
            <w:noWrap/>
            <w:vAlign w:val="center"/>
            <w:hideMark/>
          </w:tcPr>
          <w:p w14:paraId="0BF3C55D" w14:textId="77777777" w:rsidR="001A3C07" w:rsidRPr="007F45DE" w:rsidRDefault="001A3C07" w:rsidP="00956E31">
            <w:pPr>
              <w:spacing w:after="0" w:line="240" w:lineRule="auto"/>
              <w:jc w:val="center"/>
              <w:rPr>
                <w:lang w:eastAsia="en-GB"/>
              </w:rPr>
            </w:pPr>
            <w:r w:rsidRPr="007F45DE">
              <w:t>S23 INST</w:t>
            </w:r>
          </w:p>
        </w:tc>
        <w:tc>
          <w:tcPr>
            <w:tcW w:w="0" w:type="auto"/>
          </w:tcPr>
          <w:p w14:paraId="5BA29741" w14:textId="2B595114" w:rsidR="001A3C07" w:rsidRPr="007F45DE" w:rsidRDefault="002464AE" w:rsidP="00956E31">
            <w:pPr>
              <w:spacing w:after="0" w:line="240" w:lineRule="auto"/>
              <w:jc w:val="center"/>
            </w:pPr>
            <w:r>
              <w:t>41.2</w:t>
            </w:r>
          </w:p>
        </w:tc>
        <w:tc>
          <w:tcPr>
            <w:tcW w:w="0" w:type="auto"/>
          </w:tcPr>
          <w:p w14:paraId="70C266B9" w14:textId="6003A1E8" w:rsidR="001A3C07" w:rsidRPr="007F45DE" w:rsidRDefault="002464AE" w:rsidP="00956E31">
            <w:pPr>
              <w:spacing w:after="0" w:line="240" w:lineRule="auto"/>
              <w:jc w:val="center"/>
            </w:pPr>
            <w:r>
              <w:t>34.1</w:t>
            </w:r>
          </w:p>
        </w:tc>
      </w:tr>
      <w:tr w:rsidR="001A3C07" w:rsidRPr="007F45DE" w14:paraId="60B901F1" w14:textId="6CEBB25A" w:rsidTr="002C0E3A">
        <w:trPr>
          <w:trHeight w:val="298"/>
          <w:jc w:val="center"/>
        </w:trPr>
        <w:tc>
          <w:tcPr>
            <w:tcW w:w="0" w:type="auto"/>
            <w:shd w:val="clear" w:color="auto" w:fill="auto"/>
            <w:noWrap/>
            <w:vAlign w:val="center"/>
            <w:hideMark/>
          </w:tcPr>
          <w:p w14:paraId="40BAFE42" w14:textId="77777777" w:rsidR="001A3C07" w:rsidRPr="007F45DE" w:rsidRDefault="001A3C07" w:rsidP="00956E31">
            <w:pPr>
              <w:spacing w:after="0" w:line="240" w:lineRule="auto"/>
              <w:jc w:val="center"/>
              <w:rPr>
                <w:lang w:eastAsia="en-GB"/>
              </w:rPr>
            </w:pPr>
            <w:r w:rsidRPr="007F45DE">
              <w:t>S24 REAL, PLUR</w:t>
            </w:r>
          </w:p>
        </w:tc>
        <w:tc>
          <w:tcPr>
            <w:tcW w:w="0" w:type="auto"/>
          </w:tcPr>
          <w:p w14:paraId="75F6EEBC" w14:textId="2A5A38C6" w:rsidR="001A3C07" w:rsidRPr="007F45DE" w:rsidRDefault="002464AE" w:rsidP="00956E31">
            <w:pPr>
              <w:spacing w:after="0" w:line="240" w:lineRule="auto"/>
              <w:jc w:val="center"/>
            </w:pPr>
            <w:r>
              <w:t>61.6</w:t>
            </w:r>
          </w:p>
        </w:tc>
        <w:tc>
          <w:tcPr>
            <w:tcW w:w="0" w:type="auto"/>
          </w:tcPr>
          <w:p w14:paraId="29261D29" w14:textId="3387DCF3" w:rsidR="001A3C07" w:rsidRPr="007F45DE" w:rsidRDefault="002464AE" w:rsidP="00956E31">
            <w:pPr>
              <w:spacing w:after="0" w:line="240" w:lineRule="auto"/>
              <w:jc w:val="center"/>
            </w:pPr>
            <w:r>
              <w:t>63.3</w:t>
            </w:r>
          </w:p>
        </w:tc>
      </w:tr>
      <w:tr w:rsidR="001A3C07" w:rsidRPr="007F45DE" w14:paraId="07F881B5" w14:textId="3639681D" w:rsidTr="002C0E3A">
        <w:trPr>
          <w:trHeight w:val="298"/>
          <w:jc w:val="center"/>
        </w:trPr>
        <w:tc>
          <w:tcPr>
            <w:tcW w:w="0" w:type="auto"/>
            <w:shd w:val="clear" w:color="auto" w:fill="auto"/>
            <w:noWrap/>
            <w:vAlign w:val="center"/>
            <w:hideMark/>
          </w:tcPr>
          <w:p w14:paraId="348C5DD5" w14:textId="77777777" w:rsidR="001A3C07" w:rsidRPr="007F45DE" w:rsidRDefault="001A3C07" w:rsidP="00956E31">
            <w:pPr>
              <w:spacing w:after="0" w:line="240" w:lineRule="auto"/>
              <w:jc w:val="center"/>
              <w:rPr>
                <w:lang w:eastAsia="en-GB"/>
              </w:rPr>
            </w:pPr>
            <w:r w:rsidRPr="007F45DE">
              <w:t>S25 PLUR</w:t>
            </w:r>
          </w:p>
        </w:tc>
        <w:tc>
          <w:tcPr>
            <w:tcW w:w="0" w:type="auto"/>
          </w:tcPr>
          <w:p w14:paraId="138D21C0" w14:textId="317C2561" w:rsidR="001A3C07" w:rsidRPr="007F45DE" w:rsidRDefault="00F70381" w:rsidP="00956E31">
            <w:pPr>
              <w:spacing w:after="0" w:line="240" w:lineRule="auto"/>
              <w:jc w:val="center"/>
            </w:pPr>
            <w:r>
              <w:t>43.5</w:t>
            </w:r>
          </w:p>
        </w:tc>
        <w:tc>
          <w:tcPr>
            <w:tcW w:w="0" w:type="auto"/>
          </w:tcPr>
          <w:p w14:paraId="535BFF8B" w14:textId="12879556" w:rsidR="001A3C07" w:rsidRPr="007F45DE" w:rsidRDefault="00E12B96" w:rsidP="00956E31">
            <w:pPr>
              <w:spacing w:after="0" w:line="240" w:lineRule="auto"/>
              <w:jc w:val="center"/>
            </w:pPr>
            <w:r>
              <w:t>43.2</w:t>
            </w:r>
          </w:p>
        </w:tc>
      </w:tr>
      <w:tr w:rsidR="002A34AA" w:rsidRPr="007F45DE" w14:paraId="44653054" w14:textId="77777777" w:rsidTr="002C0E3A">
        <w:trPr>
          <w:trHeight w:val="298"/>
          <w:jc w:val="center"/>
        </w:trPr>
        <w:tc>
          <w:tcPr>
            <w:tcW w:w="0" w:type="auto"/>
            <w:shd w:val="clear" w:color="auto" w:fill="auto"/>
            <w:noWrap/>
            <w:vAlign w:val="center"/>
          </w:tcPr>
          <w:p w14:paraId="0B620E8A" w14:textId="750E2E5C" w:rsidR="002A34AA" w:rsidRPr="007F45DE" w:rsidRDefault="002A34AA" w:rsidP="00956E31">
            <w:pPr>
              <w:spacing w:after="0" w:line="240" w:lineRule="auto"/>
              <w:jc w:val="center"/>
            </w:pPr>
            <w:r>
              <w:t>S26 LHC</w:t>
            </w:r>
          </w:p>
        </w:tc>
        <w:tc>
          <w:tcPr>
            <w:tcW w:w="0" w:type="auto"/>
          </w:tcPr>
          <w:p w14:paraId="4BD47642" w14:textId="2F18C661" w:rsidR="002A34AA" w:rsidRDefault="00837686" w:rsidP="00956E31">
            <w:pPr>
              <w:spacing w:after="0" w:line="240" w:lineRule="auto"/>
              <w:jc w:val="center"/>
            </w:pPr>
            <w:r>
              <w:t>52.6</w:t>
            </w:r>
          </w:p>
        </w:tc>
        <w:tc>
          <w:tcPr>
            <w:tcW w:w="0" w:type="auto"/>
          </w:tcPr>
          <w:p w14:paraId="30C9AFAC" w14:textId="09603E4C" w:rsidR="002A34AA" w:rsidRDefault="00E33FB9" w:rsidP="00956E31">
            <w:pPr>
              <w:spacing w:after="0" w:line="240" w:lineRule="auto"/>
              <w:jc w:val="center"/>
            </w:pPr>
            <w:r>
              <w:t>57</w:t>
            </w:r>
          </w:p>
        </w:tc>
      </w:tr>
      <w:tr w:rsidR="005E116E" w:rsidRPr="007F45DE" w14:paraId="5CD47B1A" w14:textId="0B675DA0" w:rsidTr="002C0E3A">
        <w:trPr>
          <w:trHeight w:val="298"/>
          <w:jc w:val="center"/>
        </w:trPr>
        <w:tc>
          <w:tcPr>
            <w:tcW w:w="0" w:type="auto"/>
            <w:shd w:val="clear" w:color="auto" w:fill="auto"/>
            <w:noWrap/>
            <w:vAlign w:val="center"/>
            <w:hideMark/>
          </w:tcPr>
          <w:p w14:paraId="6394C19C" w14:textId="77777777" w:rsidR="005E116E" w:rsidRPr="007F45DE" w:rsidRDefault="005E116E" w:rsidP="00956E31">
            <w:pPr>
              <w:spacing w:after="0" w:line="240" w:lineRule="auto"/>
              <w:jc w:val="center"/>
              <w:rPr>
                <w:lang w:eastAsia="en-GB"/>
              </w:rPr>
            </w:pPr>
            <w:r w:rsidRPr="007F45DE">
              <w:t>S27 STRUC</w:t>
            </w:r>
          </w:p>
        </w:tc>
        <w:tc>
          <w:tcPr>
            <w:tcW w:w="0" w:type="auto"/>
          </w:tcPr>
          <w:p w14:paraId="4D95A63B" w14:textId="63B42454" w:rsidR="005E116E" w:rsidRPr="007F45DE" w:rsidRDefault="005E116E" w:rsidP="00956E31">
            <w:pPr>
              <w:spacing w:after="0" w:line="240" w:lineRule="auto"/>
              <w:jc w:val="center"/>
            </w:pPr>
            <w:r>
              <w:t>52.8</w:t>
            </w:r>
          </w:p>
        </w:tc>
        <w:tc>
          <w:tcPr>
            <w:tcW w:w="0" w:type="auto"/>
          </w:tcPr>
          <w:p w14:paraId="177F8CB5" w14:textId="10E28A81" w:rsidR="005E116E" w:rsidRPr="007F45DE" w:rsidRDefault="005E116E" w:rsidP="00956E31">
            <w:pPr>
              <w:spacing w:after="0" w:line="240" w:lineRule="auto"/>
              <w:jc w:val="center"/>
            </w:pPr>
            <w:r>
              <w:t>56.7</w:t>
            </w:r>
          </w:p>
        </w:tc>
      </w:tr>
      <w:tr w:rsidR="005E116E" w:rsidRPr="007F45DE" w14:paraId="738C73CB" w14:textId="1345BD78" w:rsidTr="002C0E3A">
        <w:trPr>
          <w:trHeight w:val="298"/>
          <w:jc w:val="center"/>
        </w:trPr>
        <w:tc>
          <w:tcPr>
            <w:tcW w:w="0" w:type="auto"/>
            <w:shd w:val="clear" w:color="auto" w:fill="auto"/>
            <w:noWrap/>
            <w:vAlign w:val="center"/>
            <w:hideMark/>
          </w:tcPr>
          <w:p w14:paraId="5E8370D5" w14:textId="77777777" w:rsidR="005E116E" w:rsidRPr="007F45DE" w:rsidRDefault="005E116E" w:rsidP="00956E31">
            <w:pPr>
              <w:spacing w:after="0" w:line="240" w:lineRule="auto"/>
              <w:jc w:val="center"/>
              <w:rPr>
                <w:lang w:eastAsia="en-GB"/>
              </w:rPr>
            </w:pPr>
            <w:r w:rsidRPr="007F45DE">
              <w:t>S28 PLUR</w:t>
            </w:r>
          </w:p>
        </w:tc>
        <w:tc>
          <w:tcPr>
            <w:tcW w:w="0" w:type="auto"/>
          </w:tcPr>
          <w:p w14:paraId="6A1B144C" w14:textId="5DE81E20" w:rsidR="005E116E" w:rsidRPr="007F45DE" w:rsidRDefault="005E116E" w:rsidP="00956E31">
            <w:pPr>
              <w:spacing w:after="0" w:line="240" w:lineRule="auto"/>
              <w:jc w:val="center"/>
            </w:pPr>
            <w:r>
              <w:t>79</w:t>
            </w:r>
          </w:p>
        </w:tc>
        <w:tc>
          <w:tcPr>
            <w:tcW w:w="0" w:type="auto"/>
          </w:tcPr>
          <w:p w14:paraId="75826388" w14:textId="2CD8925C" w:rsidR="005E116E" w:rsidRPr="007F45DE" w:rsidRDefault="005E116E" w:rsidP="00956E31">
            <w:pPr>
              <w:spacing w:after="0" w:line="240" w:lineRule="auto"/>
              <w:jc w:val="center"/>
            </w:pPr>
            <w:r>
              <w:t>79.1</w:t>
            </w:r>
          </w:p>
        </w:tc>
      </w:tr>
      <w:tr w:rsidR="005E116E" w:rsidRPr="007F45DE" w14:paraId="1F3511FF" w14:textId="2631486D" w:rsidTr="002C0E3A">
        <w:trPr>
          <w:trHeight w:val="298"/>
          <w:jc w:val="center"/>
        </w:trPr>
        <w:tc>
          <w:tcPr>
            <w:tcW w:w="0" w:type="auto"/>
            <w:shd w:val="clear" w:color="auto" w:fill="auto"/>
            <w:noWrap/>
            <w:vAlign w:val="center"/>
            <w:hideMark/>
          </w:tcPr>
          <w:p w14:paraId="6E431978" w14:textId="77777777" w:rsidR="005E116E" w:rsidRPr="007F45DE" w:rsidRDefault="005E116E" w:rsidP="00956E31">
            <w:pPr>
              <w:spacing w:after="0" w:line="240" w:lineRule="auto"/>
              <w:jc w:val="center"/>
              <w:rPr>
                <w:lang w:eastAsia="en-GB"/>
              </w:rPr>
            </w:pPr>
            <w:r w:rsidRPr="007F45DE">
              <w:t>S29 PERSP</w:t>
            </w:r>
          </w:p>
        </w:tc>
        <w:tc>
          <w:tcPr>
            <w:tcW w:w="0" w:type="auto"/>
          </w:tcPr>
          <w:p w14:paraId="49AF9FFC" w14:textId="7EAB5789" w:rsidR="005E116E" w:rsidRPr="007F45DE" w:rsidRDefault="00DE1168" w:rsidP="00956E31">
            <w:pPr>
              <w:spacing w:after="0" w:line="240" w:lineRule="auto"/>
              <w:jc w:val="center"/>
            </w:pPr>
            <w:r>
              <w:t>55.5</w:t>
            </w:r>
          </w:p>
        </w:tc>
        <w:tc>
          <w:tcPr>
            <w:tcW w:w="0" w:type="auto"/>
          </w:tcPr>
          <w:p w14:paraId="4BB4465A" w14:textId="77C79AD3" w:rsidR="005E116E" w:rsidRPr="007F45DE" w:rsidRDefault="00D92F4B" w:rsidP="00956E31">
            <w:pPr>
              <w:spacing w:after="0" w:line="240" w:lineRule="auto"/>
              <w:jc w:val="center"/>
            </w:pPr>
            <w:r>
              <w:t>55.6</w:t>
            </w:r>
          </w:p>
        </w:tc>
      </w:tr>
      <w:tr w:rsidR="005E116E" w:rsidRPr="007F45DE" w14:paraId="6C82D72A" w14:textId="5DFBD2D8" w:rsidTr="002C0E3A">
        <w:trPr>
          <w:trHeight w:val="298"/>
          <w:jc w:val="center"/>
        </w:trPr>
        <w:tc>
          <w:tcPr>
            <w:tcW w:w="0" w:type="auto"/>
            <w:shd w:val="clear" w:color="auto" w:fill="auto"/>
            <w:noWrap/>
            <w:vAlign w:val="center"/>
            <w:hideMark/>
          </w:tcPr>
          <w:p w14:paraId="520031C9" w14:textId="77777777" w:rsidR="005E116E" w:rsidRPr="007F45DE" w:rsidRDefault="005E116E" w:rsidP="00956E31">
            <w:pPr>
              <w:spacing w:after="0" w:line="240" w:lineRule="auto"/>
              <w:jc w:val="center"/>
              <w:rPr>
                <w:lang w:eastAsia="en-GB"/>
              </w:rPr>
            </w:pPr>
            <w:r w:rsidRPr="007F45DE">
              <w:t>S30 PERSP</w:t>
            </w:r>
          </w:p>
        </w:tc>
        <w:tc>
          <w:tcPr>
            <w:tcW w:w="0" w:type="auto"/>
          </w:tcPr>
          <w:p w14:paraId="23FC88AC" w14:textId="08AAEB23" w:rsidR="005E116E" w:rsidRPr="007F45DE" w:rsidRDefault="00C24A75" w:rsidP="00956E31">
            <w:pPr>
              <w:spacing w:after="0" w:line="240" w:lineRule="auto"/>
              <w:jc w:val="center"/>
            </w:pPr>
            <w:r>
              <w:t>63.9</w:t>
            </w:r>
          </w:p>
        </w:tc>
        <w:tc>
          <w:tcPr>
            <w:tcW w:w="0" w:type="auto"/>
          </w:tcPr>
          <w:p w14:paraId="20D494BE" w14:textId="377B3D3F" w:rsidR="005E116E" w:rsidRPr="007F45DE" w:rsidRDefault="00C24A75" w:rsidP="00956E31">
            <w:pPr>
              <w:spacing w:after="0" w:line="240" w:lineRule="auto"/>
              <w:jc w:val="center"/>
            </w:pPr>
            <w:r>
              <w:t>68.1</w:t>
            </w:r>
          </w:p>
        </w:tc>
      </w:tr>
    </w:tbl>
    <w:p w14:paraId="66FD253A" w14:textId="30A59448" w:rsidR="0093262F" w:rsidRPr="007F45DE" w:rsidRDefault="0093262F" w:rsidP="0093262F">
      <w:pPr>
        <w:pStyle w:val="Caption"/>
        <w:spacing w:line="480" w:lineRule="auto"/>
        <w:jc w:val="both"/>
        <w:rPr>
          <w:lang w:val="en-US"/>
        </w:rPr>
      </w:pPr>
      <w:r w:rsidRPr="007F45DE">
        <w:rPr>
          <w:lang w:val="en-US"/>
        </w:rPr>
        <w:t xml:space="preserve">Table </w:t>
      </w:r>
      <w:r>
        <w:rPr>
          <w:lang w:val="en-US"/>
        </w:rPr>
        <w:t>5</w:t>
      </w:r>
      <w:r w:rsidRPr="007F45DE">
        <w:rPr>
          <w:lang w:val="en-US"/>
        </w:rPr>
        <w:t xml:space="preserve">: </w:t>
      </w:r>
      <w:r w:rsidR="009055C0">
        <w:rPr>
          <w:lang w:val="en-US"/>
        </w:rPr>
        <w:t>Comparison between</w:t>
      </w:r>
      <w:r w:rsidR="00E67AA3">
        <w:rPr>
          <w:lang w:val="en-US"/>
        </w:rPr>
        <w:t xml:space="preserve"> experimental and theoretical physicists </w:t>
      </w:r>
      <w:r w:rsidR="004D6479">
        <w:rPr>
          <w:lang w:val="en-US"/>
        </w:rPr>
        <w:t xml:space="preserve">for all </w:t>
      </w:r>
      <w:proofErr w:type="gramStart"/>
      <w:r w:rsidR="004D6479">
        <w:rPr>
          <w:lang w:val="en-US"/>
        </w:rPr>
        <w:t>statements.</w:t>
      </w:r>
      <w:r w:rsidR="00E67AA3">
        <w:rPr>
          <w:lang w:val="en-US"/>
        </w:rPr>
        <w:t>.</w:t>
      </w:r>
      <w:proofErr w:type="gramEnd"/>
      <w:r w:rsidR="00E67AA3" w:rsidRPr="007F45DE">
        <w:rPr>
          <w:lang w:val="en-US"/>
        </w:rPr>
        <w:t xml:space="preserve"> The numbers indicate the mean values of agreement for each </w:t>
      </w:r>
      <w:r w:rsidR="00E67AA3">
        <w:rPr>
          <w:lang w:val="en-US"/>
        </w:rPr>
        <w:t>group</w:t>
      </w:r>
      <w:r w:rsidR="00E67AA3" w:rsidRPr="007F45DE">
        <w:rPr>
          <w:lang w:val="en-US"/>
        </w:rPr>
        <w:t>.</w:t>
      </w:r>
      <w:r w:rsidR="00E67AA3">
        <w:rPr>
          <w:lang w:val="en-US"/>
        </w:rPr>
        <w:t xml:space="preserve"> </w:t>
      </w:r>
      <w:r w:rsidRPr="00040383">
        <w:rPr>
          <w:noProof/>
          <w:lang w:val="en-US"/>
        </w:rPr>
        <w:t xml:space="preserve">In the first column, we abbreviate the tested philosophical position in the following way: </w:t>
      </w:r>
      <w:r>
        <w:rPr>
          <w:noProof/>
          <w:lang w:val="en-US"/>
        </w:rPr>
        <w:t>s</w:t>
      </w:r>
      <w:r w:rsidRPr="00040383">
        <w:rPr>
          <w:noProof/>
          <w:lang w:val="en-US"/>
        </w:rPr>
        <w:t xml:space="preserve">cientific </w:t>
      </w:r>
      <w:r>
        <w:rPr>
          <w:noProof/>
          <w:lang w:val="en-US"/>
        </w:rPr>
        <w:t>r</w:t>
      </w:r>
      <w:r w:rsidRPr="00040383">
        <w:rPr>
          <w:noProof/>
          <w:lang w:val="en-US"/>
        </w:rPr>
        <w:t xml:space="preserve">ealism (REAL), </w:t>
      </w:r>
      <w:r>
        <w:rPr>
          <w:noProof/>
          <w:lang w:val="en-US"/>
        </w:rPr>
        <w:t>e</w:t>
      </w:r>
      <w:r w:rsidRPr="00040383">
        <w:rPr>
          <w:noProof/>
          <w:lang w:val="en-US"/>
        </w:rPr>
        <w:t xml:space="preserve">ntity realism (ER), metaphysical realism (MR), </w:t>
      </w:r>
      <w:r>
        <w:rPr>
          <w:noProof/>
          <w:lang w:val="en-US"/>
        </w:rPr>
        <w:t>i</w:t>
      </w:r>
      <w:r w:rsidRPr="00040383">
        <w:rPr>
          <w:noProof/>
          <w:lang w:val="en-US"/>
        </w:rPr>
        <w:t xml:space="preserve">nternal realism (IR), instrumentalism (INST), </w:t>
      </w:r>
      <w:r>
        <w:rPr>
          <w:noProof/>
          <w:lang w:val="en-US"/>
        </w:rPr>
        <w:t>f</w:t>
      </w:r>
      <w:r w:rsidRPr="00040383">
        <w:rPr>
          <w:noProof/>
          <w:lang w:val="en-US"/>
        </w:rPr>
        <w:t>ictionalism (FICT), constructivism (CONST), perspectivism (PERSP), pluralism (PLUR), and structural realism (STRUC)</w:t>
      </w:r>
      <w:r>
        <w:rPr>
          <w:noProof/>
          <w:lang w:val="en-US"/>
        </w:rPr>
        <w:t>, pessimistic meta-induction (PMI).</w:t>
      </w:r>
    </w:p>
    <w:p w14:paraId="214E5B21" w14:textId="77777777" w:rsidR="00D25469" w:rsidRPr="00D25469" w:rsidRDefault="00D25469" w:rsidP="00D25469">
      <w:pPr>
        <w:autoSpaceDE w:val="0"/>
        <w:spacing w:line="480" w:lineRule="auto"/>
        <w:jc w:val="both"/>
        <w:rPr>
          <w:rFonts w:ascii="Times New Roman" w:hAnsi="Times New Roman" w:cs="Times New Roman"/>
          <w:b/>
        </w:rPr>
      </w:pPr>
    </w:p>
    <w:sectPr w:rsidR="00D25469" w:rsidRPr="00D25469" w:rsidSect="002649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awtDQ0MjU2NbIwMzRW0lEKTi0uzszPAykwrgUAwoS6LSwAAAA="/>
  </w:docVars>
  <w:rsids>
    <w:rsidRoot w:val="003E1B7C"/>
    <w:rsid w:val="00000F5B"/>
    <w:rsid w:val="000E0557"/>
    <w:rsid w:val="0014514D"/>
    <w:rsid w:val="001A3C07"/>
    <w:rsid w:val="00215A1F"/>
    <w:rsid w:val="002464AE"/>
    <w:rsid w:val="00252B4B"/>
    <w:rsid w:val="002649D6"/>
    <w:rsid w:val="002A34AA"/>
    <w:rsid w:val="0034577E"/>
    <w:rsid w:val="00391362"/>
    <w:rsid w:val="00391FA3"/>
    <w:rsid w:val="003E1B7C"/>
    <w:rsid w:val="00406A81"/>
    <w:rsid w:val="00446227"/>
    <w:rsid w:val="004815C6"/>
    <w:rsid w:val="004C7B0B"/>
    <w:rsid w:val="004D6479"/>
    <w:rsid w:val="005E116E"/>
    <w:rsid w:val="00673BED"/>
    <w:rsid w:val="00693BCE"/>
    <w:rsid w:val="00710CEE"/>
    <w:rsid w:val="007D7E72"/>
    <w:rsid w:val="00804062"/>
    <w:rsid w:val="00837686"/>
    <w:rsid w:val="009055C0"/>
    <w:rsid w:val="0093262F"/>
    <w:rsid w:val="00956E31"/>
    <w:rsid w:val="00963C3B"/>
    <w:rsid w:val="009F0424"/>
    <w:rsid w:val="00A027AB"/>
    <w:rsid w:val="00A45A16"/>
    <w:rsid w:val="00A52F71"/>
    <w:rsid w:val="00A66C31"/>
    <w:rsid w:val="00A96E17"/>
    <w:rsid w:val="00B256D0"/>
    <w:rsid w:val="00B3656A"/>
    <w:rsid w:val="00B51B3B"/>
    <w:rsid w:val="00B810B7"/>
    <w:rsid w:val="00B86D07"/>
    <w:rsid w:val="00BA70ED"/>
    <w:rsid w:val="00C24A75"/>
    <w:rsid w:val="00C54BE3"/>
    <w:rsid w:val="00C965A7"/>
    <w:rsid w:val="00D1093F"/>
    <w:rsid w:val="00D25469"/>
    <w:rsid w:val="00D746E1"/>
    <w:rsid w:val="00D92F4B"/>
    <w:rsid w:val="00DE1168"/>
    <w:rsid w:val="00DF3818"/>
    <w:rsid w:val="00E12B96"/>
    <w:rsid w:val="00E33FB9"/>
    <w:rsid w:val="00E67AA3"/>
    <w:rsid w:val="00EA0020"/>
    <w:rsid w:val="00F70381"/>
    <w:rsid w:val="00F9391C"/>
    <w:rsid w:val="00FE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D6"/>
  </w:style>
  <w:style w:type="paragraph" w:styleId="Heading2">
    <w:name w:val="heading 2"/>
    <w:basedOn w:val="Normal"/>
    <w:next w:val="Normal"/>
    <w:link w:val="Heading2Char"/>
    <w:qFormat/>
    <w:rsid w:val="003E1B7C"/>
    <w:pPr>
      <w:keepNext/>
      <w:widowControl w:val="0"/>
      <w:suppressAutoHyphens/>
      <w:spacing w:before="240" w:after="60" w:line="240" w:lineRule="auto"/>
      <w:outlineLvl w:val="1"/>
    </w:pPr>
    <w:rPr>
      <w:rFonts w:ascii="Times New Roman" w:eastAsia="Times New Roman" w:hAnsi="Times New Roman" w:cs="Times New Roman"/>
      <w:b/>
      <w:bCs/>
      <w:i/>
      <w:i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B7C"/>
    <w:pPr>
      <w:spacing w:after="0" w:line="240" w:lineRule="auto"/>
    </w:pPr>
  </w:style>
  <w:style w:type="character" w:customStyle="1" w:styleId="Heading2Char">
    <w:name w:val="Heading 2 Char"/>
    <w:basedOn w:val="DefaultParagraphFont"/>
    <w:link w:val="Heading2"/>
    <w:rsid w:val="003E1B7C"/>
    <w:rPr>
      <w:rFonts w:ascii="Times New Roman" w:eastAsia="Times New Roman" w:hAnsi="Times New Roman" w:cs="Times New Roman"/>
      <w:b/>
      <w:bCs/>
      <w:i/>
      <w:iCs/>
      <w:sz w:val="28"/>
      <w:szCs w:val="28"/>
      <w:lang w:val="de-DE" w:eastAsia="de-DE"/>
    </w:rPr>
  </w:style>
  <w:style w:type="character" w:styleId="CommentReference">
    <w:name w:val="annotation reference"/>
    <w:semiHidden/>
    <w:rsid w:val="003E1B7C"/>
    <w:rPr>
      <w:sz w:val="16"/>
    </w:rPr>
  </w:style>
  <w:style w:type="paragraph" w:styleId="CommentText">
    <w:name w:val="annotation text"/>
    <w:basedOn w:val="Normal"/>
    <w:link w:val="CommentTextChar"/>
    <w:semiHidden/>
    <w:rsid w:val="003E1B7C"/>
    <w:pPr>
      <w:widowControl w:val="0"/>
      <w:suppressAutoHyphens/>
      <w:spacing w:before="40" w:after="40" w:line="240" w:lineRule="auto"/>
    </w:pPr>
    <w:rPr>
      <w:rFonts w:ascii="Times New Roman" w:eastAsia="Times New Roman" w:hAnsi="Times New Roman" w:cs="Times New Roman"/>
      <w:sz w:val="20"/>
      <w:szCs w:val="20"/>
      <w:lang w:val="de-DE" w:eastAsia="de-DE"/>
    </w:rPr>
  </w:style>
  <w:style w:type="character" w:customStyle="1" w:styleId="CommentTextChar">
    <w:name w:val="Comment Text Char"/>
    <w:basedOn w:val="DefaultParagraphFont"/>
    <w:link w:val="CommentText"/>
    <w:semiHidden/>
    <w:rsid w:val="003E1B7C"/>
    <w:rPr>
      <w:rFonts w:ascii="Times New Roman" w:eastAsia="Times New Roman" w:hAnsi="Times New Roman" w:cs="Times New Roman"/>
      <w:sz w:val="20"/>
      <w:szCs w:val="20"/>
      <w:lang w:val="de-DE" w:eastAsia="de-DE"/>
    </w:rPr>
  </w:style>
  <w:style w:type="paragraph" w:styleId="BalloonText">
    <w:name w:val="Balloon Text"/>
    <w:basedOn w:val="Normal"/>
    <w:link w:val="BalloonTextChar"/>
    <w:uiPriority w:val="99"/>
    <w:semiHidden/>
    <w:unhideWhenUsed/>
    <w:rsid w:val="003E1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B7C"/>
    <w:rPr>
      <w:rFonts w:ascii="Tahoma" w:hAnsi="Tahoma" w:cs="Tahoma"/>
      <w:sz w:val="16"/>
      <w:szCs w:val="16"/>
    </w:rPr>
  </w:style>
  <w:style w:type="paragraph" w:styleId="Caption">
    <w:name w:val="caption"/>
    <w:basedOn w:val="Normal"/>
    <w:next w:val="Normal"/>
    <w:uiPriority w:val="35"/>
    <w:unhideWhenUsed/>
    <w:qFormat/>
    <w:rsid w:val="0093262F"/>
    <w:pPr>
      <w:widowControl w:val="0"/>
      <w:suppressAutoHyphens/>
      <w:spacing w:before="40" w:line="240" w:lineRule="auto"/>
    </w:pPr>
    <w:rPr>
      <w:rFonts w:ascii="Times New Roman" w:eastAsia="Times New Roman" w:hAnsi="Times New Roman" w:cs="Times New Roman"/>
      <w:i/>
      <w:iCs/>
      <w:color w:val="1F497D" w:themeColor="text2"/>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19D28-07D4-45B4-9C09-99710213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1051</Words>
  <Characters>5918</Characters>
  <Application>Microsoft Office Word</Application>
  <DocSecurity>0</DocSecurity>
  <Lines>169</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56</cp:revision>
  <dcterms:created xsi:type="dcterms:W3CDTF">2023-10-30T00:25:00Z</dcterms:created>
  <dcterms:modified xsi:type="dcterms:W3CDTF">2023-11-14T21:43:00Z</dcterms:modified>
  <cp:category/>
</cp:coreProperties>
</file>