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DEA55" w14:textId="240DA74A" w:rsidR="00807F6A" w:rsidRDefault="005F350B" w:rsidP="001035CD">
      <w:pPr>
        <w:jc w:val="center"/>
        <w:rPr>
          <w:b/>
          <w:bCs/>
        </w:rPr>
      </w:pPr>
      <w:r>
        <w:rPr>
          <w:b/>
          <w:bCs/>
        </w:rPr>
        <w:t>Creativity and Practical Underdetermination</w:t>
      </w:r>
      <w:r w:rsidR="00B00AC0">
        <w:rPr>
          <w:b/>
          <w:bCs/>
        </w:rPr>
        <w:t>:</w:t>
      </w:r>
      <w:r>
        <w:rPr>
          <w:b/>
          <w:bCs/>
        </w:rPr>
        <w:t xml:space="preserve"> How Experimental Science </w:t>
      </w:r>
      <w:r w:rsidR="00B00AC0">
        <w:rPr>
          <w:b/>
          <w:bCs/>
        </w:rPr>
        <w:t>Step</w:t>
      </w:r>
      <w:r>
        <w:rPr>
          <w:b/>
          <w:bCs/>
        </w:rPr>
        <w:t>s</w:t>
      </w:r>
      <w:r w:rsidR="00B00AC0">
        <w:rPr>
          <w:b/>
          <w:bCs/>
        </w:rPr>
        <w:t xml:space="preserve"> into the Epistemic Adjacent Possible</w:t>
      </w:r>
    </w:p>
    <w:p w14:paraId="26AA9981" w14:textId="6FCE3771" w:rsidR="00113F80" w:rsidRDefault="00113F80" w:rsidP="001035CD">
      <w:pPr>
        <w:jc w:val="center"/>
      </w:pPr>
    </w:p>
    <w:p w14:paraId="2F7C8498" w14:textId="77777777" w:rsidR="000C2FBC" w:rsidRDefault="000C2FBC" w:rsidP="00811192">
      <w:pPr>
        <w:ind w:left="720"/>
        <w:jc w:val="center"/>
      </w:pPr>
    </w:p>
    <w:p w14:paraId="0F1755C5" w14:textId="7ED50065" w:rsidR="000C2FBC" w:rsidRPr="000F456F" w:rsidRDefault="00641C3E" w:rsidP="00747527">
      <w:pPr>
        <w:ind w:left="720"/>
        <w:rPr>
          <w:i/>
          <w:iCs/>
        </w:rPr>
      </w:pPr>
      <w:r w:rsidRPr="00641C3E">
        <w:rPr>
          <w:i/>
          <w:iCs/>
        </w:rPr>
        <w:t>There is a tendency in the philosophy of science to present the scientist as a ghostly being that just has degrees of belief in various descriptive statements, which are adjusted according to some rules of rational thinking (e.g. Bay</w:t>
      </w:r>
      <w:r>
        <w:rPr>
          <w:i/>
          <w:iCs/>
        </w:rPr>
        <w:t>e</w:t>
      </w:r>
      <w:r w:rsidRPr="00641C3E">
        <w:rPr>
          <w:i/>
          <w:iCs/>
        </w:rPr>
        <w:t xml:space="preserve">s’ theorem) . . . </w:t>
      </w:r>
      <w:r w:rsidR="00811192" w:rsidRPr="000F456F">
        <w:rPr>
          <w:i/>
          <w:iCs/>
        </w:rPr>
        <w:t>We need a more serious understanding of scientists as agents,</w:t>
      </w:r>
      <w:r w:rsidR="00747527" w:rsidRPr="000F456F">
        <w:rPr>
          <w:i/>
          <w:iCs/>
        </w:rPr>
        <w:t xml:space="preserve"> </w:t>
      </w:r>
      <w:r w:rsidR="00811192" w:rsidRPr="000F456F">
        <w:rPr>
          <w:i/>
          <w:iCs/>
        </w:rPr>
        <w:t>not as passive receivers of information or algorithmic processors</w:t>
      </w:r>
      <w:r w:rsidR="00747527" w:rsidRPr="000F456F">
        <w:rPr>
          <w:i/>
          <w:iCs/>
        </w:rPr>
        <w:t xml:space="preserve"> </w:t>
      </w:r>
      <w:r w:rsidR="00811192" w:rsidRPr="000F456F">
        <w:rPr>
          <w:i/>
          <w:iCs/>
        </w:rPr>
        <w:t xml:space="preserve">of propositions . . . </w:t>
      </w:r>
    </w:p>
    <w:p w14:paraId="3BED4DBF" w14:textId="3752DB6F" w:rsidR="000C2FBC" w:rsidRDefault="000C2FBC" w:rsidP="00747527">
      <w:pPr>
        <w:ind w:left="720"/>
        <w:rPr>
          <w:i/>
          <w:iCs/>
        </w:rPr>
      </w:pPr>
      <w:r>
        <w:rPr>
          <w:i/>
          <w:iCs/>
        </w:rPr>
        <w:t>--Hasok Chang (2020 p</w:t>
      </w:r>
      <w:r w:rsidR="006B5531">
        <w:rPr>
          <w:i/>
          <w:iCs/>
        </w:rPr>
        <w:t>p</w:t>
      </w:r>
      <w:r>
        <w:rPr>
          <w:i/>
          <w:iCs/>
        </w:rPr>
        <w:t xml:space="preserve">. </w:t>
      </w:r>
      <w:r w:rsidR="00747527">
        <w:rPr>
          <w:i/>
          <w:iCs/>
        </w:rPr>
        <w:t>27-28</w:t>
      </w:r>
      <w:r>
        <w:rPr>
          <w:i/>
          <w:iCs/>
        </w:rPr>
        <w:t>)</w:t>
      </w:r>
    </w:p>
    <w:p w14:paraId="5711700F" w14:textId="0984BF4A" w:rsidR="00B47AA4" w:rsidRPr="00412F66" w:rsidRDefault="00B47AA4" w:rsidP="001630E1"/>
    <w:p w14:paraId="4B426D0F" w14:textId="1BAE127E" w:rsidR="00B47AA4" w:rsidRDefault="00FD330D" w:rsidP="00FD330D">
      <w:pPr>
        <w:ind w:firstLine="720"/>
        <w:rPr>
          <w:b/>
          <w:bCs/>
        </w:rPr>
      </w:pPr>
      <w:r>
        <w:rPr>
          <w:b/>
          <w:bCs/>
        </w:rPr>
        <w:t xml:space="preserve">= = = = = = = = = = = = = </w:t>
      </w:r>
    </w:p>
    <w:p w14:paraId="53DA1DF4" w14:textId="7F833040" w:rsidR="00FD330D" w:rsidRPr="00FD330D" w:rsidRDefault="00FD330D" w:rsidP="00FD330D">
      <w:r>
        <w:rPr>
          <w:b/>
          <w:bCs/>
        </w:rPr>
        <w:t>Acknowledgements:</w:t>
      </w:r>
      <w:r w:rsidRPr="00FD330D">
        <w:t xml:space="preserve"> Thanks to Nancy Cartwright, Chris </w:t>
      </w:r>
      <w:proofErr w:type="spellStart"/>
      <w:r w:rsidRPr="00FD330D">
        <w:t>Eliasmith</w:t>
      </w:r>
      <w:proofErr w:type="spellEnd"/>
      <w:r w:rsidRPr="00FD330D">
        <w:t xml:space="preserve">, Manuel Vargas, Richard </w:t>
      </w:r>
      <w:proofErr w:type="spellStart"/>
      <w:r w:rsidRPr="00FD330D">
        <w:t>Vagnino</w:t>
      </w:r>
      <w:proofErr w:type="spellEnd"/>
      <w:r w:rsidRPr="00FD330D">
        <w:t>, Juan-Carlos Gonzalez,</w:t>
      </w:r>
      <w:r w:rsidR="00BA587E">
        <w:t xml:space="preserve"> Dan </w:t>
      </w:r>
      <w:proofErr w:type="spellStart"/>
      <w:r w:rsidR="00BA587E">
        <w:t>Burnston</w:t>
      </w:r>
      <w:proofErr w:type="spellEnd"/>
      <w:r w:rsidRPr="00FD330D">
        <w:t xml:space="preserve"> and the rest of the attendees at the symposium in honor of William Bechtel’s retirement for helpful discussion on an early version of this material. Thanks to John Bickle and attendees at the 2023 meeting of the Deep South Philosophy and Neuroscience Workgroup in </w:t>
      </w:r>
      <w:proofErr w:type="spellStart"/>
      <w:r w:rsidRPr="00FD330D">
        <w:t>Pensecola</w:t>
      </w:r>
      <w:proofErr w:type="spellEnd"/>
      <w:r w:rsidRPr="00FD330D">
        <w:t>, FL.</w:t>
      </w:r>
      <w:r w:rsidR="00131040">
        <w:t xml:space="preserve"> Daniel Brooks, Stuart Firestein,</w:t>
      </w:r>
      <w:r w:rsidRPr="00FD330D">
        <w:t xml:space="preserve"> Thanks to Doug Erwin for insightful comments on the manuscript. Special thanks to Alok Srivastava for helping me identify the “armature.” Thanks to attendees at the Memphis in Spring II meeting of the Deep South Philosophy and Neuroscience Workgroup, and especially Ken Aizawa for his invite to the Rutgers Seton-Hall philosophy workshop in </w:t>
      </w:r>
      <w:proofErr w:type="gramStart"/>
      <w:r w:rsidRPr="00FD330D">
        <w:t>September,</w:t>
      </w:r>
      <w:proofErr w:type="gramEnd"/>
      <w:r w:rsidRPr="00FD330D">
        <w:t xml:space="preserve"> 2024. Thanks to the</w:t>
      </w:r>
      <w:r>
        <w:t xml:space="preserve"> other</w:t>
      </w:r>
      <w:r w:rsidRPr="00FD330D">
        <w:t xml:space="preserve"> participants of that workshop: Caitlin Mace, Mark Couch, Mark Povich, Ori Hacohen. Special thanks Jim Griesemer, Elihu Gerson, Kelli Barr, Shane Jinson, Peter Hundt, Ed Wilson, and Carol Bromer. And, of course, special thanks to Bill Bechtel</w:t>
      </w:r>
      <w:r>
        <w:t xml:space="preserve"> to whom this paper is dedicated</w:t>
      </w:r>
      <w:r w:rsidRPr="00FD330D">
        <w:t>.</w:t>
      </w:r>
    </w:p>
    <w:p w14:paraId="2B80DF39" w14:textId="3F8EFB21" w:rsidR="00FD330D" w:rsidRDefault="00FD330D" w:rsidP="00FD330D">
      <w:pPr>
        <w:ind w:firstLine="720"/>
        <w:rPr>
          <w:b/>
          <w:bCs/>
        </w:rPr>
      </w:pPr>
      <w:r>
        <w:rPr>
          <w:b/>
          <w:bCs/>
        </w:rPr>
        <w:t>= = = = = = = = = = = = =</w:t>
      </w:r>
    </w:p>
    <w:p w14:paraId="599A5E87" w14:textId="0A76A157" w:rsidR="00B47AA4" w:rsidRDefault="00B47AA4" w:rsidP="00412F66">
      <w:pPr>
        <w:ind w:firstLine="720"/>
        <w:jc w:val="center"/>
        <w:rPr>
          <w:b/>
          <w:bCs/>
        </w:rPr>
      </w:pPr>
    </w:p>
    <w:p w14:paraId="14A92D91" w14:textId="77777777" w:rsidR="00B47AA4" w:rsidRDefault="00B47AA4" w:rsidP="00811192">
      <w:pPr>
        <w:ind w:firstLine="720"/>
        <w:jc w:val="center"/>
        <w:rPr>
          <w:b/>
          <w:bCs/>
        </w:rPr>
      </w:pPr>
    </w:p>
    <w:p w14:paraId="77BB95E5" w14:textId="5ECDB517" w:rsidR="00811192" w:rsidRPr="00811192" w:rsidRDefault="00811192" w:rsidP="00811192">
      <w:pPr>
        <w:ind w:firstLine="720"/>
        <w:jc w:val="center"/>
        <w:rPr>
          <w:b/>
          <w:bCs/>
        </w:rPr>
      </w:pPr>
      <w:r w:rsidRPr="00811192">
        <w:rPr>
          <w:b/>
          <w:bCs/>
        </w:rPr>
        <w:t>Introduction</w:t>
      </w:r>
    </w:p>
    <w:p w14:paraId="2D02AE33" w14:textId="77777777" w:rsidR="00811192" w:rsidRDefault="00811192" w:rsidP="000C2FBC">
      <w:pPr>
        <w:ind w:firstLine="720"/>
      </w:pPr>
    </w:p>
    <w:p w14:paraId="0AA469A9" w14:textId="275447A6" w:rsidR="00095387" w:rsidRDefault="00747527" w:rsidP="00211AED">
      <w:pPr>
        <w:ind w:firstLine="720"/>
      </w:pPr>
      <w:r>
        <w:t xml:space="preserve">Humans can use artifacts for purposes other than those </w:t>
      </w:r>
      <w:r w:rsidR="006B5531">
        <w:t>to which they are</w:t>
      </w:r>
      <w:r w:rsidR="001D7FC4">
        <w:t xml:space="preserve"> conventionally</w:t>
      </w:r>
      <w:r w:rsidR="006B5531">
        <w:t xml:space="preserve"> put</w:t>
      </w:r>
      <w:r>
        <w:t xml:space="preserve">. This is a </w:t>
      </w:r>
      <w:r w:rsidR="00C51629">
        <w:t>banal</w:t>
      </w:r>
      <w:r>
        <w:t xml:space="preserve"> fact. Colonel Mustard need be no creative genius to recognize that candlesticks aren’t </w:t>
      </w:r>
      <w:r>
        <w:rPr>
          <w:i/>
          <w:iCs/>
        </w:rPr>
        <w:t xml:space="preserve">just </w:t>
      </w:r>
      <w:r>
        <w:t>for holding candles. But he does need to be</w:t>
      </w:r>
      <w:r w:rsidR="00227B2A">
        <w:t xml:space="preserve"> </w:t>
      </w:r>
      <w:r>
        <w:t xml:space="preserve">minimally </w:t>
      </w:r>
      <w:r>
        <w:rPr>
          <w:i/>
          <w:iCs/>
        </w:rPr>
        <w:t>creative</w:t>
      </w:r>
      <w:r>
        <w:t xml:space="preserve">—at least in the sense of the word that I </w:t>
      </w:r>
      <w:r w:rsidR="00553141">
        <w:t>intend</w:t>
      </w:r>
      <w:r>
        <w:t xml:space="preserve"> </w:t>
      </w:r>
      <w:r w:rsidR="00B515FA">
        <w:t>here</w:t>
      </w:r>
      <w:r>
        <w:t>.</w:t>
      </w:r>
      <w:r w:rsidR="00B07308">
        <w:t xml:space="preserve"> </w:t>
      </w:r>
      <w:r w:rsidR="00B7301E">
        <w:t>The purpose of this paper is to offer some insight into this form of creativity and</w:t>
      </w:r>
      <w:r w:rsidR="00E23441">
        <w:t>, more importantly,</w:t>
      </w:r>
      <w:r w:rsidR="00673E4C">
        <w:t xml:space="preserve"> to locate </w:t>
      </w:r>
      <w:r w:rsidR="00B7301E">
        <w:t>its</w:t>
      </w:r>
      <w:r w:rsidR="00673E4C">
        <w:t xml:space="preserve"> exer</w:t>
      </w:r>
      <w:r w:rsidR="00B7301E">
        <w:t>cise</w:t>
      </w:r>
      <w:r w:rsidR="00673E4C">
        <w:t xml:space="preserve"> within </w:t>
      </w:r>
      <w:r w:rsidR="00095387">
        <w:t>experimental practice in science. I claim it is operant in the means by which researchers</w:t>
      </w:r>
      <w:r w:rsidR="004271CE">
        <w:t xml:space="preserve"> </w:t>
      </w:r>
      <w:r w:rsidR="00CD646E">
        <w:t>co</w:t>
      </w:r>
      <w:r w:rsidR="005F350B">
        <w:t>pe with</w:t>
      </w:r>
      <w:r w:rsidR="00F9192C">
        <w:t xml:space="preserve"> what philosophers of science have called problems of </w:t>
      </w:r>
      <w:r w:rsidR="00E23441">
        <w:t>“</w:t>
      </w:r>
      <w:r w:rsidR="00F9192C">
        <w:t>practical</w:t>
      </w:r>
      <w:r w:rsidR="00E23441">
        <w:t>” (or sometimes “transient”)</w:t>
      </w:r>
      <w:r w:rsidR="00F9192C">
        <w:t xml:space="preserve"> underdetermination. </w:t>
      </w:r>
    </w:p>
    <w:p w14:paraId="403EC44F" w14:textId="7BB48A7D" w:rsidR="0000786A" w:rsidRDefault="004E3E3C" w:rsidP="00807085">
      <w:pPr>
        <w:ind w:firstLine="720"/>
      </w:pPr>
      <w:r>
        <w:t xml:space="preserve">In contrast with </w:t>
      </w:r>
      <w:r w:rsidR="00DA3335">
        <w:t>“permanent</w:t>
      </w:r>
      <w:r w:rsidR="002F6BBF">
        <w:t xml:space="preserve"> underdetermination</w:t>
      </w:r>
      <w:r w:rsidR="00DA3335">
        <w:t>”</w:t>
      </w:r>
      <w:r w:rsidR="00A83AA1">
        <w:t xml:space="preserve"> embodied in the various</w:t>
      </w:r>
      <w:r w:rsidR="00D16B58">
        <w:t xml:space="preserve"> thes</w:t>
      </w:r>
      <w:r w:rsidR="00A83AA1">
        <w:t>e</w:t>
      </w:r>
      <w:r w:rsidR="00D16B58">
        <w:t>s</w:t>
      </w:r>
      <w:r w:rsidR="002F6BBF">
        <w:t xml:space="preserve"> </w:t>
      </w:r>
      <w:r w:rsidR="002314C0">
        <w:t>to which</w:t>
      </w:r>
      <w:r w:rsidR="002F6BBF">
        <w:t xml:space="preserve"> philosophers </w:t>
      </w:r>
      <w:r w:rsidR="002314C0">
        <w:t>appeal in problematizing realist interpretations of our best scientific theories, practical underdetermination</w:t>
      </w:r>
      <w:r w:rsidR="00CC28BC">
        <w:t xml:space="preserve"> is</w:t>
      </w:r>
      <w:r w:rsidR="00B0232B">
        <w:t>, according to some,</w:t>
      </w:r>
      <w:r w:rsidR="00CC28BC">
        <w:t xml:space="preserve"> “familiar</w:t>
      </w:r>
      <w:r w:rsidR="006A79D3">
        <w:t>,</w:t>
      </w:r>
      <w:r w:rsidR="00CC28BC">
        <w:t>”</w:t>
      </w:r>
      <w:r w:rsidR="006A79D3">
        <w:t xml:space="preserve"> “routine,”</w:t>
      </w:r>
      <w:r w:rsidR="00CC28BC">
        <w:t xml:space="preserve"> and epistemologically “non-threatening” (Kitcher 20</w:t>
      </w:r>
      <w:r w:rsidR="001D7FC4">
        <w:t>01</w:t>
      </w:r>
      <w:r w:rsidR="00CC28BC">
        <w:t>).</w:t>
      </w:r>
      <w:r w:rsidR="00660922">
        <w:rPr>
          <w:rStyle w:val="FootnoteReference"/>
        </w:rPr>
        <w:footnoteReference w:id="1"/>
      </w:r>
      <w:r w:rsidR="00202268">
        <w:t xml:space="preserve"> Permanent underdetermination i</w:t>
      </w:r>
      <w:r w:rsidR="00227B2A">
        <w:t>mplies the</w:t>
      </w:r>
      <w:r w:rsidR="00B8728C">
        <w:t xml:space="preserve"> threat that, for any </w:t>
      </w:r>
      <w:r w:rsidR="00B8728C">
        <w:lastRenderedPageBreak/>
        <w:t>scientific theory, there are</w:t>
      </w:r>
      <w:r w:rsidR="0020171E">
        <w:t xml:space="preserve"> (now or in the future)</w:t>
      </w:r>
      <w:r w:rsidR="00B8728C">
        <w:t xml:space="preserve"> empirically equivalent theories </w:t>
      </w:r>
      <w:r w:rsidR="00451834">
        <w:t>that</w:t>
      </w:r>
      <w:r w:rsidR="00524749">
        <w:t xml:space="preserve"> scientist</w:t>
      </w:r>
      <w:r w:rsidR="00C42B64">
        <w:t>s</w:t>
      </w:r>
      <w:r w:rsidR="00524749">
        <w:t xml:space="preserve"> would be as wel</w:t>
      </w:r>
      <w:r w:rsidR="00F00ECC">
        <w:t xml:space="preserve">l </w:t>
      </w:r>
      <w:r w:rsidR="00524749">
        <w:t>justified</w:t>
      </w:r>
      <w:r w:rsidR="00CC28BC">
        <w:t xml:space="preserve"> </w:t>
      </w:r>
      <w:r w:rsidR="00524749">
        <w:t>in believing as</w:t>
      </w:r>
      <w:r w:rsidR="00826FE1">
        <w:t xml:space="preserve"> they are in believing</w:t>
      </w:r>
      <w:r w:rsidR="00524749">
        <w:t xml:space="preserve"> the theories they in fact do.</w:t>
      </w:r>
      <w:r w:rsidR="00227B2A">
        <w:t xml:space="preserve"> For many philosophers, this raises</w:t>
      </w:r>
      <w:r w:rsidR="006A79D3">
        <w:t xml:space="preserve"> serious</w:t>
      </w:r>
      <w:r w:rsidR="00227B2A">
        <w:t xml:space="preserve"> skeptical concerns</w:t>
      </w:r>
      <w:r w:rsidR="00A13777">
        <w:t xml:space="preserve"> and hence has been</w:t>
      </w:r>
      <w:r w:rsidR="005B66E7">
        <w:t xml:space="preserve"> </w:t>
      </w:r>
      <w:r w:rsidR="001D7FC4">
        <w:t>a</w:t>
      </w:r>
      <w:r w:rsidR="005B66E7">
        <w:t xml:space="preserve"> </w:t>
      </w:r>
      <w:r w:rsidR="006A79D3">
        <w:t xml:space="preserve">primary </w:t>
      </w:r>
      <w:r w:rsidR="005B66E7">
        <w:t xml:space="preserve">focus of philosophical </w:t>
      </w:r>
      <w:r w:rsidR="00C24962">
        <w:t>discussion</w:t>
      </w:r>
      <w:r w:rsidR="006A79D3">
        <w:t>.</w:t>
      </w:r>
      <w:r w:rsidR="00F92E30">
        <w:t xml:space="preserve"> </w:t>
      </w:r>
      <w:r w:rsidR="00266C95">
        <w:t>On the other hand, some philosophers have argued that</w:t>
      </w:r>
      <w:r w:rsidR="00BA5923">
        <w:t xml:space="preserve"> </w:t>
      </w:r>
      <w:r w:rsidR="00807085">
        <w:t>practical underdetermination</w:t>
      </w:r>
      <w:r w:rsidR="003136D9">
        <w:t xml:space="preserve">, </w:t>
      </w:r>
      <w:r w:rsidR="006A79D3">
        <w:t>the</w:t>
      </w:r>
      <w:r w:rsidR="00266C95">
        <w:t xml:space="preserve"> mere</w:t>
      </w:r>
      <w:r w:rsidR="006A79D3">
        <w:t xml:space="preserve"> “routine” fact that in work-a-day science researchers at a given time might have a number of hypotheses between which their evidence cannot adjudicate</w:t>
      </w:r>
      <w:r w:rsidR="003136D9">
        <w:t>,</w:t>
      </w:r>
      <w:r w:rsidR="0079552A">
        <w:t xml:space="preserve"> </w:t>
      </w:r>
      <w:r w:rsidR="00E94FA9">
        <w:t>warrants</w:t>
      </w:r>
      <w:r w:rsidR="003F6242">
        <w:t xml:space="preserve"> at best</w:t>
      </w:r>
      <w:r w:rsidR="00846C55">
        <w:t>,</w:t>
      </w:r>
      <w:r w:rsidR="00807085">
        <w:t xml:space="preserve"> short philosophical shrift</w:t>
      </w:r>
      <w:r w:rsidR="00D31DE1">
        <w:t>.</w:t>
      </w:r>
      <w:r w:rsidR="00444427" w:rsidRPr="00444427">
        <w:rPr>
          <w:rStyle w:val="FootnoteReference"/>
        </w:rPr>
        <w:t xml:space="preserve"> </w:t>
      </w:r>
    </w:p>
    <w:p w14:paraId="4FD89150" w14:textId="07D5CD3B" w:rsidR="00EF677E" w:rsidRDefault="00B515FA" w:rsidP="00517AB3">
      <w:pPr>
        <w:ind w:firstLine="720"/>
      </w:pPr>
      <w:r>
        <w:t>I am certainly not the first to d</w:t>
      </w:r>
      <w:r w:rsidR="005F350B">
        <w:t>isagree</w:t>
      </w:r>
      <w:r w:rsidR="00CA20BB">
        <w:t xml:space="preserve"> with that assessment</w:t>
      </w:r>
      <w:r w:rsidR="00842392">
        <w:t xml:space="preserve"> </w:t>
      </w:r>
      <w:r w:rsidR="00842392" w:rsidRPr="00842392">
        <w:t>(Biddle 2013, Brown 2013, Elliott 2011, Intemann 2005)</w:t>
      </w:r>
      <w:r>
        <w:t>.</w:t>
      </w:r>
      <w:r w:rsidR="003F1E02">
        <w:t xml:space="preserve"> Helen Longino</w:t>
      </w:r>
      <w:r w:rsidR="00482E4F">
        <w:t xml:space="preserve"> (1990; 2016),</w:t>
      </w:r>
      <w:r w:rsidR="00996A4C">
        <w:t xml:space="preserve"> to give a </w:t>
      </w:r>
      <w:r w:rsidR="002616F9">
        <w:t>particularly</w:t>
      </w:r>
      <w:r w:rsidR="00996A4C">
        <w:t xml:space="preserve"> influential example,</w:t>
      </w:r>
      <w:r w:rsidR="003F1E02">
        <w:t xml:space="preserve"> has argued that practical underdetermination is the primary form with which philosophers ought to be concerned.</w:t>
      </w:r>
      <w:r w:rsidR="003136D9">
        <w:t xml:space="preserve"> </w:t>
      </w:r>
      <w:r w:rsidR="007F61EB">
        <w:t>P</w:t>
      </w:r>
      <w:r w:rsidR="003136D9">
        <w:t>ermanent</w:t>
      </w:r>
      <w:r w:rsidR="003F1E02">
        <w:t xml:space="preserve"> underdetermination</w:t>
      </w:r>
      <w:r w:rsidR="0077609D">
        <w:t>,</w:t>
      </w:r>
      <w:r w:rsidR="007F61EB">
        <w:t xml:space="preserve"> she </w:t>
      </w:r>
      <w:r w:rsidR="00E92616">
        <w:t>suggests</w:t>
      </w:r>
      <w:r w:rsidR="007F61EB">
        <w:t>,</w:t>
      </w:r>
      <w:r w:rsidR="0077609D">
        <w:t xml:space="preserve"> is</w:t>
      </w:r>
      <w:r w:rsidR="00E92616">
        <w:t xml:space="preserve"> overly</w:t>
      </w:r>
      <w:r w:rsidR="0077609D">
        <w:t xml:space="preserve"> tied up with </w:t>
      </w:r>
      <w:r w:rsidR="00E92616">
        <w:t xml:space="preserve">purely </w:t>
      </w:r>
      <w:r w:rsidR="00214469">
        <w:t>philosophical</w:t>
      </w:r>
      <w:r w:rsidR="0077609D">
        <w:t xml:space="preserve"> concerns about realism and the authority of science</w:t>
      </w:r>
      <w:r w:rsidR="000D39F6">
        <w:t>. P</w:t>
      </w:r>
      <w:r w:rsidR="003136D9">
        <w:t>ractical</w:t>
      </w:r>
      <w:r w:rsidR="00C13CD0">
        <w:t xml:space="preserve"> underdetermination</w:t>
      </w:r>
      <w:r w:rsidR="000D39F6">
        <w:t>, in contrast,</w:t>
      </w:r>
      <w:r w:rsidR="00704350">
        <w:t xml:space="preserve"> </w:t>
      </w:r>
      <w:r w:rsidR="003136D9">
        <w:t>represent</w:t>
      </w:r>
      <w:r w:rsidR="00644D22">
        <w:t>s</w:t>
      </w:r>
      <w:r w:rsidR="003136D9">
        <w:t xml:space="preserve"> a “genuine feature of scientific inquiry</w:t>
      </w:r>
      <w:r w:rsidR="000D39F6">
        <w:t>” that</w:t>
      </w:r>
      <w:r w:rsidR="00704350">
        <w:t xml:space="preserve"> concern</w:t>
      </w:r>
      <w:r w:rsidR="000D39F6">
        <w:t>s the means by which</w:t>
      </w:r>
      <w:r w:rsidR="009B5E85">
        <w:t xml:space="preserve"> actual</w:t>
      </w:r>
      <w:r w:rsidR="00704350">
        <w:t xml:space="preserve"> </w:t>
      </w:r>
      <w:r w:rsidR="00FB2A8E">
        <w:t>scientists</w:t>
      </w:r>
      <w:r w:rsidR="0023001E">
        <w:t>’</w:t>
      </w:r>
      <w:r w:rsidR="00704350">
        <w:t xml:space="preserve"> “fix evidential relevance and evaluat</w:t>
      </w:r>
      <w:r w:rsidR="000D39F6">
        <w:t>e</w:t>
      </w:r>
      <w:r w:rsidR="00704350">
        <w:t xml:space="preserve"> the background assumptions that facilitate such fixing”</w:t>
      </w:r>
      <w:r w:rsidR="003136D9">
        <w:t xml:space="preserve"> </w:t>
      </w:r>
      <w:r w:rsidR="00996A4C">
        <w:t>(Longino 2016).</w:t>
      </w:r>
      <w:r w:rsidR="000D39F6">
        <w:t xml:space="preserve"> </w:t>
      </w:r>
      <w:r w:rsidR="00266C95">
        <w:t xml:space="preserve">A key aspect of </w:t>
      </w:r>
      <w:r w:rsidR="000D39F6">
        <w:t>her view</w:t>
      </w:r>
      <w:r w:rsidR="00266C95">
        <w:t xml:space="preserve"> is that</w:t>
      </w:r>
      <w:r w:rsidR="00996A4C">
        <w:t xml:space="preserve"> </w:t>
      </w:r>
      <w:r w:rsidR="00266C95">
        <w:t>fixing evidential relevance</w:t>
      </w:r>
      <w:r w:rsidR="00996A4C">
        <w:t xml:space="preserve"> requires taking on board, wittingly or otherwise, </w:t>
      </w:r>
      <w:r w:rsidR="00593115">
        <w:t xml:space="preserve">potentially value-laden </w:t>
      </w:r>
      <w:r w:rsidR="00996A4C">
        <w:t>background assumptions that mediate the evidential relations between data and hypothes</w:t>
      </w:r>
      <w:r w:rsidR="0018138B">
        <w:t>e</w:t>
      </w:r>
      <w:r w:rsidR="00996A4C">
        <w:t>s.</w:t>
      </w:r>
      <w:r w:rsidR="00EF677E">
        <w:t xml:space="preserve"> </w:t>
      </w:r>
      <w:r w:rsidR="00325131">
        <w:t>This is how non-epistemic values get smuggled into the context of justification.</w:t>
      </w:r>
    </w:p>
    <w:p w14:paraId="4B46A5EE" w14:textId="0A07D971" w:rsidR="00F25ABF" w:rsidRDefault="00F25ABF" w:rsidP="00F25ABF">
      <w:pPr>
        <w:ind w:firstLine="720"/>
      </w:pPr>
      <w:r>
        <w:t xml:space="preserve">Many writing on values in science have followed suit and, with Longino, construe background assumptions as vehicles through which non-epistemic or “contextual” values enter into scientific reasoning and practice (see Biddle 2013 for a summary). Indeed, along with related considerations of “inductive risk,” philosophical reflection on how scientists cope with practical underdetermination </w:t>
      </w:r>
      <w:r w:rsidR="006D020E">
        <w:t xml:space="preserve">has </w:t>
      </w:r>
      <w:r>
        <w:t>led</w:t>
      </w:r>
      <w:r w:rsidR="006D020E">
        <w:t xml:space="preserve"> philosophers to identify significant</w:t>
      </w:r>
      <w:r>
        <w:t xml:space="preserve"> consequences for our understanding of scientific rationality (Douglas 200</w:t>
      </w:r>
      <w:r w:rsidR="006D020E">
        <w:t>0</w:t>
      </w:r>
      <w:r>
        <w:t xml:space="preserve">). As Holman and </w:t>
      </w:r>
      <w:proofErr w:type="spellStart"/>
      <w:r>
        <w:t>Wilholt</w:t>
      </w:r>
      <w:proofErr w:type="spellEnd"/>
      <w:r>
        <w:t xml:space="preserve"> (2022) state, there is “now a general consensus amongst philosophers . . . that values necessarily play a role in core areas of scientific inquiry.” </w:t>
      </w:r>
      <w:r w:rsidR="000D39F6">
        <w:t>So much for practical underdetermination being philosophically uninteresting.</w:t>
      </w:r>
    </w:p>
    <w:p w14:paraId="4C480AE5" w14:textId="5D6125E7" w:rsidR="00842392" w:rsidRDefault="00215F29" w:rsidP="00215F29">
      <w:pPr>
        <w:ind w:firstLine="720"/>
      </w:pPr>
      <w:r>
        <w:t xml:space="preserve">In </w:t>
      </w:r>
      <w:r w:rsidR="00266C95">
        <w:t>the</w:t>
      </w:r>
      <w:r w:rsidR="001D3950">
        <w:t xml:space="preserve"> analysis of practical underdetermination problems</w:t>
      </w:r>
      <w:r w:rsidR="00266C95">
        <w:t xml:space="preserve"> I develop here</w:t>
      </w:r>
      <w:r>
        <w:t xml:space="preserve">, </w:t>
      </w:r>
      <w:r w:rsidR="00842392">
        <w:t xml:space="preserve">I </w:t>
      </w:r>
      <w:r w:rsidR="0015437B">
        <w:t xml:space="preserve">also </w:t>
      </w:r>
      <w:r w:rsidR="00842392">
        <w:t>follow Longino in highlighting the role of background assumptions (or “empirical criteria”</w:t>
      </w:r>
      <w:r w:rsidR="00381807">
        <w:t xml:space="preserve"> as I call them</w:t>
      </w:r>
      <w:r w:rsidR="00842392">
        <w:t>)</w:t>
      </w:r>
      <w:r w:rsidR="0077609D">
        <w:t xml:space="preserve"> in mediating inferences from data to hypothes</w:t>
      </w:r>
      <w:r w:rsidR="000D39F6">
        <w:t>i</w:t>
      </w:r>
      <w:r w:rsidR="0077609D">
        <w:t>s</w:t>
      </w:r>
      <w:r w:rsidR="00842392">
        <w:t>. However, rather th</w:t>
      </w:r>
      <w:r w:rsidR="0077609D">
        <w:t>an focusing on their</w:t>
      </w:r>
      <w:r w:rsidR="00794F0D">
        <w:t xml:space="preserve"> role</w:t>
      </w:r>
      <w:r w:rsidR="0077609D">
        <w:t xml:space="preserve"> as</w:t>
      </w:r>
      <w:r w:rsidR="00842392">
        <w:t xml:space="preserve"> vehicles for values</w:t>
      </w:r>
      <w:r w:rsidR="0077609D">
        <w:t xml:space="preserve"> in science</w:t>
      </w:r>
      <w:r w:rsidR="00842392">
        <w:t xml:space="preserve">, </w:t>
      </w:r>
      <w:r w:rsidR="00794F0D">
        <w:t>this paper seeks to</w:t>
      </w:r>
      <w:r w:rsidR="00842392">
        <w:t xml:space="preserve"> understand</w:t>
      </w:r>
      <w:r w:rsidR="0077609D">
        <w:t xml:space="preserve"> the</w:t>
      </w:r>
      <w:r w:rsidR="00794F0D">
        <w:t>m</w:t>
      </w:r>
      <w:r>
        <w:t xml:space="preserve"> from</w:t>
      </w:r>
      <w:r w:rsidR="00794F0D">
        <w:t xml:space="preserve"> </w:t>
      </w:r>
      <w:r>
        <w:t>a</w:t>
      </w:r>
      <w:r w:rsidR="00794F0D">
        <w:t xml:space="preserve"> point of view</w:t>
      </w:r>
      <w:r>
        <w:t xml:space="preserve"> concerned with</w:t>
      </w:r>
      <w:r w:rsidR="00794F0D">
        <w:t xml:space="preserve"> of the </w:t>
      </w:r>
      <w:r w:rsidR="00794F0D" w:rsidRPr="00215F29">
        <w:rPr>
          <w:i/>
          <w:iCs/>
        </w:rPr>
        <w:t>development</w:t>
      </w:r>
      <w:r w:rsidR="00794F0D">
        <w:t xml:space="preserve"> of</w:t>
      </w:r>
      <w:r w:rsidR="0077609D">
        <w:t xml:space="preserve"> scienc</w:t>
      </w:r>
      <w:r>
        <w:t>e.</w:t>
      </w:r>
      <w:r w:rsidR="00C6641F">
        <w:rPr>
          <w:rStyle w:val="FootnoteReference"/>
        </w:rPr>
        <w:footnoteReference w:id="2"/>
      </w:r>
      <w:r w:rsidR="0077609D">
        <w:t xml:space="preserve"> More specifically,</w:t>
      </w:r>
      <w:r w:rsidR="00842392">
        <w:t xml:space="preserve"> </w:t>
      </w:r>
      <w:r w:rsidR="00991959">
        <w:t xml:space="preserve">in the context of </w:t>
      </w:r>
      <w:r w:rsidR="00A01746">
        <w:t>the analysis I develop here</w:t>
      </w:r>
      <w:r w:rsidR="00991959">
        <w:t>, they represent</w:t>
      </w:r>
      <w:r w:rsidR="00794F0D">
        <w:t xml:space="preserve"> indices </w:t>
      </w:r>
      <w:r w:rsidR="000D39F6">
        <w:t>for</w:t>
      </w:r>
      <w:r w:rsidR="00794F0D">
        <w:t xml:space="preserve"> the operation of</w:t>
      </w:r>
      <w:r w:rsidR="00842392">
        <w:t xml:space="preserve"> </w:t>
      </w:r>
      <w:r w:rsidR="00794F0D">
        <w:t xml:space="preserve">a characteristically </w:t>
      </w:r>
      <w:r w:rsidR="00842392" w:rsidRPr="00F462E9">
        <w:rPr>
          <w:i/>
          <w:iCs/>
        </w:rPr>
        <w:t>creative</w:t>
      </w:r>
      <w:r w:rsidR="00794F0D">
        <w:t xml:space="preserve"> form of human</w:t>
      </w:r>
      <w:r w:rsidR="00842392">
        <w:t xml:space="preserve"> epistemic agency</w:t>
      </w:r>
      <w:r w:rsidR="00321CC8">
        <w:t>, one</w:t>
      </w:r>
      <w:r w:rsidR="00794F0D">
        <w:t xml:space="preserve"> that </w:t>
      </w:r>
      <w:r w:rsidR="00652D5D">
        <w:t>explains how</w:t>
      </w:r>
      <w:r w:rsidR="00BC0E0F">
        <w:t xml:space="preserve"> experimental practice in science</w:t>
      </w:r>
      <w:r w:rsidR="00652D5D">
        <w:t xml:space="preserve"> can develop</w:t>
      </w:r>
      <w:r w:rsidR="00BC0E0F">
        <w:t xml:space="preserve"> in genuinely novel or, as Stuart Kauffman (2019) would say, “</w:t>
      </w:r>
      <w:proofErr w:type="spellStart"/>
      <w:r w:rsidR="00BC0E0F">
        <w:t>unprestatable</w:t>
      </w:r>
      <w:proofErr w:type="spellEnd"/>
      <w:r w:rsidR="00FA6955">
        <w:t>” ways.</w:t>
      </w:r>
      <w:r w:rsidR="00842392">
        <w:t xml:space="preserve"> </w:t>
      </w:r>
    </w:p>
    <w:p w14:paraId="222FD809" w14:textId="0FCFC3D8" w:rsidR="00017DBA" w:rsidRDefault="00794F0D" w:rsidP="00BB5B26">
      <w:pPr>
        <w:ind w:firstLine="720"/>
      </w:pPr>
      <w:r>
        <w:t xml:space="preserve">In </w:t>
      </w:r>
      <w:r w:rsidR="00FA6955">
        <w:t xml:space="preserve">developing </w:t>
      </w:r>
      <w:r w:rsidR="001D3950">
        <w:t>the</w:t>
      </w:r>
      <w:r w:rsidR="00FA6955">
        <w:t xml:space="preserve"> analysis</w:t>
      </w:r>
      <w:r>
        <w:t xml:space="preserve">, I </w:t>
      </w:r>
      <w:r w:rsidR="000D39F6">
        <w:t>aim</w:t>
      </w:r>
      <w:r>
        <w:t xml:space="preserve"> to offer a partial answer to Hasok Chang’s (202</w:t>
      </w:r>
      <w:r w:rsidR="008B2BCA">
        <w:t>2</w:t>
      </w:r>
      <w:r>
        <w:t xml:space="preserve">) call to pursue a </w:t>
      </w:r>
      <w:r w:rsidR="00D43BAB">
        <w:t>“</w:t>
      </w:r>
      <w:r w:rsidR="00D43BAB" w:rsidRPr="007A52AF">
        <w:t>a more serious understanding of scientists as agents,</w:t>
      </w:r>
      <w:r w:rsidR="00215F29">
        <w:t>”</w:t>
      </w:r>
      <w:r w:rsidR="00D43BAB" w:rsidRPr="007A52AF">
        <w:t xml:space="preserve"> not as </w:t>
      </w:r>
      <w:r w:rsidR="00D84193">
        <w:t>“</w:t>
      </w:r>
      <w:r w:rsidR="00D43BAB" w:rsidRPr="007A52AF">
        <w:t>passive receivers of information or algorithmic processors of propositions</w:t>
      </w:r>
      <w:r>
        <w:t>.</w:t>
      </w:r>
      <w:r w:rsidR="00D43BAB">
        <w:t>”</w:t>
      </w:r>
      <w:r>
        <w:t xml:space="preserve"> </w:t>
      </w:r>
      <w:r w:rsidR="00902072">
        <w:t>I am motivated</w:t>
      </w:r>
      <w:r w:rsidR="00441447">
        <w:t>, in part,</w:t>
      </w:r>
      <w:r w:rsidR="00902072">
        <w:t xml:space="preserve"> by </w:t>
      </w:r>
      <w:r w:rsidR="00441447">
        <w:t>his</w:t>
      </w:r>
      <w:r w:rsidR="00902072">
        <w:t xml:space="preserve"> comment that “there is</w:t>
      </w:r>
      <w:r w:rsidR="00902072" w:rsidRPr="00261A67">
        <w:t xml:space="preserve"> a tendency in the philosophy of science to present the scientist as a ghostly being </w:t>
      </w:r>
      <w:r w:rsidR="00902072" w:rsidRPr="00261A67">
        <w:lastRenderedPageBreak/>
        <w:t>that just has degrees of belief in various descriptive statements, which are adjusted according to some rules of rational thinking (e.g. Bayes’ theorem)</w:t>
      </w:r>
      <w:r w:rsidR="00902072">
        <w:t>.”</w:t>
      </w:r>
      <w:r w:rsidR="002616F9">
        <w:t xml:space="preserve"> </w:t>
      </w:r>
      <w:r w:rsidR="00606E10">
        <w:t xml:space="preserve">Though my priorities in this paper do not permit me to argue for </w:t>
      </w:r>
      <w:r w:rsidR="001959A2">
        <w:t>the claim</w:t>
      </w:r>
      <w:r w:rsidR="00CB68BD">
        <w:t xml:space="preserve"> at length, </w:t>
      </w:r>
      <w:r w:rsidR="00F1475F">
        <w:t>I</w:t>
      </w:r>
      <w:r w:rsidR="006924A2">
        <w:t xml:space="preserve"> want to</w:t>
      </w:r>
      <w:r w:rsidR="0015437B">
        <w:t xml:space="preserve"> </w:t>
      </w:r>
      <w:r w:rsidR="00A11BC4">
        <w:t>suggest</w:t>
      </w:r>
      <w:r w:rsidR="0015437B">
        <w:t>, here in my introduction,</w:t>
      </w:r>
      <w:r w:rsidR="006924A2">
        <w:t xml:space="preserve"> that </w:t>
      </w:r>
      <w:r w:rsidR="006924A2" w:rsidRPr="00D56991">
        <w:t xml:space="preserve">this tendency </w:t>
      </w:r>
      <w:r w:rsidR="00377527" w:rsidRPr="00D56991">
        <w:t>haunts</w:t>
      </w:r>
      <w:r w:rsidR="006924A2" w:rsidRPr="00D56991">
        <w:t xml:space="preserve"> discussion</w:t>
      </w:r>
      <w:r w:rsidR="006512E2" w:rsidRPr="00D56991">
        <w:t>s</w:t>
      </w:r>
      <w:r w:rsidR="006924A2" w:rsidRPr="00D56991">
        <w:t xml:space="preserve"> of practi</w:t>
      </w:r>
      <w:r w:rsidR="00214375" w:rsidRPr="00D56991">
        <w:t xml:space="preserve">cal underdetermination </w:t>
      </w:r>
      <w:r w:rsidR="004A5885" w:rsidRPr="00D56991">
        <w:t xml:space="preserve">and that the analysis I provide can help us </w:t>
      </w:r>
      <w:r w:rsidR="00377527" w:rsidRPr="00D56991">
        <w:t>exorcise</w:t>
      </w:r>
      <w:r w:rsidR="000E2EC5" w:rsidRPr="00D56991">
        <w:t xml:space="preserve"> it.</w:t>
      </w:r>
    </w:p>
    <w:p w14:paraId="68B29AD2" w14:textId="7CD5E814" w:rsidR="006072E1" w:rsidRDefault="00017DBA" w:rsidP="00961D0B">
      <w:pPr>
        <w:ind w:firstLine="720"/>
        <w:rPr>
          <w:szCs w:val="24"/>
        </w:rPr>
      </w:pPr>
      <w:r>
        <w:t>O</w:t>
      </w:r>
      <w:r w:rsidR="006C3870">
        <w:t>ften</w:t>
      </w:r>
      <w:r w:rsidR="00803F47">
        <w:t>,</w:t>
      </w:r>
      <w:r w:rsidR="006C3870">
        <w:t xml:space="preserve"> practical underdetermination problems are</w:t>
      </w:r>
      <w:r w:rsidR="00F758EA">
        <w:t xml:space="preserve"> </w:t>
      </w:r>
      <w:r w:rsidR="00157816">
        <w:t>framed</w:t>
      </w:r>
      <w:r w:rsidR="00F758EA">
        <w:t xml:space="preserve"> as </w:t>
      </w:r>
      <w:r w:rsidR="00C9066C">
        <w:t xml:space="preserve">“gaps” </w:t>
      </w:r>
      <w:r w:rsidR="00C5469A">
        <w:t>left over when scientists find that the</w:t>
      </w:r>
      <w:r w:rsidR="00215F29">
        <w:t xml:space="preserve"> “epistemic”</w:t>
      </w:r>
      <w:r w:rsidR="00C5469A">
        <w:t xml:space="preserve"> resources </w:t>
      </w:r>
      <w:r w:rsidR="008A68A2">
        <w:t>of evidence and logic are insufficient to adjudicate between multiple hypotheses</w:t>
      </w:r>
      <w:r w:rsidR="0077518D">
        <w:t xml:space="preserve"> </w:t>
      </w:r>
      <w:r w:rsidR="00322B72">
        <w:t>(Intemann 2005)</w:t>
      </w:r>
      <w:r w:rsidR="00C9066C">
        <w:t>.</w:t>
      </w:r>
      <w:r w:rsidR="007E2E47">
        <w:rPr>
          <w:rStyle w:val="FootnoteReference"/>
        </w:rPr>
        <w:footnoteReference w:id="3"/>
      </w:r>
      <w:r w:rsidR="004F048E">
        <w:t xml:space="preserve"> </w:t>
      </w:r>
      <w:r w:rsidR="00065445" w:rsidRPr="00FC578E">
        <w:rPr>
          <w:szCs w:val="24"/>
        </w:rPr>
        <w:t>DiMarco and Khalifa (2019)</w:t>
      </w:r>
      <w:r w:rsidR="00FC578E">
        <w:rPr>
          <w:szCs w:val="24"/>
        </w:rPr>
        <w:t>, for example,</w:t>
      </w:r>
      <w:r w:rsidR="00065445" w:rsidRPr="00FC578E">
        <w:rPr>
          <w:szCs w:val="24"/>
        </w:rPr>
        <w:t xml:space="preserve"> characterize the gap in the following way</w:t>
      </w:r>
      <w:r w:rsidR="00FC578E" w:rsidRPr="00FC578E">
        <w:rPr>
          <w:szCs w:val="24"/>
        </w:rPr>
        <w:t>:</w:t>
      </w:r>
      <w:r w:rsidR="00065445" w:rsidRPr="00FC578E">
        <w:rPr>
          <w:szCs w:val="24"/>
        </w:rPr>
        <w:t xml:space="preserve"> “There exists some hypothesis </w:t>
      </w:r>
      <w:r w:rsidR="00065445" w:rsidRPr="00FC578E">
        <w:rPr>
          <w:i/>
          <w:iCs/>
          <w:szCs w:val="24"/>
        </w:rPr>
        <w:t xml:space="preserve">h </w:t>
      </w:r>
      <w:r w:rsidR="00065445" w:rsidRPr="00FC578E">
        <w:rPr>
          <w:szCs w:val="24"/>
        </w:rPr>
        <w:t xml:space="preserve">and </w:t>
      </w:r>
      <w:proofErr w:type="spellStart"/>
      <w:r w:rsidR="00065445" w:rsidRPr="00FC578E">
        <w:rPr>
          <w:szCs w:val="24"/>
        </w:rPr>
        <w:t>some time</w:t>
      </w:r>
      <w:proofErr w:type="spellEnd"/>
      <w:r w:rsidR="00065445" w:rsidRPr="00FC578E">
        <w:rPr>
          <w:szCs w:val="24"/>
        </w:rPr>
        <w:t xml:space="preserve"> </w:t>
      </w:r>
      <w:proofErr w:type="spellStart"/>
      <w:r w:rsidR="00065445" w:rsidRPr="00FC578E">
        <w:rPr>
          <w:i/>
          <w:iCs/>
          <w:szCs w:val="24"/>
        </w:rPr>
        <w:t>t</w:t>
      </w:r>
      <w:proofErr w:type="spellEnd"/>
      <w:r w:rsidR="00065445" w:rsidRPr="00FC578E">
        <w:rPr>
          <w:i/>
          <w:iCs/>
          <w:szCs w:val="24"/>
        </w:rPr>
        <w:t xml:space="preserve"> </w:t>
      </w:r>
      <w:r w:rsidR="00065445" w:rsidRPr="00FC578E">
        <w:rPr>
          <w:szCs w:val="24"/>
        </w:rPr>
        <w:t xml:space="preserve">such that there is some other hypothesis </w:t>
      </w:r>
      <w:r w:rsidR="00065445" w:rsidRPr="00FC578E">
        <w:rPr>
          <w:i/>
          <w:iCs/>
          <w:szCs w:val="24"/>
        </w:rPr>
        <w:t xml:space="preserve">h* </w:t>
      </w:r>
      <w:r w:rsidR="00065445" w:rsidRPr="00FC578E">
        <w:rPr>
          <w:szCs w:val="24"/>
        </w:rPr>
        <w:t xml:space="preserve">that is as well supported as </w:t>
      </w:r>
      <w:r w:rsidR="00065445" w:rsidRPr="00FC578E">
        <w:rPr>
          <w:i/>
          <w:iCs/>
          <w:szCs w:val="24"/>
        </w:rPr>
        <w:t xml:space="preserve">h </w:t>
      </w:r>
      <w:r w:rsidR="00065445" w:rsidRPr="00FC578E">
        <w:rPr>
          <w:szCs w:val="24"/>
        </w:rPr>
        <w:t xml:space="preserve">by all of the epistemic considerations available at </w:t>
      </w:r>
      <w:r w:rsidR="00065445" w:rsidRPr="00FC578E">
        <w:rPr>
          <w:i/>
          <w:iCs/>
          <w:szCs w:val="24"/>
        </w:rPr>
        <w:t>t.</w:t>
      </w:r>
      <w:r w:rsidR="00325131">
        <w:rPr>
          <w:szCs w:val="24"/>
        </w:rPr>
        <w:t>”</w:t>
      </w:r>
      <w:r w:rsidR="00065445" w:rsidRPr="00FC578E">
        <w:rPr>
          <w:i/>
          <w:iCs/>
          <w:szCs w:val="24"/>
        </w:rPr>
        <w:t xml:space="preserve"> </w:t>
      </w:r>
      <w:r w:rsidR="00065445" w:rsidRPr="00FC578E">
        <w:rPr>
          <w:szCs w:val="24"/>
        </w:rPr>
        <w:t xml:space="preserve">As they make clear elsewhere, by “epistemic considerations” they mean “empirical evidence” as well as “rules of reasoning that take evidence and background information as their inputs and probabilities of hypotheses as their outputs.” “Rules of reasoning” include the “canons of inductive and deductive inference, plus some prima facie plausible methodological maxims, e.g. ‘ceteris paribus, if </w:t>
      </w:r>
      <w:r w:rsidR="00065445" w:rsidRPr="00FC578E">
        <w:rPr>
          <w:i/>
          <w:iCs/>
          <w:szCs w:val="24"/>
        </w:rPr>
        <w:t xml:space="preserve">h </w:t>
      </w:r>
      <w:r w:rsidR="00065445" w:rsidRPr="00FC578E">
        <w:rPr>
          <w:szCs w:val="24"/>
        </w:rPr>
        <w:t xml:space="preserve">correctly predicts some novel phenomenon </w:t>
      </w:r>
      <w:r w:rsidR="00065445" w:rsidRPr="00FC578E">
        <w:rPr>
          <w:i/>
          <w:iCs/>
          <w:szCs w:val="24"/>
        </w:rPr>
        <w:t xml:space="preserve">e, </w:t>
      </w:r>
      <w:r w:rsidR="00065445" w:rsidRPr="00FC578E">
        <w:rPr>
          <w:szCs w:val="24"/>
        </w:rPr>
        <w:t>then P(</w:t>
      </w:r>
      <w:r w:rsidR="00065445" w:rsidRPr="00FC578E">
        <w:rPr>
          <w:i/>
          <w:iCs/>
          <w:szCs w:val="24"/>
        </w:rPr>
        <w:t>h</w:t>
      </w:r>
      <w:r w:rsidR="00065445" w:rsidRPr="00FC578E">
        <w:rPr>
          <w:szCs w:val="24"/>
        </w:rPr>
        <w:t>/</w:t>
      </w:r>
      <w:r w:rsidR="00065445" w:rsidRPr="00FC578E">
        <w:rPr>
          <w:i/>
          <w:iCs/>
          <w:szCs w:val="24"/>
        </w:rPr>
        <w:t>e</w:t>
      </w:r>
      <w:r w:rsidR="00065445" w:rsidRPr="00FC578E">
        <w:rPr>
          <w:szCs w:val="24"/>
        </w:rPr>
        <w:t>) &gt; P(</w:t>
      </w:r>
      <w:r w:rsidR="00065445" w:rsidRPr="00FC578E">
        <w:rPr>
          <w:i/>
          <w:iCs/>
          <w:szCs w:val="24"/>
        </w:rPr>
        <w:t>h</w:t>
      </w:r>
      <w:r w:rsidR="00065445" w:rsidRPr="00FC578E">
        <w:rPr>
          <w:szCs w:val="24"/>
        </w:rPr>
        <w:t>)</w:t>
      </w:r>
      <w:r w:rsidR="006072E1">
        <w:rPr>
          <w:szCs w:val="24"/>
        </w:rPr>
        <w:t>.</w:t>
      </w:r>
      <w:r w:rsidR="00065445" w:rsidRPr="00FC578E">
        <w:rPr>
          <w:szCs w:val="24"/>
        </w:rPr>
        <w:t>”</w:t>
      </w:r>
      <w:r w:rsidR="006072E1">
        <w:rPr>
          <w:szCs w:val="24"/>
        </w:rPr>
        <w:t xml:space="preserve"> </w:t>
      </w:r>
    </w:p>
    <w:p w14:paraId="569B5F93" w14:textId="4C87DDC9" w:rsidR="00E92616" w:rsidRDefault="006072E1" w:rsidP="003F717D">
      <w:pPr>
        <w:ind w:firstLine="720"/>
      </w:pPr>
      <w:r>
        <w:rPr>
          <w:szCs w:val="24"/>
        </w:rPr>
        <w:t>Note that</w:t>
      </w:r>
      <w:r w:rsidR="00820382">
        <w:rPr>
          <w:szCs w:val="24"/>
        </w:rPr>
        <w:t xml:space="preserve"> in this </w:t>
      </w:r>
      <w:r w:rsidR="000C1E48">
        <w:rPr>
          <w:szCs w:val="24"/>
        </w:rPr>
        <w:t xml:space="preserve">“gap” </w:t>
      </w:r>
      <w:r w:rsidR="00820382">
        <w:rPr>
          <w:szCs w:val="24"/>
        </w:rPr>
        <w:t>formulatio</w:t>
      </w:r>
      <w:r w:rsidR="000D39F6">
        <w:rPr>
          <w:szCs w:val="24"/>
        </w:rPr>
        <w:t>n</w:t>
      </w:r>
      <w:r w:rsidR="0000520D">
        <w:t xml:space="preserve"> no explicit reference</w:t>
      </w:r>
      <w:r w:rsidR="00E92616">
        <w:t xml:space="preserve"> is made</w:t>
      </w:r>
      <w:r w:rsidR="0000520D">
        <w:t xml:space="preserve"> to </w:t>
      </w:r>
      <w:r w:rsidR="00A47387">
        <w:t xml:space="preserve">the </w:t>
      </w:r>
      <w:r w:rsidR="00A47387" w:rsidRPr="00C55DAF">
        <w:rPr>
          <w:i/>
          <w:iCs/>
        </w:rPr>
        <w:t>scientists</w:t>
      </w:r>
      <w:r w:rsidR="00A47387">
        <w:rPr>
          <w:i/>
          <w:iCs/>
        </w:rPr>
        <w:t xml:space="preserve"> </w:t>
      </w:r>
      <w:r w:rsidR="00C55DAF">
        <w:t>facing</w:t>
      </w:r>
      <w:r w:rsidR="00A47387">
        <w:t xml:space="preserve"> the</w:t>
      </w:r>
      <w:r w:rsidR="00C55DAF">
        <w:t xml:space="preserve"> </w:t>
      </w:r>
      <w:r w:rsidR="000D39F6">
        <w:t xml:space="preserve">practical underdetermination </w:t>
      </w:r>
      <w:r w:rsidR="00C55DAF">
        <w:t>problem</w:t>
      </w:r>
      <w:r w:rsidR="00820382">
        <w:t>.</w:t>
      </w:r>
      <w:r w:rsidR="00A11BC4">
        <w:t xml:space="preserve"> I </w:t>
      </w:r>
      <w:r w:rsidR="00DC2243">
        <w:t xml:space="preserve">want to </w:t>
      </w:r>
      <w:r w:rsidR="00A11BC4">
        <w:t>sugge</w:t>
      </w:r>
      <w:r w:rsidR="000D39F6">
        <w:t>st, however, that</w:t>
      </w:r>
      <w:r w:rsidR="00335D4F">
        <w:t xml:space="preserve"> in as much as</w:t>
      </w:r>
      <w:r w:rsidR="00820382">
        <w:t xml:space="preserve"> th</w:t>
      </w:r>
      <w:r w:rsidR="0002136C">
        <w:t xml:space="preserve">e </w:t>
      </w:r>
      <w:r w:rsidR="00F5467F">
        <w:t>“epistemic</w:t>
      </w:r>
      <w:r w:rsidR="0002136C">
        <w:t xml:space="preserve"> gap</w:t>
      </w:r>
      <w:r w:rsidR="00F5467F">
        <w:t>”</w:t>
      </w:r>
      <w:r w:rsidR="0002136C">
        <w:t xml:space="preserve"> f</w:t>
      </w:r>
      <w:r w:rsidR="00335D4F">
        <w:t xml:space="preserve">ormulation </w:t>
      </w:r>
      <w:r w:rsidR="00C55DAF">
        <w:t>aspires</w:t>
      </w:r>
      <w:r w:rsidR="00335D4F">
        <w:t xml:space="preserve"> to </w:t>
      </w:r>
      <w:r w:rsidR="00C55DAF">
        <w:t>offer an analysis of a “genuine feature of scientific inquiry,”</w:t>
      </w:r>
      <w:r w:rsidR="003C1771">
        <w:t xml:space="preserve"> it</w:t>
      </w:r>
      <w:r w:rsidR="00757956">
        <w:t xml:space="preserve"> </w:t>
      </w:r>
      <w:r w:rsidR="00191F8E">
        <w:t>implies</w:t>
      </w:r>
      <w:r w:rsidR="00DB6ACA">
        <w:t xml:space="preserve"> </w:t>
      </w:r>
      <w:r w:rsidR="00C55DAF">
        <w:t>a</w:t>
      </w:r>
      <w:r w:rsidR="00215F29">
        <w:t xml:space="preserve"> particular</w:t>
      </w:r>
      <w:r w:rsidR="00C55DAF">
        <w:t xml:space="preserve"> view</w:t>
      </w:r>
      <w:r w:rsidR="00DB6ACA">
        <w:t xml:space="preserve"> of those </w:t>
      </w:r>
      <w:r w:rsidR="00961D0B">
        <w:t>scientists</w:t>
      </w:r>
      <w:r w:rsidR="00F969AE">
        <w:t>.</w:t>
      </w:r>
      <w:r w:rsidR="000D39F6">
        <w:t xml:space="preserve"> </w:t>
      </w:r>
      <w:r w:rsidR="00E92616">
        <w:t>T</w:t>
      </w:r>
      <w:r w:rsidR="00191F8E">
        <w:t>hese</w:t>
      </w:r>
      <w:r w:rsidR="00C55DAF">
        <w:t xml:space="preserve"> implicit</w:t>
      </w:r>
      <w:r w:rsidR="00E92616">
        <w:t xml:space="preserve"> scientists</w:t>
      </w:r>
      <w:r w:rsidR="003F717D">
        <w:t xml:space="preserve"> are “ghostly” indeed—they are little more than where the “rules of reasoning”</w:t>
      </w:r>
      <w:r w:rsidR="000D39F6">
        <w:t xml:space="preserve"> to which DiMarco and Khalifa refer</w:t>
      </w:r>
      <w:r w:rsidR="003F717D">
        <w:t xml:space="preserve"> are housed</w:t>
      </w:r>
      <w:r w:rsidR="00191F8E">
        <w:t>.</w:t>
      </w:r>
      <w:r w:rsidR="00495910">
        <w:t xml:space="preserve"> On the “epistemic gap” formulation of practical underdetermination,</w:t>
      </w:r>
      <w:r w:rsidR="00961D0B">
        <w:t xml:space="preserve"> </w:t>
      </w:r>
      <w:r w:rsidR="00495910">
        <w:t>t</w:t>
      </w:r>
      <w:r w:rsidR="00D83E21">
        <w:t>hese ghostly scientists</w:t>
      </w:r>
      <w:r w:rsidR="00362102">
        <w:t xml:space="preserve"> are ones</w:t>
      </w:r>
      <w:r w:rsidR="00495910">
        <w:t xml:space="preserve"> whose typical </w:t>
      </w:r>
      <w:r w:rsidR="0015437B">
        <w:t>practice is</w:t>
      </w:r>
      <w:r w:rsidR="00495910">
        <w:t xml:space="preserve"> not impeded under</w:t>
      </w:r>
      <w:r w:rsidR="00BD34B5">
        <w:t xml:space="preserve"> </w:t>
      </w:r>
      <w:r w:rsidR="00B54D00">
        <w:t>“</w:t>
      </w:r>
      <w:r w:rsidR="00BD34B5">
        <w:t>normal</w:t>
      </w:r>
      <w:r w:rsidR="00B54D00">
        <w:t>”</w:t>
      </w:r>
      <w:r w:rsidR="001A3516">
        <w:t xml:space="preserve"> non-evidentially underdetermined circumstances</w:t>
      </w:r>
      <w:r w:rsidR="0040796E">
        <w:t>. After all, in such circumstances,</w:t>
      </w:r>
      <w:r w:rsidR="00EB2CF0">
        <w:t xml:space="preserve"> </w:t>
      </w:r>
      <w:r w:rsidR="00B45F2E">
        <w:t>evidence and logic</w:t>
      </w:r>
      <w:r w:rsidR="003F717D">
        <w:t>al rules of reasoning</w:t>
      </w:r>
      <w:r w:rsidR="00B45F2E">
        <w:t xml:space="preserve"> alone</w:t>
      </w:r>
      <w:r w:rsidR="00B45F2E" w:rsidRPr="00495910">
        <w:rPr>
          <w:i/>
          <w:iCs/>
        </w:rPr>
        <w:t xml:space="preserve"> can </w:t>
      </w:r>
      <w:r w:rsidR="00B45F2E">
        <w:t>do the trick in determining</w:t>
      </w:r>
      <w:r w:rsidR="00D30E11">
        <w:t xml:space="preserve"> which</w:t>
      </w:r>
      <w:r w:rsidR="009738F8">
        <w:t xml:space="preserve"> </w:t>
      </w:r>
      <w:r w:rsidR="00D30E11">
        <w:t>hypothes</w:t>
      </w:r>
      <w:r w:rsidR="009738F8">
        <w:t>i</w:t>
      </w:r>
      <w:r w:rsidR="00D30E11">
        <w:t>s is best supported by the evidence</w:t>
      </w:r>
      <w:r w:rsidR="00C04C7A">
        <w:t xml:space="preserve">. </w:t>
      </w:r>
      <w:proofErr w:type="gramStart"/>
      <w:r w:rsidR="005B60B4">
        <w:t>But,</w:t>
      </w:r>
      <w:proofErr w:type="gramEnd"/>
      <w:r w:rsidR="005B60B4">
        <w:t xml:space="preserve"> when</w:t>
      </w:r>
      <w:r w:rsidR="00A20F23">
        <w:t xml:space="preserve"> fac</w:t>
      </w:r>
      <w:r w:rsidR="002E7E28">
        <w:t>ed with</w:t>
      </w:r>
      <w:r w:rsidR="00A20F23">
        <w:t xml:space="preserve"> problems of practical underdetermination</w:t>
      </w:r>
      <w:r w:rsidR="00495910">
        <w:t>—circumstances in which “</w:t>
      </w:r>
      <w:r w:rsidR="00EE3FC2">
        <w:t xml:space="preserve">evidence and </w:t>
      </w:r>
      <w:r w:rsidR="00495910">
        <w:t>logic leave off”—</w:t>
      </w:r>
      <w:r w:rsidR="005B60B4">
        <w:t>those</w:t>
      </w:r>
      <w:r w:rsidR="00A20F23">
        <w:t xml:space="preserve"> </w:t>
      </w:r>
      <w:r w:rsidR="00A449E5">
        <w:t>otherwise ghostly scientists</w:t>
      </w:r>
      <w:r w:rsidR="005B26B9">
        <w:t xml:space="preserve"> </w:t>
      </w:r>
      <w:r w:rsidR="00CD3FD7">
        <w:t xml:space="preserve">are imbued with </w:t>
      </w:r>
      <w:r w:rsidR="00A41EAB">
        <w:t>human</w:t>
      </w:r>
      <w:r w:rsidR="00C1773E">
        <w:t xml:space="preserve"> values</w:t>
      </w:r>
      <w:r w:rsidR="00A41EAB">
        <w:t xml:space="preserve"> </w:t>
      </w:r>
      <w:r w:rsidR="00CD3FD7">
        <w:t>t</w:t>
      </w:r>
      <w:r w:rsidR="00CB0812">
        <w:t>o</w:t>
      </w:r>
      <w:r w:rsidR="00A41EAB">
        <w:t xml:space="preserve"> facilitate </w:t>
      </w:r>
      <w:r w:rsidR="006205B9">
        <w:t>a</w:t>
      </w:r>
      <w:r w:rsidR="006205B9" w:rsidRPr="00E92616">
        <w:t xml:space="preserve"> </w:t>
      </w:r>
      <w:r w:rsidR="000B0447" w:rsidRPr="00E92616">
        <w:t>decision</w:t>
      </w:r>
      <w:r w:rsidR="00001434">
        <w:t xml:space="preserve"> when</w:t>
      </w:r>
      <w:r w:rsidR="00191F8E">
        <w:t xml:space="preserve"> evidence </w:t>
      </w:r>
      <w:r w:rsidR="003F717D">
        <w:t>and logic</w:t>
      </w:r>
      <w:r w:rsidR="00605B29">
        <w:t xml:space="preserve"> alone</w:t>
      </w:r>
      <w:r w:rsidR="000E7490">
        <w:t xml:space="preserve"> cann</w:t>
      </w:r>
      <w:r w:rsidR="003F717D">
        <w:t xml:space="preserve">ot </w:t>
      </w:r>
      <w:proofErr w:type="gramStart"/>
      <w:r w:rsidR="003F717D">
        <w:t>make</w:t>
      </w:r>
      <w:r w:rsidR="000E7490">
        <w:t xml:space="preserve"> </w:t>
      </w:r>
      <w:r w:rsidR="006205B9">
        <w:t>a</w:t>
      </w:r>
      <w:r w:rsidR="000E7490">
        <w:t xml:space="preserve"> </w:t>
      </w:r>
      <w:r w:rsidR="000E7490" w:rsidRPr="00E92616">
        <w:t>determination</w:t>
      </w:r>
      <w:proofErr w:type="gramEnd"/>
      <w:r w:rsidR="000E7490">
        <w:t>.</w:t>
      </w:r>
      <w:r w:rsidR="000B3DC7">
        <w:t xml:space="preserve"> </w:t>
      </w:r>
    </w:p>
    <w:p w14:paraId="2BF3C7BC" w14:textId="37125AB8" w:rsidR="00D1541F" w:rsidRDefault="000B3DC7" w:rsidP="00D12D21">
      <w:pPr>
        <w:ind w:firstLine="720"/>
      </w:pPr>
      <w:r>
        <w:t xml:space="preserve">In other words, these implicit </w:t>
      </w:r>
      <w:r w:rsidR="00191F8E">
        <w:t xml:space="preserve">(hence, “ghostly”) </w:t>
      </w:r>
      <w:r>
        <w:t>scientists are</w:t>
      </w:r>
      <w:r w:rsidR="00E05C97">
        <w:t>, in the first instance,</w:t>
      </w:r>
      <w:r>
        <w:t xml:space="preserve"> </w:t>
      </w:r>
      <w:r w:rsidR="00495910">
        <w:t xml:space="preserve">Chang’s </w:t>
      </w:r>
      <w:r w:rsidR="005937A7">
        <w:t>“algorithmic processors of propositions</w:t>
      </w:r>
      <w:r w:rsidR="000D39F6">
        <w:t>.” They</w:t>
      </w:r>
      <w:r w:rsidR="005937A7">
        <w:t xml:space="preserve"> are </w:t>
      </w:r>
      <w:r w:rsidR="0033011C">
        <w:t>merely</w:t>
      </w:r>
      <w:r w:rsidR="005937A7">
        <w:t xml:space="preserve"> </w:t>
      </w:r>
      <w:r w:rsidR="005937A7" w:rsidRPr="00495910">
        <w:rPr>
          <w:i/>
          <w:iCs/>
        </w:rPr>
        <w:t>contingently</w:t>
      </w:r>
      <w:r w:rsidR="005937A7">
        <w:t xml:space="preserve"> endowed with </w:t>
      </w:r>
      <w:r w:rsidR="001C113E">
        <w:t>the sort of</w:t>
      </w:r>
      <w:r w:rsidR="000A3F5D">
        <w:t xml:space="preserve"> genuinely </w:t>
      </w:r>
      <w:r w:rsidR="000A3F5D" w:rsidRPr="00495910">
        <w:t>agential</w:t>
      </w:r>
      <w:r w:rsidR="000A3F5D">
        <w:t xml:space="preserve"> </w:t>
      </w:r>
      <w:r w:rsidR="000D39F6">
        <w:t>capacities</w:t>
      </w:r>
      <w:r w:rsidR="00D12D21">
        <w:t>—“values”—</w:t>
      </w:r>
      <w:r w:rsidR="00B63F74">
        <w:t>that</w:t>
      </w:r>
      <w:r w:rsidR="000A3F5D">
        <w:t xml:space="preserve"> </w:t>
      </w:r>
      <w:r w:rsidR="00306421">
        <w:t xml:space="preserve">Chang </w:t>
      </w:r>
      <w:r w:rsidR="00FE1C9E">
        <w:t xml:space="preserve">exhorts us to make </w:t>
      </w:r>
      <w:r w:rsidR="00FE1C9E" w:rsidRPr="00495910">
        <w:rPr>
          <w:i/>
          <w:iCs/>
        </w:rPr>
        <w:t>essential</w:t>
      </w:r>
      <w:r w:rsidR="00FE1C9E">
        <w:t xml:space="preserve"> to our conception of the </w:t>
      </w:r>
      <w:r w:rsidR="00F96675">
        <w:t xml:space="preserve">human </w:t>
      </w:r>
      <w:r w:rsidR="00FE1C9E">
        <w:t>scientist</w:t>
      </w:r>
      <w:r w:rsidR="00306421">
        <w:t>.</w:t>
      </w:r>
      <w:r w:rsidR="00B23C8D">
        <w:rPr>
          <w:rStyle w:val="FootnoteReference"/>
        </w:rPr>
        <w:footnoteReference w:id="4"/>
      </w:r>
      <w:r w:rsidR="002E00CC">
        <w:t xml:space="preserve"> I want to </w:t>
      </w:r>
      <w:r w:rsidR="00C31C0B">
        <w:t xml:space="preserve">suggest that my analysis of how scientists cope with </w:t>
      </w:r>
      <w:r w:rsidR="0082185A">
        <w:t>practical underdetermination problems</w:t>
      </w:r>
      <w:r w:rsidR="00255335">
        <w:t xml:space="preserve"> </w:t>
      </w:r>
      <w:r w:rsidR="00EC4EE8">
        <w:t xml:space="preserve">represents a step </w:t>
      </w:r>
      <w:r w:rsidR="000D39F6">
        <w:t>toward</w:t>
      </w:r>
      <w:r w:rsidR="00EC4EE8">
        <w:t xml:space="preserve"> answering Chang’s call</w:t>
      </w:r>
      <w:r w:rsidR="00C43038">
        <w:t>.</w:t>
      </w:r>
      <w:r w:rsidR="00EC4EE8">
        <w:t xml:space="preserve"> </w:t>
      </w:r>
      <w:r w:rsidR="000D39F6">
        <w:t xml:space="preserve">In contrast to the “gap” formulation, </w:t>
      </w:r>
      <w:r w:rsidR="00C87485">
        <w:t xml:space="preserve">what I will call </w:t>
      </w:r>
      <w:r w:rsidR="000D39F6">
        <w:t>m</w:t>
      </w:r>
      <w:r w:rsidR="00C6195A">
        <w:t>y “experimental dead-space” formulation of practical underdetermination</w:t>
      </w:r>
      <w:r w:rsidR="00C43038">
        <w:t xml:space="preserve"> </w:t>
      </w:r>
      <w:r w:rsidR="00C43038">
        <w:rPr>
          <w:i/>
          <w:iCs/>
        </w:rPr>
        <w:t xml:space="preserve">explicitly </w:t>
      </w:r>
      <w:r w:rsidR="00C43038">
        <w:t>models</w:t>
      </w:r>
      <w:r w:rsidR="00495910">
        <w:t xml:space="preserve"> human</w:t>
      </w:r>
      <w:r w:rsidR="00C43038">
        <w:t xml:space="preserve"> scientists</w:t>
      </w:r>
      <w:r w:rsidR="000D39F6">
        <w:t>.</w:t>
      </w:r>
      <w:r w:rsidR="00870511">
        <w:t xml:space="preserve"> </w:t>
      </w:r>
      <w:r w:rsidR="000D39F6">
        <w:t>And it</w:t>
      </w:r>
      <w:r w:rsidR="00870511">
        <w:t xml:space="preserve"> does so in a way </w:t>
      </w:r>
      <w:r w:rsidR="003E5629">
        <w:t xml:space="preserve">that </w:t>
      </w:r>
      <w:r w:rsidR="003E5629">
        <w:lastRenderedPageBreak/>
        <w:t xml:space="preserve">makes them out to be more </w:t>
      </w:r>
      <w:r w:rsidR="00EE3FC2">
        <w:t>recognizably</w:t>
      </w:r>
      <w:r w:rsidR="003E5629">
        <w:t xml:space="preserve"> human </w:t>
      </w:r>
      <w:r w:rsidR="00302D52">
        <w:t>than is the</w:t>
      </w:r>
      <w:r w:rsidR="00934FE8">
        <w:t xml:space="preserve"> purely rational</w:t>
      </w:r>
      <w:r w:rsidR="00302D52">
        <w:t xml:space="preserve"> “ghost” implicit in </w:t>
      </w:r>
      <w:r w:rsidR="00191F8E">
        <w:t xml:space="preserve">the </w:t>
      </w:r>
      <w:r w:rsidR="00934FE8">
        <w:t>“epistemic gap” formulation.</w:t>
      </w:r>
      <w:r w:rsidR="00C43038">
        <w:t xml:space="preserve"> </w:t>
      </w:r>
      <w:r w:rsidR="006C3870">
        <w:t xml:space="preserve"> </w:t>
      </w:r>
    </w:p>
    <w:p w14:paraId="6667DC00" w14:textId="1D9804FC" w:rsidR="00552026" w:rsidRDefault="00431AE8" w:rsidP="00D77E62">
      <w:pPr>
        <w:ind w:firstLine="720"/>
      </w:pPr>
      <w:r>
        <w:t xml:space="preserve"> </w:t>
      </w:r>
      <w:r w:rsidR="00C43038">
        <w:t>T</w:t>
      </w:r>
      <w:r w:rsidR="00F906A2">
        <w:t>urn</w:t>
      </w:r>
      <w:r w:rsidR="004E4C58">
        <w:t>ing</w:t>
      </w:r>
      <w:r w:rsidR="00904AB6">
        <w:t xml:space="preserve"> now</w:t>
      </w:r>
      <w:r w:rsidR="00F906A2">
        <w:t xml:space="preserve"> to the </w:t>
      </w:r>
      <w:r w:rsidR="00C43038">
        <w:t>main</w:t>
      </w:r>
      <w:r w:rsidR="00F906A2">
        <w:t xml:space="preserve"> focus o</w:t>
      </w:r>
      <w:r w:rsidR="00E20479">
        <w:t>f</w:t>
      </w:r>
      <w:r w:rsidR="00F906A2">
        <w:t xml:space="preserve"> the paper</w:t>
      </w:r>
      <w:r w:rsidR="00904AB6">
        <w:t xml:space="preserve">, </w:t>
      </w:r>
      <w:r w:rsidR="00A61D1A">
        <w:t>I borrow</w:t>
      </w:r>
      <w:r w:rsidR="00BA6559">
        <w:t xml:space="preserve"> the particular problem of practical underdetermination</w:t>
      </w:r>
      <w:r w:rsidR="003D52C2">
        <w:t xml:space="preserve"> that</w:t>
      </w:r>
      <w:r w:rsidR="00BA6559">
        <w:t xml:space="preserve"> </w:t>
      </w:r>
      <w:r w:rsidR="00F906A2">
        <w:t>I discuss</w:t>
      </w:r>
      <w:r w:rsidR="00D77E62">
        <w:t xml:space="preserve"> </w:t>
      </w:r>
      <w:r w:rsidR="00A61D1A">
        <w:t>from</w:t>
      </w:r>
      <w:r w:rsidR="008B16FC">
        <w:t xml:space="preserve"> my</w:t>
      </w:r>
      <w:r w:rsidR="000D39F6">
        <w:t xml:space="preserve"> previous work (</w:t>
      </w:r>
      <w:r w:rsidR="00A61D1A">
        <w:t>Bollhagen</w:t>
      </w:r>
      <w:r w:rsidR="000D39F6">
        <w:t>,</w:t>
      </w:r>
      <w:r w:rsidR="00A61D1A">
        <w:t xml:space="preserve"> 2021).</w:t>
      </w:r>
      <w:r w:rsidR="00AE66F6">
        <w:rPr>
          <w:rStyle w:val="FootnoteReference"/>
        </w:rPr>
        <w:footnoteReference w:id="5"/>
      </w:r>
      <w:r w:rsidR="00A61D1A">
        <w:t xml:space="preserve"> </w:t>
      </w:r>
      <w:r w:rsidR="005852C6">
        <w:t xml:space="preserve">In the case, researchers studying the movement of a molecular motor protein called </w:t>
      </w:r>
      <w:r w:rsidR="005852C6" w:rsidRPr="00F279B6">
        <w:rPr>
          <w:i/>
          <w:iCs/>
        </w:rPr>
        <w:t>kinesin</w:t>
      </w:r>
      <w:r w:rsidR="005852C6">
        <w:t xml:space="preserve"> constructed what</w:t>
      </w:r>
      <w:r w:rsidR="00C87485">
        <w:t xml:space="preserve"> I then</w:t>
      </w:r>
      <w:r w:rsidR="005852C6">
        <w:t xml:space="preserve"> call</w:t>
      </w:r>
      <w:r w:rsidR="000D39F6">
        <w:t>ed</w:t>
      </w:r>
      <w:r w:rsidR="005852C6">
        <w:t xml:space="preserve"> an “experimental dead-space”</w:t>
      </w:r>
      <w:r w:rsidR="00227B2A">
        <w:t>—</w:t>
      </w:r>
      <w:r w:rsidR="005852C6">
        <w:t>a</w:t>
      </w:r>
      <w:r w:rsidR="00C50DF5">
        <w:t xml:space="preserve"> practically </w:t>
      </w:r>
      <w:r w:rsidR="004114C3">
        <w:t>underdetermined</w:t>
      </w:r>
      <w:r w:rsidR="005852C6">
        <w:t xml:space="preserve"> space of alternative hypotheses between which t</w:t>
      </w:r>
      <w:r w:rsidR="00C50DF5">
        <w:t>hey</w:t>
      </w:r>
      <w:r w:rsidR="005852C6">
        <w:t xml:space="preserve"> could not adjudicate using the </w:t>
      </w:r>
      <w:r w:rsidR="00FD0DBA">
        <w:t xml:space="preserve">experimental </w:t>
      </w:r>
      <w:r w:rsidR="00B003E9">
        <w:t>tool</w:t>
      </w:r>
      <w:r w:rsidR="005852C6">
        <w:t xml:space="preserve"> that anchored the</w:t>
      </w:r>
      <w:r w:rsidR="0099379B">
        <w:t>ir</w:t>
      </w:r>
      <w:r w:rsidR="005852C6">
        <w:t xml:space="preserve"> research.</w:t>
      </w:r>
      <w:r w:rsidR="0028145D">
        <w:t xml:space="preserve"> </w:t>
      </w:r>
      <w:r w:rsidR="00C87485">
        <w:t xml:space="preserve">Here, </w:t>
      </w:r>
      <w:r w:rsidR="00755A1A">
        <w:t xml:space="preserve">I build on </w:t>
      </w:r>
      <w:r w:rsidR="00641EBA">
        <w:t xml:space="preserve">the </w:t>
      </w:r>
      <w:r w:rsidR="00B00AC0">
        <w:t>philosophical</w:t>
      </w:r>
      <w:r w:rsidR="00641EBA">
        <w:t xml:space="preserve"> apparatus </w:t>
      </w:r>
      <w:r w:rsidR="000B6B8D">
        <w:t xml:space="preserve">that </w:t>
      </w:r>
      <w:r w:rsidR="000D39F6">
        <w:t>I</w:t>
      </w:r>
      <w:r w:rsidR="00EE3FC2">
        <w:t xml:space="preserve"> </w:t>
      </w:r>
      <w:r w:rsidR="00641EBA">
        <w:t xml:space="preserve">introduced in giving </w:t>
      </w:r>
      <w:r w:rsidR="000D39F6">
        <w:t>my</w:t>
      </w:r>
      <w:r w:rsidR="00EE3FC2">
        <w:t xml:space="preserve"> prior</w:t>
      </w:r>
      <w:r w:rsidR="00641EBA">
        <w:t xml:space="preserve"> account of the means by which researchers </w:t>
      </w:r>
      <w:r w:rsidR="0028145D">
        <w:t>coped with this practical underdetermination problem</w:t>
      </w:r>
      <w:r w:rsidR="00AB3918">
        <w:t xml:space="preserve">. </w:t>
      </w:r>
      <w:r w:rsidR="000B6B8D">
        <w:t>To this end</w:t>
      </w:r>
      <w:r w:rsidR="00FA15D5">
        <w:t>, I</w:t>
      </w:r>
      <w:r w:rsidR="00051A0C">
        <w:t xml:space="preserve"> construe </w:t>
      </w:r>
      <w:r w:rsidR="00A01E98">
        <w:t>an experimental dead-space as a construct</w:t>
      </w:r>
      <w:r w:rsidR="00051A0C">
        <w:t xml:space="preserve"> built within a broader unit of analysis, namely, a </w:t>
      </w:r>
      <w:r w:rsidR="00051A0C">
        <w:rPr>
          <w:i/>
          <w:iCs/>
        </w:rPr>
        <w:t>research platform</w:t>
      </w:r>
      <w:r w:rsidR="00051A0C">
        <w:t xml:space="preserve"> (Griesemer 2013). F</w:t>
      </w:r>
      <w:r w:rsidR="0028145D">
        <w:t>inally</w:t>
      </w:r>
      <w:r w:rsidR="00051A0C">
        <w:t>, I</w:t>
      </w:r>
      <w:r w:rsidR="00FA15D5">
        <w:t xml:space="preserve"> identify </w:t>
      </w:r>
      <w:r w:rsidR="000D39F6">
        <w:t>an</w:t>
      </w:r>
      <w:r w:rsidR="00FA15D5">
        <w:t xml:space="preserve"> </w:t>
      </w:r>
      <w:r w:rsidR="00680E13">
        <w:t>“</w:t>
      </w:r>
      <w:r w:rsidR="00FA15D5">
        <w:t>experimental dead-space</w:t>
      </w:r>
      <w:r w:rsidR="00680E13">
        <w:t>”</w:t>
      </w:r>
      <w:r w:rsidR="00FA15D5">
        <w:t xml:space="preserve"> with an “epistemic adjacent possible.” </w:t>
      </w:r>
      <w:r w:rsidR="005324ED">
        <w:t>B</w:t>
      </w:r>
      <w:r w:rsidR="00FA15D5">
        <w:t>orrowing th</w:t>
      </w:r>
      <w:r w:rsidR="00F00767">
        <w:t>e</w:t>
      </w:r>
      <w:r w:rsidR="00FA15D5">
        <w:t xml:space="preserve"> idea</w:t>
      </w:r>
      <w:r w:rsidR="00F00767">
        <w:t xml:space="preserve"> of </w:t>
      </w:r>
      <w:r w:rsidR="00846C11">
        <w:t>the</w:t>
      </w:r>
      <w:r w:rsidR="00F00767">
        <w:t xml:space="preserve"> “adjacent possible”</w:t>
      </w:r>
      <w:r w:rsidR="00FA15D5">
        <w:t xml:space="preserve"> from Kauffman</w:t>
      </w:r>
      <w:r w:rsidR="00F00767">
        <w:t xml:space="preserve"> (2019) enables </w:t>
      </w:r>
      <w:r w:rsidR="008654A6">
        <w:t>us</w:t>
      </w:r>
      <w:r w:rsidR="00F00767">
        <w:t xml:space="preserve"> to</w:t>
      </w:r>
      <w:r w:rsidR="00B003E9">
        <w:t xml:space="preserve"> </w:t>
      </w:r>
      <w:r w:rsidR="00B00AC0">
        <w:t>characterize</w:t>
      </w:r>
      <w:r w:rsidR="00B7301E">
        <w:t xml:space="preserve"> </w:t>
      </w:r>
      <w:r w:rsidR="00B003E9">
        <w:t>the</w:t>
      </w:r>
      <w:r w:rsidR="00B7301E">
        <w:t xml:space="preserve"> form of</w:t>
      </w:r>
      <w:r w:rsidR="00D219B6">
        <w:t xml:space="preserve"> creativity</w:t>
      </w:r>
      <w:r w:rsidR="00B003E9">
        <w:t xml:space="preserve"> </w:t>
      </w:r>
      <w:r w:rsidR="00D63380">
        <w:t>I have in mind</w:t>
      </w:r>
      <w:r w:rsidR="00B003E9">
        <w:t xml:space="preserve"> and to illustrate </w:t>
      </w:r>
      <w:r w:rsidR="00AD448A">
        <w:t>scientists’</w:t>
      </w:r>
      <w:r w:rsidR="00D219B6">
        <w:t xml:space="preserve"> exercise</w:t>
      </w:r>
      <w:r w:rsidR="00B003E9">
        <w:t xml:space="preserve"> </w:t>
      </w:r>
      <w:r w:rsidR="00AD448A">
        <w:t>of it</w:t>
      </w:r>
      <w:r w:rsidR="00C43038">
        <w:t xml:space="preserve"> in</w:t>
      </w:r>
      <w:r w:rsidR="00B003E9">
        <w:t xml:space="preserve"> </w:t>
      </w:r>
      <w:r w:rsidR="005D195E">
        <w:t>resolving</w:t>
      </w:r>
      <w:r w:rsidR="004B75F7">
        <w:t xml:space="preserve"> the</w:t>
      </w:r>
      <w:r w:rsidR="0049731C">
        <w:t xml:space="preserve"> practical</w:t>
      </w:r>
      <w:r w:rsidR="00B003E9">
        <w:t xml:space="preserve"> underdetermination problem </w:t>
      </w:r>
      <w:r w:rsidR="00C43038">
        <w:t xml:space="preserve">they </w:t>
      </w:r>
      <w:r w:rsidR="004B75F7">
        <w:t>confronted in</w:t>
      </w:r>
      <w:r w:rsidR="00B003E9">
        <w:t xml:space="preserve"> </w:t>
      </w:r>
      <w:r w:rsidR="000D39F6">
        <w:t>the</w:t>
      </w:r>
      <w:r w:rsidR="00B003E9">
        <w:t xml:space="preserve"> concrete case</w:t>
      </w:r>
      <w:r w:rsidR="000D39F6">
        <w:t xml:space="preserve"> I analyzed in </w:t>
      </w:r>
      <w:r w:rsidR="00C87485">
        <w:t xml:space="preserve">my </w:t>
      </w:r>
      <w:r w:rsidR="000D39F6">
        <w:t>previous work</w:t>
      </w:r>
      <w:r w:rsidR="00E233DC">
        <w:t>.</w:t>
      </w:r>
      <w:r w:rsidR="00766386">
        <w:t xml:space="preserve"> </w:t>
      </w:r>
      <w:r w:rsidR="004654C0">
        <w:t>Overall</w:t>
      </w:r>
      <w:r w:rsidR="00C43038">
        <w:t>,</w:t>
      </w:r>
      <w:r w:rsidR="004654C0">
        <w:t xml:space="preserve"> the analysis</w:t>
      </w:r>
      <w:r w:rsidR="00766386">
        <w:t xml:space="preserve"> enables </w:t>
      </w:r>
      <w:r w:rsidR="00613762">
        <w:t xml:space="preserve">us to describe how </w:t>
      </w:r>
      <w:r w:rsidR="00457692">
        <w:t xml:space="preserve">the exercise of this form of creativity enables </w:t>
      </w:r>
      <w:r w:rsidR="00613762">
        <w:t xml:space="preserve">experimental practice in science </w:t>
      </w:r>
      <w:r w:rsidR="00457692">
        <w:t>to</w:t>
      </w:r>
      <w:r w:rsidR="00613762">
        <w:t xml:space="preserve"> develop in genuinely novel “</w:t>
      </w:r>
      <w:proofErr w:type="spellStart"/>
      <w:r w:rsidR="00613762">
        <w:t>unprestatable</w:t>
      </w:r>
      <w:proofErr w:type="spellEnd"/>
      <w:r w:rsidR="00613762">
        <w:t>” ways.</w:t>
      </w:r>
    </w:p>
    <w:p w14:paraId="463CDFD8" w14:textId="0FFB9395" w:rsidR="00265ED0" w:rsidRDefault="00C43038" w:rsidP="003A1514">
      <w:pPr>
        <w:ind w:firstLine="720"/>
      </w:pPr>
      <w:r>
        <w:t>A</w:t>
      </w:r>
      <w:r w:rsidR="00146249">
        <w:t>s I mentioned</w:t>
      </w:r>
      <w:r w:rsidR="00C51EE7">
        <w:t>,</w:t>
      </w:r>
      <w:r w:rsidR="00737AAC">
        <w:t xml:space="preserve"> </w:t>
      </w:r>
      <w:r w:rsidR="00552026">
        <w:t xml:space="preserve">I </w:t>
      </w:r>
      <w:r w:rsidR="00904AB6">
        <w:t>believe</w:t>
      </w:r>
      <w:r w:rsidR="0010109A">
        <w:t xml:space="preserve"> that this</w:t>
      </w:r>
      <w:r w:rsidR="00552026">
        <w:t xml:space="preserve"> analysis </w:t>
      </w:r>
      <w:r w:rsidR="0010109A">
        <w:t>represents</w:t>
      </w:r>
      <w:r w:rsidR="00EC2FA4">
        <w:t xml:space="preserve"> </w:t>
      </w:r>
      <w:r w:rsidR="00F279B6">
        <w:t xml:space="preserve">a step toward </w:t>
      </w:r>
      <w:r w:rsidR="00EC2FA4">
        <w:t>answer</w:t>
      </w:r>
      <w:r w:rsidR="004B75F7">
        <w:t>ing</w:t>
      </w:r>
      <w:r w:rsidR="00552026">
        <w:t xml:space="preserve"> Chang</w:t>
      </w:r>
      <w:r w:rsidR="00904AB6">
        <w:t>’s</w:t>
      </w:r>
      <w:r w:rsidR="00552026">
        <w:t xml:space="preserve"> (202</w:t>
      </w:r>
      <w:r w:rsidR="0020171E">
        <w:t>2</w:t>
      </w:r>
      <w:r w:rsidR="00552026">
        <w:t xml:space="preserve">) call to </w:t>
      </w:r>
      <w:r w:rsidR="00D36AD4">
        <w:t>develop</w:t>
      </w:r>
      <w:r w:rsidR="00D36AD4" w:rsidRPr="00D36AD4">
        <w:t xml:space="preserve"> </w:t>
      </w:r>
      <w:r w:rsidR="00D36AD4">
        <w:t>“</w:t>
      </w:r>
      <w:r w:rsidR="00D36AD4" w:rsidRPr="00D36AD4">
        <w:t>a more serious understanding of scientists as agents</w:t>
      </w:r>
      <w:r w:rsidR="0028145D">
        <w:t>,</w:t>
      </w:r>
      <w:r w:rsidR="007B3A92">
        <w:t>”</w:t>
      </w:r>
      <w:r w:rsidR="0028145D">
        <w:t xml:space="preserve"> not merely “algorithmic processors of propositions”</w:t>
      </w:r>
      <w:r w:rsidR="00CF6EBD">
        <w:t xml:space="preserve"> (27-28).</w:t>
      </w:r>
      <w:r w:rsidR="00EA55E9">
        <w:t xml:space="preserve"> </w:t>
      </w:r>
      <w:r w:rsidR="00CF6EBD">
        <w:t>Kauffman’s framework of the adjacent possible</w:t>
      </w:r>
      <w:r w:rsidR="004231C9">
        <w:t xml:space="preserve"> is particularly useful in this regard. He develops it in giving an innovative account of the means by which systems in the biosphere evolve</w:t>
      </w:r>
      <w:r w:rsidR="003A1514">
        <w:t xml:space="preserve">—one on which they do so “creatively” in a sense Kauffman contrasts with “algorithmically.” </w:t>
      </w:r>
      <w:r w:rsidR="008654A6">
        <w:t>By</w:t>
      </w:r>
      <w:r w:rsidR="003A1514">
        <w:t xml:space="preserve"> identifying </w:t>
      </w:r>
      <w:r w:rsidR="00BA6559">
        <w:t>the practical underdetermination problem that researchers in the case confronted</w:t>
      </w:r>
      <w:r w:rsidR="003639DA">
        <w:t xml:space="preserve"> </w:t>
      </w:r>
      <w:r w:rsidR="003A1514">
        <w:t>with an epistemic adjacent possible,</w:t>
      </w:r>
      <w:r w:rsidR="00FA15D5" w:rsidRPr="00D36AD4">
        <w:t xml:space="preserve"> </w:t>
      </w:r>
      <w:r w:rsidR="006B6589">
        <w:t xml:space="preserve">we can likewise </w:t>
      </w:r>
      <w:r w:rsidR="0003495C">
        <w:t>offer an account of</w:t>
      </w:r>
      <w:r w:rsidR="006B6589">
        <w:t xml:space="preserve"> the means by which </w:t>
      </w:r>
      <w:r w:rsidR="00BA6559">
        <w:t xml:space="preserve">the </w:t>
      </w:r>
      <w:r w:rsidR="006B6589">
        <w:t xml:space="preserve">researchers </w:t>
      </w:r>
      <w:r w:rsidR="00EC2FA4">
        <w:t>resolve</w:t>
      </w:r>
      <w:r w:rsidR="00BA6559">
        <w:t>d their</w:t>
      </w:r>
      <w:r w:rsidR="006B6589">
        <w:t xml:space="preserve"> problem</w:t>
      </w:r>
      <w:r w:rsidR="0003495C">
        <w:t xml:space="preserve"> on which their doing so involve</w:t>
      </w:r>
      <w:r w:rsidR="00BA6559">
        <w:t>d</w:t>
      </w:r>
      <w:r w:rsidR="0003495C">
        <w:t xml:space="preserve"> the exercise </w:t>
      </w:r>
      <w:r w:rsidR="003639DA">
        <w:t xml:space="preserve">of </w:t>
      </w:r>
      <w:r w:rsidR="00D363A4">
        <w:t>a form of “non-algorithmic” creativ</w:t>
      </w:r>
      <w:r w:rsidR="001049E8">
        <w:t>e agency</w:t>
      </w:r>
      <w:r w:rsidR="00D363A4">
        <w:t>.</w:t>
      </w:r>
      <w:r w:rsidR="00122ED2">
        <w:t xml:space="preserve"> </w:t>
      </w:r>
    </w:p>
    <w:p w14:paraId="73108A3E" w14:textId="0075D0DC" w:rsidR="009C0AC8" w:rsidRPr="00F25C1A" w:rsidRDefault="00BE472A" w:rsidP="001C4D44">
      <w:pPr>
        <w:ind w:firstLine="720"/>
      </w:pPr>
      <w:r>
        <w:rPr>
          <w:b/>
          <w:bCs/>
        </w:rPr>
        <w:t>Section I</w:t>
      </w:r>
      <w:r w:rsidR="003E714F">
        <w:t xml:space="preserve"> provides a brief introduction to Kauffman’s framework of the adjacent possible</w:t>
      </w:r>
      <w:r w:rsidR="001477A4">
        <w:t xml:space="preserve">. </w:t>
      </w:r>
      <w:r w:rsidR="00B7301E">
        <w:t>I b</w:t>
      </w:r>
      <w:r w:rsidR="001477A4">
        <w:t>uild</w:t>
      </w:r>
      <w:r w:rsidR="000B6B8D">
        <w:t xml:space="preserve"> specifically</w:t>
      </w:r>
      <w:r w:rsidR="001477A4">
        <w:t xml:space="preserve"> on Kauffman’s (2019) remarks</w:t>
      </w:r>
      <w:r w:rsidR="009C0AC8">
        <w:t xml:space="preserve"> </w:t>
      </w:r>
      <w:r w:rsidR="00A50C72">
        <w:t>according to which</w:t>
      </w:r>
      <w:r w:rsidR="009C0AC8">
        <w:t xml:space="preserve"> biological evolution occurs by</w:t>
      </w:r>
      <w:r w:rsidR="00F10FB2">
        <w:t xml:space="preserve"> creative,</w:t>
      </w:r>
      <w:r w:rsidR="009C0AC8">
        <w:t xml:space="preserve"> “non-algorithmic” means. As we</w:t>
      </w:r>
      <w:r w:rsidR="001C4D44">
        <w:t xml:space="preserve"> will also</w:t>
      </w:r>
      <w:r w:rsidR="009C0AC8">
        <w:t xml:space="preserve"> see</w:t>
      </w:r>
      <w:r w:rsidR="001C4D44">
        <w:t xml:space="preserve"> in this section’s discussion of the Duncker Candle Task,</w:t>
      </w:r>
      <w:r w:rsidR="009C0AC8">
        <w:t xml:space="preserve"> there is a clear analogy to this kind of creativity in the sphere of human activity.</w:t>
      </w:r>
      <w:r w:rsidR="001112D4">
        <w:t xml:space="preserve"> </w:t>
      </w:r>
      <w:r w:rsidR="001112D4" w:rsidRPr="007E7F06">
        <w:rPr>
          <w:b/>
          <w:bCs/>
        </w:rPr>
        <w:t>Section II</w:t>
      </w:r>
      <w:r w:rsidR="001112D4">
        <w:t xml:space="preserve"> walks through</w:t>
      </w:r>
      <w:r w:rsidR="0007497B">
        <w:t xml:space="preserve"> the “Inchworm Episode”</w:t>
      </w:r>
      <w:r w:rsidR="00FE2836">
        <w:t xml:space="preserve"> </w:t>
      </w:r>
      <w:r w:rsidR="0007497B">
        <w:t xml:space="preserve">and </w:t>
      </w:r>
      <w:r w:rsidR="005F00CF">
        <w:t>introduc</w:t>
      </w:r>
      <w:r w:rsidR="0007497B">
        <w:t>es</w:t>
      </w:r>
      <w:r w:rsidR="00FE2836">
        <w:t xml:space="preserve"> the conceptual apparatus</w:t>
      </w:r>
      <w:r w:rsidR="007D1F91">
        <w:t xml:space="preserve"> </w:t>
      </w:r>
      <w:r w:rsidR="001C4D44">
        <w:t>that</w:t>
      </w:r>
      <w:r w:rsidR="00FE2836">
        <w:t xml:space="preserve"> </w:t>
      </w:r>
      <w:r w:rsidR="000D39F6">
        <w:t>I</w:t>
      </w:r>
      <w:r w:rsidR="00FE2836">
        <w:t xml:space="preserve"> </w:t>
      </w:r>
      <w:r w:rsidR="005F00CF">
        <w:t>developed</w:t>
      </w:r>
      <w:r w:rsidR="00FE2836">
        <w:t xml:space="preserve"> to give </w:t>
      </w:r>
      <w:r w:rsidR="000D39F6">
        <w:t>my</w:t>
      </w:r>
      <w:r w:rsidR="00E233DC">
        <w:t xml:space="preserve"> philosophical</w:t>
      </w:r>
      <w:r w:rsidR="00FE2836">
        <w:t xml:space="preserve"> account</w:t>
      </w:r>
      <w:r w:rsidR="00E233DC">
        <w:t xml:space="preserve"> of it.</w:t>
      </w:r>
      <w:r w:rsidR="004B50D2">
        <w:t xml:space="preserve"> </w:t>
      </w:r>
      <w:r w:rsidR="009C0AC8">
        <w:rPr>
          <w:b/>
          <w:bCs/>
        </w:rPr>
        <w:t>Section III</w:t>
      </w:r>
      <w:r w:rsidR="005C05AC">
        <w:t xml:space="preserve"> </w:t>
      </w:r>
      <w:r>
        <w:t xml:space="preserve">further </w:t>
      </w:r>
      <w:r w:rsidR="005C05AC">
        <w:t>develop</w:t>
      </w:r>
      <w:r>
        <w:t>s</w:t>
      </w:r>
      <w:r w:rsidR="005C05AC">
        <w:t xml:space="preserve"> </w:t>
      </w:r>
      <w:r w:rsidR="001F1987">
        <w:t>t</w:t>
      </w:r>
      <w:r w:rsidR="005B635F">
        <w:t>his</w:t>
      </w:r>
      <w:r w:rsidR="005C05AC">
        <w:t xml:space="preserve"> apparatus</w:t>
      </w:r>
      <w:r w:rsidR="00224C79">
        <w:t xml:space="preserve">. </w:t>
      </w:r>
      <w:r w:rsidR="008654A6">
        <w:t>The section</w:t>
      </w:r>
      <w:r w:rsidR="002F5DF7">
        <w:t xml:space="preserve"> highlight</w:t>
      </w:r>
      <w:r>
        <w:t>s</w:t>
      </w:r>
      <w:r w:rsidR="002F5DF7">
        <w:t xml:space="preserve"> how </w:t>
      </w:r>
      <w:r w:rsidR="000D39F6">
        <w:t>my</w:t>
      </w:r>
      <w:r w:rsidR="002F5DF7">
        <w:t xml:space="preserve"> case study reflects the exercise of the form of creativity I have in mind</w:t>
      </w:r>
      <w:r w:rsidR="006747AE">
        <w:t>, and</w:t>
      </w:r>
      <w:r w:rsidR="00FB5423">
        <w:t xml:space="preserve"> how it enabled researchers to </w:t>
      </w:r>
      <w:r w:rsidR="000605E0">
        <w:t xml:space="preserve">solve their practical underdetermination </w:t>
      </w:r>
      <w:r w:rsidR="004B75F7">
        <w:t xml:space="preserve">problem </w:t>
      </w:r>
      <w:r w:rsidR="000605E0">
        <w:t xml:space="preserve">and </w:t>
      </w:r>
      <w:r w:rsidR="006747AE">
        <w:t>“</w:t>
      </w:r>
      <w:r w:rsidR="000605E0">
        <w:t>step into</w:t>
      </w:r>
      <w:r w:rsidR="006747AE">
        <w:t>”</w:t>
      </w:r>
      <w:r w:rsidR="000605E0">
        <w:t xml:space="preserve"> the</w:t>
      </w:r>
      <w:r w:rsidR="008654A6">
        <w:t>ir experimental dead-space, i.e. the</w:t>
      </w:r>
      <w:r w:rsidR="000605E0">
        <w:t xml:space="preserve"> epistemic adjacent possible.</w:t>
      </w:r>
      <w:r w:rsidR="005B635F">
        <w:t xml:space="preserve"> </w:t>
      </w:r>
      <w:r w:rsidR="00F25C1A">
        <w:rPr>
          <w:b/>
          <w:bCs/>
        </w:rPr>
        <w:t xml:space="preserve">Section IV </w:t>
      </w:r>
      <w:r w:rsidR="008654A6">
        <w:t>ties up some loose ends.</w:t>
      </w:r>
    </w:p>
    <w:p w14:paraId="36EC88F0" w14:textId="1D41FE24" w:rsidR="005F03A0" w:rsidRDefault="00814D2C" w:rsidP="008330B9">
      <w:r>
        <w:tab/>
      </w:r>
      <w:r w:rsidR="00DB59FF">
        <w:t xml:space="preserve"> </w:t>
      </w:r>
      <w:r w:rsidR="00B91A78">
        <w:t xml:space="preserve"> </w:t>
      </w:r>
      <w:r w:rsidR="008E1411">
        <w:t xml:space="preserve">   </w:t>
      </w:r>
    </w:p>
    <w:p w14:paraId="2F3005AC" w14:textId="07BF63CD" w:rsidR="002B7499" w:rsidRDefault="002B7499" w:rsidP="002B7499">
      <w:pPr>
        <w:ind w:firstLine="720"/>
        <w:jc w:val="center"/>
        <w:rPr>
          <w:b/>
          <w:bCs/>
        </w:rPr>
      </w:pPr>
      <w:r w:rsidRPr="002B7499">
        <w:rPr>
          <w:b/>
          <w:bCs/>
        </w:rPr>
        <w:t>Section I</w:t>
      </w:r>
      <w:r>
        <w:rPr>
          <w:b/>
          <w:bCs/>
        </w:rPr>
        <w:t xml:space="preserve">: </w:t>
      </w:r>
      <w:r w:rsidR="00312B29">
        <w:rPr>
          <w:b/>
          <w:bCs/>
        </w:rPr>
        <w:t>Creativity</w:t>
      </w:r>
      <w:r w:rsidR="006D6B89">
        <w:rPr>
          <w:b/>
          <w:bCs/>
        </w:rPr>
        <w:t xml:space="preserve"> and</w:t>
      </w:r>
      <w:r w:rsidR="00312B29">
        <w:rPr>
          <w:b/>
          <w:bCs/>
        </w:rPr>
        <w:t xml:space="preserve"> </w:t>
      </w:r>
      <w:r>
        <w:rPr>
          <w:b/>
          <w:bCs/>
        </w:rPr>
        <w:t>“</w:t>
      </w:r>
      <w:r w:rsidR="006D6B89">
        <w:rPr>
          <w:b/>
          <w:bCs/>
        </w:rPr>
        <w:t xml:space="preserve">The </w:t>
      </w:r>
      <w:r w:rsidR="00312B29">
        <w:rPr>
          <w:b/>
          <w:bCs/>
        </w:rPr>
        <w:t>A</w:t>
      </w:r>
      <w:r>
        <w:rPr>
          <w:b/>
          <w:bCs/>
        </w:rPr>
        <w:t xml:space="preserve">djacent </w:t>
      </w:r>
      <w:r w:rsidR="00312B29">
        <w:rPr>
          <w:b/>
          <w:bCs/>
        </w:rPr>
        <w:t>P</w:t>
      </w:r>
      <w:r>
        <w:rPr>
          <w:b/>
          <w:bCs/>
        </w:rPr>
        <w:t>ossible”</w:t>
      </w:r>
    </w:p>
    <w:p w14:paraId="12487180" w14:textId="77777777" w:rsidR="002B7499" w:rsidRDefault="002B7499" w:rsidP="00277550">
      <w:pPr>
        <w:ind w:firstLine="720"/>
        <w:rPr>
          <w:b/>
          <w:bCs/>
        </w:rPr>
      </w:pPr>
    </w:p>
    <w:p w14:paraId="3800D69F" w14:textId="5A21BA6A" w:rsidR="00FE0226" w:rsidRDefault="008D3ED8" w:rsidP="00FE0226">
      <w:pPr>
        <w:ind w:firstLine="720"/>
      </w:pPr>
      <w:r>
        <w:lastRenderedPageBreak/>
        <w:t>Think</w:t>
      </w:r>
      <w:r w:rsidR="0078458D">
        <w:t xml:space="preserve"> of chess. </w:t>
      </w:r>
      <w:r w:rsidR="0019783E">
        <w:t xml:space="preserve">As moves in </w:t>
      </w:r>
      <w:r>
        <w:t>chess</w:t>
      </w:r>
      <w:r w:rsidR="0019783E">
        <w:t xml:space="preserve"> are bound by a finite set of well-defined rules,</w:t>
      </w:r>
      <w:r>
        <w:t xml:space="preserve"> we can specify</w:t>
      </w:r>
      <w:r w:rsidR="0093363D">
        <w:t xml:space="preserve"> or, as Kauffman </w:t>
      </w:r>
      <w:r w:rsidR="00F279B6">
        <w:t xml:space="preserve">(2019) </w:t>
      </w:r>
      <w:r w:rsidR="0093363D">
        <w:t>puts it, “</w:t>
      </w:r>
      <w:proofErr w:type="spellStart"/>
      <w:r w:rsidR="0093363D">
        <w:t>prestate</w:t>
      </w:r>
      <w:proofErr w:type="spellEnd"/>
      <w:r w:rsidR="0093363D">
        <w:t>,”</w:t>
      </w:r>
      <w:r>
        <w:t xml:space="preserve"> for any </w:t>
      </w:r>
      <w:r w:rsidR="0073050A">
        <w:t>given</w:t>
      </w:r>
      <w:r w:rsidR="0093363D">
        <w:t xml:space="preserve"> board position, a space of alternative possible configurations </w:t>
      </w:r>
      <w:r w:rsidR="00FD74C5">
        <w:t>into which the</w:t>
      </w:r>
      <w:r w:rsidR="000B6B8D">
        <w:t xml:space="preserve"> board</w:t>
      </w:r>
      <w:r w:rsidR="00FD74C5">
        <w:t xml:space="preserve"> can develop</w:t>
      </w:r>
      <w:r w:rsidR="008A2994">
        <w:t xml:space="preserve"> </w:t>
      </w:r>
      <w:r w:rsidR="00CE52DB">
        <w:t>given</w:t>
      </w:r>
      <w:r w:rsidR="008A2994">
        <w:t xml:space="preserve"> a single </w:t>
      </w:r>
      <w:r w:rsidR="001D117D">
        <w:t xml:space="preserve">legal </w:t>
      </w:r>
      <w:r w:rsidR="008A2994">
        <w:t xml:space="preserve">move. </w:t>
      </w:r>
      <w:r w:rsidR="005501C5">
        <w:t>The</w:t>
      </w:r>
      <w:r w:rsidR="0073050A">
        <w:t xml:space="preserve"> given</w:t>
      </w:r>
      <w:r w:rsidR="005501C5">
        <w:t xml:space="preserve"> board position </w:t>
      </w:r>
      <w:r w:rsidR="00BF5154">
        <w:t xml:space="preserve">represents what Kauffman calls “the actual.” </w:t>
      </w:r>
      <w:r w:rsidR="008A2994">
        <w:t>Th</w:t>
      </w:r>
      <w:r w:rsidR="00BF5154">
        <w:t>e</w:t>
      </w:r>
      <w:r w:rsidR="008A2994">
        <w:t xml:space="preserve"> </w:t>
      </w:r>
      <w:r w:rsidR="001D117D">
        <w:t xml:space="preserve">possibility </w:t>
      </w:r>
      <w:r w:rsidR="008A2994">
        <w:t>space</w:t>
      </w:r>
      <w:r w:rsidR="00BF5154">
        <w:t xml:space="preserve"> we “</w:t>
      </w:r>
      <w:proofErr w:type="spellStart"/>
      <w:r w:rsidR="00BF5154">
        <w:t>prestated</w:t>
      </w:r>
      <w:proofErr w:type="spellEnd"/>
      <w:r w:rsidR="00BF5154">
        <w:t>”</w:t>
      </w:r>
      <w:r w:rsidR="008A2994">
        <w:t xml:space="preserve"> is </w:t>
      </w:r>
      <w:r w:rsidR="00BF5154">
        <w:t>its</w:t>
      </w:r>
      <w:r w:rsidR="008A2994">
        <w:t xml:space="preserve"> “adjacent possible.” </w:t>
      </w:r>
      <w:r w:rsidR="002929EB">
        <w:t>According to Kauffman,</w:t>
      </w:r>
      <w:r w:rsidR="00842B35">
        <w:t xml:space="preserve"> current “actual”</w:t>
      </w:r>
      <w:r w:rsidR="002929EB">
        <w:t xml:space="preserve"> s</w:t>
      </w:r>
      <w:r w:rsidR="008A2994">
        <w:t xml:space="preserve">ystems in the biosphere </w:t>
      </w:r>
      <w:r w:rsidR="001F3E33">
        <w:t>also have adjacent possible</w:t>
      </w:r>
      <w:r w:rsidR="002929EB">
        <w:t>s</w:t>
      </w:r>
      <w:r w:rsidR="001F3E33">
        <w:t>.</w:t>
      </w:r>
      <w:r w:rsidR="002929EB">
        <w:t xml:space="preserve"> The difference, though, is that</w:t>
      </w:r>
      <w:r w:rsidR="00F86E77">
        <w:t xml:space="preserve"> on</w:t>
      </w:r>
      <w:r w:rsidR="00476769">
        <w:t xml:space="preserve"> Kauffman</w:t>
      </w:r>
      <w:r w:rsidR="00F86E77">
        <w:t>’s view</w:t>
      </w:r>
      <w:r w:rsidR="00476769">
        <w:t>,</w:t>
      </w:r>
      <w:r w:rsidR="002929EB">
        <w:t xml:space="preserve"> </w:t>
      </w:r>
      <w:r w:rsidR="00734A78">
        <w:t xml:space="preserve">the </w:t>
      </w:r>
      <w:r w:rsidR="00684990">
        <w:t>evolution</w:t>
      </w:r>
      <w:r w:rsidR="00734A78">
        <w:t xml:space="preserve"> of such systems is not </w:t>
      </w:r>
      <w:r w:rsidR="000B6B8D">
        <w:t>explicable in terms of</w:t>
      </w:r>
      <w:r w:rsidR="00734A78">
        <w:t xml:space="preserve"> a finite set of well-defined rules</w:t>
      </w:r>
      <w:r w:rsidR="002F2560">
        <w:t>.</w:t>
      </w:r>
      <w:r w:rsidR="001D117D">
        <w:t xml:space="preserve"> </w:t>
      </w:r>
      <w:r w:rsidR="002F2560">
        <w:t>S</w:t>
      </w:r>
      <w:r w:rsidR="001D117D">
        <w:t>o</w:t>
      </w:r>
      <w:r w:rsidR="002F2560">
        <w:t>,</w:t>
      </w:r>
      <w:r w:rsidR="001D117D">
        <w:t xml:space="preserve"> we cannot </w:t>
      </w:r>
      <w:proofErr w:type="spellStart"/>
      <w:r w:rsidR="001D117D">
        <w:t>prestate</w:t>
      </w:r>
      <w:proofErr w:type="spellEnd"/>
      <w:r w:rsidR="001D117D">
        <w:t xml:space="preserve"> their adjacent possibles.</w:t>
      </w:r>
      <w:r w:rsidR="0007497B">
        <w:rPr>
          <w:rStyle w:val="FootnoteReference"/>
        </w:rPr>
        <w:footnoteReference w:id="6"/>
      </w:r>
      <w:r w:rsidR="001D117D">
        <w:t xml:space="preserve"> But, if not </w:t>
      </w:r>
      <w:r w:rsidR="00F1020D">
        <w:t>by means amenable to explication in terms of</w:t>
      </w:r>
      <w:r w:rsidR="001D117D">
        <w:t xml:space="preserve"> a finite set of well-defined rules, how do systems in the biosphere change? Kauffman’s answer is that they do so “non-algorithmically,” “inventively,”</w:t>
      </w:r>
      <w:r w:rsidR="00734A78">
        <w:t xml:space="preserve"> </w:t>
      </w:r>
      <w:r w:rsidR="001D117D">
        <w:t xml:space="preserve">or, </w:t>
      </w:r>
      <w:r w:rsidR="00AA1249">
        <w:t>to use the term I favor here,</w:t>
      </w:r>
      <w:r w:rsidR="001D117D">
        <w:t xml:space="preserve"> </w:t>
      </w:r>
      <w:r w:rsidR="001D117D">
        <w:rPr>
          <w:i/>
          <w:iCs/>
        </w:rPr>
        <w:t xml:space="preserve">creatively. </w:t>
      </w:r>
      <w:r w:rsidR="001D117D">
        <w:rPr>
          <w:rStyle w:val="FootnoteReference"/>
        </w:rPr>
        <w:footnoteReference w:id="7"/>
      </w:r>
      <w:r w:rsidR="001D117D">
        <w:rPr>
          <w:i/>
          <w:iCs/>
        </w:rPr>
        <w:t xml:space="preserve"> </w:t>
      </w:r>
      <w:r w:rsidR="00FE0226">
        <w:t>What does “creatively” mean in this context?</w:t>
      </w:r>
    </w:p>
    <w:p w14:paraId="635D767C" w14:textId="48D4D447" w:rsidR="00A449CB" w:rsidRDefault="004738A0" w:rsidP="00412F66">
      <w:pPr>
        <w:ind w:firstLine="720"/>
        <w:rPr>
          <w:sz w:val="22"/>
        </w:rPr>
      </w:pPr>
      <w:r>
        <w:t>Kauffman illustrate</w:t>
      </w:r>
      <w:r w:rsidR="006B294B">
        <w:t xml:space="preserve">s </w:t>
      </w:r>
      <w:r w:rsidR="00EC5A4B">
        <w:t>using</w:t>
      </w:r>
      <w:r w:rsidR="00661946">
        <w:t xml:space="preserve"> two examples—</w:t>
      </w:r>
      <w:r w:rsidR="00684990">
        <w:t>e</w:t>
      </w:r>
      <w:r w:rsidR="00661946">
        <w:t xml:space="preserve">xaptations and </w:t>
      </w:r>
      <w:r w:rsidR="00684990">
        <w:t>s</w:t>
      </w:r>
      <w:r w:rsidR="00661946">
        <w:t>crewdrivers</w:t>
      </w:r>
      <w:r w:rsidR="00C214FF">
        <w:t xml:space="preserve"> (Kauffman 2019</w:t>
      </w:r>
      <w:r w:rsidR="00A22D9A">
        <w:t>)</w:t>
      </w:r>
      <w:r w:rsidR="00D96FEA">
        <w:t>.</w:t>
      </w:r>
      <w:r w:rsidR="00A22D9A">
        <w:t xml:space="preserve"> </w:t>
      </w:r>
      <w:r w:rsidR="002F2560">
        <w:t>An “exaptation” or “Darwinian preadaptation” is a trait that evolves for one function but is later co-opted for a different one.</w:t>
      </w:r>
      <w:r w:rsidR="008A7470">
        <w:t xml:space="preserve"> Analogously, a screwdriver can be used to screw in a screw or, if circumstances call for it, open a can of paint.</w:t>
      </w:r>
      <w:r w:rsidR="002F2560">
        <w:t xml:space="preserve"> Kauffman</w:t>
      </w:r>
      <w:r w:rsidR="008A7470">
        <w:t xml:space="preserve"> uses </w:t>
      </w:r>
      <w:r w:rsidR="00A4225D">
        <w:t>these examples to motivate a distinction between two different kinds of change</w:t>
      </w:r>
      <w:r w:rsidR="00A22D9A">
        <w:t>. I quote him at length:</w:t>
      </w:r>
      <w:r w:rsidR="002F2560">
        <w:t xml:space="preserve"> </w:t>
      </w:r>
      <w:r w:rsidR="00F4318C">
        <w:t xml:space="preserve"> </w:t>
      </w:r>
    </w:p>
    <w:p w14:paraId="2EBA5AEA" w14:textId="77777777" w:rsidR="00D94185" w:rsidRDefault="00D94185" w:rsidP="00B60CF7">
      <w:pPr>
        <w:ind w:firstLine="720"/>
        <w:jc w:val="center"/>
        <w:rPr>
          <w:sz w:val="22"/>
        </w:rPr>
      </w:pPr>
    </w:p>
    <w:p w14:paraId="002E63E0" w14:textId="74BC7090" w:rsidR="00D94185" w:rsidRDefault="004B0741" w:rsidP="00684900">
      <w:pPr>
        <w:ind w:left="720" w:right="720"/>
        <w:jc w:val="both"/>
        <w:rPr>
          <w:sz w:val="22"/>
        </w:rPr>
      </w:pPr>
      <w:r>
        <w:rPr>
          <w:sz w:val="22"/>
        </w:rPr>
        <w:t xml:space="preserve">. . . </w:t>
      </w:r>
      <w:r w:rsidR="00D94185">
        <w:rPr>
          <w:sz w:val="22"/>
        </w:rPr>
        <w:t xml:space="preserve">Darwin had many brilliant ideas. Among them was his </w:t>
      </w:r>
      <w:r w:rsidR="008A7470">
        <w:rPr>
          <w:sz w:val="22"/>
        </w:rPr>
        <w:t xml:space="preserve">. . . </w:t>
      </w:r>
      <w:r w:rsidR="00D94185">
        <w:rPr>
          <w:sz w:val="22"/>
        </w:rPr>
        <w:t xml:space="preserve"> realization that the heart, in a different environment, might come to be selected for some causal aspect other than </w:t>
      </w:r>
      <w:r w:rsidR="008E64DB">
        <w:rPr>
          <w:sz w:val="22"/>
        </w:rPr>
        <w:t>pumping blood. Perhaps as a resonant chamber, my heart might pick up earthquake pre</w:t>
      </w:r>
      <w:r w:rsidR="00F573A2">
        <w:rPr>
          <w:sz w:val="22"/>
        </w:rPr>
        <w:t>-tremors. I rush outside, escape a dreadful qu</w:t>
      </w:r>
      <w:r w:rsidR="00C27770">
        <w:rPr>
          <w:sz w:val="22"/>
        </w:rPr>
        <w:t>ak</w:t>
      </w:r>
      <w:r w:rsidR="00F573A2">
        <w:rPr>
          <w:sz w:val="22"/>
        </w:rPr>
        <w:t>e, become famous, mate with many, and my dominant genetic mutation for a heart able to sense pre-tremors is passed onto my manifold children</w:t>
      </w:r>
      <w:r w:rsidR="00E36E66">
        <w:rPr>
          <w:sz w:val="22"/>
        </w:rPr>
        <w:t xml:space="preserve"> . . . With that, a new </w:t>
      </w:r>
      <w:r w:rsidR="00E36E66">
        <w:rPr>
          <w:i/>
          <w:iCs/>
          <w:sz w:val="22"/>
        </w:rPr>
        <w:t xml:space="preserve">function </w:t>
      </w:r>
      <w:r w:rsidR="00E36E66">
        <w:rPr>
          <w:sz w:val="22"/>
        </w:rPr>
        <w:t>would come to exist in the biosphere</w:t>
      </w:r>
      <w:r w:rsidR="004E0373">
        <w:rPr>
          <w:sz w:val="22"/>
        </w:rPr>
        <w:t xml:space="preserve">. These are very common and are called Darwinian </w:t>
      </w:r>
      <w:proofErr w:type="spellStart"/>
      <w:r w:rsidR="004E0373">
        <w:rPr>
          <w:sz w:val="22"/>
        </w:rPr>
        <w:t>preadaptations</w:t>
      </w:r>
      <w:proofErr w:type="spellEnd"/>
      <w:r w:rsidR="004E0373">
        <w:rPr>
          <w:sz w:val="22"/>
        </w:rPr>
        <w:t xml:space="preserve"> with no hint of foresight on the part of evolution. S.J. Gould renamed these Darwinian exaptations</w:t>
      </w:r>
      <w:r>
        <w:rPr>
          <w:sz w:val="22"/>
        </w:rPr>
        <w:t xml:space="preserve"> . . .</w:t>
      </w:r>
      <w:r w:rsidR="004E0373">
        <w:rPr>
          <w:sz w:val="22"/>
        </w:rPr>
        <w:t xml:space="preserve"> (116).</w:t>
      </w:r>
    </w:p>
    <w:p w14:paraId="4A9C5697" w14:textId="77777777" w:rsidR="00E84DBB" w:rsidRDefault="00E84DBB" w:rsidP="00684900">
      <w:pPr>
        <w:ind w:left="720" w:right="720"/>
        <w:jc w:val="both"/>
        <w:rPr>
          <w:sz w:val="22"/>
        </w:rPr>
      </w:pPr>
    </w:p>
    <w:p w14:paraId="718E65EF" w14:textId="5F1BD1D8" w:rsidR="00D13A65" w:rsidRDefault="004B0741" w:rsidP="009827E5">
      <w:pPr>
        <w:ind w:left="720" w:right="720"/>
        <w:jc w:val="both"/>
        <w:rPr>
          <w:sz w:val="22"/>
        </w:rPr>
      </w:pPr>
      <w:r>
        <w:rPr>
          <w:sz w:val="22"/>
        </w:rPr>
        <w:t xml:space="preserve">. . . </w:t>
      </w:r>
      <w:r w:rsidR="00E84DBB">
        <w:rPr>
          <w:sz w:val="22"/>
        </w:rPr>
        <w:t xml:space="preserve">Perhaps my favorite Darwinian preadaptation is the swim bladder. Some fish have a bladder that holds air and water. The ratio of air to water in the sac tunes neutral buoyancy in the water column. </w:t>
      </w:r>
      <w:r w:rsidR="00355139">
        <w:rPr>
          <w:sz w:val="22"/>
        </w:rPr>
        <w:t>Paleontologists think swim bladders evolved from the lungs of lung fish. Water got into some lungs, which now had a mixture of air and water and were poised to evolved into a swim bladder</w:t>
      </w:r>
      <w:r>
        <w:rPr>
          <w:sz w:val="22"/>
        </w:rPr>
        <w:t xml:space="preserve"> . . . </w:t>
      </w:r>
      <w:r w:rsidR="00D13A65">
        <w:rPr>
          <w:sz w:val="22"/>
        </w:rPr>
        <w:t>With the swim bladder’s emergence, a new function came to exist in the biosphere: neutral buoyancy in the water column. But there is more</w:t>
      </w:r>
      <w:r w:rsidR="00C01D45">
        <w:rPr>
          <w:sz w:val="22"/>
        </w:rPr>
        <w:t xml:space="preserve"> . . . might a worm or bacterium evolve to live only in swim bladders? Yes, of course. </w:t>
      </w:r>
      <w:proofErr w:type="gramStart"/>
      <w:r w:rsidR="00C01D45">
        <w:rPr>
          <w:sz w:val="22"/>
        </w:rPr>
        <w:t>So</w:t>
      </w:r>
      <w:proofErr w:type="gramEnd"/>
      <w:r w:rsidR="00C01D45">
        <w:rPr>
          <w:sz w:val="22"/>
        </w:rPr>
        <w:t xml:space="preserve"> the swim bladder, by existing, open</w:t>
      </w:r>
      <w:r w:rsidR="001C460B">
        <w:rPr>
          <w:sz w:val="22"/>
        </w:rPr>
        <w:t>s</w:t>
      </w:r>
      <w:r w:rsidR="00C01D45">
        <w:rPr>
          <w:sz w:val="22"/>
        </w:rPr>
        <w:t xml:space="preserve"> a new crack in the floor of nature, to borrow from Darwin, and a worm can live in that new crack</w:t>
      </w:r>
      <w:r>
        <w:rPr>
          <w:sz w:val="22"/>
        </w:rPr>
        <w:t xml:space="preserve"> . . . </w:t>
      </w:r>
      <w:r w:rsidR="00684990">
        <w:rPr>
          <w:sz w:val="22"/>
        </w:rPr>
        <w:t>(116-117).</w:t>
      </w:r>
    </w:p>
    <w:p w14:paraId="00C557CA" w14:textId="77777777" w:rsidR="004B0741" w:rsidRDefault="004B0741" w:rsidP="00D13A65">
      <w:pPr>
        <w:ind w:left="720" w:right="720"/>
        <w:jc w:val="both"/>
        <w:rPr>
          <w:sz w:val="22"/>
        </w:rPr>
      </w:pPr>
    </w:p>
    <w:p w14:paraId="398DFFC4" w14:textId="5B443B57" w:rsidR="006243B1" w:rsidRDefault="00DD5740" w:rsidP="00684900">
      <w:pPr>
        <w:ind w:left="720" w:right="720"/>
        <w:jc w:val="both"/>
        <w:rPr>
          <w:sz w:val="22"/>
        </w:rPr>
      </w:pPr>
      <w:r>
        <w:rPr>
          <w:sz w:val="22"/>
        </w:rPr>
        <w:t xml:space="preserve">Do you think you could have said ahead of time that </w:t>
      </w:r>
      <w:r w:rsidR="00B43150">
        <w:rPr>
          <w:sz w:val="22"/>
        </w:rPr>
        <w:t xml:space="preserve">the swim bladder . . . would emerge? </w:t>
      </w:r>
      <w:r w:rsidR="00290F2E">
        <w:rPr>
          <w:sz w:val="22"/>
        </w:rPr>
        <w:t xml:space="preserve">Could you have </w:t>
      </w:r>
      <w:proofErr w:type="spellStart"/>
      <w:r w:rsidR="00290F2E">
        <w:rPr>
          <w:i/>
          <w:iCs/>
          <w:sz w:val="22"/>
        </w:rPr>
        <w:t>prestated</w:t>
      </w:r>
      <w:proofErr w:type="spellEnd"/>
      <w:r w:rsidR="00290F2E">
        <w:rPr>
          <w:i/>
          <w:iCs/>
          <w:sz w:val="22"/>
        </w:rPr>
        <w:t xml:space="preserve"> </w:t>
      </w:r>
      <w:r w:rsidR="00290F2E">
        <w:rPr>
          <w:sz w:val="22"/>
        </w:rPr>
        <w:t xml:space="preserve">the swim bladder? Try to </w:t>
      </w:r>
      <w:proofErr w:type="spellStart"/>
      <w:r w:rsidR="00290F2E">
        <w:rPr>
          <w:sz w:val="22"/>
        </w:rPr>
        <w:t>prestate</w:t>
      </w:r>
      <w:proofErr w:type="spellEnd"/>
      <w:r w:rsidR="00290F2E">
        <w:rPr>
          <w:sz w:val="22"/>
        </w:rPr>
        <w:t xml:space="preserve"> all the Darwinian </w:t>
      </w:r>
      <w:proofErr w:type="spellStart"/>
      <w:r w:rsidR="00290F2E">
        <w:rPr>
          <w:sz w:val="22"/>
        </w:rPr>
        <w:lastRenderedPageBreak/>
        <w:t>preadaptations</w:t>
      </w:r>
      <w:proofErr w:type="spellEnd"/>
      <w:r w:rsidR="00290F2E">
        <w:rPr>
          <w:sz w:val="22"/>
        </w:rPr>
        <w:t xml:space="preserve"> </w:t>
      </w:r>
      <w:r w:rsidR="001E2E61">
        <w:rPr>
          <w:sz w:val="22"/>
        </w:rPr>
        <w:t>in humans for the next 5 million years. You cannot. We’ll see why . . . when we discuss screwdrivers</w:t>
      </w:r>
      <w:r w:rsidR="00872975">
        <w:rPr>
          <w:sz w:val="22"/>
        </w:rPr>
        <w:t xml:space="preserve"> . . . </w:t>
      </w:r>
      <w:r w:rsidR="00684990">
        <w:rPr>
          <w:sz w:val="22"/>
        </w:rPr>
        <w:t>(117).</w:t>
      </w:r>
    </w:p>
    <w:p w14:paraId="7A8D1B88" w14:textId="77777777" w:rsidR="00635584" w:rsidRDefault="00635584" w:rsidP="00684900">
      <w:pPr>
        <w:ind w:left="720" w:right="720"/>
        <w:jc w:val="both"/>
        <w:rPr>
          <w:sz w:val="22"/>
        </w:rPr>
      </w:pPr>
    </w:p>
    <w:p w14:paraId="74ABAAB1" w14:textId="3C8A53FF" w:rsidR="00635584" w:rsidRDefault="00872975" w:rsidP="00684900">
      <w:pPr>
        <w:ind w:left="720" w:right="720"/>
        <w:jc w:val="both"/>
        <w:rPr>
          <w:sz w:val="22"/>
        </w:rPr>
      </w:pPr>
      <w:r>
        <w:rPr>
          <w:sz w:val="22"/>
        </w:rPr>
        <w:t xml:space="preserve">. . . </w:t>
      </w:r>
      <w:r w:rsidR="00635584">
        <w:rPr>
          <w:sz w:val="22"/>
        </w:rPr>
        <w:t>I hand you a common screwdriver. Please list for me all the uses of a screwdriver in, say, New York, in 2017, Well, go ahead</w:t>
      </w:r>
      <w:r w:rsidR="001C61CE">
        <w:rPr>
          <w:sz w:val="22"/>
        </w:rPr>
        <w:t xml:space="preserve">: screw in a screw, open a can of paint, scrape putty from a window, stab someone, display as an </w:t>
      </w:r>
      <w:proofErr w:type="spellStart"/>
      <w:r w:rsidR="001C61CE">
        <w:rPr>
          <w:sz w:val="22"/>
        </w:rPr>
        <w:t>objet</w:t>
      </w:r>
      <w:proofErr w:type="spellEnd"/>
      <w:r w:rsidR="001C61CE">
        <w:rPr>
          <w:sz w:val="22"/>
        </w:rPr>
        <w:t xml:space="preserve"> d’art, scratch your back, wedge the door open, prop a window open, jam a door closed, tie to a stick and spear a fish, rent the spear out at 5 percent of the local catch, and so on</w:t>
      </w:r>
      <w:r>
        <w:rPr>
          <w:sz w:val="22"/>
        </w:rPr>
        <w:t xml:space="preserve"> . . .</w:t>
      </w:r>
      <w:r w:rsidR="00684990">
        <w:rPr>
          <w:sz w:val="22"/>
        </w:rPr>
        <w:t xml:space="preserve"> (118).</w:t>
      </w:r>
    </w:p>
    <w:p w14:paraId="01E70333" w14:textId="77777777" w:rsidR="00872975" w:rsidRDefault="00872975" w:rsidP="00684900">
      <w:pPr>
        <w:ind w:left="720" w:right="720"/>
        <w:jc w:val="both"/>
        <w:rPr>
          <w:sz w:val="22"/>
        </w:rPr>
      </w:pPr>
    </w:p>
    <w:p w14:paraId="3CEE83FF" w14:textId="2ECE9364" w:rsidR="00872975" w:rsidRDefault="00872975" w:rsidP="00684900">
      <w:pPr>
        <w:ind w:left="720" w:right="720"/>
        <w:jc w:val="both"/>
        <w:rPr>
          <w:sz w:val="22"/>
        </w:rPr>
      </w:pPr>
      <w:r>
        <w:rPr>
          <w:sz w:val="22"/>
        </w:rPr>
        <w:t>. . . is the number of uses of a screwdriver infinite? No, for discretely different things, like the uses of scre</w:t>
      </w:r>
      <w:r w:rsidR="00203DA9">
        <w:rPr>
          <w:sz w:val="22"/>
        </w:rPr>
        <w:t>w</w:t>
      </w:r>
      <w:r>
        <w:rPr>
          <w:sz w:val="22"/>
        </w:rPr>
        <w:t>driver</w:t>
      </w:r>
      <w:r w:rsidR="00432634">
        <w:rPr>
          <w:sz w:val="22"/>
        </w:rPr>
        <w:t xml:space="preserve">s, to mean “infinite,” we require a recursion, 0, 1, 2, 3, N, N+1 as for the </w:t>
      </w:r>
      <w:r w:rsidR="00A87839">
        <w:rPr>
          <w:sz w:val="22"/>
        </w:rPr>
        <w:t>integers . . . But if we have N uses of a screwdriver, what is the next, N+1, use of a screwdriver? Can you enumerate it forever, for all N to infinit</w:t>
      </w:r>
      <w:r w:rsidR="00075D5D">
        <w:rPr>
          <w:sz w:val="22"/>
        </w:rPr>
        <w:t>y</w:t>
      </w:r>
      <w:r w:rsidR="00A87839">
        <w:rPr>
          <w:sz w:val="22"/>
        </w:rPr>
        <w:t xml:space="preserve">? </w:t>
      </w:r>
      <w:proofErr w:type="gramStart"/>
      <w:r w:rsidR="00A87839">
        <w:rPr>
          <w:sz w:val="22"/>
        </w:rPr>
        <w:t>No</w:t>
      </w:r>
      <w:proofErr w:type="gramEnd"/>
      <w:r w:rsidR="00A87839">
        <w:rPr>
          <w:sz w:val="22"/>
        </w:rPr>
        <w:t xml:space="preserve"> you cannot</w:t>
      </w:r>
      <w:r w:rsidR="003B16BE">
        <w:rPr>
          <w:sz w:val="22"/>
        </w:rPr>
        <w:t xml:space="preserve"> . . . the number of uses of a screwdriver is </w:t>
      </w:r>
      <w:r w:rsidR="003B16BE">
        <w:rPr>
          <w:i/>
          <w:iCs/>
          <w:sz w:val="22"/>
        </w:rPr>
        <w:t>indefinite</w:t>
      </w:r>
      <w:r w:rsidR="003B16BE">
        <w:rPr>
          <w:sz w:val="22"/>
        </w:rPr>
        <w:t xml:space="preserve"> (italics in </w:t>
      </w:r>
      <w:proofErr w:type="gramStart"/>
      <w:r w:rsidR="003B16BE">
        <w:rPr>
          <w:sz w:val="22"/>
        </w:rPr>
        <w:t>original).</w:t>
      </w:r>
      <w:r w:rsidR="001C1B23">
        <w:rPr>
          <w:sz w:val="22"/>
        </w:rPr>
        <w:t xml:space="preserve"> . .</w:t>
      </w:r>
      <w:proofErr w:type="gramEnd"/>
      <w:r w:rsidR="001C1B23">
        <w:rPr>
          <w:sz w:val="22"/>
        </w:rPr>
        <w:t xml:space="preserve"> </w:t>
      </w:r>
      <w:r w:rsidR="005D798A">
        <w:rPr>
          <w:sz w:val="22"/>
        </w:rPr>
        <w:t>The uses of a screwdriver are merely a nominal scale. There is no ordering relation between the different uses of a screwdriver and no fixed intervals</w:t>
      </w:r>
      <w:proofErr w:type="gramStart"/>
      <w:r w:rsidR="0035682E">
        <w:rPr>
          <w:sz w:val="22"/>
        </w:rPr>
        <w:t>. . .</w:t>
      </w:r>
      <w:r w:rsidR="00684990">
        <w:rPr>
          <w:sz w:val="22"/>
        </w:rPr>
        <w:t>(</w:t>
      </w:r>
      <w:proofErr w:type="gramEnd"/>
      <w:r w:rsidR="00684990">
        <w:rPr>
          <w:sz w:val="22"/>
        </w:rPr>
        <w:t>119).</w:t>
      </w:r>
    </w:p>
    <w:p w14:paraId="27B83723" w14:textId="77777777" w:rsidR="0035682E" w:rsidRDefault="0035682E" w:rsidP="00684900">
      <w:pPr>
        <w:ind w:left="720" w:right="720"/>
        <w:jc w:val="both"/>
        <w:rPr>
          <w:sz w:val="22"/>
        </w:rPr>
      </w:pPr>
    </w:p>
    <w:p w14:paraId="7E4182D5" w14:textId="21CFB8F8" w:rsidR="00586C72" w:rsidRDefault="0035682E" w:rsidP="001A2508">
      <w:pPr>
        <w:ind w:left="720" w:right="720"/>
        <w:jc w:val="both"/>
        <w:rPr>
          <w:sz w:val="22"/>
        </w:rPr>
      </w:pPr>
      <w:r>
        <w:rPr>
          <w:sz w:val="22"/>
        </w:rPr>
        <w:t xml:space="preserve">I claim two major results: (1) </w:t>
      </w:r>
      <w:r>
        <w:rPr>
          <w:i/>
          <w:iCs/>
          <w:sz w:val="22"/>
        </w:rPr>
        <w:t>no rule-follow</w:t>
      </w:r>
      <w:r w:rsidR="009C0AC8">
        <w:rPr>
          <w:i/>
          <w:iCs/>
          <w:sz w:val="22"/>
        </w:rPr>
        <w:t>ing</w:t>
      </w:r>
      <w:r>
        <w:rPr>
          <w:i/>
          <w:iCs/>
          <w:sz w:val="22"/>
        </w:rPr>
        <w:t xml:space="preserve"> procedure, or algorithm, can list all the uses of a screwdriver</w:t>
      </w:r>
      <w:r w:rsidR="00586C72">
        <w:rPr>
          <w:sz w:val="22"/>
        </w:rPr>
        <w:t xml:space="preserve">; and (2) </w:t>
      </w:r>
      <w:r w:rsidR="00586C72">
        <w:rPr>
          <w:i/>
          <w:iCs/>
          <w:sz w:val="22"/>
        </w:rPr>
        <w:t xml:space="preserve">no algorithm can list the next new use of a screwdriver! </w:t>
      </w:r>
      <w:r w:rsidR="001A2508">
        <w:rPr>
          <w:sz w:val="22"/>
        </w:rPr>
        <w:t xml:space="preserve"> . . . But Darwinian preadaptation, or exaptations, </w:t>
      </w:r>
      <w:r w:rsidR="001A2508">
        <w:rPr>
          <w:i/>
          <w:iCs/>
          <w:sz w:val="22"/>
        </w:rPr>
        <w:t xml:space="preserve">are </w:t>
      </w:r>
      <w:r w:rsidR="001A2508">
        <w:rPr>
          <w:sz w:val="22"/>
        </w:rPr>
        <w:t>new uses of screwdrivers</w:t>
      </w:r>
      <w:r w:rsidR="00684990">
        <w:rPr>
          <w:sz w:val="22"/>
        </w:rPr>
        <w:t xml:space="preserve"> (119</w:t>
      </w:r>
      <w:r w:rsidR="009C0AC8">
        <w:rPr>
          <w:sz w:val="22"/>
        </w:rPr>
        <w:t>; italics original</w:t>
      </w:r>
      <w:r w:rsidR="00684990">
        <w:rPr>
          <w:sz w:val="22"/>
        </w:rPr>
        <w:t>).</w:t>
      </w:r>
    </w:p>
    <w:p w14:paraId="2D51646C" w14:textId="77777777" w:rsidR="008A3C6E" w:rsidRDefault="008A3C6E" w:rsidP="001A2508">
      <w:pPr>
        <w:ind w:left="720" w:right="720"/>
        <w:jc w:val="both"/>
        <w:rPr>
          <w:sz w:val="22"/>
        </w:rPr>
      </w:pPr>
    </w:p>
    <w:p w14:paraId="38A0CD0B" w14:textId="18076AE5" w:rsidR="002E32E9" w:rsidRDefault="00A4225D" w:rsidP="0094396C">
      <w:pPr>
        <w:rPr>
          <w:szCs w:val="24"/>
        </w:rPr>
      </w:pPr>
      <w:r>
        <w:rPr>
          <w:szCs w:val="24"/>
        </w:rPr>
        <w:t xml:space="preserve">Again, </w:t>
      </w:r>
      <w:r w:rsidR="00FE0226">
        <w:rPr>
          <w:szCs w:val="24"/>
        </w:rPr>
        <w:t>Kauffman</w:t>
      </w:r>
      <w:r w:rsidR="008A7470">
        <w:rPr>
          <w:szCs w:val="24"/>
        </w:rPr>
        <w:t xml:space="preserve">’s discussion is not about </w:t>
      </w:r>
      <w:proofErr w:type="spellStart"/>
      <w:r w:rsidR="008A7470">
        <w:rPr>
          <w:szCs w:val="24"/>
        </w:rPr>
        <w:t>exaptations</w:t>
      </w:r>
      <w:proofErr w:type="spellEnd"/>
      <w:r w:rsidR="008A7470">
        <w:rPr>
          <w:szCs w:val="24"/>
        </w:rPr>
        <w:t xml:space="preserve"> and screwdrivers </w:t>
      </w:r>
      <w:r w:rsidR="008A7470">
        <w:rPr>
          <w:i/>
          <w:iCs/>
          <w:szCs w:val="24"/>
        </w:rPr>
        <w:t>per se</w:t>
      </w:r>
      <w:r w:rsidR="008B16FC">
        <w:rPr>
          <w:i/>
          <w:iCs/>
          <w:szCs w:val="24"/>
        </w:rPr>
        <w:t xml:space="preserve"> </w:t>
      </w:r>
      <w:r w:rsidR="008B16FC">
        <w:rPr>
          <w:szCs w:val="24"/>
        </w:rPr>
        <w:t>but</w:t>
      </w:r>
      <w:r>
        <w:rPr>
          <w:i/>
          <w:iCs/>
          <w:szCs w:val="24"/>
        </w:rPr>
        <w:t xml:space="preserve"> </w:t>
      </w:r>
      <w:r>
        <w:rPr>
          <w:szCs w:val="24"/>
        </w:rPr>
        <w:t>to distinguish between two different conceptions of change.</w:t>
      </w:r>
      <w:r w:rsidR="00FE0226">
        <w:rPr>
          <w:szCs w:val="24"/>
        </w:rPr>
        <w:t xml:space="preserve"> On the one hand, there is the kind of change that </w:t>
      </w:r>
      <w:r w:rsidR="00CE52DB">
        <w:rPr>
          <w:szCs w:val="24"/>
        </w:rPr>
        <w:t>is explicable in terms of</w:t>
      </w:r>
      <w:r w:rsidR="00FE0226">
        <w:rPr>
          <w:szCs w:val="24"/>
        </w:rPr>
        <w:t xml:space="preserve"> a finite set of well-defined rules. There are such conceptions of change in biology. Erwin (</w:t>
      </w:r>
      <w:r w:rsidR="00075D5D">
        <w:rPr>
          <w:szCs w:val="24"/>
        </w:rPr>
        <w:t>2017</w:t>
      </w:r>
      <w:r w:rsidR="00FE0226">
        <w:rPr>
          <w:szCs w:val="24"/>
        </w:rPr>
        <w:t xml:space="preserve">) discusses </w:t>
      </w:r>
      <w:r w:rsidR="00FE0226" w:rsidRPr="00FE0226">
        <w:rPr>
          <w:szCs w:val="24"/>
        </w:rPr>
        <w:t>Maynard Smith</w:t>
      </w:r>
      <w:r w:rsidR="00FE0226">
        <w:rPr>
          <w:szCs w:val="24"/>
        </w:rPr>
        <w:t xml:space="preserve">’s conception of how </w:t>
      </w:r>
      <w:r w:rsidR="002E32E9">
        <w:rPr>
          <w:szCs w:val="24"/>
        </w:rPr>
        <w:t>proteins change between functional states due to single base</w:t>
      </w:r>
      <w:r w:rsidR="00410823">
        <w:rPr>
          <w:szCs w:val="24"/>
        </w:rPr>
        <w:t xml:space="preserve">-pair </w:t>
      </w:r>
      <w:r w:rsidR="002E32E9">
        <w:rPr>
          <w:szCs w:val="24"/>
        </w:rPr>
        <w:t xml:space="preserve">changes </w:t>
      </w:r>
      <w:r w:rsidR="00410823">
        <w:rPr>
          <w:szCs w:val="24"/>
        </w:rPr>
        <w:t>in</w:t>
      </w:r>
      <w:r w:rsidR="002E32E9">
        <w:rPr>
          <w:szCs w:val="24"/>
        </w:rPr>
        <w:t xml:space="preserve"> the genes that code for them.</w:t>
      </w:r>
      <w:r w:rsidR="00FE0226" w:rsidRPr="00FE0226">
        <w:rPr>
          <w:szCs w:val="24"/>
        </w:rPr>
        <w:t xml:space="preserve"> </w:t>
      </w:r>
      <w:r w:rsidR="00410823">
        <w:rPr>
          <w:szCs w:val="24"/>
        </w:rPr>
        <w:t>Iteratively a</w:t>
      </w:r>
      <w:r w:rsidR="002E32E9">
        <w:rPr>
          <w:szCs w:val="24"/>
        </w:rPr>
        <w:t>pplying the rule “change a single base pair” to a gene allows us to “</w:t>
      </w:r>
      <w:proofErr w:type="spellStart"/>
      <w:r w:rsidR="002E32E9">
        <w:rPr>
          <w:szCs w:val="24"/>
        </w:rPr>
        <w:t>prestate</w:t>
      </w:r>
      <w:proofErr w:type="spellEnd"/>
      <w:r w:rsidR="002E32E9">
        <w:rPr>
          <w:szCs w:val="24"/>
        </w:rPr>
        <w:t>” the possibility space that the</w:t>
      </w:r>
      <w:r w:rsidR="00410823">
        <w:rPr>
          <w:szCs w:val="24"/>
        </w:rPr>
        <w:t xml:space="preserve"> corresponding</w:t>
      </w:r>
      <w:r w:rsidR="002E32E9">
        <w:rPr>
          <w:szCs w:val="24"/>
        </w:rPr>
        <w:t xml:space="preserve"> protein can explore. </w:t>
      </w:r>
      <w:r w:rsidR="00075D5D">
        <w:rPr>
          <w:szCs w:val="24"/>
        </w:rPr>
        <w:t>Similar to chess, e</w:t>
      </w:r>
      <w:r w:rsidR="002E32E9">
        <w:rPr>
          <w:szCs w:val="24"/>
        </w:rPr>
        <w:t>ach “step” in its exploration will represent a kind of change explicable in terms of the application of the rule</w:t>
      </w:r>
      <w:r w:rsidR="0013279E">
        <w:rPr>
          <w:szCs w:val="24"/>
        </w:rPr>
        <w:t xml:space="preserve"> to the syste</w:t>
      </w:r>
      <w:r w:rsidR="00EB5352">
        <w:rPr>
          <w:szCs w:val="24"/>
        </w:rPr>
        <w:t>m</w:t>
      </w:r>
      <w:r w:rsidR="002E32E9">
        <w:rPr>
          <w:szCs w:val="24"/>
        </w:rPr>
        <w:t>.</w:t>
      </w:r>
      <w:r w:rsidR="002E32E9">
        <w:rPr>
          <w:rStyle w:val="FootnoteReference"/>
          <w:szCs w:val="24"/>
        </w:rPr>
        <w:footnoteReference w:id="8"/>
      </w:r>
    </w:p>
    <w:p w14:paraId="2640247A" w14:textId="43F707BF" w:rsidR="00FE0226" w:rsidRDefault="002E32E9" w:rsidP="0094396C">
      <w:pPr>
        <w:rPr>
          <w:szCs w:val="24"/>
        </w:rPr>
      </w:pPr>
      <w:r>
        <w:rPr>
          <w:szCs w:val="24"/>
        </w:rPr>
        <w:tab/>
        <w:t>In contrast,</w:t>
      </w:r>
      <w:r w:rsidR="00CE52DB">
        <w:rPr>
          <w:szCs w:val="24"/>
        </w:rPr>
        <w:t xml:space="preserve"> according to Kauffman,</w:t>
      </w:r>
      <w:r>
        <w:rPr>
          <w:szCs w:val="24"/>
        </w:rPr>
        <w:t xml:space="preserve"> the kind of change involved</w:t>
      </w:r>
      <w:r w:rsidR="0093262E">
        <w:rPr>
          <w:szCs w:val="24"/>
        </w:rPr>
        <w:t xml:space="preserve"> in</w:t>
      </w:r>
      <w:r>
        <w:rPr>
          <w:szCs w:val="24"/>
        </w:rPr>
        <w:t xml:space="preserve"> “</w:t>
      </w:r>
      <w:r w:rsidR="00410823">
        <w:rPr>
          <w:szCs w:val="24"/>
        </w:rPr>
        <w:t xml:space="preserve">a </w:t>
      </w:r>
      <w:r>
        <w:rPr>
          <w:szCs w:val="24"/>
        </w:rPr>
        <w:t>new function coming to exist in the biosphere”</w:t>
      </w:r>
      <w:r w:rsidR="00581815">
        <w:rPr>
          <w:szCs w:val="24"/>
        </w:rPr>
        <w:t xml:space="preserve"> </w:t>
      </w:r>
      <w:r w:rsidR="00075D5D">
        <w:rPr>
          <w:szCs w:val="24"/>
        </w:rPr>
        <w:t>in the form of an exaptation</w:t>
      </w:r>
      <w:r>
        <w:rPr>
          <w:szCs w:val="24"/>
        </w:rPr>
        <w:t xml:space="preserve"> is not so analyzable. A structure functioning as </w:t>
      </w:r>
      <w:r w:rsidR="00CE52DB">
        <w:rPr>
          <w:szCs w:val="24"/>
        </w:rPr>
        <w:t xml:space="preserve">a </w:t>
      </w:r>
      <w:r>
        <w:rPr>
          <w:szCs w:val="24"/>
        </w:rPr>
        <w:t xml:space="preserve">lung does not, over the course of evolution, change into one functioning as a swim-bladder </w:t>
      </w:r>
      <w:r w:rsidR="00CE52DB">
        <w:rPr>
          <w:szCs w:val="24"/>
        </w:rPr>
        <w:t>in such a way that is</w:t>
      </w:r>
      <w:r>
        <w:rPr>
          <w:szCs w:val="24"/>
        </w:rPr>
        <w:t xml:space="preserve"> amenable</w:t>
      </w:r>
      <w:r w:rsidR="00410823">
        <w:rPr>
          <w:szCs w:val="24"/>
        </w:rPr>
        <w:t xml:space="preserve"> to</w:t>
      </w:r>
      <w:r>
        <w:rPr>
          <w:szCs w:val="24"/>
        </w:rPr>
        <w:t xml:space="preserve"> the kind of “algorithmic” analysis given to proteins above. If it did</w:t>
      </w:r>
      <w:r w:rsidR="00CE52DB">
        <w:rPr>
          <w:szCs w:val="24"/>
        </w:rPr>
        <w:t>,</w:t>
      </w:r>
      <w:r>
        <w:rPr>
          <w:szCs w:val="24"/>
        </w:rPr>
        <w:t xml:space="preserve"> then</w:t>
      </w:r>
      <w:r w:rsidR="00CE52DB">
        <w:rPr>
          <w:szCs w:val="24"/>
        </w:rPr>
        <w:t>,</w:t>
      </w:r>
      <w:r>
        <w:rPr>
          <w:szCs w:val="24"/>
        </w:rPr>
        <w:t xml:space="preserve"> in principle</w:t>
      </w:r>
      <w:r w:rsidR="00CE52DB">
        <w:rPr>
          <w:szCs w:val="24"/>
        </w:rPr>
        <w:t>,</w:t>
      </w:r>
      <w:r>
        <w:rPr>
          <w:szCs w:val="24"/>
        </w:rPr>
        <w:t xml:space="preserve"> we could</w:t>
      </w:r>
      <w:r w:rsidR="00CE52DB">
        <w:rPr>
          <w:szCs w:val="24"/>
        </w:rPr>
        <w:t xml:space="preserve"> exhaustively</w:t>
      </w:r>
      <w:r>
        <w:rPr>
          <w:szCs w:val="24"/>
        </w:rPr>
        <w:t xml:space="preserve"> “pre-state” the</w:t>
      </w:r>
      <w:r w:rsidR="00CE52DB">
        <w:rPr>
          <w:szCs w:val="24"/>
        </w:rPr>
        <w:t xml:space="preserve"> possible</w:t>
      </w:r>
      <w:r>
        <w:rPr>
          <w:szCs w:val="24"/>
        </w:rPr>
        <w:t xml:space="preserve"> evolution</w:t>
      </w:r>
      <w:r w:rsidR="00CE52DB">
        <w:rPr>
          <w:szCs w:val="24"/>
        </w:rPr>
        <w:t>ary trajectories</w:t>
      </w:r>
      <w:r>
        <w:rPr>
          <w:szCs w:val="24"/>
        </w:rPr>
        <w:t xml:space="preserve"> of the</w:t>
      </w:r>
      <w:r w:rsidR="00777D36">
        <w:rPr>
          <w:szCs w:val="24"/>
        </w:rPr>
        <w:t xml:space="preserve"> lung-fish’s lun</w:t>
      </w:r>
      <w:r w:rsidR="001519D7">
        <w:rPr>
          <w:szCs w:val="24"/>
        </w:rPr>
        <w:t>gs at</w:t>
      </w:r>
      <w:r>
        <w:rPr>
          <w:szCs w:val="24"/>
        </w:rPr>
        <w:t xml:space="preserve"> a time prior to </w:t>
      </w:r>
      <w:r w:rsidR="00410823">
        <w:rPr>
          <w:szCs w:val="24"/>
        </w:rPr>
        <w:t xml:space="preserve">the </w:t>
      </w:r>
      <w:r>
        <w:rPr>
          <w:szCs w:val="24"/>
        </w:rPr>
        <w:t>swim bladder</w:t>
      </w:r>
      <w:r w:rsidR="00410823">
        <w:rPr>
          <w:szCs w:val="24"/>
        </w:rPr>
        <w:t>’</w:t>
      </w:r>
      <w:r>
        <w:rPr>
          <w:szCs w:val="24"/>
        </w:rPr>
        <w:t xml:space="preserve">s </w:t>
      </w:r>
      <w:r w:rsidR="0012783F">
        <w:rPr>
          <w:szCs w:val="24"/>
        </w:rPr>
        <w:t xml:space="preserve">actual </w:t>
      </w:r>
      <w:r>
        <w:rPr>
          <w:szCs w:val="24"/>
        </w:rPr>
        <w:t>evol</w:t>
      </w:r>
      <w:r w:rsidR="00075D5D">
        <w:rPr>
          <w:szCs w:val="24"/>
        </w:rPr>
        <w:t>ution</w:t>
      </w:r>
      <w:r w:rsidR="0005591B">
        <w:rPr>
          <w:szCs w:val="24"/>
        </w:rPr>
        <w:t xml:space="preserve"> by means of </w:t>
      </w:r>
      <w:r w:rsidR="00DB7E8D">
        <w:rPr>
          <w:szCs w:val="24"/>
        </w:rPr>
        <w:t xml:space="preserve">iteratively </w:t>
      </w:r>
      <w:r w:rsidR="0005591B">
        <w:rPr>
          <w:szCs w:val="24"/>
        </w:rPr>
        <w:t xml:space="preserve">applying </w:t>
      </w:r>
      <w:r w:rsidR="00823DE5">
        <w:rPr>
          <w:szCs w:val="24"/>
        </w:rPr>
        <w:t xml:space="preserve">a rule </w:t>
      </w:r>
      <w:r w:rsidR="0005591B">
        <w:rPr>
          <w:szCs w:val="24"/>
        </w:rPr>
        <w:t xml:space="preserve">to the lungs, as we did </w:t>
      </w:r>
      <w:r w:rsidR="00D3121D">
        <w:rPr>
          <w:szCs w:val="24"/>
        </w:rPr>
        <w:t>to</w:t>
      </w:r>
      <w:r w:rsidR="0005591B">
        <w:rPr>
          <w:szCs w:val="24"/>
        </w:rPr>
        <w:t xml:space="preserve"> </w:t>
      </w:r>
      <w:r w:rsidR="00823DE5">
        <w:rPr>
          <w:szCs w:val="24"/>
        </w:rPr>
        <w:t>genes</w:t>
      </w:r>
      <w:r w:rsidR="00F279B6">
        <w:rPr>
          <w:szCs w:val="24"/>
        </w:rPr>
        <w:t xml:space="preserve"> in the paragraph</w:t>
      </w:r>
      <w:r w:rsidR="00823DE5">
        <w:rPr>
          <w:szCs w:val="24"/>
        </w:rPr>
        <w:t xml:space="preserve"> above.</w:t>
      </w:r>
      <w:r w:rsidR="00FD6C0E">
        <w:rPr>
          <w:szCs w:val="24"/>
        </w:rPr>
        <w:t xml:space="preserve"> </w:t>
      </w:r>
      <w:proofErr w:type="gramStart"/>
      <w:r w:rsidR="00FD6C0E">
        <w:rPr>
          <w:szCs w:val="24"/>
        </w:rPr>
        <w:t>But,</w:t>
      </w:r>
      <w:proofErr w:type="gramEnd"/>
      <w:r w:rsidR="00FD6C0E">
        <w:rPr>
          <w:szCs w:val="24"/>
        </w:rPr>
        <w:t xml:space="preserve"> and this is Kauffman’s point, not </w:t>
      </w:r>
      <w:r w:rsidR="008654A6">
        <w:rPr>
          <w:szCs w:val="24"/>
        </w:rPr>
        <w:t>even</w:t>
      </w:r>
      <w:r w:rsidR="0012783F">
        <w:rPr>
          <w:szCs w:val="24"/>
        </w:rPr>
        <w:t xml:space="preserve"> </w:t>
      </w:r>
      <w:r w:rsidR="00FD6C0E">
        <w:rPr>
          <w:szCs w:val="24"/>
        </w:rPr>
        <w:t>LaPlace</w:t>
      </w:r>
      <w:r w:rsidR="0012783F">
        <w:rPr>
          <w:szCs w:val="24"/>
        </w:rPr>
        <w:t>’s</w:t>
      </w:r>
      <w:r w:rsidR="00FD6C0E">
        <w:rPr>
          <w:szCs w:val="24"/>
        </w:rPr>
        <w:t xml:space="preserve"> Demon </w:t>
      </w:r>
      <w:r w:rsidR="00CE52DB">
        <w:rPr>
          <w:szCs w:val="24"/>
        </w:rPr>
        <w:t xml:space="preserve">could </w:t>
      </w:r>
      <w:proofErr w:type="spellStart"/>
      <w:r w:rsidR="00FD6C0E">
        <w:rPr>
          <w:szCs w:val="24"/>
        </w:rPr>
        <w:t>prestate</w:t>
      </w:r>
      <w:proofErr w:type="spellEnd"/>
      <w:r w:rsidR="00FD6C0E">
        <w:rPr>
          <w:szCs w:val="24"/>
        </w:rPr>
        <w:t xml:space="preserve"> the space of the lung’s possible</w:t>
      </w:r>
      <w:r w:rsidR="00410823">
        <w:rPr>
          <w:szCs w:val="24"/>
        </w:rPr>
        <w:t xml:space="preserve"> evolutionary</w:t>
      </w:r>
      <w:r w:rsidR="00FD6C0E">
        <w:rPr>
          <w:szCs w:val="24"/>
        </w:rPr>
        <w:t xml:space="preserve"> futures much less </w:t>
      </w:r>
      <w:proofErr w:type="gramStart"/>
      <w:r w:rsidR="00FD6C0E">
        <w:rPr>
          <w:szCs w:val="24"/>
        </w:rPr>
        <w:t>predict</w:t>
      </w:r>
      <w:proofErr w:type="gramEnd"/>
      <w:r w:rsidR="00FD6C0E">
        <w:rPr>
          <w:szCs w:val="24"/>
        </w:rPr>
        <w:t xml:space="preserve"> which one of those possibilit</w:t>
      </w:r>
      <w:r w:rsidR="00410823">
        <w:rPr>
          <w:szCs w:val="24"/>
        </w:rPr>
        <w:t>ies</w:t>
      </w:r>
      <w:r w:rsidR="00AB69B6">
        <w:rPr>
          <w:szCs w:val="24"/>
        </w:rPr>
        <w:t xml:space="preserve">—the </w:t>
      </w:r>
      <w:r w:rsidR="00AB69B6">
        <w:rPr>
          <w:szCs w:val="24"/>
        </w:rPr>
        <w:lastRenderedPageBreak/>
        <w:t>swim bladder, for instance—</w:t>
      </w:r>
      <w:r w:rsidR="00075D5D">
        <w:rPr>
          <w:szCs w:val="24"/>
        </w:rPr>
        <w:t>the lung’s actual evolution</w:t>
      </w:r>
      <w:r w:rsidR="00FD6C0E">
        <w:rPr>
          <w:szCs w:val="24"/>
        </w:rPr>
        <w:t xml:space="preserve"> would realize. </w:t>
      </w:r>
      <w:r w:rsidR="00C813DD">
        <w:rPr>
          <w:szCs w:val="24"/>
        </w:rPr>
        <w:t xml:space="preserve">This is a key premise in </w:t>
      </w:r>
      <w:r w:rsidR="00FD6C0E">
        <w:rPr>
          <w:szCs w:val="24"/>
        </w:rPr>
        <w:t xml:space="preserve">Kauffman’s </w:t>
      </w:r>
      <w:r w:rsidR="00C813DD">
        <w:rPr>
          <w:szCs w:val="24"/>
        </w:rPr>
        <w:t>argument</w:t>
      </w:r>
      <w:r w:rsidR="00FD6C0E">
        <w:rPr>
          <w:szCs w:val="24"/>
        </w:rPr>
        <w:t xml:space="preserve"> that change in the biosphere is not governed by “laws</w:t>
      </w:r>
      <w:r w:rsidR="00BF184A">
        <w:rPr>
          <w:szCs w:val="24"/>
        </w:rPr>
        <w:t>” and therefore</w:t>
      </w:r>
      <w:r w:rsidR="00FD6C0E">
        <w:rPr>
          <w:szCs w:val="24"/>
        </w:rPr>
        <w:t xml:space="preserve"> that biology constitutes a “world beyond physics.”</w:t>
      </w:r>
      <w:r w:rsidR="00A4225D" w:rsidRPr="00A4225D">
        <w:rPr>
          <w:rStyle w:val="FootnoteReference"/>
          <w:szCs w:val="24"/>
        </w:rPr>
        <w:t xml:space="preserve"> </w:t>
      </w:r>
      <w:r w:rsidR="00A4225D">
        <w:rPr>
          <w:rStyle w:val="FootnoteReference"/>
          <w:szCs w:val="24"/>
        </w:rPr>
        <w:footnoteReference w:id="9"/>
      </w:r>
      <w:r w:rsidR="00A4225D">
        <w:rPr>
          <w:szCs w:val="24"/>
        </w:rPr>
        <w:t xml:space="preserve"> </w:t>
      </w:r>
      <w:r w:rsidR="00FD6C0E">
        <w:rPr>
          <w:szCs w:val="24"/>
        </w:rPr>
        <w:t xml:space="preserve"> </w:t>
      </w:r>
      <w:r>
        <w:rPr>
          <w:szCs w:val="24"/>
        </w:rPr>
        <w:t xml:space="preserve">  </w:t>
      </w:r>
      <w:r w:rsidR="00FE0226">
        <w:rPr>
          <w:szCs w:val="24"/>
        </w:rPr>
        <w:t xml:space="preserve"> </w:t>
      </w:r>
    </w:p>
    <w:p w14:paraId="6B8EBE6C" w14:textId="11738D07" w:rsidR="00FD6C0E" w:rsidRDefault="00FD6C0E" w:rsidP="0012783F">
      <w:pPr>
        <w:ind w:firstLine="720"/>
        <w:rPr>
          <w:szCs w:val="24"/>
        </w:rPr>
      </w:pPr>
      <w:r>
        <w:rPr>
          <w:szCs w:val="24"/>
        </w:rPr>
        <w:t>At the end of the discussion</w:t>
      </w:r>
      <w:r w:rsidR="00F279B6">
        <w:rPr>
          <w:szCs w:val="24"/>
        </w:rPr>
        <w:t xml:space="preserve"> that</w:t>
      </w:r>
      <w:r>
        <w:rPr>
          <w:szCs w:val="24"/>
        </w:rPr>
        <w:t xml:space="preserve"> I quoted at length above, </w:t>
      </w:r>
      <w:r w:rsidR="00120F33">
        <w:rPr>
          <w:szCs w:val="24"/>
        </w:rPr>
        <w:t>Kauffman goes onto describe what he calls “jury-rigging”—</w:t>
      </w:r>
      <w:r w:rsidR="009C7F80">
        <w:rPr>
          <w:szCs w:val="24"/>
        </w:rPr>
        <w:t>the creative</w:t>
      </w:r>
      <w:r w:rsidR="00F734BE">
        <w:rPr>
          <w:szCs w:val="24"/>
        </w:rPr>
        <w:t xml:space="preserve"> human activity of </w:t>
      </w:r>
      <w:r w:rsidR="001C29BD">
        <w:rPr>
          <w:szCs w:val="24"/>
        </w:rPr>
        <w:t>“</w:t>
      </w:r>
      <w:r w:rsidR="00F734BE">
        <w:rPr>
          <w:szCs w:val="24"/>
        </w:rPr>
        <w:t xml:space="preserve">using a set of things or processes for purposes other than those for which they </w:t>
      </w:r>
      <w:r w:rsidR="00A41DE9">
        <w:rPr>
          <w:szCs w:val="24"/>
        </w:rPr>
        <w:t>may have been designed.</w:t>
      </w:r>
      <w:r w:rsidR="001C29BD">
        <w:rPr>
          <w:szCs w:val="24"/>
        </w:rPr>
        <w:t>”</w:t>
      </w:r>
      <w:r w:rsidR="00A41DE9">
        <w:rPr>
          <w:szCs w:val="24"/>
        </w:rPr>
        <w:t xml:space="preserve"> </w:t>
      </w:r>
      <w:r w:rsidR="00451EF8">
        <w:rPr>
          <w:szCs w:val="24"/>
        </w:rPr>
        <w:t>To illustrate, he give</w:t>
      </w:r>
      <w:r w:rsidR="00684990">
        <w:rPr>
          <w:szCs w:val="24"/>
        </w:rPr>
        <w:t>s</w:t>
      </w:r>
      <w:r w:rsidR="00451EF8">
        <w:rPr>
          <w:szCs w:val="24"/>
        </w:rPr>
        <w:t xml:space="preserve"> the example of a man who “fixed” a leak </w:t>
      </w:r>
      <w:r w:rsidR="00D07422">
        <w:rPr>
          <w:szCs w:val="24"/>
        </w:rPr>
        <w:t xml:space="preserve">in a ceiling </w:t>
      </w:r>
      <w:r w:rsidR="00451EF8">
        <w:rPr>
          <w:szCs w:val="24"/>
        </w:rPr>
        <w:t xml:space="preserve">by </w:t>
      </w:r>
      <w:r w:rsidR="00D07422">
        <w:rPr>
          <w:szCs w:val="24"/>
        </w:rPr>
        <w:t>rigging “a funnel attached below the leak</w:t>
      </w:r>
      <w:r w:rsidR="00B20300">
        <w:rPr>
          <w:szCs w:val="24"/>
        </w:rPr>
        <w:t>, to a tube leading out the front door over a railing, dropping toward the ground, slowly draining. Finding that a lamp in his house was hanging too low, the man also slung the lamp cord over the tube, jury-rigging on jury-rigging</w:t>
      </w:r>
      <w:r w:rsidR="00B36096">
        <w:rPr>
          <w:szCs w:val="24"/>
        </w:rPr>
        <w:t>”</w:t>
      </w:r>
      <w:r w:rsidR="00FC5A90">
        <w:rPr>
          <w:szCs w:val="24"/>
        </w:rPr>
        <w:t xml:space="preserve"> (120).</w:t>
      </w:r>
      <w:r w:rsidR="00B36096">
        <w:rPr>
          <w:szCs w:val="24"/>
        </w:rPr>
        <w:t xml:space="preserve"> We could not, Kauffman claims, have a deductive theory of jury-rigging. </w:t>
      </w:r>
      <w:r w:rsidR="00214598">
        <w:rPr>
          <w:szCs w:val="24"/>
        </w:rPr>
        <w:t>“There is no deductive theory of jury-rigging</w:t>
      </w:r>
      <w:r w:rsidR="000A4CB7">
        <w:rPr>
          <w:szCs w:val="24"/>
        </w:rPr>
        <w:t xml:space="preserve"> to solve different problems, but we do it all the time. We are inventive. So is evolution</w:t>
      </w:r>
      <w:r w:rsidR="00FC5A90">
        <w:rPr>
          <w:szCs w:val="24"/>
        </w:rPr>
        <w:t xml:space="preserve"> . . . And none of us can predict in advance what we might invent and what might be invented from our inventions” (121).</w:t>
      </w:r>
    </w:p>
    <w:p w14:paraId="339781AF" w14:textId="4384AFE9" w:rsidR="008A5C5A" w:rsidRDefault="00FD6C0E" w:rsidP="00A76E08">
      <w:pPr>
        <w:rPr>
          <w:szCs w:val="24"/>
        </w:rPr>
      </w:pPr>
      <w:r>
        <w:rPr>
          <w:szCs w:val="24"/>
        </w:rPr>
        <w:tab/>
      </w:r>
      <w:r w:rsidR="008A5C5A">
        <w:rPr>
          <w:szCs w:val="24"/>
        </w:rPr>
        <w:t>The</w:t>
      </w:r>
      <w:r>
        <w:rPr>
          <w:szCs w:val="24"/>
        </w:rPr>
        <w:t xml:space="preserve"> kind of change involved in an artifact coming to serve, in the hands of a user, a function other than that for which it</w:t>
      </w:r>
      <w:r w:rsidR="0028677E">
        <w:rPr>
          <w:szCs w:val="24"/>
        </w:rPr>
        <w:t xml:space="preserve"> may have been designed</w:t>
      </w:r>
      <w:r>
        <w:rPr>
          <w:szCs w:val="24"/>
        </w:rPr>
        <w:t xml:space="preserve"> is analogous to that involved in Kauffman’s discussion of exaptations. </w:t>
      </w:r>
      <w:r w:rsidR="006F3CC8">
        <w:rPr>
          <w:szCs w:val="24"/>
        </w:rPr>
        <w:t>To repeat</w:t>
      </w:r>
      <w:r w:rsidR="00A00515">
        <w:rPr>
          <w:szCs w:val="24"/>
        </w:rPr>
        <w:t xml:space="preserve"> Kauffman, “</w:t>
      </w:r>
      <w:r w:rsidR="00A00515" w:rsidRPr="00A00515">
        <w:rPr>
          <w:szCs w:val="24"/>
        </w:rPr>
        <w:t>The uses of a screwdriver are merely a nominal scale. There is no ordering relation between the different uses of a screwdriver and no fixed intervals</w:t>
      </w:r>
      <w:r w:rsidR="00A00515">
        <w:rPr>
          <w:szCs w:val="24"/>
        </w:rPr>
        <w:t>.”</w:t>
      </w:r>
      <w:r w:rsidR="00A00515" w:rsidRPr="00A00515">
        <w:rPr>
          <w:szCs w:val="24"/>
        </w:rPr>
        <w:t xml:space="preserve"> </w:t>
      </w:r>
      <w:r w:rsidR="003B7A2C">
        <w:rPr>
          <w:szCs w:val="24"/>
        </w:rPr>
        <w:t>You might</w:t>
      </w:r>
      <w:r w:rsidR="0012783F">
        <w:rPr>
          <w:szCs w:val="24"/>
        </w:rPr>
        <w:t xml:space="preserve"> put the point by</w:t>
      </w:r>
      <w:r w:rsidR="003B7A2C">
        <w:rPr>
          <w:szCs w:val="24"/>
        </w:rPr>
        <w:t xml:space="preserve"> say</w:t>
      </w:r>
      <w:r w:rsidR="0012783F">
        <w:rPr>
          <w:szCs w:val="24"/>
        </w:rPr>
        <w:t>ing</w:t>
      </w:r>
      <w:r w:rsidR="003B7A2C">
        <w:rPr>
          <w:szCs w:val="24"/>
        </w:rPr>
        <w:t xml:space="preserve"> that the screwdriver</w:t>
      </w:r>
      <w:r w:rsidR="00161812">
        <w:rPr>
          <w:szCs w:val="24"/>
        </w:rPr>
        <w:t>’</w:t>
      </w:r>
      <w:r w:rsidR="003B7A2C">
        <w:rPr>
          <w:szCs w:val="24"/>
        </w:rPr>
        <w:t>s use,</w:t>
      </w:r>
      <w:r w:rsidR="003B7A2C" w:rsidRPr="003B7A2C">
        <w:rPr>
          <w:i/>
          <w:iCs/>
          <w:szCs w:val="24"/>
        </w:rPr>
        <w:t xml:space="preserve"> open a can of paint</w:t>
      </w:r>
      <w:r w:rsidR="003B7A2C">
        <w:rPr>
          <w:i/>
          <w:iCs/>
          <w:szCs w:val="24"/>
        </w:rPr>
        <w:t>,</w:t>
      </w:r>
      <w:r w:rsidR="003B7A2C">
        <w:rPr>
          <w:szCs w:val="24"/>
        </w:rPr>
        <w:t xml:space="preserve"> is not some distance in</w:t>
      </w:r>
      <w:r w:rsidR="00D40124">
        <w:rPr>
          <w:szCs w:val="24"/>
        </w:rPr>
        <w:t xml:space="preserve"> a</w:t>
      </w:r>
      <w:r w:rsidR="003B7A2C">
        <w:rPr>
          <w:szCs w:val="24"/>
        </w:rPr>
        <w:t xml:space="preserve"> metric space from its </w:t>
      </w:r>
      <w:r w:rsidR="003B7A2C" w:rsidRPr="00053EF0">
        <w:rPr>
          <w:szCs w:val="24"/>
        </w:rPr>
        <w:t>use</w:t>
      </w:r>
      <w:r w:rsidR="003B7A2C" w:rsidRPr="00161812">
        <w:rPr>
          <w:i/>
          <w:iCs/>
          <w:szCs w:val="24"/>
        </w:rPr>
        <w:t xml:space="preserve"> </w:t>
      </w:r>
      <w:r w:rsidR="003B7A2C" w:rsidRPr="003B7A2C">
        <w:rPr>
          <w:i/>
          <w:iCs/>
          <w:szCs w:val="24"/>
        </w:rPr>
        <w:t>as a paper weight</w:t>
      </w:r>
      <w:r w:rsidR="003B7A2C">
        <w:rPr>
          <w:szCs w:val="24"/>
        </w:rPr>
        <w:t xml:space="preserve">. </w:t>
      </w:r>
      <w:r w:rsidR="00161812">
        <w:rPr>
          <w:szCs w:val="24"/>
        </w:rPr>
        <w:t>After all, i</w:t>
      </w:r>
      <w:r w:rsidR="003B7A2C">
        <w:rPr>
          <w:szCs w:val="24"/>
        </w:rPr>
        <w:t>n the space of possible screwdriver uses</w:t>
      </w:r>
      <w:r w:rsidR="00F01D55">
        <w:rPr>
          <w:szCs w:val="24"/>
        </w:rPr>
        <w:t>,</w:t>
      </w:r>
      <w:r w:rsidR="00E17185">
        <w:rPr>
          <w:szCs w:val="24"/>
        </w:rPr>
        <w:t xml:space="preserve"> </w:t>
      </w:r>
      <w:r w:rsidR="003B7A2C">
        <w:rPr>
          <w:szCs w:val="24"/>
        </w:rPr>
        <w:t xml:space="preserve">there is no notion of </w:t>
      </w:r>
      <w:r w:rsidR="003B7A2C" w:rsidRPr="00DE1CE3">
        <w:rPr>
          <w:szCs w:val="24"/>
        </w:rPr>
        <w:t>distance</w:t>
      </w:r>
      <w:r w:rsidR="003B7A2C">
        <w:rPr>
          <w:szCs w:val="24"/>
        </w:rPr>
        <w:t xml:space="preserve"> between points</w:t>
      </w:r>
      <w:r w:rsidR="0028677E">
        <w:rPr>
          <w:szCs w:val="24"/>
        </w:rPr>
        <w:t xml:space="preserve"> in the way</w:t>
      </w:r>
      <w:r w:rsidR="008A5C5A">
        <w:rPr>
          <w:szCs w:val="24"/>
        </w:rPr>
        <w:t xml:space="preserve"> that</w:t>
      </w:r>
      <w:r w:rsidR="0028677E">
        <w:rPr>
          <w:szCs w:val="24"/>
        </w:rPr>
        <w:t xml:space="preserve"> a metric space as such requires.</w:t>
      </w:r>
      <w:r w:rsidR="00D86BC8">
        <w:rPr>
          <w:szCs w:val="24"/>
        </w:rPr>
        <w:t xml:space="preserve"> It makes no sense to say, for example, that</w:t>
      </w:r>
      <w:r w:rsidR="00BE472A">
        <w:rPr>
          <w:szCs w:val="24"/>
        </w:rPr>
        <w:t xml:space="preserve"> within the space of possible screwdriver uses</w:t>
      </w:r>
      <w:r w:rsidR="00D86BC8">
        <w:rPr>
          <w:szCs w:val="24"/>
        </w:rPr>
        <w:t xml:space="preserve"> </w:t>
      </w:r>
      <w:r w:rsidR="00FD7F6D">
        <w:rPr>
          <w:i/>
          <w:iCs/>
          <w:szCs w:val="24"/>
        </w:rPr>
        <w:t xml:space="preserve">open a can of paint </w:t>
      </w:r>
      <w:r w:rsidR="00FD7F6D">
        <w:rPr>
          <w:szCs w:val="24"/>
        </w:rPr>
        <w:t xml:space="preserve">is </w:t>
      </w:r>
      <w:r w:rsidR="00FF4DD7">
        <w:rPr>
          <w:szCs w:val="24"/>
        </w:rPr>
        <w:t xml:space="preserve">twice as far from </w:t>
      </w:r>
      <w:r w:rsidR="00FF4DD7">
        <w:rPr>
          <w:i/>
          <w:iCs/>
          <w:szCs w:val="24"/>
        </w:rPr>
        <w:t xml:space="preserve">screw in a screw </w:t>
      </w:r>
      <w:r w:rsidR="00FF4DD7">
        <w:rPr>
          <w:szCs w:val="24"/>
        </w:rPr>
        <w:t xml:space="preserve">than is </w:t>
      </w:r>
      <w:r w:rsidR="005A2D6C">
        <w:rPr>
          <w:i/>
          <w:iCs/>
          <w:szCs w:val="24"/>
        </w:rPr>
        <w:t xml:space="preserve">remove </w:t>
      </w:r>
      <w:r w:rsidR="0089315E">
        <w:rPr>
          <w:i/>
          <w:iCs/>
          <w:szCs w:val="24"/>
        </w:rPr>
        <w:t>gunk from</w:t>
      </w:r>
      <w:r w:rsidR="00053EF0">
        <w:rPr>
          <w:i/>
          <w:iCs/>
          <w:szCs w:val="24"/>
        </w:rPr>
        <w:t xml:space="preserve"> a</w:t>
      </w:r>
      <w:r w:rsidR="0089315E">
        <w:rPr>
          <w:i/>
          <w:iCs/>
          <w:szCs w:val="24"/>
        </w:rPr>
        <w:t xml:space="preserve"> baseboard. </w:t>
      </w:r>
      <w:r w:rsidR="00D40124">
        <w:rPr>
          <w:szCs w:val="24"/>
        </w:rPr>
        <w:t>Alternatively, as Kau</w:t>
      </w:r>
      <w:r w:rsidR="003214C4">
        <w:rPr>
          <w:szCs w:val="24"/>
        </w:rPr>
        <w:t>ffman</w:t>
      </w:r>
      <w:r w:rsidR="006F3CC8">
        <w:rPr>
          <w:szCs w:val="24"/>
        </w:rPr>
        <w:t>’s allusion to integers</w:t>
      </w:r>
      <w:r w:rsidR="00D40124">
        <w:rPr>
          <w:szCs w:val="24"/>
        </w:rPr>
        <w:t xml:space="preserve"> sugges</w:t>
      </w:r>
      <w:r w:rsidR="0028677E">
        <w:rPr>
          <w:szCs w:val="24"/>
        </w:rPr>
        <w:t>t</w:t>
      </w:r>
      <w:r w:rsidR="003214C4">
        <w:rPr>
          <w:szCs w:val="24"/>
        </w:rPr>
        <w:t>s</w:t>
      </w:r>
      <w:r w:rsidR="00D40124">
        <w:rPr>
          <w:szCs w:val="24"/>
        </w:rPr>
        <w:t>,</w:t>
      </w:r>
      <w:r w:rsidR="003B7A2C">
        <w:rPr>
          <w:szCs w:val="24"/>
        </w:rPr>
        <w:t xml:space="preserve"> </w:t>
      </w:r>
      <w:r w:rsidR="006F3CC8">
        <w:rPr>
          <w:szCs w:val="24"/>
        </w:rPr>
        <w:t xml:space="preserve">you might say </w:t>
      </w:r>
      <w:r w:rsidR="003B7A2C">
        <w:rPr>
          <w:szCs w:val="24"/>
        </w:rPr>
        <w:t>that uses of a screwdriver are not commensurable</w:t>
      </w:r>
      <w:r w:rsidR="0012783F">
        <w:rPr>
          <w:szCs w:val="24"/>
        </w:rPr>
        <w:t xml:space="preserve"> with each other</w:t>
      </w:r>
      <w:r w:rsidR="003B7A2C">
        <w:rPr>
          <w:szCs w:val="24"/>
        </w:rPr>
        <w:t xml:space="preserve"> in the way that integers are.</w:t>
      </w:r>
      <w:r w:rsidR="00DE1CE3">
        <w:rPr>
          <w:szCs w:val="24"/>
        </w:rPr>
        <w:t xml:space="preserve"> </w:t>
      </w:r>
      <w:r w:rsidR="00A4225D">
        <w:rPr>
          <w:szCs w:val="24"/>
        </w:rPr>
        <w:t>As I have put the point elsewhere,</w:t>
      </w:r>
      <w:r w:rsidR="0028677E">
        <w:rPr>
          <w:szCs w:val="24"/>
        </w:rPr>
        <w:t xml:space="preserve"> </w:t>
      </w:r>
      <w:r w:rsidR="00A4225D">
        <w:rPr>
          <w:szCs w:val="24"/>
        </w:rPr>
        <w:t>“</w:t>
      </w:r>
      <w:r w:rsidR="0028677E">
        <w:rPr>
          <w:szCs w:val="24"/>
        </w:rPr>
        <w:t xml:space="preserve">5 is commensurable with 10 insofar as </w:t>
      </w:r>
      <w:r w:rsidR="00DE1CE3">
        <w:rPr>
          <w:szCs w:val="24"/>
        </w:rPr>
        <w:t>there is some base unit out of which they can both be constructed</w:t>
      </w:r>
      <w:r w:rsidR="0028677E">
        <w:rPr>
          <w:szCs w:val="24"/>
        </w:rPr>
        <w:t>. Take “5” as our base unit. 5 is made out of one “5” and ten is made out of two “</w:t>
      </w:r>
      <w:proofErr w:type="gramStart"/>
      <w:r w:rsidR="0028677E">
        <w:rPr>
          <w:szCs w:val="24"/>
        </w:rPr>
        <w:t>5”s.</w:t>
      </w:r>
      <w:proofErr w:type="gramEnd"/>
      <w:r w:rsidR="0028677E">
        <w:rPr>
          <w:szCs w:val="24"/>
        </w:rPr>
        <w:t xml:space="preserve"> Or take “1” as our base unit. 5 is made out of five “</w:t>
      </w:r>
      <w:proofErr w:type="gramStart"/>
      <w:r w:rsidR="0028677E">
        <w:rPr>
          <w:szCs w:val="24"/>
        </w:rPr>
        <w:t>1”s</w:t>
      </w:r>
      <w:proofErr w:type="gramEnd"/>
      <w:r w:rsidR="0028677E">
        <w:rPr>
          <w:szCs w:val="24"/>
        </w:rPr>
        <w:t xml:space="preserve"> and 10 is made out of ten “</w:t>
      </w:r>
      <w:proofErr w:type="gramStart"/>
      <w:r w:rsidR="0028677E">
        <w:rPr>
          <w:szCs w:val="24"/>
        </w:rPr>
        <w:t>1”s.</w:t>
      </w:r>
      <w:proofErr w:type="gramEnd"/>
      <w:r w:rsidR="0028677E">
        <w:rPr>
          <w:szCs w:val="24"/>
        </w:rPr>
        <w:t xml:space="preserve"> The prime-ness of prime numbers consists in the fact that they can only be shown to be commensurable with natural numbers less than themselves by appeal to a base unit of “1</w:t>
      </w:r>
      <w:r w:rsidR="00161812">
        <w:rPr>
          <w:szCs w:val="24"/>
        </w:rPr>
        <w:t>”</w:t>
      </w:r>
      <w:r w:rsidR="00A4225D">
        <w:rPr>
          <w:szCs w:val="24"/>
        </w:rPr>
        <w:t>” (Bollhage</w:t>
      </w:r>
      <w:r w:rsidR="00F24AB7">
        <w:rPr>
          <w:szCs w:val="24"/>
        </w:rPr>
        <w:t>n</w:t>
      </w:r>
      <w:r w:rsidR="00446FC8">
        <w:rPr>
          <w:szCs w:val="24"/>
        </w:rPr>
        <w:t>, 2021).</w:t>
      </w:r>
      <w:r w:rsidR="00161812">
        <w:rPr>
          <w:szCs w:val="24"/>
        </w:rPr>
        <w:t xml:space="preserve"> We might say, then, t</w:t>
      </w:r>
      <w:r w:rsidR="00DE1CE3">
        <w:rPr>
          <w:szCs w:val="24"/>
        </w:rPr>
        <w:t>here is no base unit out of which one can construct</w:t>
      </w:r>
      <w:r w:rsidR="00161812">
        <w:rPr>
          <w:szCs w:val="24"/>
        </w:rPr>
        <w:t>, for a screwdriver,</w:t>
      </w:r>
      <w:r w:rsidR="00DE1CE3">
        <w:rPr>
          <w:szCs w:val="24"/>
        </w:rPr>
        <w:t xml:space="preserve"> both</w:t>
      </w:r>
      <w:r w:rsidR="0028677E">
        <w:rPr>
          <w:szCs w:val="24"/>
        </w:rPr>
        <w:t xml:space="preserve"> </w:t>
      </w:r>
      <w:r w:rsidR="00DE1CE3">
        <w:rPr>
          <w:i/>
          <w:iCs/>
          <w:szCs w:val="24"/>
        </w:rPr>
        <w:t xml:space="preserve">open a can of paint </w:t>
      </w:r>
      <w:r w:rsidR="00DE1CE3">
        <w:rPr>
          <w:szCs w:val="24"/>
        </w:rPr>
        <w:t xml:space="preserve">and </w:t>
      </w:r>
      <w:r w:rsidR="00DE1CE3">
        <w:rPr>
          <w:i/>
          <w:iCs/>
          <w:szCs w:val="24"/>
        </w:rPr>
        <w:t>use as a paperweight</w:t>
      </w:r>
      <w:r w:rsidR="00161812">
        <w:rPr>
          <w:szCs w:val="24"/>
        </w:rPr>
        <w:t>.</w:t>
      </w:r>
    </w:p>
    <w:p w14:paraId="5BDAD72E" w14:textId="59A65093" w:rsidR="00FD6C0E" w:rsidRDefault="006F3CC8" w:rsidP="008A5C5A">
      <w:pPr>
        <w:ind w:firstLine="720"/>
        <w:rPr>
          <w:szCs w:val="24"/>
        </w:rPr>
      </w:pPr>
      <w:r>
        <w:rPr>
          <w:szCs w:val="24"/>
        </w:rPr>
        <w:t>W</w:t>
      </w:r>
      <w:r w:rsidR="0028677E">
        <w:rPr>
          <w:szCs w:val="24"/>
        </w:rPr>
        <w:t xml:space="preserve">hether we put the point in terms of metric spaces or </w:t>
      </w:r>
      <w:r w:rsidR="00161812">
        <w:rPr>
          <w:szCs w:val="24"/>
        </w:rPr>
        <w:t xml:space="preserve">in terms of </w:t>
      </w:r>
      <w:r w:rsidR="0028677E">
        <w:rPr>
          <w:szCs w:val="24"/>
        </w:rPr>
        <w:t>commensurability, t</w:t>
      </w:r>
      <w:r w:rsidR="00410823">
        <w:rPr>
          <w:szCs w:val="24"/>
        </w:rPr>
        <w:t>hese are</w:t>
      </w:r>
      <w:r w:rsidR="0028677E">
        <w:rPr>
          <w:szCs w:val="24"/>
        </w:rPr>
        <w:t>, for my purposes,</w:t>
      </w:r>
      <w:r w:rsidR="00410823">
        <w:rPr>
          <w:szCs w:val="24"/>
        </w:rPr>
        <w:t xml:space="preserve"> two ways of saying the same thing.</w:t>
      </w:r>
      <w:r w:rsidR="0028677E">
        <w:rPr>
          <w:szCs w:val="24"/>
        </w:rPr>
        <w:t xml:space="preserve"> </w:t>
      </w:r>
      <w:proofErr w:type="gramStart"/>
      <w:r w:rsidR="0028677E">
        <w:rPr>
          <w:szCs w:val="24"/>
        </w:rPr>
        <w:t>And,</w:t>
      </w:r>
      <w:proofErr w:type="gramEnd"/>
      <w:r w:rsidR="0028677E">
        <w:rPr>
          <w:szCs w:val="24"/>
        </w:rPr>
        <w:t xml:space="preserve"> I take it, two ways of saying the same thing that Kauffman himself puts in terms of “</w:t>
      </w:r>
      <w:proofErr w:type="spellStart"/>
      <w:r w:rsidR="0028677E">
        <w:rPr>
          <w:szCs w:val="24"/>
        </w:rPr>
        <w:t>algorithmicity</w:t>
      </w:r>
      <w:proofErr w:type="spellEnd"/>
      <w:r w:rsidR="0028677E">
        <w:rPr>
          <w:szCs w:val="24"/>
        </w:rPr>
        <w:t>.”</w:t>
      </w:r>
      <w:r w:rsidR="003B7A2C">
        <w:rPr>
          <w:szCs w:val="24"/>
        </w:rPr>
        <w:t xml:space="preserve"> </w:t>
      </w:r>
      <w:r w:rsidR="0028677E">
        <w:rPr>
          <w:szCs w:val="24"/>
        </w:rPr>
        <w:t>That is, Kauffman’s way of saying it goes</w:t>
      </w:r>
      <w:r w:rsidR="003B7A2C">
        <w:rPr>
          <w:szCs w:val="24"/>
        </w:rPr>
        <w:t xml:space="preserve"> that the change involved in moving from one use of a screwdriver to another is not explicable in terms of a finite set of well-defined rules.</w:t>
      </w:r>
      <w:r w:rsidR="00410823">
        <w:rPr>
          <w:szCs w:val="24"/>
        </w:rPr>
        <w:t xml:space="preserve"> By analogy, the kind of change involved in biological structures adopting new functions is</w:t>
      </w:r>
      <w:r w:rsidR="00503312">
        <w:rPr>
          <w:szCs w:val="24"/>
        </w:rPr>
        <w:t xml:space="preserve"> likewise</w:t>
      </w:r>
      <w:r w:rsidR="00410823">
        <w:rPr>
          <w:szCs w:val="24"/>
        </w:rPr>
        <w:t xml:space="preserve"> not “algorithmic.” </w:t>
      </w:r>
      <w:r w:rsidR="005F0681">
        <w:rPr>
          <w:szCs w:val="24"/>
        </w:rPr>
        <w:t>We can call this form of change “</w:t>
      </w:r>
      <w:r w:rsidR="007541EF">
        <w:rPr>
          <w:szCs w:val="24"/>
        </w:rPr>
        <w:t>discontinuou</w:t>
      </w:r>
      <w:r w:rsidR="005F0681">
        <w:rPr>
          <w:szCs w:val="24"/>
        </w:rPr>
        <w:t>s.”</w:t>
      </w:r>
      <w:r w:rsidR="00410823">
        <w:rPr>
          <w:szCs w:val="24"/>
        </w:rPr>
        <w:t xml:space="preserve"> </w:t>
      </w:r>
      <w:r w:rsidR="003B7A2C">
        <w:rPr>
          <w:szCs w:val="24"/>
        </w:rPr>
        <w:t xml:space="preserve">   </w:t>
      </w:r>
      <w:r w:rsidR="00FD6C0E">
        <w:rPr>
          <w:szCs w:val="24"/>
        </w:rPr>
        <w:t xml:space="preserve"> </w:t>
      </w:r>
    </w:p>
    <w:p w14:paraId="0A9AF99A" w14:textId="621E1A3D" w:rsidR="001C29BD" w:rsidRDefault="00C27770" w:rsidP="00053EF0">
      <w:pPr>
        <w:ind w:firstLine="720"/>
        <w:rPr>
          <w:szCs w:val="24"/>
        </w:rPr>
      </w:pPr>
      <w:r>
        <w:rPr>
          <w:szCs w:val="24"/>
        </w:rPr>
        <w:lastRenderedPageBreak/>
        <w:t>Although</w:t>
      </w:r>
      <w:r w:rsidR="00410823">
        <w:rPr>
          <w:szCs w:val="24"/>
        </w:rPr>
        <w:t xml:space="preserve"> using screwdrivers and</w:t>
      </w:r>
      <w:r>
        <w:rPr>
          <w:szCs w:val="24"/>
        </w:rPr>
        <w:t xml:space="preserve"> jury-rigging</w:t>
      </w:r>
      <w:r w:rsidR="00410823">
        <w:rPr>
          <w:szCs w:val="24"/>
        </w:rPr>
        <w:t xml:space="preserve"> </w:t>
      </w:r>
      <w:r w:rsidR="0012783F">
        <w:rPr>
          <w:szCs w:val="24"/>
        </w:rPr>
        <w:t xml:space="preserve">with </w:t>
      </w:r>
      <w:r w:rsidR="00410823">
        <w:rPr>
          <w:szCs w:val="24"/>
        </w:rPr>
        <w:t>funnels</w:t>
      </w:r>
      <w:r>
        <w:rPr>
          <w:szCs w:val="24"/>
        </w:rPr>
        <w:t xml:space="preserve"> clearly involves human cognitive activity, Kauffman’s </w:t>
      </w:r>
      <w:r w:rsidR="008A5C5A">
        <w:rPr>
          <w:szCs w:val="24"/>
        </w:rPr>
        <w:t>point is</w:t>
      </w:r>
      <w:r>
        <w:rPr>
          <w:szCs w:val="24"/>
        </w:rPr>
        <w:t xml:space="preserve"> to illustrate how the evolution of systems in the biosphere works. His</w:t>
      </w:r>
      <w:r w:rsidR="00B656AB">
        <w:rPr>
          <w:szCs w:val="24"/>
        </w:rPr>
        <w:t xml:space="preserve"> ultimate</w:t>
      </w:r>
      <w:r>
        <w:rPr>
          <w:szCs w:val="24"/>
        </w:rPr>
        <w:t xml:space="preserve"> point, in other words, is an ontological one</w:t>
      </w:r>
      <w:r w:rsidR="007541EF">
        <w:rPr>
          <w:szCs w:val="24"/>
        </w:rPr>
        <w:t xml:space="preserve"> that he uses to characterize “the emergent, creative, unentailed, becoming of the biosphere . . .</w:t>
      </w:r>
      <w:r w:rsidR="00F24AB7">
        <w:rPr>
          <w:szCs w:val="24"/>
        </w:rPr>
        <w:t>”</w:t>
      </w:r>
      <w:r w:rsidR="007541EF">
        <w:rPr>
          <w:szCs w:val="24"/>
        </w:rPr>
        <w:t xml:space="preserve"> (Kauffman 2014).</w:t>
      </w:r>
      <w:r>
        <w:rPr>
          <w:szCs w:val="24"/>
        </w:rPr>
        <w:t xml:space="preserve"> </w:t>
      </w:r>
      <w:r w:rsidR="00050DDA">
        <w:rPr>
          <w:szCs w:val="24"/>
        </w:rPr>
        <w:t>Here, in giving his idea an “epistemic twist,” my focus remains on human epistemic agents</w:t>
      </w:r>
      <w:r w:rsidR="00A76E08">
        <w:rPr>
          <w:szCs w:val="24"/>
        </w:rPr>
        <w:t>.</w:t>
      </w:r>
      <w:r w:rsidR="00F279B6">
        <w:rPr>
          <w:rStyle w:val="FootnoteReference"/>
          <w:szCs w:val="24"/>
        </w:rPr>
        <w:footnoteReference w:id="10"/>
      </w:r>
      <w:r w:rsidR="00A76E08">
        <w:rPr>
          <w:szCs w:val="24"/>
        </w:rPr>
        <w:t xml:space="preserve"> </w:t>
      </w:r>
    </w:p>
    <w:p w14:paraId="7A600970" w14:textId="43BD46DC" w:rsidR="00E91C88" w:rsidRDefault="00D40124" w:rsidP="001C29BD">
      <w:pPr>
        <w:ind w:firstLine="720"/>
        <w:rPr>
          <w:szCs w:val="24"/>
        </w:rPr>
      </w:pPr>
      <w:r>
        <w:rPr>
          <w:szCs w:val="24"/>
        </w:rPr>
        <w:t xml:space="preserve">So, </w:t>
      </w:r>
      <w:r w:rsidR="0012783F">
        <w:rPr>
          <w:szCs w:val="24"/>
        </w:rPr>
        <w:t>keeping the focus on</w:t>
      </w:r>
      <w:r>
        <w:rPr>
          <w:szCs w:val="24"/>
        </w:rPr>
        <w:t xml:space="preserve"> human</w:t>
      </w:r>
      <w:r w:rsidR="0012783F">
        <w:rPr>
          <w:szCs w:val="24"/>
        </w:rPr>
        <w:t>s</w:t>
      </w:r>
      <w:r>
        <w:rPr>
          <w:szCs w:val="24"/>
        </w:rPr>
        <w:t>, w</w:t>
      </w:r>
      <w:r w:rsidR="00050DDA">
        <w:rPr>
          <w:szCs w:val="24"/>
        </w:rPr>
        <w:t>hat is cognitively involved in jury-rigging?</w:t>
      </w:r>
      <w:r w:rsidR="009C0AC8">
        <w:rPr>
          <w:rStyle w:val="FootnoteReference"/>
          <w:szCs w:val="24"/>
        </w:rPr>
        <w:footnoteReference w:id="11"/>
      </w:r>
      <w:r w:rsidR="00050DDA">
        <w:rPr>
          <w:szCs w:val="24"/>
        </w:rPr>
        <w:t xml:space="preserve"> </w:t>
      </w:r>
      <w:r w:rsidR="001B147D">
        <w:rPr>
          <w:szCs w:val="24"/>
        </w:rPr>
        <w:t>Psychologists have studied t</w:t>
      </w:r>
      <w:r w:rsidR="00050DDA">
        <w:rPr>
          <w:szCs w:val="24"/>
        </w:rPr>
        <w:t>his form of</w:t>
      </w:r>
      <w:r w:rsidR="001B147D">
        <w:rPr>
          <w:szCs w:val="24"/>
        </w:rPr>
        <w:t xml:space="preserve"> creativity</w:t>
      </w:r>
      <w:r w:rsidR="0008052F">
        <w:rPr>
          <w:szCs w:val="24"/>
        </w:rPr>
        <w:t xml:space="preserve"> </w:t>
      </w:r>
      <w:r w:rsidR="001B147D">
        <w:rPr>
          <w:szCs w:val="24"/>
        </w:rPr>
        <w:t xml:space="preserve">in humans </w:t>
      </w:r>
      <w:r w:rsidR="00D77FF4">
        <w:rPr>
          <w:szCs w:val="24"/>
        </w:rPr>
        <w:t xml:space="preserve">using an experimental paradigm named after </w:t>
      </w:r>
      <w:r w:rsidR="00050DDA">
        <w:rPr>
          <w:szCs w:val="24"/>
        </w:rPr>
        <w:t xml:space="preserve">its inventor, </w:t>
      </w:r>
      <w:r w:rsidR="003042FF">
        <w:rPr>
          <w:szCs w:val="24"/>
        </w:rPr>
        <w:t>the Gestalt psychologist, Karl Duncker</w:t>
      </w:r>
      <w:r w:rsidR="00F24AB7">
        <w:rPr>
          <w:szCs w:val="24"/>
        </w:rPr>
        <w:t xml:space="preserve"> (Duncker &amp; Lee 1945)</w:t>
      </w:r>
      <w:r w:rsidR="00050DDA">
        <w:rPr>
          <w:szCs w:val="24"/>
        </w:rPr>
        <w:t>.</w:t>
      </w:r>
      <w:r w:rsidR="00050DDA" w:rsidRPr="00050DDA">
        <w:rPr>
          <w:rStyle w:val="FootnoteReference"/>
          <w:szCs w:val="24"/>
        </w:rPr>
        <w:t xml:space="preserve"> </w:t>
      </w:r>
      <w:r w:rsidR="00050DDA">
        <w:rPr>
          <w:szCs w:val="24"/>
        </w:rPr>
        <w:t xml:space="preserve">In </w:t>
      </w:r>
      <w:r w:rsidR="003042FF">
        <w:rPr>
          <w:szCs w:val="24"/>
        </w:rPr>
        <w:t>the Duncker Candle Task</w:t>
      </w:r>
      <w:r w:rsidR="00050DDA">
        <w:rPr>
          <w:szCs w:val="24"/>
        </w:rPr>
        <w:t>,</w:t>
      </w:r>
      <w:r w:rsidR="006848CD">
        <w:rPr>
          <w:szCs w:val="24"/>
        </w:rPr>
        <w:t xml:space="preserve"> subjects are seated at a table next to a wall on which</w:t>
      </w:r>
      <w:r w:rsidR="006F3CC8">
        <w:rPr>
          <w:szCs w:val="24"/>
        </w:rPr>
        <w:t xml:space="preserve"> a cork board</w:t>
      </w:r>
      <w:r w:rsidR="006848CD">
        <w:rPr>
          <w:szCs w:val="24"/>
        </w:rPr>
        <w:t xml:space="preserve"> is mounted. They are given a wax candle, a box of tacks, and a book </w:t>
      </w:r>
      <w:r w:rsidR="00E111C7">
        <w:rPr>
          <w:szCs w:val="24"/>
        </w:rPr>
        <w:t>of</w:t>
      </w:r>
      <w:r w:rsidR="006848CD">
        <w:rPr>
          <w:szCs w:val="24"/>
        </w:rPr>
        <w:t xml:space="preserve"> matches and are told to find a way to support the candle above the table such that, when the candle is lit, it does not drip wax onto the table. </w:t>
      </w:r>
      <w:r w:rsidR="00503312">
        <w:rPr>
          <w:szCs w:val="24"/>
        </w:rPr>
        <w:t>As psychologists put it, t</w:t>
      </w:r>
      <w:r w:rsidR="001D2F2F">
        <w:rPr>
          <w:szCs w:val="24"/>
        </w:rPr>
        <w:t>he solution</w:t>
      </w:r>
      <w:r w:rsidR="00503312">
        <w:rPr>
          <w:szCs w:val="24"/>
        </w:rPr>
        <w:t xml:space="preserve"> hits subjects as an “insight.”</w:t>
      </w:r>
      <w:r w:rsidR="001D2F2F">
        <w:rPr>
          <w:szCs w:val="24"/>
        </w:rPr>
        <w:t xml:space="preserve"> </w:t>
      </w:r>
      <w:r w:rsidR="00503312">
        <w:rPr>
          <w:szCs w:val="24"/>
        </w:rPr>
        <w:t xml:space="preserve">The insight </w:t>
      </w:r>
      <w:r w:rsidR="001D2F2F">
        <w:rPr>
          <w:szCs w:val="24"/>
        </w:rPr>
        <w:t xml:space="preserve">is to realize that the box of tacks is not merely a </w:t>
      </w:r>
      <w:r w:rsidR="001D2F2F" w:rsidRPr="00C93FD2">
        <w:rPr>
          <w:i/>
          <w:iCs/>
          <w:szCs w:val="24"/>
        </w:rPr>
        <w:t>box of tacks</w:t>
      </w:r>
      <w:r w:rsidR="001D2F2F">
        <w:rPr>
          <w:szCs w:val="24"/>
        </w:rPr>
        <w:t xml:space="preserve"> but</w:t>
      </w:r>
      <w:r w:rsidR="00C93FD2">
        <w:rPr>
          <w:szCs w:val="24"/>
        </w:rPr>
        <w:t xml:space="preserve"> is </w:t>
      </w:r>
      <w:r w:rsidR="00503312">
        <w:rPr>
          <w:szCs w:val="24"/>
        </w:rPr>
        <w:t xml:space="preserve">materially </w:t>
      </w:r>
      <w:r w:rsidR="00C93FD2">
        <w:rPr>
          <w:szCs w:val="24"/>
        </w:rPr>
        <w:t>such that it</w:t>
      </w:r>
      <w:r w:rsidR="001D2F2F">
        <w:rPr>
          <w:szCs w:val="24"/>
        </w:rPr>
        <w:t xml:space="preserve"> can support an alternative functional deployment</w:t>
      </w:r>
      <w:r w:rsidR="0086278B">
        <w:rPr>
          <w:szCs w:val="24"/>
        </w:rPr>
        <w:t xml:space="preserve">, namely, </w:t>
      </w:r>
      <w:r w:rsidR="0086278B" w:rsidRPr="0086278B">
        <w:rPr>
          <w:i/>
          <w:iCs/>
          <w:szCs w:val="24"/>
        </w:rPr>
        <w:t>candle holder</w:t>
      </w:r>
      <w:r w:rsidR="0086278B">
        <w:rPr>
          <w:szCs w:val="24"/>
        </w:rPr>
        <w:t>.</w:t>
      </w:r>
      <w:r w:rsidR="003042FF">
        <w:rPr>
          <w:szCs w:val="24"/>
        </w:rPr>
        <w:t xml:space="preserve"> </w:t>
      </w:r>
      <w:r w:rsidR="00BF3721">
        <w:rPr>
          <w:szCs w:val="24"/>
        </w:rPr>
        <w:t xml:space="preserve">What Kauffman calls “jury-rigging” is essential here. </w:t>
      </w:r>
      <w:r w:rsidR="0086278B">
        <w:rPr>
          <w:szCs w:val="24"/>
        </w:rPr>
        <w:t xml:space="preserve">Successful subjects will dump the </w:t>
      </w:r>
      <w:proofErr w:type="gramStart"/>
      <w:r w:rsidR="0086278B">
        <w:rPr>
          <w:szCs w:val="24"/>
        </w:rPr>
        <w:t>tacks</w:t>
      </w:r>
      <w:proofErr w:type="gramEnd"/>
      <w:r w:rsidR="0086278B">
        <w:rPr>
          <w:szCs w:val="24"/>
        </w:rPr>
        <w:t xml:space="preserve"> onto the table emptying the </w:t>
      </w:r>
      <w:proofErr w:type="gramStart"/>
      <w:r w:rsidR="0086278B">
        <w:rPr>
          <w:szCs w:val="24"/>
        </w:rPr>
        <w:t>box, and</w:t>
      </w:r>
      <w:proofErr w:type="gramEnd"/>
      <w:r w:rsidR="0086278B">
        <w:rPr>
          <w:szCs w:val="24"/>
        </w:rPr>
        <w:t xml:space="preserve"> then use the tacks to </w:t>
      </w:r>
      <w:r w:rsidR="00123F2E">
        <w:rPr>
          <w:szCs w:val="24"/>
        </w:rPr>
        <w:t>pin the empty box to the cor</w:t>
      </w:r>
      <w:r w:rsidR="00F63D80">
        <w:rPr>
          <w:szCs w:val="24"/>
        </w:rPr>
        <w:t>k</w:t>
      </w:r>
      <w:r w:rsidR="00123F2E">
        <w:rPr>
          <w:szCs w:val="24"/>
        </w:rPr>
        <w:t xml:space="preserve"> board. They will then melt the bottom end of the candle, press it into the box</w:t>
      </w:r>
      <w:r w:rsidR="00053EF0">
        <w:rPr>
          <w:szCs w:val="24"/>
        </w:rPr>
        <w:t>,</w:t>
      </w:r>
      <w:r w:rsidR="00123F2E">
        <w:rPr>
          <w:szCs w:val="24"/>
        </w:rPr>
        <w:t xml:space="preserve"> and let it cool so that </w:t>
      </w:r>
      <w:r w:rsidR="00053EF0">
        <w:rPr>
          <w:szCs w:val="24"/>
        </w:rPr>
        <w:t>the candle</w:t>
      </w:r>
      <w:r w:rsidR="00123F2E">
        <w:rPr>
          <w:szCs w:val="24"/>
        </w:rPr>
        <w:t xml:space="preserve"> stands upright. </w:t>
      </w:r>
      <w:r w:rsidR="00F94E65">
        <w:rPr>
          <w:szCs w:val="24"/>
        </w:rPr>
        <w:t>When the match is lit, the empty box serves as a well to catch the dripping wax</w:t>
      </w:r>
      <w:r w:rsidR="00E91C88">
        <w:rPr>
          <w:szCs w:val="24"/>
        </w:rPr>
        <w:t xml:space="preserve"> (Figure 3).</w:t>
      </w:r>
    </w:p>
    <w:p w14:paraId="1521258B" w14:textId="77777777" w:rsidR="00E91C88" w:rsidRDefault="00E91C88" w:rsidP="0094396C">
      <w:pPr>
        <w:rPr>
          <w:szCs w:val="24"/>
        </w:rPr>
      </w:pPr>
    </w:p>
    <w:p w14:paraId="4F34CCE2" w14:textId="56B203CC" w:rsidR="00120F33" w:rsidRPr="00120F33" w:rsidRDefault="00E91C88" w:rsidP="00E91C88">
      <w:pPr>
        <w:jc w:val="center"/>
        <w:rPr>
          <w:szCs w:val="24"/>
        </w:rPr>
      </w:pPr>
      <w:r>
        <w:rPr>
          <w:noProof/>
          <w:szCs w:val="24"/>
        </w:rPr>
        <w:drawing>
          <wp:inline distT="0" distB="0" distL="0" distR="0" wp14:anchorId="064880DB" wp14:editId="37A25297">
            <wp:extent cx="3505226" cy="3686202"/>
            <wp:effectExtent l="0" t="0" r="0" b="9525"/>
            <wp:docPr id="1119337737" name="Picture 1" descr="A diagram of a candle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37737" name="Picture 1" descr="A diagram of a candle proble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05226" cy="3686202"/>
                    </a:xfrm>
                    <a:prstGeom prst="rect">
                      <a:avLst/>
                    </a:prstGeom>
                  </pic:spPr>
                </pic:pic>
              </a:graphicData>
            </a:graphic>
          </wp:inline>
        </w:drawing>
      </w:r>
    </w:p>
    <w:p w14:paraId="0466AC91" w14:textId="3CB6F930" w:rsidR="001C1B23" w:rsidRDefault="00E91C88" w:rsidP="00E91C88">
      <w:pPr>
        <w:ind w:left="720" w:right="720"/>
        <w:jc w:val="center"/>
        <w:rPr>
          <w:sz w:val="22"/>
        </w:rPr>
      </w:pPr>
      <w:r>
        <w:rPr>
          <w:sz w:val="22"/>
        </w:rPr>
        <w:lastRenderedPageBreak/>
        <w:t xml:space="preserve">Figure </w:t>
      </w:r>
      <w:r w:rsidR="001D5989">
        <w:rPr>
          <w:sz w:val="22"/>
        </w:rPr>
        <w:t>1: The Dun</w:t>
      </w:r>
      <w:r w:rsidR="008C7FCD">
        <w:rPr>
          <w:sz w:val="22"/>
        </w:rPr>
        <w:t>c</w:t>
      </w:r>
      <w:r w:rsidR="001D5989">
        <w:rPr>
          <w:sz w:val="22"/>
        </w:rPr>
        <w:t>ker Candle Task</w:t>
      </w:r>
    </w:p>
    <w:p w14:paraId="1BC97ADB" w14:textId="77777777" w:rsidR="00AA59C0" w:rsidRDefault="00AA59C0" w:rsidP="003B1558">
      <w:pPr>
        <w:ind w:right="720"/>
        <w:rPr>
          <w:sz w:val="22"/>
        </w:rPr>
      </w:pPr>
    </w:p>
    <w:p w14:paraId="56EA3800" w14:textId="1E0329C3" w:rsidR="00446FC8" w:rsidRDefault="003810A4" w:rsidP="008A5C5A">
      <w:pPr>
        <w:ind w:right="720" w:firstLine="720"/>
        <w:rPr>
          <w:rFonts w:cs="Times New Roman"/>
          <w:color w:val="222222"/>
          <w:shd w:val="clear" w:color="auto" w:fill="FFFFFF"/>
        </w:rPr>
      </w:pPr>
      <w:r>
        <w:rPr>
          <w:szCs w:val="24"/>
        </w:rPr>
        <w:t>Psychologists characterize the difficulty involved in succeeding on this task as “functional fix</w:t>
      </w:r>
      <w:r w:rsidR="008A5C5A">
        <w:rPr>
          <w:szCs w:val="24"/>
        </w:rPr>
        <w:t>edness</w:t>
      </w:r>
      <w:r>
        <w:rPr>
          <w:szCs w:val="24"/>
        </w:rPr>
        <w:t>”</w:t>
      </w:r>
      <w:r w:rsidR="00DC3E4E">
        <w:rPr>
          <w:szCs w:val="24"/>
        </w:rPr>
        <w:t>—a tendency t</w:t>
      </w:r>
      <w:r w:rsidR="00C93FD2">
        <w:rPr>
          <w:szCs w:val="24"/>
        </w:rPr>
        <w:t>o understand</w:t>
      </w:r>
      <w:r w:rsidR="00DC3E4E">
        <w:rPr>
          <w:szCs w:val="24"/>
        </w:rPr>
        <w:t xml:space="preserve"> artifacts</w:t>
      </w:r>
      <w:r w:rsidR="00C93FD2">
        <w:rPr>
          <w:szCs w:val="24"/>
        </w:rPr>
        <w:t xml:space="preserve"> narrowly, i.e.,</w:t>
      </w:r>
      <w:r w:rsidR="00DC3E4E">
        <w:rPr>
          <w:szCs w:val="24"/>
        </w:rPr>
        <w:t xml:space="preserve"> </w:t>
      </w:r>
      <w:r w:rsidR="00DC6765">
        <w:rPr>
          <w:szCs w:val="24"/>
        </w:rPr>
        <w:t>in terms of their</w:t>
      </w:r>
      <w:r w:rsidR="00C93FD2">
        <w:rPr>
          <w:szCs w:val="24"/>
        </w:rPr>
        <w:t xml:space="preserve"> co</w:t>
      </w:r>
      <w:r w:rsidR="00D40124">
        <w:rPr>
          <w:szCs w:val="24"/>
        </w:rPr>
        <w:t>nventional</w:t>
      </w:r>
      <w:r w:rsidR="00C93FD2">
        <w:rPr>
          <w:szCs w:val="24"/>
        </w:rPr>
        <w:t xml:space="preserve"> or designed purpose</w:t>
      </w:r>
      <w:r w:rsidR="00533ED9">
        <w:rPr>
          <w:szCs w:val="24"/>
        </w:rPr>
        <w:t>.</w:t>
      </w:r>
      <w:r w:rsidR="007055F3">
        <w:rPr>
          <w:rStyle w:val="FootnoteReference"/>
          <w:szCs w:val="24"/>
        </w:rPr>
        <w:footnoteReference w:id="12"/>
      </w:r>
      <w:r w:rsidR="009C0AC8">
        <w:rPr>
          <w:szCs w:val="24"/>
        </w:rPr>
        <w:t xml:space="preserve"> </w:t>
      </w:r>
      <w:r w:rsidR="00503312">
        <w:rPr>
          <w:szCs w:val="24"/>
        </w:rPr>
        <w:t>The insight is a matter of breaking out of this functionally fixed mindset.</w:t>
      </w:r>
      <w:r w:rsidR="007541EF">
        <w:rPr>
          <w:szCs w:val="24"/>
        </w:rPr>
        <w:t xml:space="preserve"> T</w:t>
      </w:r>
      <w:r w:rsidR="00503312">
        <w:rPr>
          <w:szCs w:val="24"/>
        </w:rPr>
        <w:t>he term “insight,” however, might sound slightly hyperbolic</w:t>
      </w:r>
      <w:r w:rsidR="007541EF">
        <w:rPr>
          <w:szCs w:val="24"/>
        </w:rPr>
        <w:t xml:space="preserve"> given the banality of jury rigging.</w:t>
      </w:r>
      <w:r w:rsidR="00503312">
        <w:rPr>
          <w:szCs w:val="24"/>
        </w:rPr>
        <w:t xml:space="preserve"> W</w:t>
      </w:r>
      <w:r w:rsidR="009C0AC8">
        <w:rPr>
          <w:szCs w:val="24"/>
        </w:rPr>
        <w:t xml:space="preserve">hile an artifact’s conventional use may </w:t>
      </w:r>
      <w:r w:rsidR="00503312">
        <w:rPr>
          <w:szCs w:val="24"/>
        </w:rPr>
        <w:t>carry</w:t>
      </w:r>
      <w:r w:rsidR="009C0AC8">
        <w:rPr>
          <w:szCs w:val="24"/>
        </w:rPr>
        <w:t xml:space="preserve"> some psychologi</w:t>
      </w:r>
      <w:r w:rsidR="00D245E0">
        <w:rPr>
          <w:szCs w:val="24"/>
        </w:rPr>
        <w:t>cal</w:t>
      </w:r>
      <w:r w:rsidR="009C0AC8">
        <w:rPr>
          <w:szCs w:val="24"/>
        </w:rPr>
        <w:t xml:space="preserve"> inertia</w:t>
      </w:r>
      <w:r w:rsidR="00503312">
        <w:rPr>
          <w:szCs w:val="24"/>
        </w:rPr>
        <w:t xml:space="preserve"> in our interactions with it,</w:t>
      </w:r>
      <w:r w:rsidR="009C0AC8">
        <w:rPr>
          <w:szCs w:val="24"/>
        </w:rPr>
        <w:t xml:space="preserve"> we do, in fact, overcome </w:t>
      </w:r>
      <w:r w:rsidR="00503312">
        <w:rPr>
          <w:szCs w:val="24"/>
        </w:rPr>
        <w:t>that inertia and break through functional fix</w:t>
      </w:r>
      <w:r w:rsidR="009C2AF5">
        <w:rPr>
          <w:szCs w:val="24"/>
        </w:rPr>
        <w:t>edness</w:t>
      </w:r>
      <w:r w:rsidR="00D245E0">
        <w:rPr>
          <w:szCs w:val="24"/>
        </w:rPr>
        <w:t xml:space="preserve"> </w:t>
      </w:r>
      <w:r w:rsidR="009C0AC8">
        <w:rPr>
          <w:szCs w:val="24"/>
        </w:rPr>
        <w:t>often</w:t>
      </w:r>
      <w:r w:rsidR="00D245E0">
        <w:rPr>
          <w:szCs w:val="24"/>
        </w:rPr>
        <w:t xml:space="preserve"> enough to where the </w:t>
      </w:r>
      <w:r w:rsidR="00FF6223">
        <w:rPr>
          <w:szCs w:val="24"/>
        </w:rPr>
        <w:t>act</w:t>
      </w:r>
      <w:r w:rsidR="00D245E0">
        <w:rPr>
          <w:szCs w:val="24"/>
        </w:rPr>
        <w:t xml:space="preserve"> hardly warrants the </w:t>
      </w:r>
      <w:r w:rsidR="00FF6223">
        <w:rPr>
          <w:szCs w:val="24"/>
        </w:rPr>
        <w:t>epithet</w:t>
      </w:r>
      <w:r w:rsidR="00D245E0">
        <w:rPr>
          <w:szCs w:val="24"/>
        </w:rPr>
        <w:t xml:space="preserve"> “insight</w:t>
      </w:r>
      <w:r w:rsidR="009C0AC8">
        <w:rPr>
          <w:szCs w:val="24"/>
        </w:rPr>
        <w:t>.</w:t>
      </w:r>
      <w:r w:rsidR="00D245E0">
        <w:rPr>
          <w:szCs w:val="24"/>
        </w:rPr>
        <w:t>”</w:t>
      </w:r>
      <w:r w:rsidR="009C0AC8">
        <w:rPr>
          <w:szCs w:val="24"/>
        </w:rPr>
        <w:t xml:space="preserve"> </w:t>
      </w:r>
      <w:r w:rsidR="00124114">
        <w:rPr>
          <w:rFonts w:cs="Times New Roman"/>
          <w:color w:val="222222"/>
          <w:shd w:val="clear" w:color="auto" w:fill="FFFFFF"/>
        </w:rPr>
        <w:t>As Kauffman writes, “</w:t>
      </w:r>
      <w:r w:rsidR="00D40124">
        <w:rPr>
          <w:rFonts w:cs="Times New Roman"/>
          <w:color w:val="222222"/>
          <w:shd w:val="clear" w:color="auto" w:fill="FFFFFF"/>
        </w:rPr>
        <w:t>w</w:t>
      </w:r>
      <w:r w:rsidR="00124114">
        <w:rPr>
          <w:rFonts w:cs="Times New Roman"/>
          <w:color w:val="222222"/>
          <w:shd w:val="clear" w:color="auto" w:fill="FFFFFF"/>
        </w:rPr>
        <w:t>e jury-rig all the time.”</w:t>
      </w:r>
      <w:r w:rsidR="004244EC">
        <w:rPr>
          <w:rFonts w:cs="Times New Roman"/>
          <w:color w:val="222222"/>
          <w:shd w:val="clear" w:color="auto" w:fill="FFFFFF"/>
        </w:rPr>
        <w:t xml:space="preserve"> </w:t>
      </w:r>
      <w:r w:rsidR="008B0265">
        <w:rPr>
          <w:rFonts w:cs="Times New Roman"/>
          <w:color w:val="222222"/>
          <w:shd w:val="clear" w:color="auto" w:fill="FFFFFF"/>
        </w:rPr>
        <w:t>It is “routine</w:t>
      </w:r>
      <w:r w:rsidR="009C5C24">
        <w:rPr>
          <w:rFonts w:cs="Times New Roman"/>
          <w:color w:val="222222"/>
          <w:shd w:val="clear" w:color="auto" w:fill="FFFFFF"/>
        </w:rPr>
        <w:t>.</w:t>
      </w:r>
      <w:r w:rsidR="008B0265">
        <w:rPr>
          <w:rFonts w:cs="Times New Roman"/>
          <w:color w:val="222222"/>
          <w:shd w:val="clear" w:color="auto" w:fill="FFFFFF"/>
        </w:rPr>
        <w:t>”</w:t>
      </w:r>
      <w:r w:rsidR="009C5C24">
        <w:rPr>
          <w:rFonts w:cs="Times New Roman"/>
          <w:color w:val="222222"/>
          <w:shd w:val="clear" w:color="auto" w:fill="FFFFFF"/>
        </w:rPr>
        <w:t xml:space="preserve"> </w:t>
      </w:r>
      <w:r w:rsidR="009E28D3">
        <w:rPr>
          <w:rFonts w:cs="Times New Roman"/>
          <w:color w:val="222222"/>
          <w:shd w:val="clear" w:color="auto" w:fill="FFFFFF"/>
        </w:rPr>
        <w:t>Indeed,</w:t>
      </w:r>
      <w:r w:rsidR="009C5C24">
        <w:rPr>
          <w:rFonts w:cs="Times New Roman"/>
          <w:color w:val="222222"/>
          <w:shd w:val="clear" w:color="auto" w:fill="FFFFFF"/>
        </w:rPr>
        <w:t xml:space="preserve"> appropriately so, for my purposes, given that</w:t>
      </w:r>
      <w:r w:rsidR="008B0265">
        <w:rPr>
          <w:rFonts w:cs="Times New Roman"/>
          <w:color w:val="222222"/>
          <w:shd w:val="clear" w:color="auto" w:fill="FFFFFF"/>
        </w:rPr>
        <w:t xml:space="preserve"> philosophers have characterized scientists’ coping with practical underdetermination</w:t>
      </w:r>
      <w:r w:rsidR="009C5C24">
        <w:rPr>
          <w:rFonts w:cs="Times New Roman"/>
          <w:color w:val="222222"/>
          <w:shd w:val="clear" w:color="auto" w:fill="FFFFFF"/>
        </w:rPr>
        <w:t xml:space="preserve"> in precisely those terms</w:t>
      </w:r>
      <w:r w:rsidR="005B3655">
        <w:rPr>
          <w:rFonts w:cs="Times New Roman"/>
          <w:color w:val="222222"/>
          <w:shd w:val="clear" w:color="auto" w:fill="FFFFFF"/>
        </w:rPr>
        <w:t xml:space="preserve">. </w:t>
      </w:r>
    </w:p>
    <w:p w14:paraId="68D0B1AF" w14:textId="0DAFFE94" w:rsidR="00277550" w:rsidRDefault="009C0AC8" w:rsidP="008A5C5A">
      <w:pPr>
        <w:ind w:right="720" w:firstLine="720"/>
        <w:rPr>
          <w:rFonts w:cs="Times New Roman"/>
          <w:color w:val="222222"/>
          <w:shd w:val="clear" w:color="auto" w:fill="FFFFFF"/>
        </w:rPr>
      </w:pPr>
      <w:r>
        <w:rPr>
          <w:rFonts w:cs="Times New Roman"/>
          <w:color w:val="222222"/>
          <w:shd w:val="clear" w:color="auto" w:fill="FFFFFF"/>
        </w:rPr>
        <w:t xml:space="preserve">As we will see in the next section, researchers in the </w:t>
      </w:r>
      <w:r w:rsidR="00FF6223">
        <w:rPr>
          <w:rFonts w:cs="Times New Roman"/>
          <w:color w:val="222222"/>
          <w:shd w:val="clear" w:color="auto" w:fill="FFFFFF"/>
        </w:rPr>
        <w:t>“</w:t>
      </w:r>
      <w:r w:rsidR="00FC4258">
        <w:rPr>
          <w:rFonts w:cs="Times New Roman"/>
          <w:color w:val="222222"/>
          <w:shd w:val="clear" w:color="auto" w:fill="FFFFFF"/>
        </w:rPr>
        <w:t>Inchworm</w:t>
      </w:r>
      <w:r>
        <w:rPr>
          <w:rFonts w:cs="Times New Roman"/>
          <w:color w:val="222222"/>
          <w:shd w:val="clear" w:color="auto" w:fill="FFFFFF"/>
        </w:rPr>
        <w:t xml:space="preserve"> </w:t>
      </w:r>
      <w:r w:rsidR="00FC4258">
        <w:rPr>
          <w:rFonts w:cs="Times New Roman"/>
          <w:color w:val="222222"/>
          <w:shd w:val="clear" w:color="auto" w:fill="FFFFFF"/>
        </w:rPr>
        <w:t>E</w:t>
      </w:r>
      <w:r>
        <w:rPr>
          <w:rFonts w:cs="Times New Roman"/>
          <w:color w:val="222222"/>
          <w:shd w:val="clear" w:color="auto" w:fill="FFFFFF"/>
        </w:rPr>
        <w:t>pisode</w:t>
      </w:r>
      <w:r w:rsidR="00FF6223">
        <w:rPr>
          <w:rFonts w:cs="Times New Roman"/>
          <w:color w:val="222222"/>
          <w:shd w:val="clear" w:color="auto" w:fill="FFFFFF"/>
        </w:rPr>
        <w:t>”</w:t>
      </w:r>
      <w:r>
        <w:rPr>
          <w:rFonts w:cs="Times New Roman"/>
          <w:color w:val="222222"/>
          <w:shd w:val="clear" w:color="auto" w:fill="FFFFFF"/>
        </w:rPr>
        <w:t xml:space="preserve"> modified the conventional use of their research platform to test for features beyond those which prior conventional usage </w:t>
      </w:r>
      <w:r w:rsidR="00243BC1">
        <w:rPr>
          <w:rFonts w:cs="Times New Roman"/>
          <w:color w:val="222222"/>
          <w:shd w:val="clear" w:color="auto" w:fill="FFFFFF"/>
        </w:rPr>
        <w:t>countenanced</w:t>
      </w:r>
      <w:r>
        <w:rPr>
          <w:rFonts w:cs="Times New Roman"/>
          <w:color w:val="222222"/>
          <w:shd w:val="clear" w:color="auto" w:fill="FFFFFF"/>
        </w:rPr>
        <w:t>. The form of change that the research p</w:t>
      </w:r>
      <w:r w:rsidR="00243BC1">
        <w:rPr>
          <w:rFonts w:cs="Times New Roman"/>
          <w:color w:val="222222"/>
          <w:shd w:val="clear" w:color="auto" w:fill="FFFFFF"/>
        </w:rPr>
        <w:t>latform</w:t>
      </w:r>
      <w:r>
        <w:rPr>
          <w:rFonts w:cs="Times New Roman"/>
          <w:color w:val="222222"/>
          <w:shd w:val="clear" w:color="auto" w:fill="FFFFFF"/>
        </w:rPr>
        <w:t xml:space="preserve"> underwent as a result is the same as that involved when, for Kauffman,</w:t>
      </w:r>
      <w:r w:rsidR="0051738B">
        <w:rPr>
          <w:rFonts w:cs="Times New Roman"/>
          <w:color w:val="222222"/>
          <w:shd w:val="clear" w:color="auto" w:fill="FFFFFF"/>
        </w:rPr>
        <w:t xml:space="preserve"> </w:t>
      </w:r>
      <w:r>
        <w:rPr>
          <w:rFonts w:cs="Times New Roman"/>
          <w:color w:val="222222"/>
          <w:shd w:val="clear" w:color="auto" w:fill="FFFFFF"/>
        </w:rPr>
        <w:t>a “new functi</w:t>
      </w:r>
      <w:r w:rsidR="000B0412">
        <w:rPr>
          <w:rFonts w:cs="Times New Roman"/>
          <w:color w:val="222222"/>
          <w:shd w:val="clear" w:color="auto" w:fill="FFFFFF"/>
        </w:rPr>
        <w:t xml:space="preserve">on </w:t>
      </w:r>
      <w:r w:rsidR="00D40124">
        <w:rPr>
          <w:rFonts w:cs="Times New Roman"/>
          <w:color w:val="222222"/>
          <w:shd w:val="clear" w:color="auto" w:fill="FFFFFF"/>
        </w:rPr>
        <w:t xml:space="preserve">comes to exist </w:t>
      </w:r>
      <w:r>
        <w:rPr>
          <w:rFonts w:cs="Times New Roman"/>
          <w:color w:val="222222"/>
          <w:shd w:val="clear" w:color="auto" w:fill="FFFFFF"/>
        </w:rPr>
        <w:t>in the biosphere</w:t>
      </w:r>
      <w:r w:rsidR="00D40124">
        <w:rPr>
          <w:rFonts w:cs="Times New Roman"/>
          <w:color w:val="222222"/>
          <w:shd w:val="clear" w:color="auto" w:fill="FFFFFF"/>
        </w:rPr>
        <w:t>.</w:t>
      </w:r>
      <w:r w:rsidR="00802135">
        <w:rPr>
          <w:rFonts w:cs="Times New Roman"/>
          <w:color w:val="222222"/>
          <w:shd w:val="clear" w:color="auto" w:fill="FFFFFF"/>
        </w:rPr>
        <w:t>”</w:t>
      </w:r>
      <w:r w:rsidR="00D40124">
        <w:rPr>
          <w:rFonts w:cs="Times New Roman"/>
          <w:color w:val="222222"/>
          <w:shd w:val="clear" w:color="auto" w:fill="FFFFFF"/>
        </w:rPr>
        <w:t xml:space="preserve"> In fact, </w:t>
      </w:r>
      <w:r w:rsidR="000A6A99">
        <w:rPr>
          <w:rFonts w:cs="Times New Roman"/>
          <w:color w:val="222222"/>
          <w:shd w:val="clear" w:color="auto" w:fill="FFFFFF"/>
        </w:rPr>
        <w:t xml:space="preserve">as </w:t>
      </w:r>
      <w:r w:rsidR="00D40124">
        <w:rPr>
          <w:rFonts w:cs="Times New Roman"/>
          <w:color w:val="222222"/>
          <w:shd w:val="clear" w:color="auto" w:fill="FFFFFF"/>
        </w:rPr>
        <w:t>we will also see</w:t>
      </w:r>
      <w:r w:rsidR="000A6A99">
        <w:rPr>
          <w:rFonts w:cs="Times New Roman"/>
          <w:color w:val="222222"/>
          <w:shd w:val="clear" w:color="auto" w:fill="FFFFFF"/>
        </w:rPr>
        <w:t>,</w:t>
      </w:r>
      <w:r w:rsidR="00D40124">
        <w:rPr>
          <w:rFonts w:cs="Times New Roman"/>
          <w:color w:val="222222"/>
          <w:shd w:val="clear" w:color="auto" w:fill="FFFFFF"/>
        </w:rPr>
        <w:t xml:space="preserve"> this change opened up a new </w:t>
      </w:r>
      <w:r w:rsidR="00FF6223">
        <w:rPr>
          <w:rFonts w:cs="Times New Roman"/>
          <w:color w:val="222222"/>
          <w:shd w:val="clear" w:color="auto" w:fill="FFFFFF"/>
        </w:rPr>
        <w:t>“</w:t>
      </w:r>
      <w:r w:rsidR="00D40124">
        <w:rPr>
          <w:rFonts w:cs="Times New Roman"/>
          <w:color w:val="222222"/>
          <w:shd w:val="clear" w:color="auto" w:fill="FFFFFF"/>
        </w:rPr>
        <w:t>crack in the floor knowledge</w:t>
      </w:r>
      <w:r w:rsidR="006F3CC8">
        <w:rPr>
          <w:rFonts w:cs="Times New Roman"/>
          <w:color w:val="222222"/>
          <w:shd w:val="clear" w:color="auto" w:fill="FFFFFF"/>
        </w:rPr>
        <w:t>,</w:t>
      </w:r>
      <w:r w:rsidR="00FF6223">
        <w:rPr>
          <w:rFonts w:cs="Times New Roman"/>
          <w:color w:val="222222"/>
          <w:shd w:val="clear" w:color="auto" w:fill="FFFFFF"/>
        </w:rPr>
        <w:t>”</w:t>
      </w:r>
      <w:r w:rsidR="006F3CC8">
        <w:rPr>
          <w:rFonts w:cs="Times New Roman"/>
          <w:color w:val="222222"/>
          <w:shd w:val="clear" w:color="auto" w:fill="FFFFFF"/>
        </w:rPr>
        <w:t xml:space="preserve"> to paraphrase </w:t>
      </w:r>
      <w:r w:rsidR="00AA4BF8">
        <w:rPr>
          <w:rFonts w:cs="Times New Roman"/>
          <w:color w:val="222222"/>
          <w:shd w:val="clear" w:color="auto" w:fill="FFFFFF"/>
        </w:rPr>
        <w:t>Darwin</w:t>
      </w:r>
      <w:r w:rsidR="006F3CC8">
        <w:rPr>
          <w:rFonts w:cs="Times New Roman"/>
          <w:color w:val="222222"/>
          <w:shd w:val="clear" w:color="auto" w:fill="FFFFFF"/>
        </w:rPr>
        <w:t xml:space="preserve">, </w:t>
      </w:r>
      <w:r w:rsidR="00D40124">
        <w:rPr>
          <w:rFonts w:cs="Times New Roman"/>
          <w:color w:val="222222"/>
          <w:shd w:val="clear" w:color="auto" w:fill="FFFFFF"/>
        </w:rPr>
        <w:t>for the research platform to develop into that was not antecedently “</w:t>
      </w:r>
      <w:proofErr w:type="spellStart"/>
      <w:r w:rsidR="00D40124">
        <w:rPr>
          <w:rFonts w:cs="Times New Roman"/>
          <w:color w:val="222222"/>
          <w:shd w:val="clear" w:color="auto" w:fill="FFFFFF"/>
        </w:rPr>
        <w:t>prestatable</w:t>
      </w:r>
      <w:proofErr w:type="spellEnd"/>
      <w:r w:rsidR="00D40124">
        <w:rPr>
          <w:rFonts w:cs="Times New Roman"/>
          <w:color w:val="222222"/>
          <w:shd w:val="clear" w:color="auto" w:fill="FFFFFF"/>
        </w:rPr>
        <w:t xml:space="preserve">.”  </w:t>
      </w:r>
      <w:r>
        <w:rPr>
          <w:rFonts w:cs="Times New Roman"/>
          <w:color w:val="222222"/>
          <w:shd w:val="clear" w:color="auto" w:fill="FFFFFF"/>
        </w:rPr>
        <w:t xml:space="preserve"> </w:t>
      </w:r>
    </w:p>
    <w:p w14:paraId="3ED3DD28" w14:textId="736EB63D" w:rsidR="00D64011" w:rsidRDefault="00D40124" w:rsidP="00995BA5">
      <w:pPr>
        <w:ind w:firstLine="720"/>
        <w:rPr>
          <w:i/>
          <w:iCs/>
        </w:rPr>
      </w:pPr>
      <w:r>
        <w:rPr>
          <w:rFonts w:cs="Times New Roman"/>
          <w:color w:val="222222"/>
          <w:shd w:val="clear" w:color="auto" w:fill="FFFFFF"/>
        </w:rPr>
        <w:t>Before turning to the case study, I want to note that t</w:t>
      </w:r>
      <w:r w:rsidR="00661A54">
        <w:rPr>
          <w:rFonts w:cs="Times New Roman"/>
          <w:color w:val="222222"/>
          <w:shd w:val="clear" w:color="auto" w:fill="FFFFFF"/>
        </w:rPr>
        <w:t>here is much more to be said about the form of creativity</w:t>
      </w:r>
      <w:r w:rsidR="00DB6181">
        <w:rPr>
          <w:rFonts w:cs="Times New Roman"/>
          <w:color w:val="222222"/>
          <w:shd w:val="clear" w:color="auto" w:fill="FFFFFF"/>
        </w:rPr>
        <w:t xml:space="preserve"> </w:t>
      </w:r>
      <w:r w:rsidR="00802135">
        <w:rPr>
          <w:rFonts w:cs="Times New Roman"/>
          <w:color w:val="222222"/>
          <w:shd w:val="clear" w:color="auto" w:fill="FFFFFF"/>
        </w:rPr>
        <w:t>studied</w:t>
      </w:r>
      <w:r w:rsidR="00DB6181">
        <w:rPr>
          <w:rFonts w:cs="Times New Roman"/>
          <w:color w:val="222222"/>
          <w:shd w:val="clear" w:color="auto" w:fill="FFFFFF"/>
        </w:rPr>
        <w:t xml:space="preserve"> </w:t>
      </w:r>
      <w:r w:rsidR="00802135">
        <w:rPr>
          <w:rFonts w:cs="Times New Roman"/>
          <w:color w:val="222222"/>
          <w:shd w:val="clear" w:color="auto" w:fill="FFFFFF"/>
        </w:rPr>
        <w:t>in</w:t>
      </w:r>
      <w:r w:rsidR="00DB6181">
        <w:rPr>
          <w:rFonts w:cs="Times New Roman"/>
          <w:color w:val="222222"/>
          <w:shd w:val="clear" w:color="auto" w:fill="FFFFFF"/>
        </w:rPr>
        <w:t xml:space="preserve"> the Dun</w:t>
      </w:r>
      <w:r w:rsidR="008C7FCD">
        <w:rPr>
          <w:rFonts w:cs="Times New Roman"/>
          <w:color w:val="222222"/>
          <w:shd w:val="clear" w:color="auto" w:fill="FFFFFF"/>
        </w:rPr>
        <w:t>c</w:t>
      </w:r>
      <w:r w:rsidR="00DB6181">
        <w:rPr>
          <w:rFonts w:cs="Times New Roman"/>
          <w:color w:val="222222"/>
          <w:shd w:val="clear" w:color="auto" w:fill="FFFFFF"/>
        </w:rPr>
        <w:t xml:space="preserve">ker Candle task. Indeed, I believe that </w:t>
      </w:r>
      <w:r w:rsidR="007541EF">
        <w:rPr>
          <w:rFonts w:cs="Times New Roman"/>
          <w:color w:val="222222"/>
          <w:shd w:val="clear" w:color="auto" w:fill="FFFFFF"/>
        </w:rPr>
        <w:t>further</w:t>
      </w:r>
      <w:r w:rsidR="00DB6181">
        <w:rPr>
          <w:rFonts w:cs="Times New Roman"/>
          <w:color w:val="222222"/>
          <w:shd w:val="clear" w:color="auto" w:fill="FFFFFF"/>
        </w:rPr>
        <w:t xml:space="preserve"> analysis of this form of creativity</w:t>
      </w:r>
      <w:r w:rsidR="007541EF">
        <w:rPr>
          <w:rFonts w:cs="Times New Roman"/>
          <w:color w:val="222222"/>
          <w:shd w:val="clear" w:color="auto" w:fill="FFFFFF"/>
        </w:rPr>
        <w:t xml:space="preserve"> and how it is exercised in scientific practice</w:t>
      </w:r>
      <w:r w:rsidR="00DB6181">
        <w:rPr>
          <w:rFonts w:cs="Times New Roman"/>
          <w:color w:val="222222"/>
          <w:shd w:val="clear" w:color="auto" w:fill="FFFFFF"/>
        </w:rPr>
        <w:t xml:space="preserve"> has much to </w:t>
      </w:r>
      <w:r w:rsidR="00BC2DEA">
        <w:rPr>
          <w:rFonts w:cs="Times New Roman"/>
          <w:color w:val="222222"/>
          <w:shd w:val="clear" w:color="auto" w:fill="FFFFFF"/>
        </w:rPr>
        <w:t xml:space="preserve">contribute </w:t>
      </w:r>
      <w:proofErr w:type="gramStart"/>
      <w:r w:rsidR="00BC2DEA">
        <w:rPr>
          <w:rFonts w:cs="Times New Roman"/>
          <w:color w:val="222222"/>
          <w:shd w:val="clear" w:color="auto" w:fill="FFFFFF"/>
        </w:rPr>
        <w:t>in</w:t>
      </w:r>
      <w:proofErr w:type="gramEnd"/>
      <w:r w:rsidR="00BC2DEA">
        <w:rPr>
          <w:rFonts w:cs="Times New Roman"/>
          <w:color w:val="222222"/>
          <w:shd w:val="clear" w:color="auto" w:fill="FFFFFF"/>
        </w:rPr>
        <w:t xml:space="preserve"> answer</w:t>
      </w:r>
      <w:r>
        <w:rPr>
          <w:rFonts w:cs="Times New Roman"/>
          <w:color w:val="222222"/>
          <w:shd w:val="clear" w:color="auto" w:fill="FFFFFF"/>
        </w:rPr>
        <w:t>ing</w:t>
      </w:r>
      <w:r w:rsidR="00BC2DEA">
        <w:rPr>
          <w:rFonts w:cs="Times New Roman"/>
          <w:color w:val="222222"/>
          <w:shd w:val="clear" w:color="auto" w:fill="FFFFFF"/>
        </w:rPr>
        <w:t xml:space="preserve"> Hasok Chang’s call to develop</w:t>
      </w:r>
      <w:r w:rsidR="00D64011">
        <w:rPr>
          <w:rFonts w:cs="Times New Roman"/>
          <w:color w:val="222222"/>
          <w:shd w:val="clear" w:color="auto" w:fill="FFFFFF"/>
        </w:rPr>
        <w:t xml:space="preserve"> </w:t>
      </w:r>
      <w:r w:rsidR="00995BA5">
        <w:rPr>
          <w:rFonts w:cs="Times New Roman"/>
          <w:color w:val="222222"/>
          <w:shd w:val="clear" w:color="auto" w:fill="FFFFFF"/>
        </w:rPr>
        <w:t>“</w:t>
      </w:r>
      <w:r w:rsidR="00D64011" w:rsidRPr="00995BA5">
        <w:t>a more serious understanding of scientists as agents, not as</w:t>
      </w:r>
      <w:r w:rsidR="006D3F6D">
        <w:t xml:space="preserve"> . . .</w:t>
      </w:r>
      <w:r w:rsidR="00D64011" w:rsidRPr="00995BA5">
        <w:t xml:space="preserve"> algorithmic processors of propositions . . </w:t>
      </w:r>
      <w:r w:rsidR="00995BA5">
        <w:t>.”</w:t>
      </w:r>
      <w:r w:rsidR="00D64011" w:rsidRPr="00995BA5">
        <w:t xml:space="preserve"> </w:t>
      </w:r>
      <w:r w:rsidR="00503312">
        <w:t>(</w:t>
      </w:r>
      <w:r w:rsidR="00D64011" w:rsidRPr="00995BA5">
        <w:t>2020, p. 27-28)</w:t>
      </w:r>
      <w:r w:rsidR="00995BA5">
        <w:t>.</w:t>
      </w:r>
      <w:r w:rsidR="009C2AF5">
        <w:t xml:space="preserve"> H</w:t>
      </w:r>
      <w:r w:rsidR="00995BA5">
        <w:t xml:space="preserve">ere, however, </w:t>
      </w:r>
      <w:r w:rsidR="009C2AF5">
        <w:t>I</w:t>
      </w:r>
      <w:r w:rsidR="00995BA5">
        <w:t xml:space="preserve"> simply point out that the</w:t>
      </w:r>
      <w:r w:rsidR="006D3F6D">
        <w:t xml:space="preserve"> </w:t>
      </w:r>
      <w:r w:rsidR="006D3F6D" w:rsidRPr="00F32FCF">
        <w:t>creative</w:t>
      </w:r>
      <w:r w:rsidR="00995BA5">
        <w:t xml:space="preserve"> </w:t>
      </w:r>
      <w:r w:rsidR="005F0681">
        <w:t>means by which</w:t>
      </w:r>
      <w:r w:rsidR="00995BA5">
        <w:t xml:space="preserve"> </w:t>
      </w:r>
      <w:r w:rsidR="00057CAD">
        <w:t>Dun</w:t>
      </w:r>
      <w:r w:rsidR="008C7FCD">
        <w:t>c</w:t>
      </w:r>
      <w:r w:rsidR="00057CAD">
        <w:t>ker Candle-tasker</w:t>
      </w:r>
      <w:r w:rsidR="005F0681">
        <w:t>s</w:t>
      </w:r>
      <w:r w:rsidR="003C16CB">
        <w:t>,</w:t>
      </w:r>
      <w:r w:rsidR="00057CAD">
        <w:t xml:space="preserve"> jury-riggers</w:t>
      </w:r>
      <w:r w:rsidR="003C16CB">
        <w:t xml:space="preserve"> or scientists</w:t>
      </w:r>
      <w:r w:rsidR="00057CAD">
        <w:t xml:space="preserve"> </w:t>
      </w:r>
      <w:r w:rsidR="00E61861">
        <w:t>break through functional fix</w:t>
      </w:r>
      <w:r w:rsidR="009C2AF5">
        <w:t>edness</w:t>
      </w:r>
      <w:r w:rsidR="00E61861">
        <w:t xml:space="preserve"> and re-deploy</w:t>
      </w:r>
      <w:r w:rsidR="00057CAD">
        <w:t xml:space="preserve"> </w:t>
      </w:r>
      <w:r w:rsidR="0090370A">
        <w:t xml:space="preserve">an artifact </w:t>
      </w:r>
      <w:r w:rsidR="00E61861">
        <w:t>to serve a function other than that with which it is conventionally associated are “non-algorithmic</w:t>
      </w:r>
      <w:r w:rsidR="00897376">
        <w:t>”</w:t>
      </w:r>
      <w:r w:rsidR="00E61861">
        <w:t xml:space="preserve"> in</w:t>
      </w:r>
      <w:r w:rsidR="00897376">
        <w:t xml:space="preserve"> precisely the sense that</w:t>
      </w:r>
      <w:r w:rsidR="00E61861">
        <w:t xml:space="preserve"> Kauffman</w:t>
      </w:r>
      <w:r w:rsidR="00897376">
        <w:t xml:space="preserve"> intends</w:t>
      </w:r>
      <w:r w:rsidR="00E61861">
        <w:t xml:space="preserve"> </w:t>
      </w:r>
      <w:r w:rsidR="00897376">
        <w:t>that I described above</w:t>
      </w:r>
      <w:r w:rsidR="00F32FCF">
        <w:t>.</w:t>
      </w:r>
      <w:r w:rsidR="00446FC8">
        <w:rPr>
          <w:rStyle w:val="FootnoteReference"/>
        </w:rPr>
        <w:footnoteReference w:id="13"/>
      </w:r>
    </w:p>
    <w:p w14:paraId="67BBC74F" w14:textId="77777777" w:rsidR="00E657BF" w:rsidRDefault="00E657BF" w:rsidP="00FE0679">
      <w:pPr>
        <w:jc w:val="center"/>
        <w:rPr>
          <w:b/>
          <w:bCs/>
        </w:rPr>
      </w:pPr>
    </w:p>
    <w:p w14:paraId="2E67E2B5" w14:textId="24A70B9F" w:rsidR="00E657BF" w:rsidRDefault="00FE0679" w:rsidP="00FE0679">
      <w:pPr>
        <w:jc w:val="center"/>
        <w:rPr>
          <w:b/>
          <w:bCs/>
        </w:rPr>
      </w:pPr>
      <w:r w:rsidRPr="00826CF8">
        <w:rPr>
          <w:b/>
          <w:bCs/>
        </w:rPr>
        <w:t xml:space="preserve">Section </w:t>
      </w:r>
      <w:r w:rsidR="00CB0A34">
        <w:rPr>
          <w:b/>
          <w:bCs/>
        </w:rPr>
        <w:t>II</w:t>
      </w:r>
      <w:r>
        <w:rPr>
          <w:b/>
          <w:bCs/>
        </w:rPr>
        <w:t>: The “Inchworm Episode”</w:t>
      </w:r>
      <w:r w:rsidR="00B856BB">
        <w:rPr>
          <w:b/>
          <w:bCs/>
        </w:rPr>
        <w:t xml:space="preserve"> </w:t>
      </w:r>
    </w:p>
    <w:p w14:paraId="2357CA71" w14:textId="77777777" w:rsidR="00E657BF" w:rsidRDefault="00FE0679" w:rsidP="00FE0679">
      <w:r>
        <w:tab/>
      </w:r>
    </w:p>
    <w:p w14:paraId="0A9EDE3C" w14:textId="25D64AA7" w:rsidR="00FE0679" w:rsidRDefault="00FE0679" w:rsidP="00E657BF">
      <w:pPr>
        <w:ind w:firstLine="720"/>
      </w:pPr>
      <w:r>
        <w:t xml:space="preserve">According to </w:t>
      </w:r>
      <w:r w:rsidR="00897376">
        <w:t>Bollhagen</w:t>
      </w:r>
      <w:r>
        <w:t xml:space="preserve"> (2021), from 1989-2002, researchers studying the motor protein </w:t>
      </w:r>
      <w:r>
        <w:rPr>
          <w:i/>
          <w:iCs/>
        </w:rPr>
        <w:t xml:space="preserve">kinesin </w:t>
      </w:r>
      <w:r w:rsidR="00D84DB5">
        <w:t>produced data supporting the hypothesis that</w:t>
      </w:r>
      <w:r>
        <w:t xml:space="preserve"> </w:t>
      </w:r>
      <w:r w:rsidR="00D84DB5">
        <w:t xml:space="preserve">the </w:t>
      </w:r>
      <w:r>
        <w:t xml:space="preserve">proper characterization of its stepping pattern along </w:t>
      </w:r>
      <w:r w:rsidR="00C0014C">
        <w:t xml:space="preserve">its </w:t>
      </w:r>
      <w:r>
        <w:t>microtubule</w:t>
      </w:r>
      <w:r w:rsidR="00C0014C">
        <w:t xml:space="preserve"> “tracks”</w:t>
      </w:r>
      <w:r>
        <w:t xml:space="preserve"> was “hand-over-hand” as depicted in (Figure 2).</w:t>
      </w:r>
    </w:p>
    <w:p w14:paraId="0BC06BF5" w14:textId="77777777" w:rsidR="00FE0679" w:rsidRDefault="00FE0679" w:rsidP="00FE0679"/>
    <w:p w14:paraId="6FFA4668" w14:textId="77777777" w:rsidR="00FE0679" w:rsidRDefault="00FE0679" w:rsidP="00FE0679">
      <w:pPr>
        <w:jc w:val="center"/>
      </w:pPr>
      <w:r>
        <w:rPr>
          <w:noProof/>
        </w:rPr>
        <w:lastRenderedPageBreak/>
        <w:drawing>
          <wp:inline distT="0" distB="0" distL="0" distR="0" wp14:anchorId="29E1F723" wp14:editId="5CD2BE33">
            <wp:extent cx="3823970" cy="2338387"/>
            <wp:effectExtent l="0" t="0" r="5080" b="5080"/>
            <wp:docPr id="789607074" name="Picture 1" descr="A diagram of a cell memb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07074" name="Picture 1" descr="A diagram of a cell membra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9842" cy="2341977"/>
                    </a:xfrm>
                    <a:prstGeom prst="rect">
                      <a:avLst/>
                    </a:prstGeom>
                  </pic:spPr>
                </pic:pic>
              </a:graphicData>
            </a:graphic>
          </wp:inline>
        </w:drawing>
      </w:r>
    </w:p>
    <w:p w14:paraId="6F6BEAA8" w14:textId="4E2379CF" w:rsidR="00FE0679" w:rsidRPr="00B220ED" w:rsidRDefault="00FE0679" w:rsidP="00FE0679">
      <w:pPr>
        <w:jc w:val="center"/>
        <w:rPr>
          <w:sz w:val="22"/>
        </w:rPr>
      </w:pPr>
      <w:r w:rsidRPr="00B220ED">
        <w:rPr>
          <w:sz w:val="22"/>
        </w:rPr>
        <w:t>Figure 2: The trailing head (blue) “steps” over the leading head (green) to become the new leading head.</w:t>
      </w:r>
      <w:r>
        <w:rPr>
          <w:sz w:val="22"/>
        </w:rPr>
        <w:t xml:space="preserve"> The “track” along which the molecule walks is a microtubule, a cytoskeletal filament composed of tubulin.</w:t>
      </w:r>
      <w:r w:rsidRPr="00B220ED">
        <w:rPr>
          <w:sz w:val="22"/>
        </w:rPr>
        <w:t xml:space="preserve"> Image from Sozanski et al. (2015).</w:t>
      </w:r>
      <w:r w:rsidR="00F24AB7" w:rsidRPr="00B220ED">
        <w:rPr>
          <w:sz w:val="22"/>
        </w:rPr>
        <w:t xml:space="preserve"> </w:t>
      </w:r>
      <w:r w:rsidRPr="00B220ED">
        <w:rPr>
          <w:sz w:val="22"/>
        </w:rPr>
        <w:br/>
      </w:r>
    </w:p>
    <w:p w14:paraId="1A161802" w14:textId="76067808" w:rsidR="00FE0679" w:rsidRDefault="00BD3171" w:rsidP="00FE0679">
      <w:r>
        <w:t xml:space="preserve">On </w:t>
      </w:r>
      <w:r w:rsidR="00897376">
        <w:t>that</w:t>
      </w:r>
      <w:r>
        <w:t xml:space="preserve"> recounting, a</w:t>
      </w:r>
      <w:r w:rsidR="00FE0679">
        <w:t xml:space="preserve"> number of experimental studies using what was then a novel tool, </w:t>
      </w:r>
      <w:r>
        <w:t>the</w:t>
      </w:r>
      <w:r w:rsidR="00FE0679" w:rsidRPr="00BD3171">
        <w:rPr>
          <w:i/>
          <w:iCs/>
        </w:rPr>
        <w:t xml:space="preserve"> single-molecule motility assay, </w:t>
      </w:r>
      <w:r w:rsidR="00FE0679">
        <w:t>supported the claim. The assay took one of two forms. First,</w:t>
      </w:r>
      <w:r w:rsidR="006D3F6D">
        <w:t xml:space="preserve"> in the “bead assay,”</w:t>
      </w:r>
      <w:r w:rsidR="00FE0679">
        <w:t xml:space="preserve"> researchers immobilize microtubules to glass coverslips, attach single kinesin molecules to plastic beads large enough to visualize under a video microscope, and watch the beads move as kinesin carried it like cargo down the immobilized microtubule. A second version</w:t>
      </w:r>
      <w:r w:rsidR="006D3F6D">
        <w:t>, the “gliding assay,”</w:t>
      </w:r>
      <w:r w:rsidR="00FE0679">
        <w:t xml:space="preserve"> flipped the geometry of this design. Here, researchers would immobilize single kinesin molecules “heads up” to a glass coverslip and watch them slide microtubules around (Figure 3). In either case, researchers were drawing inferences from</w:t>
      </w:r>
      <w:r w:rsidR="00C0014C">
        <w:t xml:space="preserve"> data </w:t>
      </w:r>
      <w:r w:rsidR="00FE0679">
        <w:t>t</w:t>
      </w:r>
      <w:r w:rsidR="00C0014C">
        <w:t>hat</w:t>
      </w:r>
      <w:r w:rsidR="00FE0679">
        <w:t xml:space="preserve"> they </w:t>
      </w:r>
      <w:r w:rsidR="00FE0679" w:rsidRPr="00783393">
        <w:rPr>
          <w:i/>
          <w:iCs/>
        </w:rPr>
        <w:t>could</w:t>
      </w:r>
      <w:r w:rsidR="00FE0679">
        <w:t xml:space="preserve"> see—moving beads or microtubules—to </w:t>
      </w:r>
      <w:r w:rsidR="00C0014C">
        <w:t>the phenomenon</w:t>
      </w:r>
      <w:r w:rsidR="00FE0679">
        <w:t xml:space="preserve"> </w:t>
      </w:r>
      <w:r w:rsidR="00783393">
        <w:t xml:space="preserve">that </w:t>
      </w:r>
      <w:r w:rsidR="00FE0679">
        <w:t xml:space="preserve">they </w:t>
      </w:r>
      <w:r w:rsidR="00FE0679" w:rsidRPr="00783393">
        <w:rPr>
          <w:i/>
          <w:iCs/>
        </w:rPr>
        <w:t>could not</w:t>
      </w:r>
      <w:r w:rsidR="00FE0679">
        <w:t xml:space="preserve">, the characteristic stepping pattern of the molecular motor. </w:t>
      </w:r>
    </w:p>
    <w:p w14:paraId="5CA3CAA2" w14:textId="77777777" w:rsidR="00FE0679" w:rsidRDefault="00FE0679" w:rsidP="00FE0679"/>
    <w:p w14:paraId="12A194C0" w14:textId="77777777" w:rsidR="00FE0679" w:rsidRDefault="00FE0679" w:rsidP="00FE0679"/>
    <w:p w14:paraId="5BD452CE" w14:textId="77777777" w:rsidR="00FE0679" w:rsidRDefault="00FE0679" w:rsidP="00FE0679">
      <w:pPr>
        <w:jc w:val="center"/>
      </w:pPr>
      <w:r>
        <w:rPr>
          <w:noProof/>
        </w:rPr>
        <w:lastRenderedPageBreak/>
        <w:drawing>
          <wp:inline distT="0" distB="0" distL="0" distR="0" wp14:anchorId="1BD7851E" wp14:editId="361A9A87">
            <wp:extent cx="3095625" cy="2990850"/>
            <wp:effectExtent l="0" t="0" r="9525" b="0"/>
            <wp:docPr id="1853044567" name="Picture 2" descr="Diagram of a diagram showing a structure of a glass and a microtub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44567" name="Picture 2" descr="Diagram of a diagram showing a structure of a glass and a microtubu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3099421" cy="2994518"/>
                    </a:xfrm>
                    <a:prstGeom prst="rect">
                      <a:avLst/>
                    </a:prstGeom>
                  </pic:spPr>
                </pic:pic>
              </a:graphicData>
            </a:graphic>
          </wp:inline>
        </w:drawing>
      </w:r>
    </w:p>
    <w:p w14:paraId="7B79867E" w14:textId="77777777" w:rsidR="00FE0679" w:rsidRPr="00B220ED" w:rsidRDefault="00FE0679" w:rsidP="00FE0679">
      <w:pPr>
        <w:jc w:val="center"/>
        <w:rPr>
          <w:sz w:val="22"/>
        </w:rPr>
      </w:pPr>
      <w:r w:rsidRPr="00B220ED">
        <w:rPr>
          <w:sz w:val="22"/>
        </w:rPr>
        <w:t>Figure 3: Two geometries of the single-molecule motility assay.</w:t>
      </w:r>
      <w:r>
        <w:rPr>
          <w:sz w:val="22"/>
        </w:rPr>
        <w:t xml:space="preserve"> Image from </w:t>
      </w:r>
      <w:r w:rsidRPr="00E443EC">
        <w:rPr>
          <w:sz w:val="22"/>
        </w:rPr>
        <w:t>https://homepages.uc.edu/~deange/Old-files/2004/gomesme/motility_assays.htm</w:t>
      </w:r>
    </w:p>
    <w:p w14:paraId="002991EE" w14:textId="77777777" w:rsidR="00FE0679" w:rsidRDefault="00FE0679" w:rsidP="00FE0679"/>
    <w:p w14:paraId="3E1EF593" w14:textId="079C89DF" w:rsidR="00417880" w:rsidRDefault="00FE0679" w:rsidP="006F5D92">
      <w:r>
        <w:tab/>
        <w:t>How did the</w:t>
      </w:r>
      <w:r w:rsidR="00C0014C">
        <w:t>se</w:t>
      </w:r>
      <w:r w:rsidR="000D77DC">
        <w:t xml:space="preserve"> </w:t>
      </w:r>
      <w:r w:rsidR="006F5D92">
        <w:t>“</w:t>
      </w:r>
      <w:r w:rsidR="000D77DC">
        <w:t>data</w:t>
      </w:r>
      <w:r w:rsidR="00C0014C">
        <w:t>-to-phenomenon inferences</w:t>
      </w:r>
      <w:r w:rsidR="006F5D92">
        <w:t>”</w:t>
      </w:r>
      <w:r w:rsidR="00C0014C">
        <w:t xml:space="preserve"> work</w:t>
      </w:r>
      <w:r w:rsidR="006F5D92">
        <w:t xml:space="preserve"> (Bogen &amp; Woodward 1989)</w:t>
      </w:r>
      <w:r>
        <w:t>? A</w:t>
      </w:r>
      <w:r w:rsidR="00897376">
        <w:t>s I described in my last paper</w:t>
      </w:r>
      <w:r>
        <w:t xml:space="preserve">, the hand-over-hand hypothesis was </w:t>
      </w:r>
      <w:r w:rsidR="00C55E7D">
        <w:t>operationalized</w:t>
      </w:r>
      <w:r>
        <w:t xml:space="preserve"> in terms of</w:t>
      </w:r>
      <w:r w:rsidR="007F453C">
        <w:t xml:space="preserve"> what </w:t>
      </w:r>
      <w:r w:rsidR="00897376">
        <w:t>I</w:t>
      </w:r>
      <w:r w:rsidR="007F453C">
        <w:t xml:space="preserve"> call</w:t>
      </w:r>
      <w:r w:rsidR="00897376">
        <w:t>ed</w:t>
      </w:r>
      <w:r>
        <w:t xml:space="preserve"> two </w:t>
      </w:r>
      <w:r w:rsidRPr="00C95C92">
        <w:rPr>
          <w:i/>
          <w:iCs/>
        </w:rPr>
        <w:t>empirical criteria</w:t>
      </w:r>
      <w:r>
        <w:t>: 1) processivity and 2) coordinated head activity. Processivity means that the molecule remains attached to the microtubule at all times during its walk. Co-ordinated head activity mean</w:t>
      </w:r>
      <w:r w:rsidR="000D77DC">
        <w:t>s</w:t>
      </w:r>
      <w:r>
        <w:t xml:space="preserve"> that the behavior of one head </w:t>
      </w:r>
      <w:r w:rsidR="000D77DC">
        <w:t>i</w:t>
      </w:r>
      <w:r>
        <w:t xml:space="preserve">s dependent upon </w:t>
      </w:r>
      <w:r w:rsidR="00D84DB5">
        <w:t xml:space="preserve">or “gated by” </w:t>
      </w:r>
      <w:r>
        <w:t xml:space="preserve">the behavior of the other (e.g. the trailing head can only release once the leading head has securely bound to the microtubule). </w:t>
      </w:r>
      <w:r w:rsidR="00D84DB5">
        <w:t>Thus, i</w:t>
      </w:r>
      <w:r>
        <w:t>f data using the single-molecule assay indicated that the molecule was processive and coordinated the activity of its heads, it would support the hand-over-hand hypothesis over “stroke-release,” an alternative which denied that the molecule was processive and coordinated the activity of its heads.</w:t>
      </w:r>
      <w:r>
        <w:rPr>
          <w:rStyle w:val="FootnoteReference"/>
        </w:rPr>
        <w:footnoteReference w:id="14"/>
      </w:r>
      <w:r w:rsidR="006F5D92">
        <w:t xml:space="preserve"> If, for example, researches </w:t>
      </w:r>
      <w:r w:rsidR="006D3F6D">
        <w:t xml:space="preserve">using a bead assay </w:t>
      </w:r>
      <w:r w:rsidR="006F5D92">
        <w:t>saw</w:t>
      </w:r>
      <w:r w:rsidR="003C16CB">
        <w:t xml:space="preserve"> that the</w:t>
      </w:r>
      <w:r w:rsidR="006F5D92">
        <w:t xml:space="preserve"> beads moving along immobilized microtubules </w:t>
      </w:r>
      <w:r w:rsidR="003C16CB">
        <w:t xml:space="preserve">would </w:t>
      </w:r>
      <w:r w:rsidR="006F5D92">
        <w:t xml:space="preserve">intermittently diffuse away from the microtubule, this would indicate that the protein driving the bead’s motion occasionally “jumps”—separates entirely from the microtubule—on its journey. </w:t>
      </w:r>
      <w:r w:rsidR="00FF6223">
        <w:t>It</w:t>
      </w:r>
      <w:r w:rsidR="006F5D92">
        <w:t xml:space="preserve"> would indicate, that is, that kinesin’s stepping pattern is not processive and that therefore “hand-over-hand” is not an accurate characterization of its movement.</w:t>
      </w:r>
      <w:r w:rsidR="006D3F6D" w:rsidRPr="006D3F6D">
        <w:rPr>
          <w:rStyle w:val="FootnoteReference"/>
          <w:rFonts w:cs="Times New Roman"/>
          <w:color w:val="222222"/>
          <w:szCs w:val="24"/>
          <w:shd w:val="clear" w:color="auto" w:fill="FFFFFF"/>
        </w:rPr>
        <w:t xml:space="preserve"> </w:t>
      </w:r>
      <w:r w:rsidR="006D3F6D">
        <w:rPr>
          <w:rStyle w:val="FootnoteReference"/>
          <w:rFonts w:cs="Times New Roman"/>
          <w:color w:val="222222"/>
          <w:szCs w:val="24"/>
          <w:shd w:val="clear" w:color="auto" w:fill="FFFFFF"/>
        </w:rPr>
        <w:footnoteReference w:id="15"/>
      </w:r>
      <w:r w:rsidR="006D3F6D">
        <w:t xml:space="preserve"> </w:t>
      </w:r>
      <w:r w:rsidR="00AB48D8">
        <w:rPr>
          <w:rFonts w:cs="Times New Roman"/>
          <w:color w:val="222222"/>
          <w:szCs w:val="24"/>
          <w:shd w:val="clear" w:color="auto" w:fill="FFFFFF"/>
        </w:rPr>
        <w:t xml:space="preserve"> </w:t>
      </w:r>
    </w:p>
    <w:p w14:paraId="5AA368B9" w14:textId="3820AFEF" w:rsidR="005E1CFA" w:rsidRDefault="006D3F6D" w:rsidP="005E1CFA">
      <w:pPr>
        <w:ind w:firstLine="720"/>
      </w:pPr>
      <w:r>
        <w:t>F</w:t>
      </w:r>
      <w:r w:rsidR="00847E79">
        <w:t>rom</w:t>
      </w:r>
      <w:r w:rsidR="008049D0">
        <w:t xml:space="preserve"> 1989-2002</w:t>
      </w:r>
      <w:r w:rsidR="00847E79">
        <w:t xml:space="preserve"> researchers understood </w:t>
      </w:r>
      <w:r>
        <w:t xml:space="preserve">how to deploy </w:t>
      </w:r>
      <w:r w:rsidR="00847E79">
        <w:t>the single-molecule motility assay to test for processivity and coordinated head activity.</w:t>
      </w:r>
      <w:r w:rsidR="00847990">
        <w:t xml:space="preserve"> </w:t>
      </w:r>
      <w:r>
        <w:t>D</w:t>
      </w:r>
      <w:r w:rsidR="00847990">
        <w:t>uring that time, researchers did substantial</w:t>
      </w:r>
      <w:r w:rsidR="008049D0">
        <w:t xml:space="preserve"> experimental work</w:t>
      </w:r>
      <w:r w:rsidR="00847990">
        <w:t xml:space="preserve"> that</w:t>
      </w:r>
      <w:r w:rsidR="008049D0">
        <w:t xml:space="preserve"> provided support for</w:t>
      </w:r>
      <w:r w:rsidR="00F32FCF">
        <w:t xml:space="preserve"> the</w:t>
      </w:r>
      <w:r w:rsidR="008049D0">
        <w:t xml:space="preserve"> “hand-over-hand” hypothesi</w:t>
      </w:r>
      <w:r w:rsidR="00252136">
        <w:t>s</w:t>
      </w:r>
      <w:r>
        <w:t xml:space="preserve">. </w:t>
      </w:r>
      <w:r w:rsidR="00847990">
        <w:t>However,</w:t>
      </w:r>
      <w:r w:rsidR="008049D0">
        <w:t xml:space="preserve"> there remained a </w:t>
      </w:r>
      <w:r>
        <w:t xml:space="preserve">practically underdetermined </w:t>
      </w:r>
      <w:r w:rsidR="008049D0">
        <w:t xml:space="preserve">space of </w:t>
      </w:r>
      <w:r>
        <w:t>alternative</w:t>
      </w:r>
      <w:r w:rsidR="008049D0">
        <w:t xml:space="preserve"> hypotheses</w:t>
      </w:r>
      <w:r>
        <w:t>—an “experimental dead-space</w:t>
      </w:r>
      <w:r w:rsidR="00897376">
        <w:t>,</w:t>
      </w:r>
      <w:r>
        <w:t>”</w:t>
      </w:r>
      <w:r w:rsidR="00897376">
        <w:t xml:space="preserve"> as I called it then</w:t>
      </w:r>
      <w:r>
        <w:t>—that</w:t>
      </w:r>
      <w:r w:rsidR="008049D0">
        <w:t xml:space="preserve"> attributed both processivity and coordinated head activity to kinesin’s stepping pattern, but also attributed to it further features beyond those </w:t>
      </w:r>
      <w:r w:rsidR="00847990">
        <w:t xml:space="preserve">that researchers understood how to functionally deploy their tool to </w:t>
      </w:r>
      <w:r w:rsidR="005E1CFA">
        <w:t>assay</w:t>
      </w:r>
      <w:r w:rsidR="00847990">
        <w:t xml:space="preserve"> for (Figure 3)</w:t>
      </w:r>
      <w:r w:rsidR="008049D0">
        <w:t xml:space="preserve">. </w:t>
      </w:r>
      <w:r w:rsidR="003C16CB">
        <w:t xml:space="preserve">In other </w:t>
      </w:r>
      <w:r w:rsidR="003C16CB">
        <w:lastRenderedPageBreak/>
        <w:t>words, they attributed to it features other than those attributed to it by hypotheses li</w:t>
      </w:r>
      <w:r w:rsidR="005E1CFA">
        <w:t xml:space="preserve">ke “hand-over-hand” and “stroke release” which </w:t>
      </w:r>
      <w:r w:rsidR="005E1CFA" w:rsidRPr="00802135">
        <w:rPr>
          <w:i/>
          <w:iCs/>
        </w:rPr>
        <w:t>were</w:t>
      </w:r>
      <w:r w:rsidR="005E1CFA">
        <w:t xml:space="preserve"> formulated in terms of empirical criteria.</w:t>
      </w:r>
    </w:p>
    <w:p w14:paraId="4D5C4651" w14:textId="32E7F2F6" w:rsidR="008049D0" w:rsidRDefault="008049D0" w:rsidP="00C0014C">
      <w:pPr>
        <w:ind w:firstLine="720"/>
      </w:pPr>
    </w:p>
    <w:p w14:paraId="4007DF4E" w14:textId="77777777" w:rsidR="008049D0" w:rsidRDefault="008049D0" w:rsidP="00C0014C">
      <w:pPr>
        <w:ind w:firstLine="720"/>
      </w:pPr>
    </w:p>
    <w:p w14:paraId="3AC6E44B" w14:textId="77777777" w:rsidR="008049D0" w:rsidRDefault="008049D0" w:rsidP="008049D0">
      <w:pPr>
        <w:jc w:val="center"/>
      </w:pPr>
      <w:r>
        <w:rPr>
          <w:noProof/>
        </w:rPr>
        <w:drawing>
          <wp:inline distT="0" distB="0" distL="0" distR="0" wp14:anchorId="1FEDEEB3" wp14:editId="05EB0B7E">
            <wp:extent cx="4196080" cy="2500313"/>
            <wp:effectExtent l="0" t="0" r="0" b="0"/>
            <wp:docPr id="223384602" name="Picture 3" descr="A diagram of a motor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84602" name="Picture 3" descr="A diagram of a motor path&#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4893" cy="2505565"/>
                    </a:xfrm>
                    <a:prstGeom prst="rect">
                      <a:avLst/>
                    </a:prstGeom>
                    <a:noFill/>
                    <a:ln>
                      <a:noFill/>
                    </a:ln>
                  </pic:spPr>
                </pic:pic>
              </a:graphicData>
            </a:graphic>
          </wp:inline>
        </w:drawing>
      </w:r>
    </w:p>
    <w:p w14:paraId="12935F97" w14:textId="5399C373" w:rsidR="008049D0" w:rsidRPr="008049D0" w:rsidRDefault="008049D0" w:rsidP="008049D0">
      <w:pPr>
        <w:jc w:val="center"/>
        <w:rPr>
          <w:sz w:val="20"/>
          <w:szCs w:val="20"/>
        </w:rPr>
      </w:pPr>
      <w:r w:rsidRPr="000B4FE7">
        <w:rPr>
          <w:sz w:val="20"/>
          <w:szCs w:val="20"/>
        </w:rPr>
        <w:t xml:space="preserve">Figure </w:t>
      </w:r>
      <w:r w:rsidR="001D5989">
        <w:rPr>
          <w:sz w:val="20"/>
          <w:szCs w:val="20"/>
        </w:rPr>
        <w:t>4</w:t>
      </w:r>
      <w:r w:rsidRPr="000B4FE7">
        <w:rPr>
          <w:sz w:val="20"/>
          <w:szCs w:val="20"/>
        </w:rPr>
        <w:t>: Experimental dead-space for kinesin stepping patterns</w:t>
      </w:r>
      <w:r>
        <w:rPr>
          <w:sz w:val="20"/>
          <w:szCs w:val="20"/>
        </w:rPr>
        <w:t xml:space="preserve">. From Block and </w:t>
      </w:r>
      <w:proofErr w:type="spellStart"/>
      <w:r>
        <w:rPr>
          <w:sz w:val="20"/>
          <w:szCs w:val="20"/>
        </w:rPr>
        <w:t>Svaboda</w:t>
      </w:r>
      <w:proofErr w:type="spellEnd"/>
      <w:r>
        <w:rPr>
          <w:sz w:val="20"/>
          <w:szCs w:val="20"/>
        </w:rPr>
        <w:t xml:space="preserve"> (1995).</w:t>
      </w:r>
    </w:p>
    <w:p w14:paraId="2671CB32" w14:textId="68026C76" w:rsidR="00FE0679" w:rsidRDefault="008049D0" w:rsidP="00C0014C">
      <w:pPr>
        <w:ind w:firstLine="720"/>
      </w:pPr>
      <w:r>
        <w:t xml:space="preserve">  </w:t>
      </w:r>
    </w:p>
    <w:p w14:paraId="16035478" w14:textId="05FEC45A" w:rsidR="00FE0679" w:rsidRDefault="00FE0679" w:rsidP="00FE0679">
      <w:r>
        <w:tab/>
        <w:t>Notice</w:t>
      </w:r>
      <w:r w:rsidR="00F32FCF">
        <w:t>, briefly,</w:t>
      </w:r>
      <w:r>
        <w:t xml:space="preserve"> that “inchworm” counts as a species of hand-over-hand</w:t>
      </w:r>
      <w:r w:rsidR="00AA4BF8">
        <w:t xml:space="preserve"> according to (Figure 3)</w:t>
      </w:r>
      <w:r>
        <w:t xml:space="preserve">. This might be counterintuitive given that, on inchworm, the rear “hand” never passes “over” the leading </w:t>
      </w:r>
      <w:r w:rsidR="00F32FCF">
        <w:t>“</w:t>
      </w:r>
      <w:r>
        <w:t>hand.</w:t>
      </w:r>
      <w:r w:rsidR="00F32FCF">
        <w:t>”</w:t>
      </w:r>
      <w:r>
        <w:t xml:space="preserve"> Rather, the same one is in the lead during the entire duration of its walk. Nonetheless, it maintained that the molecule was processive and coordinated the activity of its </w:t>
      </w:r>
      <w:proofErr w:type="gramStart"/>
      <w:r>
        <w:t>heads, and</w:t>
      </w:r>
      <w:proofErr w:type="gramEnd"/>
      <w:r>
        <w:t xml:space="preserve"> so counted as a hand-over-hand hypothesis by the lights of the relevant empirical criteria.</w:t>
      </w:r>
      <w:r w:rsidR="00847990">
        <w:t xml:space="preserve"> </w:t>
      </w:r>
      <w:r w:rsidR="00F32FCF">
        <w:t xml:space="preserve">The problem was that although researchers could, as they put it, “conceptually” distinguish “inchworm” from the other hypotheses in the experimental dead-space, they could not do so “empirically,” i.e. in terms of empirical criteria. </w:t>
      </w:r>
      <w:r w:rsidR="00847990">
        <w:t>This will be important shortly when we see how researchers formulated a new empirical criterion which</w:t>
      </w:r>
      <w:r w:rsidR="005E1CFA">
        <w:t xml:space="preserve"> changed the overall space of alternative hypotheses in such a way that </w:t>
      </w:r>
      <w:r w:rsidR="00847990">
        <w:t xml:space="preserve">inchworm </w:t>
      </w:r>
      <w:r w:rsidR="005E1CFA">
        <w:t xml:space="preserve">was rendered </w:t>
      </w:r>
      <w:r w:rsidR="00847990">
        <w:t>experimentally live.</w:t>
      </w:r>
      <w:r>
        <w:t xml:space="preserve"> </w:t>
      </w:r>
    </w:p>
    <w:p w14:paraId="675BB215" w14:textId="4E7ADF68" w:rsidR="00B92FE0" w:rsidRDefault="00D84DB5" w:rsidP="001532F4">
      <w:pPr>
        <w:ind w:firstLine="720"/>
      </w:pPr>
      <w:r>
        <w:t>Th</w:t>
      </w:r>
      <w:r w:rsidR="000B5407">
        <w:t>e</w:t>
      </w:r>
      <w:r>
        <w:t xml:space="preserve"> experimental dead-space</w:t>
      </w:r>
      <w:r w:rsidR="005E1CFA">
        <w:t xml:space="preserve"> </w:t>
      </w:r>
      <w:r w:rsidR="000B5407">
        <w:t xml:space="preserve">represented </w:t>
      </w:r>
      <w:r w:rsidR="005E1CFA">
        <w:t>in Figure (4)</w:t>
      </w:r>
      <w:r>
        <w:t xml:space="preserve"> persisted for as long as coordinated head activity and processivity constituted the empirical criteria in terms of which kinesin motility was</w:t>
      </w:r>
      <w:r w:rsidR="00252136">
        <w:t xml:space="preserve"> conventionally</w:t>
      </w:r>
      <w:r>
        <w:t xml:space="preserve"> </w:t>
      </w:r>
      <w:r w:rsidR="005E1CFA">
        <w:t>operationalized</w:t>
      </w:r>
      <w:r>
        <w:t xml:space="preserve"> within single-molecule research</w:t>
      </w:r>
      <w:r w:rsidR="00EE4DFD">
        <w:t xml:space="preserve"> (1989-2002)</w:t>
      </w:r>
      <w:r>
        <w:t>.</w:t>
      </w:r>
      <w:r w:rsidR="000A4CA2">
        <w:rPr>
          <w:rFonts w:asciiTheme="minorHAnsi" w:eastAsiaTheme="minorEastAsia" w:hAnsi="Aptos"/>
          <w:color w:val="000000" w:themeColor="text1"/>
          <w:kern w:val="24"/>
        </w:rPr>
        <w:t xml:space="preserve"> </w:t>
      </w:r>
      <w:r w:rsidR="009D4BE8">
        <w:rPr>
          <w:rFonts w:eastAsiaTheme="minorEastAsia" w:cs="Times New Roman"/>
          <w:color w:val="000000" w:themeColor="text1"/>
          <w:kern w:val="24"/>
        </w:rPr>
        <w:t>H</w:t>
      </w:r>
      <w:r w:rsidR="001532F4">
        <w:rPr>
          <w:rFonts w:eastAsiaTheme="minorEastAsia" w:cs="Times New Roman"/>
          <w:color w:val="000000" w:themeColor="text1"/>
          <w:kern w:val="24"/>
        </w:rPr>
        <w:t>owever,</w:t>
      </w:r>
      <w:r w:rsidR="009D4BE8">
        <w:rPr>
          <w:rFonts w:eastAsiaTheme="minorEastAsia" w:cs="Times New Roman"/>
          <w:color w:val="000000" w:themeColor="text1"/>
          <w:kern w:val="24"/>
        </w:rPr>
        <w:t xml:space="preserve"> </w:t>
      </w:r>
      <w:r w:rsidR="00FE0679">
        <w:t xml:space="preserve">Hua </w:t>
      </w:r>
      <w:r w:rsidR="008B57D0">
        <w:t>et. al.,</w:t>
      </w:r>
      <w:r w:rsidR="00FE0679">
        <w:t xml:space="preserve"> (2002) introduced a new empirical criterion—torque generation—and</w:t>
      </w:r>
      <w:r w:rsidR="00EE4DFD">
        <w:t>, around it,</w:t>
      </w:r>
      <w:r w:rsidR="00FE0679">
        <w:t xml:space="preserve"> built a new space of alternative hypotheses </w:t>
      </w:r>
      <w:r w:rsidR="000B5407">
        <w:t>in which</w:t>
      </w:r>
      <w:r w:rsidR="00FE0679">
        <w:t xml:space="preserve"> t</w:t>
      </w:r>
      <w:r w:rsidR="001532F4">
        <w:t>he</w:t>
      </w:r>
      <w:r w:rsidR="00FE0679">
        <w:t xml:space="preserve"> former</w:t>
      </w:r>
      <w:r w:rsidR="00B92FE0">
        <w:t>ly</w:t>
      </w:r>
      <w:r w:rsidR="00FE0679">
        <w:t xml:space="preserve"> “dead”</w:t>
      </w:r>
      <w:r w:rsidR="001D5989">
        <w:t xml:space="preserve"> inchworm</w:t>
      </w:r>
      <w:r w:rsidR="00FE0679">
        <w:t xml:space="preserve"> hypothes</w:t>
      </w:r>
      <w:r w:rsidR="00252136">
        <w:t>i</w:t>
      </w:r>
      <w:r w:rsidR="00FE0679">
        <w:t>s</w:t>
      </w:r>
      <w:r w:rsidR="000B5407">
        <w:t xml:space="preserve"> bec</w:t>
      </w:r>
      <w:r w:rsidR="00802135">
        <w:t>a</w:t>
      </w:r>
      <w:r w:rsidR="000B5407">
        <w:t>me</w:t>
      </w:r>
      <w:r w:rsidR="00FE0679">
        <w:t xml:space="preserve"> experimentally</w:t>
      </w:r>
      <w:r w:rsidR="00EE4DFD">
        <w:t xml:space="preserve"> live</w:t>
      </w:r>
      <w:r w:rsidR="00FE0679">
        <w:rPr>
          <w:i/>
          <w:iCs/>
        </w:rPr>
        <w:t>.</w:t>
      </w:r>
      <w:r w:rsidR="00FE0679">
        <w:t xml:space="preserve"> Taking cues from a key review article (Howard 1996), these researchers </w:t>
      </w:r>
      <w:r w:rsidR="000B5407">
        <w:t>noted</w:t>
      </w:r>
      <w:r w:rsidR="00FE0679">
        <w:t xml:space="preserve"> that, if the molecule’s two heads move hand-over-hand as they step, this would result in a reversal of the molecule’s orientation with respect to the microtubule axis with each step. This, in turn, would generate torque which would be communicated to the cargo the molecule is carrying. By using a stiff-necked kinesin derivative to ensure that the torque would not be taken up by the native molecule’s </w:t>
      </w:r>
      <w:r w:rsidR="001532F4">
        <w:t xml:space="preserve">torsionally </w:t>
      </w:r>
      <w:r w:rsidR="00FE0679">
        <w:t>flexible neck, the</w:t>
      </w:r>
      <w:r w:rsidR="000B5407">
        <w:t>y</w:t>
      </w:r>
      <w:r w:rsidR="00FE0679">
        <w:t xml:space="preserve"> reasoned that, if the molecule generates torque, they should observe 180-degree rotations of microtubules in </w:t>
      </w:r>
      <w:r w:rsidR="00F84E20">
        <w:t>a</w:t>
      </w:r>
      <w:r w:rsidR="00FE0679">
        <w:t xml:space="preserve"> </w:t>
      </w:r>
      <w:r w:rsidR="00F84E20">
        <w:t>g</w:t>
      </w:r>
      <w:r w:rsidR="00FE0679">
        <w:t xml:space="preserve">liding version of the single-molecule motility assay. If the microtubule rotated, it would confirm </w:t>
      </w:r>
      <w:r w:rsidR="00B47077">
        <w:t>hand-over-hand</w:t>
      </w:r>
      <w:r w:rsidR="00EE4DFD">
        <w:t>, now formulated in terms of the empirical criterion</w:t>
      </w:r>
      <w:r w:rsidR="00D11576">
        <w:t>,</w:t>
      </w:r>
      <w:r w:rsidR="00EE4DFD">
        <w:t xml:space="preserve"> </w:t>
      </w:r>
      <w:r w:rsidR="00EE4DFD">
        <w:rPr>
          <w:i/>
          <w:iCs/>
        </w:rPr>
        <w:lastRenderedPageBreak/>
        <w:t>torque</w:t>
      </w:r>
      <w:r w:rsidR="001532F4">
        <w:rPr>
          <w:i/>
          <w:iCs/>
        </w:rPr>
        <w:t xml:space="preserve"> </w:t>
      </w:r>
      <w:r w:rsidR="00EE4DFD">
        <w:rPr>
          <w:i/>
          <w:iCs/>
        </w:rPr>
        <w:t>generation</w:t>
      </w:r>
      <w:r w:rsidR="00D11576">
        <w:t>,</w:t>
      </w:r>
      <w:r w:rsidR="001532F4">
        <w:t xml:space="preserve"> in addition to processivity and coordinated head-activity.</w:t>
      </w:r>
      <w:r w:rsidR="00FE0679">
        <w:t xml:space="preserve"> If not, it would confirm inchworm</w:t>
      </w:r>
      <w:r w:rsidR="00EE4DFD">
        <w:t>, now an e</w:t>
      </w:r>
      <w:r w:rsidR="003B7979">
        <w:t>xperimentall</w:t>
      </w:r>
      <w:r w:rsidR="00EE4DFD">
        <w:t xml:space="preserve">y live hypothesis </w:t>
      </w:r>
      <w:r w:rsidR="00F84E20">
        <w:t>formulated empirically</w:t>
      </w:r>
      <w:r w:rsidR="00BB1AC2">
        <w:t xml:space="preserve"> </w:t>
      </w:r>
      <w:r w:rsidR="00EE4DFD">
        <w:t xml:space="preserve">as a </w:t>
      </w:r>
      <w:r w:rsidR="00EE4DFD">
        <w:rPr>
          <w:i/>
          <w:iCs/>
        </w:rPr>
        <w:t xml:space="preserve">non-torque generating </w:t>
      </w:r>
      <w:r w:rsidR="004973BD">
        <w:t xml:space="preserve">processive and coordinated </w:t>
      </w:r>
      <w:r w:rsidR="00EE4DFD">
        <w:t>walk</w:t>
      </w:r>
      <w:r w:rsidR="00FE0679">
        <w:t xml:space="preserve">. </w:t>
      </w:r>
    </w:p>
    <w:p w14:paraId="64F17339" w14:textId="53743231" w:rsidR="0049135B" w:rsidRDefault="004317A6" w:rsidP="00E94CC2">
      <w:pPr>
        <w:ind w:firstLine="720"/>
      </w:pPr>
      <w:r>
        <w:t>Hua et. al. (2002)</w:t>
      </w:r>
      <w:r w:rsidR="001532F4">
        <w:t xml:space="preserve"> </w:t>
      </w:r>
      <w:r w:rsidR="001D5989">
        <w:t>created</w:t>
      </w:r>
      <w:r w:rsidR="001532F4">
        <w:t xml:space="preserve"> </w:t>
      </w:r>
      <w:r w:rsidR="008F7E60">
        <w:t>their</w:t>
      </w:r>
      <w:r w:rsidR="001532F4">
        <w:t xml:space="preserve"> stiff-necked kinesin</w:t>
      </w:r>
      <w:r w:rsidR="001D5989">
        <w:t xml:space="preserve"> mutant</w:t>
      </w:r>
      <w:r>
        <w:t xml:space="preserve"> and</w:t>
      </w:r>
      <w:r w:rsidR="001532F4">
        <w:t xml:space="preserve"> took to</w:t>
      </w:r>
      <w:r>
        <w:t xml:space="preserve"> </w:t>
      </w:r>
      <w:r w:rsidR="001532F4">
        <w:t xml:space="preserve">deploying </w:t>
      </w:r>
      <w:r w:rsidR="00AE5042">
        <w:t>th</w:t>
      </w:r>
      <w:r w:rsidR="00252136">
        <w:t>e single-molecul</w:t>
      </w:r>
      <w:r w:rsidR="001D5989">
        <w:t>e</w:t>
      </w:r>
      <w:r w:rsidR="00252136">
        <w:t xml:space="preserve"> platform</w:t>
      </w:r>
      <w:r w:rsidR="00AE5042">
        <w:t xml:space="preserve"> </w:t>
      </w:r>
      <w:r>
        <w:t>to test for torque generation</w:t>
      </w:r>
      <w:r w:rsidR="00AE5042">
        <w:t>.</w:t>
      </w:r>
      <w:r w:rsidR="001532F4">
        <w:t xml:space="preserve"> </w:t>
      </w:r>
      <w:r w:rsidR="00B92FE0">
        <w:t xml:space="preserve">They did not observe the </w:t>
      </w:r>
      <w:r>
        <w:t>180</w:t>
      </w:r>
      <w:r w:rsidR="00252136">
        <w:t>-</w:t>
      </w:r>
      <w:r>
        <w:t xml:space="preserve">degree microtubule </w:t>
      </w:r>
      <w:r w:rsidR="00B92FE0">
        <w:t>rotations</w:t>
      </w:r>
      <w:r>
        <w:t xml:space="preserve"> that they </w:t>
      </w:r>
      <w:r w:rsidR="009D4BE8">
        <w:t>“</w:t>
      </w:r>
      <w:r>
        <w:t>understood and anticipated</w:t>
      </w:r>
      <w:r w:rsidR="009D4BE8">
        <w:t>”</w:t>
      </w:r>
      <w:r>
        <w:t xml:space="preserve"> torque generation to produce visibly</w:t>
      </w:r>
      <w:r w:rsidR="00B92FE0">
        <w:t xml:space="preserve"> and</w:t>
      </w:r>
      <w:r>
        <w:t>, therefore,</w:t>
      </w:r>
      <w:r w:rsidR="00B92FE0">
        <w:t xml:space="preserve"> concluded that inchworm is the correct characterization of kinesin’s stepping pattern. </w:t>
      </w:r>
      <w:r w:rsidR="00FE0679">
        <w:t>But the</w:t>
      </w:r>
      <w:r>
        <w:t>se</w:t>
      </w:r>
      <w:r w:rsidR="001532F4">
        <w:t xml:space="preserve"> </w:t>
      </w:r>
      <w:r w:rsidR="00FE0679">
        <w:t>observations did not constitute the whole of their argument. As Hua et. al., acknowledge, there is a third possibility</w:t>
      </w:r>
      <w:proofErr w:type="gramStart"/>
      <w:r w:rsidR="00E94CC2">
        <w:t>—</w:t>
      </w:r>
      <w:r w:rsidR="00FE0679">
        <w:t>“</w:t>
      </w:r>
      <w:proofErr w:type="gramEnd"/>
      <w:r w:rsidR="00FE0679">
        <w:t>asymmetric hand over hand</w:t>
      </w:r>
      <w:r w:rsidR="00E94CC2">
        <w:t>,</w:t>
      </w:r>
      <w:r w:rsidR="00FE0679">
        <w:t>”</w:t>
      </w:r>
      <w:r w:rsidR="00E94CC2">
        <w:t xml:space="preserve"> </w:t>
      </w:r>
      <w:r w:rsidR="00FE0679">
        <w:t xml:space="preserve">a </w:t>
      </w:r>
      <w:r w:rsidR="00EE4DFD">
        <w:t xml:space="preserve">putative </w:t>
      </w:r>
      <w:r w:rsidR="00FE0679">
        <w:t>hand-over-hand</w:t>
      </w:r>
      <w:r w:rsidR="00EE4DFD">
        <w:t>-</w:t>
      </w:r>
      <w:r w:rsidR="00FE0679">
        <w:t>style walk in which a structural asymmetry between kinesin’s two globular heads is such that the molecule’s step compensate</w:t>
      </w:r>
      <w:r w:rsidR="00AE5042">
        <w:t>s</w:t>
      </w:r>
      <w:r w:rsidR="00FE0679">
        <w:t xml:space="preserve"> for the torque</w:t>
      </w:r>
      <w:r w:rsidR="00EE4DFD">
        <w:t xml:space="preserve"> that</w:t>
      </w:r>
      <w:r w:rsidR="00FE0679">
        <w:t xml:space="preserve"> a symmetric hand-over-hand walk would</w:t>
      </w:r>
      <w:r w:rsidR="00D84DB5">
        <w:t xml:space="preserve"> </w:t>
      </w:r>
      <w:r w:rsidR="008F7E60">
        <w:t xml:space="preserve">otherwise </w:t>
      </w:r>
      <w:r w:rsidR="00FE0679">
        <w:t>generate. Since both “inchworm” and “asymmetric HoH” are non-torque generating walks</w:t>
      </w:r>
      <w:r w:rsidR="00D84DB5">
        <w:t>,</w:t>
      </w:r>
      <w:r w:rsidR="00FE0679">
        <w:t xml:space="preserve"> </w:t>
      </w:r>
      <w:r w:rsidR="00D84DB5">
        <w:t>a</w:t>
      </w:r>
      <w:r w:rsidR="00FE0679">
        <w:t xml:space="preserve">nd since the relevant empirical criterion in this study was torque generation, this experiment </w:t>
      </w:r>
      <w:r w:rsidR="00802135">
        <w:t>could</w:t>
      </w:r>
      <w:r w:rsidR="00FE0679">
        <w:t xml:space="preserve"> not empirically distinguish between them.</w:t>
      </w:r>
      <w:r w:rsidR="00902564">
        <w:t xml:space="preserve"> Thus, while their introduction of “torque-generation” as an empirical criterion, enabled access to the pre-2002 experimental dead-space</w:t>
      </w:r>
      <w:r w:rsidR="000B5407">
        <w:t xml:space="preserve"> by </w:t>
      </w:r>
      <w:r w:rsidR="009B108C">
        <w:t xml:space="preserve">empirically </w:t>
      </w:r>
      <w:r w:rsidR="000B5407">
        <w:t xml:space="preserve">distinguishing “inchworm” from “symmetric hand-over-hand,” </w:t>
      </w:r>
      <w:r w:rsidR="00902564">
        <w:t xml:space="preserve">it also created a new </w:t>
      </w:r>
      <w:r w:rsidR="000B5407">
        <w:t>experimental dead-space</w:t>
      </w:r>
      <w:r w:rsidR="00902564">
        <w:t xml:space="preserve"> populated by “inchworm” and “asymmetric hand-over-hand.”</w:t>
      </w:r>
      <w:r w:rsidR="000B5407">
        <w:t xml:space="preserve"> </w:t>
      </w:r>
    </w:p>
    <w:p w14:paraId="6CF289A8" w14:textId="0918B09F" w:rsidR="00FE0679" w:rsidRDefault="00FE0679" w:rsidP="00902564">
      <w:pPr>
        <w:ind w:firstLine="720"/>
      </w:pPr>
      <w:r>
        <w:t xml:space="preserve">In other words, with the introduction of torque generation, </w:t>
      </w:r>
      <w:r w:rsidR="00902564">
        <w:t>“hand-over-hand”</w:t>
      </w:r>
      <w:r w:rsidR="00EE4DFD">
        <w:t xml:space="preserve"> split into two</w:t>
      </w:r>
      <w:r w:rsidR="00660922">
        <w:t xml:space="preserve"> versions</w:t>
      </w:r>
      <w:r w:rsidR="00EE4DFD">
        <w:t>—symmetric and asymmetric</w:t>
      </w:r>
      <w:r w:rsidR="00902564">
        <w:t>—</w:t>
      </w:r>
      <w:r w:rsidR="00EE4DFD">
        <w:t xml:space="preserve">such that </w:t>
      </w:r>
      <w:r>
        <w:t xml:space="preserve">“inchworm” </w:t>
      </w:r>
      <w:r w:rsidR="00EE4DFD">
        <w:t xml:space="preserve">became </w:t>
      </w:r>
      <w:r>
        <w:t xml:space="preserve">empirically distinguished </w:t>
      </w:r>
      <w:r w:rsidR="00EE4DFD">
        <w:t>from the former</w:t>
      </w:r>
      <w:r>
        <w:t xml:space="preserve"> </w:t>
      </w:r>
      <w:r w:rsidR="00F84E20">
        <w:t xml:space="preserve">but not the latter </w:t>
      </w:r>
      <w:r>
        <w:t xml:space="preserve">(Figure </w:t>
      </w:r>
      <w:r w:rsidR="00E94CC2">
        <w:t>5</w:t>
      </w:r>
      <w:r>
        <w:t>)</w:t>
      </w:r>
      <w:r w:rsidR="00EE4DFD">
        <w:t>.</w:t>
      </w:r>
      <w:r>
        <w:t xml:space="preserve"> </w:t>
      </w:r>
      <w:r w:rsidR="00EE4DFD">
        <w:t>Concomitantly</w:t>
      </w:r>
      <w:r>
        <w:t xml:space="preserve">, a new experimental dead-space opened up, occupied by inchworm and asymmetric HoH. </w:t>
      </w:r>
      <w:r w:rsidR="004317A6">
        <w:t>Acknowledging that the</w:t>
      </w:r>
      <w:r w:rsidR="000B4624">
        <w:t xml:space="preserve">ir </w:t>
      </w:r>
      <w:r w:rsidR="001D5989">
        <w:t>experiment could not</w:t>
      </w:r>
      <w:r w:rsidR="004317A6">
        <w:t xml:space="preserve"> adjudicate between these hypotheses,</w:t>
      </w:r>
      <w:r>
        <w:t xml:space="preserve"> Hua and colleagues </w:t>
      </w:r>
      <w:r w:rsidR="004317A6">
        <w:t xml:space="preserve">criticized asymmetric HoH indirectly, arguing </w:t>
      </w:r>
      <w:r w:rsidR="004317A6">
        <w:rPr>
          <w:i/>
          <w:iCs/>
        </w:rPr>
        <w:t>a pr</w:t>
      </w:r>
      <w:r w:rsidR="001D5989">
        <w:rPr>
          <w:i/>
          <w:iCs/>
        </w:rPr>
        <w:t>iori</w:t>
      </w:r>
      <w:r>
        <w:t xml:space="preserve"> that it was implausible to attribute to the molecule the kind of complex and nuanced structure that it would have to have in order for it to perfectly compensate for the torque it would otherwise generate. In other words, though they acknowledge that these hypotheses </w:t>
      </w:r>
      <w:r w:rsidR="00902564">
        <w:t>occupy a newly constructed experimental dead-space,</w:t>
      </w:r>
      <w:r>
        <w:t xml:space="preserve"> they conclude in favor of inchworm </w:t>
      </w:r>
      <w:r w:rsidR="00881CB4">
        <w:t>based on</w:t>
      </w:r>
      <w:r>
        <w:t xml:space="preserve"> both their </w:t>
      </w:r>
      <w:r w:rsidR="00E936DA">
        <w:t xml:space="preserve">empirical </w:t>
      </w:r>
      <w:r>
        <w:t>data and</w:t>
      </w:r>
      <w:r w:rsidR="004317A6">
        <w:t xml:space="preserve"> an</w:t>
      </w:r>
      <w:r>
        <w:t xml:space="preserve"> </w:t>
      </w:r>
      <w:r w:rsidR="004317A6">
        <w:rPr>
          <w:i/>
          <w:iCs/>
        </w:rPr>
        <w:t>a priori</w:t>
      </w:r>
      <w:r>
        <w:t xml:space="preserve"> argument</w:t>
      </w:r>
      <w:r w:rsidR="004317A6">
        <w:t xml:space="preserve"> to the effect that the alternative is implausible</w:t>
      </w:r>
      <w:r w:rsidR="00902564">
        <w:t>.</w:t>
      </w:r>
    </w:p>
    <w:p w14:paraId="19C46201" w14:textId="77777777" w:rsidR="00902564" w:rsidRPr="00910D29" w:rsidRDefault="00902564" w:rsidP="00902564">
      <w:pPr>
        <w:ind w:firstLine="720"/>
      </w:pPr>
    </w:p>
    <w:p w14:paraId="2F97E6B2" w14:textId="77777777" w:rsidR="00FE0679" w:rsidRDefault="00FE0679" w:rsidP="00FE0679">
      <w:pPr>
        <w:ind w:firstLine="720"/>
        <w:jc w:val="center"/>
      </w:pPr>
      <w:r>
        <w:rPr>
          <w:noProof/>
        </w:rPr>
        <w:lastRenderedPageBreak/>
        <w:drawing>
          <wp:inline distT="0" distB="0" distL="0" distR="0" wp14:anchorId="5E919B21" wp14:editId="12F92518">
            <wp:extent cx="3204805" cy="3747770"/>
            <wp:effectExtent l="0" t="0" r="0" b="5080"/>
            <wp:docPr id="1430535152" name="Picture 3" descr="A diagram of a diagram of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35152" name="Picture 3" descr="A diagram of a diagram of different types of object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0860" cy="3754851"/>
                    </a:xfrm>
                    <a:prstGeom prst="rect">
                      <a:avLst/>
                    </a:prstGeom>
                  </pic:spPr>
                </pic:pic>
              </a:graphicData>
            </a:graphic>
          </wp:inline>
        </w:drawing>
      </w:r>
    </w:p>
    <w:p w14:paraId="717A0D75" w14:textId="05F54E79" w:rsidR="00FE0679" w:rsidRPr="001D5989" w:rsidRDefault="00FE0679" w:rsidP="00FE0679">
      <w:pPr>
        <w:ind w:firstLine="720"/>
        <w:jc w:val="center"/>
        <w:rPr>
          <w:sz w:val="22"/>
        </w:rPr>
      </w:pPr>
      <w:r w:rsidRPr="001D5989">
        <w:rPr>
          <w:sz w:val="22"/>
        </w:rPr>
        <w:t xml:space="preserve">Figure </w:t>
      </w:r>
      <w:r w:rsidR="001D5989" w:rsidRPr="001D5989">
        <w:rPr>
          <w:sz w:val="22"/>
        </w:rPr>
        <w:t>5: Introducing torque generation as an empirical criterion rendered the formerly “dead” inchworm hypothesis experimentally live and, concomitantly, introduced asymmetric hand-over-hand. While torque generation enabled researchers to access the 1989-2002 experimental dead-space, it also created a new dead-space occupied by inchworm and asymmetric hand-over-hand.</w:t>
      </w:r>
    </w:p>
    <w:p w14:paraId="726336B0" w14:textId="77777777" w:rsidR="00FE0679" w:rsidRDefault="00FE0679" w:rsidP="00FE0679">
      <w:pPr>
        <w:ind w:firstLine="720"/>
        <w:jc w:val="center"/>
      </w:pPr>
    </w:p>
    <w:p w14:paraId="08CB5854" w14:textId="64302C75" w:rsidR="00F52C6E" w:rsidRDefault="00E548CC" w:rsidP="00324A04">
      <w:pPr>
        <w:ind w:firstLine="720"/>
      </w:pPr>
      <w:r>
        <w:t>This new experimental dead-space did not persist long, however</w:t>
      </w:r>
      <w:r w:rsidR="00902564">
        <w:t>.</w:t>
      </w:r>
      <w:r>
        <w:t xml:space="preserve"> In the following two years, researchers published a number of studies in which they introduced yet another new empirical criterion that empirically distinguished between inchworm and asymmetric hand-over-hand, namely, </w:t>
      </w:r>
      <w:r w:rsidR="00F52C6E">
        <w:rPr>
          <w:i/>
          <w:iCs/>
        </w:rPr>
        <w:t xml:space="preserve">limping. </w:t>
      </w:r>
      <w:r w:rsidR="00F52C6E">
        <w:t>A number of researchers reason</w:t>
      </w:r>
      <w:r w:rsidR="00E94CC2">
        <w:t>ed</w:t>
      </w:r>
      <w:r w:rsidR="00F52C6E">
        <w:t xml:space="preserve"> that if the molecule walks in an asymmetric hand-over-hand manner, a “limp</w:t>
      </w:r>
      <w:r w:rsidR="008F7E60">
        <w:t>”</w:t>
      </w:r>
      <w:r w:rsidR="00324A04">
        <w:t>—a difference between the time one head spends attached to the microtubule vs. the other—should be discernible in their data.</w:t>
      </w:r>
      <w:r w:rsidR="00F52C6E">
        <w:t xml:space="preserve"> As </w:t>
      </w:r>
      <w:r w:rsidR="009D4BE8">
        <w:t>I discussed previously,</w:t>
      </w:r>
      <w:r w:rsidR="00F52C6E">
        <w:t xml:space="preserve"> </w:t>
      </w:r>
      <w:r w:rsidR="00324A04">
        <w:t xml:space="preserve">a </w:t>
      </w:r>
      <w:proofErr w:type="gramStart"/>
      <w:r w:rsidR="00324A04">
        <w:t>number</w:t>
      </w:r>
      <w:proofErr w:type="gramEnd"/>
      <w:r w:rsidR="00F52C6E">
        <w:t xml:space="preserve"> key studies d</w:t>
      </w:r>
      <w:r w:rsidR="00324A04">
        <w:t>iscerned the</w:t>
      </w:r>
      <w:r w:rsidR="00F52C6E">
        <w:t xml:space="preserve"> limp such that, by 2005, the consensus among single-molecule researchers was that asymmetric hand-over-hand is the correct characterization of kinesin’s stepping pattern.</w:t>
      </w:r>
    </w:p>
    <w:p w14:paraId="22E449F8" w14:textId="79523446" w:rsidR="004F62F0" w:rsidRDefault="00324A04" w:rsidP="004F62F0">
      <w:pPr>
        <w:ind w:firstLine="720"/>
      </w:pPr>
      <w:r>
        <w:t xml:space="preserve">    </w:t>
      </w:r>
      <w:r w:rsidR="004F1E76">
        <w:t>Hua et al.’s introduction of torque generation was</w:t>
      </w:r>
      <w:r w:rsidR="00D81DBF">
        <w:t xml:space="preserve"> characteristically</w:t>
      </w:r>
      <w:r w:rsidR="004F62F0">
        <w:t xml:space="preserve"> “creative” in the sense illustrated in my discussion of the Duncker Candle Task. </w:t>
      </w:r>
      <w:r w:rsidR="00F84E20">
        <w:t xml:space="preserve">As I discuss in more detail in the next section, </w:t>
      </w:r>
      <w:r w:rsidR="00E027B3">
        <w:t xml:space="preserve">these </w:t>
      </w:r>
      <w:r w:rsidR="00F84E20">
        <w:t>r</w:t>
      </w:r>
      <w:r w:rsidR="004F62F0">
        <w:t>esearchers realized that the</w:t>
      </w:r>
      <w:r w:rsidR="00F84E20">
        <w:t xml:space="preserve"> “material conditions”</w:t>
      </w:r>
      <w:r w:rsidR="004F62F0">
        <w:t xml:space="preserve"> </w:t>
      </w:r>
      <w:r w:rsidR="00F84E20">
        <w:t xml:space="preserve">of their </w:t>
      </w:r>
      <w:r w:rsidR="004F62F0">
        <w:t>research platform w</w:t>
      </w:r>
      <w:r w:rsidR="00F84E20">
        <w:t>ere</w:t>
      </w:r>
      <w:r w:rsidR="004F62F0">
        <w:t xml:space="preserve"> such that </w:t>
      </w:r>
      <w:r w:rsidR="00F84E20">
        <w:t>they</w:t>
      </w:r>
      <w:r w:rsidR="004F62F0">
        <w:t xml:space="preserve"> could be functionally deployed to assay for a putative feature of kin</w:t>
      </w:r>
      <w:r w:rsidR="00BB6FCA">
        <w:t>esi</w:t>
      </w:r>
      <w:r w:rsidR="004F62F0">
        <w:t xml:space="preserve">n’s stepping pattern other than those </w:t>
      </w:r>
      <w:r w:rsidR="00CF172E">
        <w:t>for which</w:t>
      </w:r>
      <w:r w:rsidR="004F62F0">
        <w:t xml:space="preserve"> it </w:t>
      </w:r>
      <w:r w:rsidR="00C35C23">
        <w:t>had</w:t>
      </w:r>
      <w:r w:rsidR="004F62F0">
        <w:t xml:space="preserve"> conventionally been </w:t>
      </w:r>
      <w:r w:rsidR="00F84E20">
        <w:t>deployed</w:t>
      </w:r>
      <w:r w:rsidR="004F62F0">
        <w:t xml:space="preserve"> to assay. In other words, like successful Dun</w:t>
      </w:r>
      <w:r w:rsidR="008C7FCD">
        <w:t>c</w:t>
      </w:r>
      <w:r w:rsidR="004F62F0">
        <w:t xml:space="preserve">ker Candle taskers, these researchers had the “insight” that they could deploy their research platform to test for torque generation, rather than merely processivity and coordinated head activity. </w:t>
      </w:r>
      <w:r w:rsidR="00BA485C">
        <w:t>Accordingly, the</w:t>
      </w:r>
      <w:r w:rsidR="002A5EAD">
        <w:t xml:space="preserve"> kind of change that </w:t>
      </w:r>
      <w:r w:rsidR="009C5EF9">
        <w:t>characterized</w:t>
      </w:r>
      <w:r w:rsidR="00BA485C">
        <w:t xml:space="preserve"> </w:t>
      </w:r>
      <w:r w:rsidR="00CF172E">
        <w:t xml:space="preserve">the </w:t>
      </w:r>
      <w:r w:rsidR="00BA485C">
        <w:t>dynamic reorganization of the</w:t>
      </w:r>
      <w:r w:rsidR="009C5EF9">
        <w:t xml:space="preserve"> overall space of alternative hypotheses</w:t>
      </w:r>
      <w:r w:rsidR="001276BD">
        <w:t xml:space="preserve"> </w:t>
      </w:r>
      <w:r w:rsidR="009D4BE8">
        <w:t xml:space="preserve">that was </w:t>
      </w:r>
      <w:r w:rsidR="001276BD">
        <w:t>catalyzed</w:t>
      </w:r>
      <w:r w:rsidR="00BA485C">
        <w:t xml:space="preserve"> by the introduction of torque generatio</w:t>
      </w:r>
      <w:r w:rsidR="00AF3ED0">
        <w:t>n</w:t>
      </w:r>
      <w:r w:rsidR="00BA485C">
        <w:t xml:space="preserve"> is not a form of change that can be explicated “algorithmically” </w:t>
      </w:r>
      <w:r w:rsidR="00BA485C">
        <w:lastRenderedPageBreak/>
        <w:t xml:space="preserve">in the sense I described above. </w:t>
      </w:r>
      <w:r w:rsidR="004F62F0">
        <w:t>To see this more clearly, I step back now to build upon the philosophical apparatus that</w:t>
      </w:r>
      <w:r w:rsidR="009D4BE8">
        <w:t xml:space="preserve"> I</w:t>
      </w:r>
      <w:r w:rsidR="004F62F0">
        <w:t xml:space="preserve"> introduce</w:t>
      </w:r>
      <w:r w:rsidR="009D4BE8">
        <w:t>d in my initial analysis of the Inchworm Episode.</w:t>
      </w:r>
      <w:r w:rsidR="004F62F0">
        <w:t xml:space="preserve"> </w:t>
      </w:r>
    </w:p>
    <w:p w14:paraId="14C2B8AC" w14:textId="7BE670F4" w:rsidR="00BA49AC" w:rsidRDefault="00BA49AC" w:rsidP="004F62F0">
      <w:pPr>
        <w:ind w:firstLine="720"/>
      </w:pPr>
    </w:p>
    <w:p w14:paraId="0415C4F7" w14:textId="6E1E155F" w:rsidR="00BA49AC" w:rsidRPr="00BA49AC" w:rsidRDefault="00BA49AC" w:rsidP="00BA49AC">
      <w:pPr>
        <w:ind w:firstLine="720"/>
        <w:jc w:val="center"/>
        <w:rPr>
          <w:b/>
          <w:bCs/>
        </w:rPr>
      </w:pPr>
      <w:r w:rsidRPr="00BA49AC">
        <w:rPr>
          <w:b/>
          <w:bCs/>
        </w:rPr>
        <w:t xml:space="preserve">Section </w:t>
      </w:r>
      <w:r w:rsidR="00CB0A34">
        <w:rPr>
          <w:b/>
          <w:bCs/>
        </w:rPr>
        <w:t>III</w:t>
      </w:r>
      <w:r w:rsidR="009B108C">
        <w:rPr>
          <w:b/>
          <w:bCs/>
        </w:rPr>
        <w:t>: Embedding Experimental Dead-Spaces in Research Platforms</w:t>
      </w:r>
    </w:p>
    <w:p w14:paraId="0B9B8647" w14:textId="77777777" w:rsidR="00BA49AC" w:rsidRDefault="00BA49AC" w:rsidP="00BA49AC">
      <w:pPr>
        <w:ind w:firstLine="720"/>
        <w:jc w:val="center"/>
      </w:pPr>
    </w:p>
    <w:p w14:paraId="1AB0B313" w14:textId="69BF91E3" w:rsidR="009B108C" w:rsidRDefault="002B0278" w:rsidP="00846F00">
      <w:pPr>
        <w:ind w:firstLine="720"/>
      </w:pPr>
      <w:r>
        <w:t xml:space="preserve">The </w:t>
      </w:r>
      <w:r w:rsidRPr="00412F66">
        <w:rPr>
          <w:i/>
          <w:iCs/>
        </w:rPr>
        <w:t>single-molecul</w:t>
      </w:r>
      <w:r w:rsidR="00F0067D" w:rsidRPr="00412F66">
        <w:rPr>
          <w:i/>
          <w:iCs/>
        </w:rPr>
        <w:t>e</w:t>
      </w:r>
      <w:r w:rsidRPr="00412F66">
        <w:rPr>
          <w:i/>
          <w:iCs/>
        </w:rPr>
        <w:t xml:space="preserve"> research platform</w:t>
      </w:r>
      <w:r>
        <w:t xml:space="preserve"> was anchored in the use of a particular </w:t>
      </w:r>
      <w:r w:rsidR="00C2487D">
        <w:t>experimental tool to study kinesin stepping</w:t>
      </w:r>
      <w:r w:rsidR="00A208B6">
        <w:t>—the single-molecule motility assay.</w:t>
      </w:r>
      <w:r w:rsidR="00A21B70">
        <w:rPr>
          <w:rStyle w:val="FootnoteReference"/>
        </w:rPr>
        <w:footnoteReference w:id="16"/>
      </w:r>
      <w:r w:rsidR="002E5D8F">
        <w:t xml:space="preserve"> </w:t>
      </w:r>
      <w:r w:rsidR="007F453C">
        <w:t>A</w:t>
      </w:r>
      <w:r w:rsidR="002E5D8F">
        <w:t xml:space="preserve"> research platform is “a collection of conventions for the use of material circumstances, conditions, or resources to which researchers commit for the sake of regulating and standardizing their work practices and procedures” (Griesemer, 2013).</w:t>
      </w:r>
      <w:r w:rsidR="00721282">
        <w:t xml:space="preserve"> This characterization give</w:t>
      </w:r>
      <w:r w:rsidR="008451C4">
        <w:t>s</w:t>
      </w:r>
      <w:r w:rsidR="00721282">
        <w:t xml:space="preserve"> philosophers wide berth in applying it to the analysis of </w:t>
      </w:r>
      <w:r w:rsidR="008451C4">
        <w:t>cases</w:t>
      </w:r>
      <w:r w:rsidR="00721282">
        <w:t>.</w:t>
      </w:r>
      <w:r w:rsidR="00A00C03">
        <w:t xml:space="preserve"> </w:t>
      </w:r>
      <w:r w:rsidR="002E5D8F">
        <w:t>In analyzing the dynamics of a</w:t>
      </w:r>
      <w:r w:rsidR="008451C4">
        <w:t xml:space="preserve"> particular</w:t>
      </w:r>
      <w:r w:rsidR="002E5D8F">
        <w:t xml:space="preserve"> research platform, one </w:t>
      </w:r>
      <w:r w:rsidR="00790C43">
        <w:t>will</w:t>
      </w:r>
      <w:r w:rsidR="002E5D8F">
        <w:t xml:space="preserve"> </w:t>
      </w:r>
      <w:r w:rsidR="00721282">
        <w:t xml:space="preserve">differentially </w:t>
      </w:r>
      <w:r w:rsidR="002E5D8F">
        <w:t xml:space="preserve">emphasize </w:t>
      </w:r>
      <w:r w:rsidR="008451C4">
        <w:t>those</w:t>
      </w:r>
      <w:r w:rsidR="002E5D8F">
        <w:t xml:space="preserve"> aspects</w:t>
      </w:r>
      <w:r w:rsidR="009B108C">
        <w:t xml:space="preserve"> that</w:t>
      </w:r>
      <w:r w:rsidR="002E5D8F">
        <w:t xml:space="preserve"> Griesemer builds into his characterization depending upon the</w:t>
      </w:r>
      <w:r w:rsidR="009B108C">
        <w:t xml:space="preserve"> contingencies of the case and the</w:t>
      </w:r>
      <w:r w:rsidR="002E5D8F">
        <w:t xml:space="preserve"> purpose of the analysis</w:t>
      </w:r>
      <w:r w:rsidR="00F0067D">
        <w:t xml:space="preserve">. Depending on one’s interest in analyzing a case, that is, one might emphasize </w:t>
      </w:r>
      <w:r w:rsidR="002E5D8F">
        <w:t xml:space="preserve">the relevant material circumstances or, perhaps, the financial resources available to </w:t>
      </w:r>
      <w:r w:rsidR="00F0067D">
        <w:t>practitioners</w:t>
      </w:r>
      <w:r w:rsidR="002E5D8F">
        <w:t xml:space="preserve">. </w:t>
      </w:r>
      <w:r w:rsidR="00BA485C">
        <w:t>I would also add</w:t>
      </w:r>
      <w:r w:rsidR="009B108C">
        <w:t>, as a nod in the direction of the usefulness of my analysis for discussions of values in science,</w:t>
      </w:r>
      <w:r w:rsidR="00BA485C">
        <w:t xml:space="preserve"> that an analysis </w:t>
      </w:r>
      <w:r w:rsidR="00204A68">
        <w:t xml:space="preserve">of a research platform </w:t>
      </w:r>
      <w:r w:rsidR="00BA485C">
        <w:t xml:space="preserve">may involve </w:t>
      </w:r>
      <w:r w:rsidR="008451C4">
        <w:t>identifying the ways in which</w:t>
      </w:r>
      <w:r w:rsidR="00BA485C">
        <w:t xml:space="preserve"> values, biases, political environment or other </w:t>
      </w:r>
      <w:r w:rsidR="00D756BA">
        <w:t>“</w:t>
      </w:r>
      <w:r w:rsidR="00BA485C">
        <w:t>contextual factors</w:t>
      </w:r>
      <w:r w:rsidR="00D756BA">
        <w:t>”</w:t>
      </w:r>
      <w:r w:rsidR="00BA485C">
        <w:t xml:space="preserve"> contribute to</w:t>
      </w:r>
      <w:r w:rsidR="00A208B6">
        <w:t xml:space="preserve"> </w:t>
      </w:r>
      <w:r w:rsidR="00204A68">
        <w:t>its</w:t>
      </w:r>
      <w:r w:rsidR="00BA485C">
        <w:t xml:space="preserve"> structure of a at a time. </w:t>
      </w:r>
    </w:p>
    <w:p w14:paraId="12985490" w14:textId="0D26FCD5" w:rsidR="00FE4592" w:rsidRDefault="00A425D1" w:rsidP="00846F00">
      <w:pPr>
        <w:ind w:firstLine="720"/>
      </w:pPr>
      <w:r>
        <w:t>According</w:t>
      </w:r>
      <w:r w:rsidR="008451C4">
        <w:t>ly</w:t>
      </w:r>
      <w:r>
        <w:t>, I emphasize certain aspects of the single-molecule research platform that I take to be key in understanding</w:t>
      </w:r>
      <w:r w:rsidR="002E5D8F">
        <w:t xml:space="preserve"> the creative form of change that characterized </w:t>
      </w:r>
      <w:r w:rsidR="00AD6EC6">
        <w:t>its</w:t>
      </w:r>
      <w:r w:rsidR="002E5D8F">
        <w:t xml:space="preserve"> development </w:t>
      </w:r>
      <w:r w:rsidR="00AD6EC6">
        <w:t>as</w:t>
      </w:r>
      <w:r w:rsidR="002E5D8F">
        <w:t xml:space="preserve"> presented above</w:t>
      </w:r>
      <w:r>
        <w:t>.</w:t>
      </w:r>
      <w:r w:rsidR="008451C4">
        <w:rPr>
          <w:rStyle w:val="FootnoteReference"/>
        </w:rPr>
        <w:footnoteReference w:id="17"/>
      </w:r>
      <w:r w:rsidR="002E5D8F">
        <w:t xml:space="preserve"> </w:t>
      </w:r>
      <w:r>
        <w:t>Of particular interest is</w:t>
      </w:r>
      <w:r w:rsidR="00F0067D">
        <w:t xml:space="preserve"> what I take to be the distinctively epistemic </w:t>
      </w:r>
      <w:r>
        <w:t>as</w:t>
      </w:r>
      <w:r w:rsidR="00AD6EC6">
        <w:t>p</w:t>
      </w:r>
      <w:r>
        <w:t>ect</w:t>
      </w:r>
      <w:r w:rsidR="00F0067D">
        <w:t xml:space="preserve">, </w:t>
      </w:r>
      <w:r w:rsidR="00E16F1F">
        <w:t xml:space="preserve">namely, </w:t>
      </w:r>
      <w:r w:rsidR="00F0067D">
        <w:t>what Griesemer calls</w:t>
      </w:r>
      <w:r w:rsidR="002E5D8F">
        <w:t xml:space="preserve"> </w:t>
      </w:r>
      <w:r w:rsidR="00F0067D">
        <w:t>“</w:t>
      </w:r>
      <w:r w:rsidR="002E5D8F">
        <w:t>conventions.</w:t>
      </w:r>
      <w:r w:rsidR="00F0067D">
        <w:t>”</w:t>
      </w:r>
      <w:r w:rsidR="002E5D8F">
        <w:t xml:space="preserve"> I identif</w:t>
      </w:r>
      <w:r w:rsidR="00085B0E">
        <w:t>y</w:t>
      </w:r>
      <w:r w:rsidR="002E5D8F">
        <w:t xml:space="preserve"> these with the empirical criteria </w:t>
      </w:r>
      <w:r w:rsidR="00846F00">
        <w:t>around</w:t>
      </w:r>
      <w:r w:rsidR="00BA485C">
        <w:t xml:space="preserve"> which researchers </w:t>
      </w:r>
      <w:r w:rsidR="00846F00">
        <w:t>organized a space of alternative</w:t>
      </w:r>
      <w:r w:rsidR="00042AAE">
        <w:t xml:space="preserve"> hypothes</w:t>
      </w:r>
      <w:r w:rsidR="005A09ED">
        <w:t>es</w:t>
      </w:r>
      <w:r w:rsidR="00042AAE">
        <w:t xml:space="preserve"> about</w:t>
      </w:r>
      <w:r w:rsidR="00BA485C">
        <w:t xml:space="preserve"> kinesin</w:t>
      </w:r>
      <w:r w:rsidR="00042AAE">
        <w:t>’s</w:t>
      </w:r>
      <w:r w:rsidR="00BA485C">
        <w:t xml:space="preserve"> stepping</w:t>
      </w:r>
      <w:r w:rsidR="00042AAE">
        <w:t xml:space="preserve"> patter</w:t>
      </w:r>
      <w:r w:rsidR="00204A68">
        <w:t>n,</w:t>
      </w:r>
      <w:r w:rsidR="00E94CC2">
        <w:t xml:space="preserve"> </w:t>
      </w:r>
      <w:r w:rsidR="002E5D8F">
        <w:t xml:space="preserve">constructed experiments to test </w:t>
      </w:r>
      <w:proofErr w:type="gramStart"/>
      <w:r w:rsidR="002E5D8F">
        <w:t>th</w:t>
      </w:r>
      <w:r w:rsidR="00204A68">
        <w:t>ose hypothesis</w:t>
      </w:r>
      <w:proofErr w:type="gramEnd"/>
      <w:r w:rsidR="00E94CC2">
        <w:t>,</w:t>
      </w:r>
      <w:r w:rsidR="002E5D8F">
        <w:t xml:space="preserve"> and </w:t>
      </w:r>
      <w:r w:rsidR="00E94CC2">
        <w:t>in light of which they interpreted</w:t>
      </w:r>
      <w:r w:rsidR="002E5D8F">
        <w:t xml:space="preserve"> the resulting data. </w:t>
      </w:r>
      <w:r w:rsidR="00F0067D">
        <w:t xml:space="preserve">In the Inchworm Episode, then, “processivity” and “coordinated head activity” were the </w:t>
      </w:r>
      <w:r w:rsidR="00A208B6">
        <w:t xml:space="preserve">1989-2002 </w:t>
      </w:r>
      <w:r w:rsidR="00204A68">
        <w:t>“</w:t>
      </w:r>
      <w:r w:rsidR="00F0067D">
        <w:t>conventions</w:t>
      </w:r>
      <w:r w:rsidR="00204A68">
        <w:t>”</w:t>
      </w:r>
      <w:r w:rsidR="00F0067D">
        <w:t xml:space="preserve"> to which researchers committed for the use of the</w:t>
      </w:r>
      <w:r w:rsidR="00204A68">
        <w:t>ir</w:t>
      </w:r>
      <w:r w:rsidR="00F0067D">
        <w:t xml:space="preserve"> </w:t>
      </w:r>
      <w:r w:rsidR="009B108C">
        <w:t>“</w:t>
      </w:r>
      <w:r w:rsidR="00F0067D">
        <w:t>material circumstances, conditions, or resources</w:t>
      </w:r>
      <w:r w:rsidR="009B108C">
        <w:t>”</w:t>
      </w:r>
      <w:r w:rsidR="00F0067D">
        <w:t xml:space="preserve"> </w:t>
      </w:r>
      <w:r w:rsidR="00204A68">
        <w:t>to the end</w:t>
      </w:r>
      <w:r w:rsidR="00F0067D">
        <w:t xml:space="preserve"> of </w:t>
      </w:r>
      <w:r>
        <w:t>“</w:t>
      </w:r>
      <w:r w:rsidR="00F0067D">
        <w:t>regulating and standardizing</w:t>
      </w:r>
      <w:r>
        <w:t>”</w:t>
      </w:r>
      <w:r w:rsidR="00F0067D">
        <w:t xml:space="preserve"> the empirical study of kinesin’s stepping pattern.</w:t>
      </w:r>
    </w:p>
    <w:p w14:paraId="697D079C" w14:textId="734B83CE" w:rsidR="009D4879" w:rsidRDefault="00FE4592" w:rsidP="00B81144">
      <w:pPr>
        <w:ind w:firstLine="720"/>
      </w:pPr>
      <w:r>
        <w:t xml:space="preserve">As empirical criteria are an important category in </w:t>
      </w:r>
      <w:r w:rsidR="00204A68">
        <w:t>my prior</w:t>
      </w:r>
      <w:r>
        <w:t xml:space="preserve"> analysis, I pause here to show how identifying them with Griesemer’s “conventions” represents a development on</w:t>
      </w:r>
      <w:r w:rsidR="00204A68">
        <w:t xml:space="preserve"> the</w:t>
      </w:r>
      <w:r>
        <w:t xml:space="preserve"> original idea.</w:t>
      </w:r>
      <w:r w:rsidR="00204A68">
        <w:t xml:space="preserve"> In the previous paper I</w:t>
      </w:r>
      <w:r w:rsidR="00B81144">
        <w:t xml:space="preserve"> wr</w:t>
      </w:r>
      <w:r w:rsidR="00204A68">
        <w:t>ote</w:t>
      </w:r>
      <w:r w:rsidR="00B81144">
        <w:t xml:space="preserve">, “Empirical criteria individuate [hypotheses about] the phenomenon along lines experimentally tractable from the point of view of a particular experimental tool” (19). Thus, insofar as alternative hypotheses are formulated in terms of different empirical criteria, they count as “empirically distinct” (16, 19). In </w:t>
      </w:r>
      <w:r w:rsidR="00204A68">
        <w:t>my</w:t>
      </w:r>
      <w:r w:rsidR="00B81144">
        <w:t xml:space="preserve"> telling of the inchworm episode, “stroke release” was a hypothesis which denied that the molecule was processive and coordinated the activity of its heads and, therefore, was empirically distinct from the hand-over-hand hypothesis. Second, </w:t>
      </w:r>
      <w:r w:rsidR="00204A68">
        <w:t>I used</w:t>
      </w:r>
      <w:r w:rsidR="00B81144">
        <w:t xml:space="preserve"> </w:t>
      </w:r>
      <w:r w:rsidR="00204A68">
        <w:t>“</w:t>
      </w:r>
      <w:r w:rsidR="00B81144">
        <w:t>empirical criteria</w:t>
      </w:r>
      <w:r w:rsidR="00204A68">
        <w:t>” to</w:t>
      </w:r>
      <w:r w:rsidR="00B81144">
        <w:t xml:space="preserve"> refer to “certain supposed features of the phenomenon that are understood or expected to give rise to characteristic patterns </w:t>
      </w:r>
      <w:r w:rsidR="00B81144">
        <w:lastRenderedPageBreak/>
        <w:t>of data in [a particular experimental tool]” (20). Researchers take the presence or absence of these features to explain why certain characteristic patterns of data show up on the display side of their tools while other ones do not. In this way, empirical criteria facilitate data-to-phenomenon inferences (Bogen and Woodward, 1988; Woodward, 2011).</w:t>
      </w:r>
    </w:p>
    <w:p w14:paraId="6473B02A" w14:textId="002F3BC7" w:rsidR="00FE4592" w:rsidRDefault="00B81144" w:rsidP="002E1FA4">
      <w:pPr>
        <w:ind w:firstLine="720"/>
      </w:pPr>
      <w:r>
        <w:t>As I mentioned, I build on this</w:t>
      </w:r>
      <w:r w:rsidR="00846F00">
        <w:t xml:space="preserve"> by</w:t>
      </w:r>
      <w:r>
        <w:t xml:space="preserve"> understanding the</w:t>
      </w:r>
      <w:r w:rsidR="007F184E">
        <w:t>se</w:t>
      </w:r>
      <w:r>
        <w:t xml:space="preserve"> empirical criteria as </w:t>
      </w:r>
      <w:r w:rsidRPr="00B81144">
        <w:t>conventions characteristic of the single-molecule research platform which regulate</w:t>
      </w:r>
      <w:r w:rsidR="007F184E">
        <w:t>d</w:t>
      </w:r>
      <w:r w:rsidRPr="00B81144">
        <w:t xml:space="preserve"> and standardize</w:t>
      </w:r>
      <w:r w:rsidR="007F184E">
        <w:t>d</w:t>
      </w:r>
      <w:r w:rsidRPr="00B81144">
        <w:t xml:space="preserve"> the deployment of the single-molecule motility assay</w:t>
      </w:r>
      <w:r w:rsidR="007F184E">
        <w:t>.</w:t>
      </w:r>
      <w:r w:rsidRPr="00B81144">
        <w:t xml:space="preserve"> </w:t>
      </w:r>
      <w:r w:rsidR="00A208B6">
        <w:t xml:space="preserve">Identifying </w:t>
      </w:r>
      <w:r w:rsidR="00204A68">
        <w:t>my</w:t>
      </w:r>
      <w:r w:rsidR="00A208B6">
        <w:t xml:space="preserve"> “empirical criteria” with Griesemer’s “conventions” enables me to embed </w:t>
      </w:r>
      <w:r w:rsidR="00204A68">
        <w:t>the former</w:t>
      </w:r>
      <w:r w:rsidR="00A208B6">
        <w:t xml:space="preserve"> category</w:t>
      </w:r>
      <w:r w:rsidR="002E1FA4">
        <w:t xml:space="preserve"> and, in turn, the idea of an “experimental dead-space,”</w:t>
      </w:r>
      <w:r w:rsidR="00A208B6">
        <w:t xml:space="preserve"> into a wider unit of analysis</w:t>
      </w:r>
      <w:r w:rsidR="002E1FA4">
        <w:t>, namely, a “research platform,”</w:t>
      </w:r>
      <w:r w:rsidR="00A208B6">
        <w:t xml:space="preserve"> that includes </w:t>
      </w:r>
      <w:r w:rsidR="007F184E">
        <w:t xml:space="preserve">the other aspects that Griesemer mentions in his characterization of </w:t>
      </w:r>
      <w:r w:rsidR="002E1FA4">
        <w:t>it.</w:t>
      </w:r>
      <w:r w:rsidR="007F184E">
        <w:t xml:space="preserve"> These other aspects are also</w:t>
      </w:r>
      <w:r w:rsidR="002E1FA4">
        <w:t xml:space="preserve"> crucially</w:t>
      </w:r>
      <w:r w:rsidR="00A208B6">
        <w:t xml:space="preserve"> important for giving a</w:t>
      </w:r>
      <w:r w:rsidR="007F184E">
        <w:t>n</w:t>
      </w:r>
      <w:r w:rsidR="00A208B6">
        <w:t xml:space="preserve"> account of the creative change that the research platform underwent with the 2002 introduction of torque generation as a new empirical criterion.  </w:t>
      </w:r>
    </w:p>
    <w:p w14:paraId="51CE8D9C" w14:textId="72049436" w:rsidR="00B81144" w:rsidRDefault="00F0067D" w:rsidP="006A23D9">
      <w:pPr>
        <w:ind w:firstLine="720"/>
      </w:pPr>
      <w:r>
        <w:t xml:space="preserve"> </w:t>
      </w:r>
      <w:r w:rsidR="002E1FA4">
        <w:t>First, take</w:t>
      </w:r>
      <w:r w:rsidR="00AD6EC6">
        <w:t xml:space="preserve"> </w:t>
      </w:r>
      <w:r w:rsidR="00B81144">
        <w:t>Griesemer’s “material circumstances</w:t>
      </w:r>
      <w:r w:rsidR="002E1FA4">
        <w:t>.</w:t>
      </w:r>
      <w:r w:rsidR="00B81144">
        <w:t>”</w:t>
      </w:r>
      <w:r w:rsidR="002E1FA4">
        <w:t xml:space="preserve"> </w:t>
      </w:r>
      <w:r w:rsidR="006A23D9">
        <w:t xml:space="preserve">I identify these with the technological and biological material constitutive of the single-molecule motility assay including glass coverslips, video microscopes, ATP, kinesin molecules, microtubules, etc. </w:t>
      </w:r>
      <w:r w:rsidR="007F184E">
        <w:t>Under the</w:t>
      </w:r>
      <w:r w:rsidR="00B81144">
        <w:t xml:space="preserve"> 1989-2002</w:t>
      </w:r>
      <w:r w:rsidR="007F184E">
        <w:t xml:space="preserve"> epistemic conventions (empirical criteria)</w:t>
      </w:r>
      <w:r w:rsidR="00B81144">
        <w:t xml:space="preserve">, </w:t>
      </w:r>
      <w:proofErr w:type="gramStart"/>
      <w:r w:rsidR="00B81144">
        <w:t>researchers’</w:t>
      </w:r>
      <w:proofErr w:type="gramEnd"/>
      <w:r w:rsidR="00B81144">
        <w:t xml:space="preserve"> underst</w:t>
      </w:r>
      <w:r w:rsidR="006A23D9">
        <w:t>ood</w:t>
      </w:r>
      <w:r w:rsidR="00B81144">
        <w:t xml:space="preserve"> the biological and technological </w:t>
      </w:r>
      <w:r w:rsidR="00B81144" w:rsidRPr="00EF24FE">
        <w:rPr>
          <w:i/>
          <w:iCs/>
        </w:rPr>
        <w:t xml:space="preserve">material </w:t>
      </w:r>
      <w:r w:rsidR="00B81144">
        <w:t>they were working with</w:t>
      </w:r>
      <w:r w:rsidR="006A23D9">
        <w:t xml:space="preserve"> to be functionally deployable to test for processivity and coordinated head activity</w:t>
      </w:r>
      <w:r w:rsidR="00A208B6">
        <w:t xml:space="preserve"> in </w:t>
      </w:r>
      <w:r w:rsidR="00EA4B06">
        <w:t xml:space="preserve">the </w:t>
      </w:r>
      <w:r w:rsidR="002E1FA4">
        <w:t xml:space="preserve">same </w:t>
      </w:r>
      <w:r w:rsidR="00EA4B06">
        <w:t>way that</w:t>
      </w:r>
      <w:r w:rsidR="00B614F0">
        <w:t xml:space="preserve"> functionally fixed</w:t>
      </w:r>
      <w:r w:rsidR="00A208B6">
        <w:t xml:space="preserve"> Duncker Candle-taskers understand the </w:t>
      </w:r>
      <w:r w:rsidR="00A208B6">
        <w:rPr>
          <w:i/>
          <w:iCs/>
        </w:rPr>
        <w:t xml:space="preserve">material </w:t>
      </w:r>
      <w:r w:rsidR="00A208B6">
        <w:t>they</w:t>
      </w:r>
      <w:r w:rsidR="00B614F0">
        <w:t xml:space="preserve"> are working with to be functionally deployable as a </w:t>
      </w:r>
      <w:r w:rsidR="00B614F0">
        <w:rPr>
          <w:i/>
          <w:iCs/>
        </w:rPr>
        <w:t>box of tacks.</w:t>
      </w:r>
      <w:r w:rsidR="00A208B6">
        <w:t xml:space="preserve"> </w:t>
      </w:r>
      <w:r w:rsidR="006A23D9">
        <w:t>Thus,</w:t>
      </w:r>
      <w:r w:rsidR="00B614F0">
        <w:t xml:space="preserve"> by embedding </w:t>
      </w:r>
      <w:r w:rsidR="00D27187">
        <w:t>my prior</w:t>
      </w:r>
      <w:r w:rsidR="00B614F0">
        <w:t xml:space="preserve"> philosophical apparatus in</w:t>
      </w:r>
      <w:r w:rsidR="002E1FA4">
        <w:t>to</w:t>
      </w:r>
      <w:r w:rsidR="00B614F0">
        <w:t xml:space="preserve"> Griesemer’s</w:t>
      </w:r>
      <w:r w:rsidR="002E1FA4">
        <w:t xml:space="preserve"> wider one</w:t>
      </w:r>
      <w:r w:rsidR="00B614F0">
        <w:t>,</w:t>
      </w:r>
      <w:r w:rsidR="006A23D9">
        <w:t xml:space="preserve"> I</w:t>
      </w:r>
      <w:r w:rsidR="00B614F0">
        <w:t xml:space="preserve"> can</w:t>
      </w:r>
      <w:r w:rsidR="006A23D9">
        <w:t xml:space="preserve"> </w:t>
      </w:r>
      <w:r w:rsidR="00D27187">
        <w:t>characterize a notion</w:t>
      </w:r>
      <w:r w:rsidR="006A23D9">
        <w:t xml:space="preserve"> of </w:t>
      </w:r>
      <w:r w:rsidR="006A23D9" w:rsidRPr="00412F66">
        <w:rPr>
          <w:i/>
          <w:iCs/>
        </w:rPr>
        <w:t>function</w:t>
      </w:r>
      <w:r w:rsidR="00D27187">
        <w:t xml:space="preserve"> on which </w:t>
      </w:r>
      <w:r w:rsidR="006A23D9">
        <w:t>the function of a research platform at</w:t>
      </w:r>
      <w:r w:rsidR="00D27187">
        <w:t xml:space="preserve"> a time is specified by</w:t>
      </w:r>
      <w:r w:rsidR="006A23D9">
        <w:t xml:space="preserve"> the conventional empirical criteria operative during that time period. Insofar as those empirical criteria do not change, I will say that the research platform</w:t>
      </w:r>
      <w:r w:rsidR="00B81144">
        <w:t xml:space="preserve"> remain</w:t>
      </w:r>
      <w:r w:rsidR="006A23D9">
        <w:t>s</w:t>
      </w:r>
      <w:r w:rsidR="00B81144">
        <w:t xml:space="preserve"> </w:t>
      </w:r>
      <w:r w:rsidR="00B81144" w:rsidRPr="00000354">
        <w:rPr>
          <w:i/>
          <w:iCs/>
        </w:rPr>
        <w:t>functionally fixed</w:t>
      </w:r>
      <w:r w:rsidR="006A23D9">
        <w:t>.</w:t>
      </w:r>
      <w:r w:rsidR="00B81144">
        <w:t xml:space="preserve"> </w:t>
      </w:r>
      <w:r w:rsidR="007F184E">
        <w:t>Thus, insofar as it was used to adjudicate between alternative hypotheses regarding kinesin’s stepping pattern, the single-molecule research platform remained functionally fixed from 1989-2002</w:t>
      </w:r>
      <w:r w:rsidR="00D27187">
        <w:t xml:space="preserve"> and was thereby unable to access its experimental dead-space.</w:t>
      </w:r>
      <w:r w:rsidR="00D27187">
        <w:rPr>
          <w:rStyle w:val="FootnoteReference"/>
        </w:rPr>
        <w:footnoteReference w:id="18"/>
      </w:r>
    </w:p>
    <w:p w14:paraId="10CCD3FF" w14:textId="61AC53D8" w:rsidR="00486C3B" w:rsidRDefault="00AD6EC6" w:rsidP="00FE4592">
      <w:pPr>
        <w:ind w:firstLine="720"/>
      </w:pPr>
      <w:r>
        <w:t>Finally</w:t>
      </w:r>
      <w:r w:rsidR="006A23D9">
        <w:t xml:space="preserve">, </w:t>
      </w:r>
      <w:r w:rsidR="00E16F1F">
        <w:t xml:space="preserve">I </w:t>
      </w:r>
      <w:r w:rsidR="006A23D9">
        <w:t xml:space="preserve">also </w:t>
      </w:r>
      <w:r w:rsidR="00E16F1F">
        <w:t>make use of Griesemer’s “researchers”</w:t>
      </w:r>
      <w:r w:rsidR="00FE4592">
        <w:t xml:space="preserve"> which I encourage readers to identify with Chang’s “epistemic agents</w:t>
      </w:r>
      <w:r>
        <w:t>.</w:t>
      </w:r>
      <w:r w:rsidR="00FE4592">
        <w:t xml:space="preserve">” </w:t>
      </w:r>
      <w:r w:rsidR="007F184E">
        <w:t xml:space="preserve">In </w:t>
      </w:r>
      <w:r w:rsidR="00D27187">
        <w:t>the</w:t>
      </w:r>
      <w:r w:rsidR="007F184E">
        <w:t xml:space="preserve"> model of the Inchworm Episode</w:t>
      </w:r>
      <w:r w:rsidR="00D27187">
        <w:t xml:space="preserve"> I am developing</w:t>
      </w:r>
      <w:r w:rsidR="007F184E">
        <w:t>, these agents</w:t>
      </w:r>
      <w:r w:rsidR="00FE4592">
        <w:t xml:space="preserve"> are characteristically </w:t>
      </w:r>
      <w:r w:rsidR="00FE4592">
        <w:rPr>
          <w:i/>
          <w:iCs/>
        </w:rPr>
        <w:t xml:space="preserve">creative </w:t>
      </w:r>
      <w:r w:rsidR="00FE4592">
        <w:t>in the “non-algorithmic” sense discussed in connection with</w:t>
      </w:r>
      <w:r w:rsidR="00636BDF">
        <w:t xml:space="preserve"> Kauffman and</w:t>
      </w:r>
      <w:r w:rsidR="00FE4592">
        <w:t xml:space="preserve"> the Duncker Candle Task above. </w:t>
      </w:r>
      <w:r w:rsidR="00B614F0">
        <w:t xml:space="preserve">They have the </w:t>
      </w:r>
      <w:r w:rsidR="00636BDF">
        <w:t>banal</w:t>
      </w:r>
      <w:r w:rsidR="00B614F0">
        <w:t xml:space="preserve"> human capacity to deploy m</w:t>
      </w:r>
      <w:r w:rsidR="00EA4B06">
        <w:t>aterial artifacts</w:t>
      </w:r>
      <w:r w:rsidR="00B614F0">
        <w:t xml:space="preserve"> for purposes other than those to which they are conventionally put. </w:t>
      </w:r>
      <w:r w:rsidR="00FE4592">
        <w:t>Like successful Dun</w:t>
      </w:r>
      <w:r w:rsidR="008C7FCD">
        <w:t>c</w:t>
      </w:r>
      <w:r w:rsidR="00FE4592">
        <w:t>ker Candle-taskers,</w:t>
      </w:r>
      <w:r w:rsidR="00E16F1F">
        <w:t xml:space="preserve"> </w:t>
      </w:r>
      <w:r w:rsidR="00FE4592">
        <w:t xml:space="preserve">it </w:t>
      </w:r>
      <w:r w:rsidR="00636BDF">
        <w:t>was</w:t>
      </w:r>
      <w:r w:rsidR="00FE4592">
        <w:t xml:space="preserve"> the </w:t>
      </w:r>
      <w:r w:rsidR="00FE4592" w:rsidRPr="00636BDF">
        <w:rPr>
          <w:i/>
          <w:iCs/>
        </w:rPr>
        <w:t>researchers</w:t>
      </w:r>
      <w:r w:rsidR="006A23D9">
        <w:t>, specifically Hua and colleagues</w:t>
      </w:r>
      <w:r w:rsidR="00B614F0">
        <w:t xml:space="preserve"> in the Inchworm Episode</w:t>
      </w:r>
      <w:r w:rsidR="006A23D9">
        <w:t>,</w:t>
      </w:r>
      <w:r w:rsidR="00E16F1F">
        <w:t xml:space="preserve"> who ha</w:t>
      </w:r>
      <w:r w:rsidR="00636BDF">
        <w:t>d</w:t>
      </w:r>
      <w:r w:rsidR="00E16F1F">
        <w:t xml:space="preserve"> the “insight” to introduce a new empirical criterion—torque generation—and </w:t>
      </w:r>
      <w:r w:rsidR="00674C5E">
        <w:t>who</w:t>
      </w:r>
      <w:r w:rsidR="007F184E">
        <w:t xml:space="preserve"> thereby</w:t>
      </w:r>
      <w:r w:rsidR="00674C5E">
        <w:t xml:space="preserve"> </w:t>
      </w:r>
      <w:r w:rsidR="00E16F1F">
        <w:t>functionally re-deployed the material conditions characteristic of the single-molecule motility assay in order to test for it.</w:t>
      </w:r>
      <w:r w:rsidR="00674C5E">
        <w:t xml:space="preserve"> </w:t>
      </w:r>
      <w:r w:rsidR="00FE4592">
        <w:t xml:space="preserve"> </w:t>
      </w:r>
    </w:p>
    <w:p w14:paraId="355305F6" w14:textId="66B1524F" w:rsidR="008C1228" w:rsidRDefault="00674C5E" w:rsidP="00D45F54">
      <w:pPr>
        <w:ind w:firstLine="720"/>
      </w:pPr>
      <w:r>
        <w:t>So,</w:t>
      </w:r>
      <w:r w:rsidR="00EA4B06">
        <w:t xml:space="preserve"> </w:t>
      </w:r>
      <w:r w:rsidR="007F184E">
        <w:t xml:space="preserve">as I characterize it, </w:t>
      </w:r>
      <w:r>
        <w:t xml:space="preserve">the research platform relevant to the Inchworm Episode consists of its </w:t>
      </w:r>
      <w:r w:rsidR="00B614F0">
        <w:t xml:space="preserve">epistemological </w:t>
      </w:r>
      <w:r>
        <w:t>conventions (empirical criteria), its material conditions (the technolog</w:t>
      </w:r>
      <w:r w:rsidR="00B614F0">
        <w:t>ical</w:t>
      </w:r>
      <w:r>
        <w:t xml:space="preserve"> and biological </w:t>
      </w:r>
      <w:r w:rsidR="001F7200">
        <w:t>“stuff”</w:t>
      </w:r>
      <w:r>
        <w:t xml:space="preserve"> of the single-molecule motility assay), and its researchers (creative epistemic agents). Lastly</w:t>
      </w:r>
      <w:r w:rsidR="00FE4592">
        <w:t xml:space="preserve">, a research platform is “tangled” with other research platforms within a broader field of research (Cartwright, 2022). Other molecular motors researchers studied kinesin using </w:t>
      </w:r>
      <w:r w:rsidR="008C2CED">
        <w:t xml:space="preserve">x-ray </w:t>
      </w:r>
      <w:r w:rsidR="00FE4592">
        <w:t>crystallography, electron microscopy, and various other tools of the cell biologist</w:t>
      </w:r>
      <w:r w:rsidR="00776090">
        <w:t>’</w:t>
      </w:r>
      <w:r w:rsidR="00FE4592">
        <w:t xml:space="preserve">s </w:t>
      </w:r>
      <w:r w:rsidR="00FE4592">
        <w:lastRenderedPageBreak/>
        <w:t>trade</w:t>
      </w:r>
      <w:r w:rsidR="00636BDF">
        <w:t xml:space="preserve"> to produce structural and functional </w:t>
      </w:r>
      <w:r w:rsidR="00D45F54">
        <w:t>data that single-molecule researchers could draw upon in formulating hypotheses—both live and dead—about kinesin’s stepping pattern.</w:t>
      </w:r>
      <w:r w:rsidR="00FE4592">
        <w:rPr>
          <w:rStyle w:val="FootnoteReference"/>
        </w:rPr>
        <w:footnoteReference w:id="19"/>
      </w:r>
      <w:r w:rsidR="00FE4592">
        <w:t xml:space="preserve"> </w:t>
      </w:r>
      <w:r>
        <w:t xml:space="preserve">In </w:t>
      </w:r>
      <w:r w:rsidR="008C1228">
        <w:t>more general terms</w:t>
      </w:r>
      <w:r>
        <w:t xml:space="preserve">, </w:t>
      </w:r>
      <w:r w:rsidR="00D45F54">
        <w:t>hypotheses</w:t>
      </w:r>
      <w:r>
        <w:t xml:space="preserve"> about the phenomenon </w:t>
      </w:r>
      <w:r w:rsidR="00D45F54">
        <w:t>formulated</w:t>
      </w:r>
      <w:r>
        <w:t xml:space="preserve"> within one</w:t>
      </w:r>
      <w:r w:rsidR="00D45F54">
        <w:t xml:space="preserve"> research</w:t>
      </w:r>
      <w:r>
        <w:t xml:space="preserve"> platform </w:t>
      </w:r>
      <w:r w:rsidR="00D45F54">
        <w:t>can be—perhaps typically is—motivated by information</w:t>
      </w:r>
      <w:r>
        <w:t xml:space="preserve"> com</w:t>
      </w:r>
      <w:r w:rsidR="00D45F54">
        <w:t>ing</w:t>
      </w:r>
      <w:r>
        <w:t xml:space="preserve"> from outside of that platform through the variety of communicative channels that characterize the entangle</w:t>
      </w:r>
      <w:r w:rsidR="00D45F54">
        <w:t xml:space="preserve">d social organization of scientific research in which </w:t>
      </w:r>
      <w:r w:rsidR="00D27187">
        <w:t xml:space="preserve">creative </w:t>
      </w:r>
      <w:r w:rsidR="00D45F54">
        <w:t>scientists are embedded.</w:t>
      </w:r>
      <w:r w:rsidR="00FE4592">
        <w:t xml:space="preserve"> </w:t>
      </w:r>
    </w:p>
    <w:p w14:paraId="53462AA9" w14:textId="3FFAFFED" w:rsidR="00FE4592" w:rsidRDefault="00D45F54" w:rsidP="008C1228">
      <w:pPr>
        <w:ind w:firstLine="720"/>
      </w:pPr>
      <w:r>
        <w:t xml:space="preserve">This organizational entanglement is also key to understand the exercise of the form of creativity I attribute to researchers in my analysis of the Inchworm Episode. </w:t>
      </w:r>
      <w:r w:rsidR="004738C9">
        <w:t>A</w:t>
      </w:r>
      <w:r w:rsidR="00FE4592">
        <w:t>s I mentioned, the 2002 researchers who ran the key study were inspired by a 1996 review paper</w:t>
      </w:r>
      <w:r w:rsidR="008C1228">
        <w:t>.</w:t>
      </w:r>
      <w:r w:rsidR="00FE4592">
        <w:t xml:space="preserve"> </w:t>
      </w:r>
      <w:r w:rsidR="008C1228">
        <w:t>This article</w:t>
      </w:r>
      <w:r w:rsidR="00FE4592">
        <w:t xml:space="preserve"> put forward the possibility that</w:t>
      </w:r>
      <w:r w:rsidR="005D4E51">
        <w:t>, during its walk,</w:t>
      </w:r>
      <w:r w:rsidR="00FE4592">
        <w:t xml:space="preserve"> kinesin’s tail </w:t>
      </w:r>
      <w:r w:rsidR="00B614F0">
        <w:t>might “</w:t>
      </w:r>
      <w:r w:rsidR="00FE4592">
        <w:t>wind up like the rubber band on a toy airplane.</w:t>
      </w:r>
      <w:r w:rsidR="00B614F0">
        <w:t>”</w:t>
      </w:r>
      <w:r w:rsidR="00FE4592">
        <w:t xml:space="preserve"> This</w:t>
      </w:r>
      <w:r w:rsidR="005D4E51">
        <w:t xml:space="preserve"> thought</w:t>
      </w:r>
      <w:r w:rsidR="00FE4592">
        <w:t xml:space="preserve"> nudged them into having the creative insight that the</w:t>
      </w:r>
      <w:r w:rsidR="0005529C">
        <w:t>y could use the material conditions of their research platform</w:t>
      </w:r>
      <w:r w:rsidR="009632A9">
        <w:t xml:space="preserve"> </w:t>
      </w:r>
      <w:r w:rsidR="00FE4592">
        <w:t xml:space="preserve">to assay for torque generation. </w:t>
      </w:r>
      <w:r w:rsidR="0005529C">
        <w:t>Why th</w:t>
      </w:r>
      <w:r w:rsidR="00B614F0">
        <w:t>is key idea from a</w:t>
      </w:r>
      <w:r w:rsidR="0005529C">
        <w:t xml:space="preserve"> 1996 paper lingered somewhere out in the communicative channels running through the entangled web of research platforms characteristic of 1989-2002 single-molecule kinesin research I do not know. But that is an important question that an analysis more complete than the one I can give here would seek to answer.</w:t>
      </w:r>
    </w:p>
    <w:p w14:paraId="66ECDB7E" w14:textId="54E2B6E0" w:rsidR="0071469E" w:rsidRDefault="00AE2FEB" w:rsidP="00332DC0">
      <w:pPr>
        <w:ind w:firstLine="720"/>
      </w:pPr>
      <w:r>
        <w:t>A final note about that last point.</w:t>
      </w:r>
      <w:r w:rsidR="00846F00">
        <w:t xml:space="preserve"> </w:t>
      </w:r>
      <w:r w:rsidR="00CB3095">
        <w:t>I</w:t>
      </w:r>
      <w:r w:rsidR="0005529C">
        <w:t xml:space="preserve">t is because of something about the character of that </w:t>
      </w:r>
      <w:r w:rsidR="005D4E51">
        <w:t>“</w:t>
      </w:r>
      <w:r w:rsidR="0005529C">
        <w:t>tangle</w:t>
      </w:r>
      <w:r w:rsidR="005D4E51">
        <w:t>”</w:t>
      </w:r>
      <w:r w:rsidR="0005529C">
        <w:t xml:space="preserve"> that the key idea of the 1996 review paper that inspired Hua et al. </w:t>
      </w:r>
      <w:r w:rsidR="00E54BF9">
        <w:t>only nudged someone to have their insight as late a</w:t>
      </w:r>
      <w:r w:rsidR="00CB3095">
        <w:t>s</w:t>
      </w:r>
      <w:r w:rsidR="00E54BF9">
        <w:t xml:space="preserve"> 2002.</w:t>
      </w:r>
      <w:r w:rsidR="005D4E51">
        <w:t xml:space="preserve"> However, it is also because of that “tangle” that the insight was communicated at all.</w:t>
      </w:r>
      <w:r w:rsidR="00E54BF9">
        <w:t xml:space="preserve"> For my purposes here, the importance of th</w:t>
      </w:r>
      <w:r w:rsidR="005D4E51">
        <w:t>is</w:t>
      </w:r>
      <w:r w:rsidR="00E54BF9">
        <w:t xml:space="preserve"> point is that we cannot simply say that single-molecule kinesin research was functionally fixed from 1989-2002 because people were</w:t>
      </w:r>
      <w:r w:rsidR="0012261B">
        <w:t xml:space="preserve"> </w:t>
      </w:r>
      <w:r w:rsidR="002F45A4">
        <w:t xml:space="preserve">just </w:t>
      </w:r>
      <w:r w:rsidR="00E54BF9">
        <w:t>n</w:t>
      </w:r>
      <w:r w:rsidR="0012261B">
        <w:t>o</w:t>
      </w:r>
      <w:r w:rsidR="00E54BF9">
        <w:t xml:space="preserve">t </w:t>
      </w:r>
      <w:r w:rsidR="00E54BF9">
        <w:rPr>
          <w:i/>
          <w:iCs/>
        </w:rPr>
        <w:t xml:space="preserve">thinking creatively enough. </w:t>
      </w:r>
      <w:r w:rsidR="004D6485">
        <w:t>After all, humans</w:t>
      </w:r>
      <w:r w:rsidR="00322C80">
        <w:t xml:space="preserve"> </w:t>
      </w:r>
      <w:proofErr w:type="gramStart"/>
      <w:r w:rsidR="00322C80">
        <w:t>cannot</w:t>
      </w:r>
      <w:r w:rsidR="004D6485">
        <w:t xml:space="preserve"> </w:t>
      </w:r>
      <w:r w:rsidR="007F51ED">
        <w:t>simply will</w:t>
      </w:r>
      <w:proofErr w:type="gramEnd"/>
      <w:r w:rsidR="007F51ED">
        <w:t xml:space="preserve"> themselves </w:t>
      </w:r>
      <w:proofErr w:type="gramStart"/>
      <w:r w:rsidR="007F51ED">
        <w:t>to</w:t>
      </w:r>
      <w:r w:rsidR="004D6485">
        <w:t xml:space="preserve"> </w:t>
      </w:r>
      <w:r w:rsidR="004D6485">
        <w:rPr>
          <w:i/>
          <w:iCs/>
        </w:rPr>
        <w:t>think</w:t>
      </w:r>
      <w:proofErr w:type="gramEnd"/>
      <w:r w:rsidR="004D6485">
        <w:rPr>
          <w:i/>
          <w:iCs/>
        </w:rPr>
        <w:t xml:space="preserve"> more creatively</w:t>
      </w:r>
      <w:r w:rsidR="0012261B">
        <w:rPr>
          <w:i/>
          <w:iCs/>
        </w:rPr>
        <w:t>.</w:t>
      </w:r>
      <w:r w:rsidR="004D6485">
        <w:rPr>
          <w:i/>
          <w:iCs/>
        </w:rPr>
        <w:t xml:space="preserve"> </w:t>
      </w:r>
      <w:r w:rsidR="00E54BF9">
        <w:t xml:space="preserve">A bald injunction to </w:t>
      </w:r>
      <w:r w:rsidR="00E32165">
        <w:t>“</w:t>
      </w:r>
      <w:r w:rsidR="00E54BF9">
        <w:t>think more creatively</w:t>
      </w:r>
      <w:r w:rsidR="00E32165">
        <w:t xml:space="preserve">” </w:t>
      </w:r>
      <w:r w:rsidR="00E54BF9">
        <w:t>is</w:t>
      </w:r>
      <w:r w:rsidR="00E32165">
        <w:t xml:space="preserve"> unintelligible as advice for how researchers should break through their functional fixity.</w:t>
      </w:r>
      <w:r w:rsidR="00E54BF9">
        <w:t xml:space="preserve"> Rather, the exercise of scientific creativity and the occurrence of creative insights in science is </w:t>
      </w:r>
      <w:r w:rsidR="002F45A4">
        <w:t>scaffolded, for better or for worse,</w:t>
      </w:r>
      <w:r w:rsidR="00E54BF9">
        <w:t xml:space="preserve"> by the </w:t>
      </w:r>
      <w:proofErr w:type="gramStart"/>
      <w:r w:rsidR="00E54BF9">
        <w:t>entanglements</w:t>
      </w:r>
      <w:proofErr w:type="gramEnd"/>
      <w:r w:rsidR="00E54BF9">
        <w:t xml:space="preserve"> characteristic of the social organization of research. I suggest that it is due to </w:t>
      </w:r>
      <w:r w:rsidR="008C2CED">
        <w:t xml:space="preserve">the character of </w:t>
      </w:r>
      <w:r w:rsidR="00E54BF9">
        <w:t>these entanglements that</w:t>
      </w:r>
      <w:r w:rsidR="008C1368">
        <w:t>, on the one hand,</w:t>
      </w:r>
      <w:r w:rsidR="00E54BF9">
        <w:t xml:space="preserve"> it took a full 6 years after the publication of the key idea in 1996 for that idea to inspire Hua and colleagues’ creative insight</w:t>
      </w:r>
      <w:r w:rsidR="008C1368">
        <w:t xml:space="preserve"> and, on the other hand, for that idea to</w:t>
      </w:r>
      <w:r w:rsidR="0012261B">
        <w:t xml:space="preserve"> finally</w:t>
      </w:r>
      <w:r w:rsidR="008C1368">
        <w:t xml:space="preserve"> give the nudge that was needed to break the single-molecule kinesin research platform out of its functionally fixed state. In short, the structure of entanglements between research platforms in a broader field of resear</w:t>
      </w:r>
      <w:r w:rsidR="0061186C">
        <w:t>ch</w:t>
      </w:r>
      <w:r w:rsidR="008C1368">
        <w:t xml:space="preserve"> is responsible for</w:t>
      </w:r>
      <w:r w:rsidR="007F51ED">
        <w:t xml:space="preserve"> both</w:t>
      </w:r>
      <w:r w:rsidR="008C1368">
        <w:t xml:space="preserve"> the fixity and the insight. </w:t>
      </w:r>
    </w:p>
    <w:p w14:paraId="0F85D450" w14:textId="2B475289" w:rsidR="004B11E1" w:rsidRPr="00F55F23" w:rsidRDefault="00AB6E10" w:rsidP="00F55F23">
      <w:pPr>
        <w:ind w:firstLine="720"/>
      </w:pPr>
      <w:r>
        <w:t>I have discussed various ways in which I</w:t>
      </w:r>
      <w:r w:rsidR="004F3FD7">
        <w:t xml:space="preserve"> draw on Griesemer (2013) to</w:t>
      </w:r>
      <w:r>
        <w:t xml:space="preserve"> build on the conceptual apparatus </w:t>
      </w:r>
      <w:r w:rsidR="004F3FD7">
        <w:t>I introduced in my previous work on the Inchworm Episode</w:t>
      </w:r>
      <w:r>
        <w:t xml:space="preserve">. </w:t>
      </w:r>
      <w:r w:rsidR="009E29F2">
        <w:t xml:space="preserve">I mentioned in my introduction that I </w:t>
      </w:r>
      <w:r>
        <w:t>was also going to do so by</w:t>
      </w:r>
      <w:r w:rsidR="009E29F2">
        <w:t xml:space="preserve"> identify</w:t>
      </w:r>
      <w:r>
        <w:t>ing</w:t>
      </w:r>
      <w:r w:rsidR="009E29F2">
        <w:t xml:space="preserve"> an experimental dead-space with an epistemic adjacent possible. To close the loop, c</w:t>
      </w:r>
      <w:r w:rsidR="00BE083E">
        <w:t>all the single-molecule research platform from 1989-2002</w:t>
      </w:r>
      <w:r w:rsidR="002B4AF3">
        <w:t>—</w:t>
      </w:r>
      <w:r w:rsidR="00BE083E">
        <w:t xml:space="preserve">the period during which </w:t>
      </w:r>
      <w:r w:rsidR="009E29F2">
        <w:t>it</w:t>
      </w:r>
      <w:r w:rsidR="008C1368">
        <w:t xml:space="preserve"> was functionally fixed</w:t>
      </w:r>
      <w:proofErr w:type="gramStart"/>
      <w:r w:rsidR="002B4AF3">
        <w:t>—</w:t>
      </w:r>
      <w:r w:rsidR="00BE083E">
        <w:t>“</w:t>
      </w:r>
      <w:proofErr w:type="gramEnd"/>
      <w:r w:rsidR="00BE083E">
        <w:t xml:space="preserve">the </w:t>
      </w:r>
      <w:proofErr w:type="gramStart"/>
      <w:r w:rsidR="00BE083E">
        <w:t>actual.</w:t>
      </w:r>
      <w:r w:rsidR="009E29F2">
        <w:t>”</w:t>
      </w:r>
      <w:proofErr w:type="gramEnd"/>
      <w:r w:rsidR="00BE083E">
        <w:t xml:space="preserve"> Call the experimental dead-space (Figure 4) that persisted during that time “the epistemic adjacent </w:t>
      </w:r>
      <w:r w:rsidR="00BE083E">
        <w:lastRenderedPageBreak/>
        <w:t xml:space="preserve">possible.” </w:t>
      </w:r>
      <w:r w:rsidR="00605446">
        <w:t xml:space="preserve">The story of the Inchworm Episode is the story of </w:t>
      </w:r>
      <w:r w:rsidR="00605446" w:rsidRPr="00412F66">
        <w:rPr>
          <w:i/>
          <w:iCs/>
        </w:rPr>
        <w:t xml:space="preserve">how </w:t>
      </w:r>
      <w:r w:rsidR="00CF1AF1" w:rsidRPr="00412F66">
        <w:rPr>
          <w:i/>
          <w:iCs/>
        </w:rPr>
        <w:t>creative epistemic agents</w:t>
      </w:r>
      <w:r w:rsidR="00605446" w:rsidRPr="00412F66">
        <w:rPr>
          <w:i/>
          <w:iCs/>
        </w:rPr>
        <w:t xml:space="preserve"> “stepped into” the epistemic adjacent possible</w:t>
      </w:r>
      <w:r w:rsidR="00CF1AF1" w:rsidRPr="00412F66">
        <w:rPr>
          <w:i/>
          <w:iCs/>
        </w:rPr>
        <w:t xml:space="preserve"> by</w:t>
      </w:r>
      <w:r w:rsidR="0071711C" w:rsidRPr="00412F66">
        <w:rPr>
          <w:i/>
          <w:iCs/>
        </w:rPr>
        <w:t xml:space="preserve"> creatively</w:t>
      </w:r>
      <w:r w:rsidR="00CF1AF1" w:rsidRPr="00412F66">
        <w:rPr>
          <w:i/>
          <w:iCs/>
        </w:rPr>
        <w:t xml:space="preserve"> introducing </w:t>
      </w:r>
      <w:r w:rsidR="00CB3095" w:rsidRPr="004F3FD7">
        <w:rPr>
          <w:i/>
          <w:iCs/>
        </w:rPr>
        <w:t xml:space="preserve">torque generation </w:t>
      </w:r>
      <w:r w:rsidR="007F51ED" w:rsidRPr="00412F66">
        <w:rPr>
          <w:i/>
          <w:iCs/>
        </w:rPr>
        <w:t>as a new empirical criteri</w:t>
      </w:r>
      <w:r w:rsidR="006A1593" w:rsidRPr="00412F66">
        <w:rPr>
          <w:i/>
          <w:iCs/>
        </w:rPr>
        <w:t>on</w:t>
      </w:r>
      <w:r w:rsidR="007F51ED" w:rsidRPr="00412F66">
        <w:rPr>
          <w:i/>
          <w:iCs/>
        </w:rPr>
        <w:t xml:space="preserve"> </w:t>
      </w:r>
      <w:r w:rsidR="00CF1AF1" w:rsidRPr="00412F66">
        <w:rPr>
          <w:i/>
          <w:iCs/>
        </w:rPr>
        <w:t xml:space="preserve">into the conventions regulating and standardizing the </w:t>
      </w:r>
      <w:r w:rsidR="00CB3095" w:rsidRPr="00412F66">
        <w:rPr>
          <w:i/>
          <w:iCs/>
        </w:rPr>
        <w:t>functional deployment</w:t>
      </w:r>
      <w:r w:rsidR="00CF1AF1" w:rsidRPr="00412F66">
        <w:rPr>
          <w:i/>
          <w:iCs/>
        </w:rPr>
        <w:t xml:space="preserve"> of their research platform</w:t>
      </w:r>
      <w:r w:rsidR="00CF1AF1">
        <w:t xml:space="preserve">. This is just to say that </w:t>
      </w:r>
      <w:r w:rsidR="00CF1AF1" w:rsidRPr="00412F66">
        <w:rPr>
          <w:i/>
          <w:iCs/>
        </w:rPr>
        <w:t xml:space="preserve">they realized creatively that the material conditions characteristic of their research platform could be functionally re-deployed to </w:t>
      </w:r>
      <w:r w:rsidR="006A1593" w:rsidRPr="00412F66">
        <w:rPr>
          <w:i/>
          <w:iCs/>
        </w:rPr>
        <w:t>assay</w:t>
      </w:r>
      <w:r w:rsidR="00CF1AF1" w:rsidRPr="00412F66">
        <w:rPr>
          <w:i/>
          <w:iCs/>
        </w:rPr>
        <w:t xml:space="preserve"> for features other than those for which it was conventionally used to </w:t>
      </w:r>
      <w:r w:rsidR="006A1593" w:rsidRPr="00412F66">
        <w:rPr>
          <w:i/>
          <w:iCs/>
        </w:rPr>
        <w:t>assay</w:t>
      </w:r>
      <w:r w:rsidR="00CF1AF1" w:rsidRPr="00412F66">
        <w:rPr>
          <w:i/>
          <w:iCs/>
        </w:rPr>
        <w:t xml:space="preserve"> in light of the 1989-2002 empirical criteria.</w:t>
      </w:r>
      <w:r w:rsidR="00605446" w:rsidRPr="00412F66">
        <w:rPr>
          <w:i/>
          <w:iCs/>
        </w:rPr>
        <w:t xml:space="preserve"> </w:t>
      </w:r>
      <w:r w:rsidR="00CF1AF1">
        <w:t>This</w:t>
      </w:r>
      <w:r w:rsidR="004F3FD7">
        <w:t xml:space="preserve"> concomitantly</w:t>
      </w:r>
      <w:r w:rsidR="00CF1AF1">
        <w:t xml:space="preserve"> generated</w:t>
      </w:r>
      <w:r>
        <w:t xml:space="preserve"> a new </w:t>
      </w:r>
      <w:r w:rsidR="00CF1AF1">
        <w:t>epistemic adjacent possible</w:t>
      </w:r>
      <w:r w:rsidR="007F51ED">
        <w:t xml:space="preserve">—a </w:t>
      </w:r>
      <w:r w:rsidR="004F3FD7">
        <w:t>“</w:t>
      </w:r>
      <w:r w:rsidR="007F51ED">
        <w:t>new crack in the floor of knowledge</w:t>
      </w:r>
      <w:r w:rsidR="004F3FD7">
        <w:t>”</w:t>
      </w:r>
      <w:r w:rsidR="0012261B">
        <w:t xml:space="preserve"> into which the research platform could develop</w:t>
      </w:r>
      <w:r w:rsidR="007F51ED">
        <w:t>—</w:t>
      </w:r>
      <w:r>
        <w:t xml:space="preserve">in the form of </w:t>
      </w:r>
      <w:r w:rsidR="0012261B">
        <w:t>a</w:t>
      </w:r>
      <w:r w:rsidR="004F3FD7">
        <w:t>n</w:t>
      </w:r>
      <w:r>
        <w:t xml:space="preserve"> experimental dead-space occupied</w:t>
      </w:r>
      <w:r w:rsidR="00605446">
        <w:t xml:space="preserve"> </w:t>
      </w:r>
      <w:r>
        <w:t>by inchworm and asymmetric hand-over-hand</w:t>
      </w:r>
      <w:r w:rsidR="0012261B">
        <w:t>.</w:t>
      </w:r>
      <w:r>
        <w:t xml:space="preserve"> </w:t>
      </w:r>
      <w:r w:rsidR="0012261B">
        <w:t>R</w:t>
      </w:r>
      <w:r w:rsidR="00CF1AF1">
        <w:t>esearchers</w:t>
      </w:r>
      <w:r w:rsidR="00C03919">
        <w:t>,</w:t>
      </w:r>
      <w:r>
        <w:t xml:space="preserve"> in turn</w:t>
      </w:r>
      <w:r w:rsidR="00C03919">
        <w:t>,</w:t>
      </w:r>
      <w:r>
        <w:t xml:space="preserve"> stepped into</w:t>
      </w:r>
      <w:r w:rsidR="0012261B">
        <w:t xml:space="preserve"> this adjacent possible</w:t>
      </w:r>
      <w:r w:rsidR="00CF1AF1">
        <w:t xml:space="preserve"> as they</w:t>
      </w:r>
      <w:r w:rsidR="002706E4">
        <w:t xml:space="preserve"> creatively</w:t>
      </w:r>
      <w:r w:rsidR="00CF1AF1">
        <w:t xml:space="preserve"> introduced limping</w:t>
      </w:r>
      <w:r w:rsidR="00CB3095">
        <w:t>,</w:t>
      </w:r>
      <w:r w:rsidR="00CF1AF1">
        <w:t xml:space="preserve"> another new empirical criterion</w:t>
      </w:r>
      <w:r>
        <w:t xml:space="preserve">. </w:t>
      </w:r>
      <w:r w:rsidR="004F3FD7">
        <w:t>Thus, to follow Kauffman, e</w:t>
      </w:r>
      <w:r w:rsidR="004D6485">
        <w:t>ven f</w:t>
      </w:r>
      <w:r w:rsidR="009E29F2">
        <w:t xml:space="preserve">rom the point of view </w:t>
      </w:r>
      <w:r w:rsidR="007F51ED">
        <w:t xml:space="preserve">that a </w:t>
      </w:r>
      <w:r w:rsidR="009E29F2">
        <w:t xml:space="preserve">Demonic </w:t>
      </w:r>
      <w:r w:rsidR="004D6485">
        <w:t xml:space="preserve">Laplacian philosopher of science could take on the pre-2002 history of the development of the single-molecule research platform, </w:t>
      </w:r>
      <w:r w:rsidR="007F51ED">
        <w:t>its post-2002 development could not be</w:t>
      </w:r>
      <w:r w:rsidR="004D6485">
        <w:t xml:space="preserve"> </w:t>
      </w:r>
      <w:proofErr w:type="spellStart"/>
      <w:r w:rsidR="004D6485">
        <w:t>prestate</w:t>
      </w:r>
      <w:r w:rsidR="007F51ED">
        <w:t>d</w:t>
      </w:r>
      <w:proofErr w:type="spellEnd"/>
      <w:r>
        <w:t>.</w:t>
      </w:r>
      <w:r w:rsidR="004F3FD7">
        <w:rPr>
          <w:rStyle w:val="FootnoteReference"/>
        </w:rPr>
        <w:footnoteReference w:id="20"/>
      </w:r>
      <w:r w:rsidR="002B4AF3">
        <w:t xml:space="preserve"> The new post-2002 “actual” of the single-molecule research platform was incommensurable</w:t>
      </w:r>
      <w:r w:rsidR="002706E4">
        <w:t>,</w:t>
      </w:r>
      <w:r w:rsidR="00CF1AF1">
        <w:t xml:space="preserve"> in the sense I described above</w:t>
      </w:r>
      <w:r w:rsidR="002706E4">
        <w:t>,</w:t>
      </w:r>
      <w:r w:rsidR="002B4AF3">
        <w:t xml:space="preserve"> with the pre-2002 “actual.”</w:t>
      </w:r>
      <w:r w:rsidR="00CF1AF1">
        <w:t xml:space="preserve"> </w:t>
      </w:r>
      <w:r w:rsidR="002B4AF3">
        <w:t xml:space="preserve">Such is the nature of the </w:t>
      </w:r>
      <w:r w:rsidR="002706E4">
        <w:t xml:space="preserve">discontinuous </w:t>
      </w:r>
      <w:r w:rsidR="002B4AF3">
        <w:t xml:space="preserve">change </w:t>
      </w:r>
      <w:r w:rsidR="002706E4">
        <w:t>the single-molecule research platform</w:t>
      </w:r>
      <w:r w:rsidR="002B4AF3">
        <w:t xml:space="preserve"> underwent over the course of its 1989-2005 development</w:t>
      </w:r>
      <w:r w:rsidR="002706E4">
        <w:t xml:space="preserve">. Indeed, </w:t>
      </w:r>
      <w:r w:rsidR="0071711C">
        <w:t>I would</w:t>
      </w:r>
      <w:r w:rsidR="002706E4">
        <w:t xml:space="preserve"> suggest</w:t>
      </w:r>
      <w:r w:rsidR="0071711C">
        <w:t>,</w:t>
      </w:r>
      <w:r w:rsidR="002706E4">
        <w:t xml:space="preserve"> such is the nature of scientific change generally.</w:t>
      </w:r>
    </w:p>
    <w:p w14:paraId="6DD208C8" w14:textId="77777777" w:rsidR="00F55F23" w:rsidRDefault="00F55F23" w:rsidP="00DB4E21">
      <w:pPr>
        <w:ind w:firstLine="720"/>
      </w:pPr>
    </w:p>
    <w:p w14:paraId="1972B0A4" w14:textId="228299B9" w:rsidR="00215811" w:rsidRDefault="00215811" w:rsidP="00215811">
      <w:pPr>
        <w:ind w:firstLine="720"/>
        <w:jc w:val="center"/>
        <w:rPr>
          <w:b/>
          <w:bCs/>
        </w:rPr>
      </w:pPr>
      <w:r>
        <w:rPr>
          <w:b/>
          <w:bCs/>
        </w:rPr>
        <w:t>Conclusion</w:t>
      </w:r>
      <w:r w:rsidR="006B7EF8">
        <w:rPr>
          <w:b/>
          <w:bCs/>
        </w:rPr>
        <w:t xml:space="preserve"> </w:t>
      </w:r>
    </w:p>
    <w:p w14:paraId="01D663EE" w14:textId="77777777" w:rsidR="00215811" w:rsidRDefault="00215811" w:rsidP="00215811">
      <w:pPr>
        <w:ind w:firstLine="720"/>
        <w:jc w:val="center"/>
        <w:rPr>
          <w:b/>
          <w:bCs/>
        </w:rPr>
      </w:pPr>
    </w:p>
    <w:p w14:paraId="2D7A6047" w14:textId="6A361CEC" w:rsidR="00761B10" w:rsidRDefault="00761B10" w:rsidP="00761B10">
      <w:pPr>
        <w:ind w:firstLine="720"/>
      </w:pPr>
      <w:r>
        <w:t xml:space="preserve">I mentioned in my introduction that philosophers are keen to emphasize that, in contrast to permanent underdetermination, problems of practical underdetermination are “genuine features of scientific inquiry” (Longino 2016). I take it, then, that we want </w:t>
      </w:r>
      <w:r>
        <w:rPr>
          <w:i/>
          <w:iCs/>
        </w:rPr>
        <w:t xml:space="preserve">realistic </w:t>
      </w:r>
      <w:r w:rsidR="00200AAA">
        <w:t>analyses</w:t>
      </w:r>
      <w:r>
        <w:t xml:space="preserve"> of these problems. I want to close with two points about how analyzing problems of practical underdetermination</w:t>
      </w:r>
      <w:r w:rsidR="00AD7597">
        <w:t xml:space="preserve"> in the manner of this paper</w:t>
      </w:r>
      <w:r>
        <w:t xml:space="preserve"> helps us to achieve such realism.  </w:t>
      </w:r>
    </w:p>
    <w:p w14:paraId="0647D9C1" w14:textId="6009E3C9" w:rsidR="00F906AE" w:rsidRPr="00761B10" w:rsidRDefault="00761B10" w:rsidP="00AD7597">
      <w:pPr>
        <w:ind w:firstLine="720"/>
      </w:pPr>
      <w:r>
        <w:t xml:space="preserve">First, </w:t>
      </w:r>
      <w:r w:rsidR="00215811">
        <w:t xml:space="preserve">I opened this paper with </w:t>
      </w:r>
      <w:r w:rsidR="0060592E">
        <w:t>a claim</w:t>
      </w:r>
      <w:r w:rsidR="00AD7597">
        <w:t xml:space="preserve"> that</w:t>
      </w:r>
      <w:r w:rsidR="0060592E">
        <w:t xml:space="preserve"> I take to be obviously true. Humans can use objects for purposes other than those to which they are conventionally put. </w:t>
      </w:r>
      <w:r w:rsidR="0004570C">
        <w:t>This is indeed a mundane fact</w:t>
      </w:r>
      <w:r w:rsidR="00FE3497">
        <w:t>, both in the sense that i</w:t>
      </w:r>
      <w:r w:rsidR="00F77E0B">
        <w:t>t</w:t>
      </w:r>
      <w:r w:rsidR="00FE3497">
        <w:t xml:space="preserve"> appears somewhat trivial</w:t>
      </w:r>
      <w:r w:rsidR="0023785E">
        <w:t xml:space="preserve"> </w:t>
      </w:r>
      <w:r w:rsidR="00E55E1B">
        <w:t>and in the sense that</w:t>
      </w:r>
      <w:r w:rsidR="0004570C">
        <w:t xml:space="preserve"> further argument</w:t>
      </w:r>
      <w:r w:rsidR="00AC74E3">
        <w:t xml:space="preserve"> is </w:t>
      </w:r>
      <w:r w:rsidR="00E55E1B">
        <w:t xml:space="preserve">hardly </w:t>
      </w:r>
      <w:r w:rsidR="00AC74E3">
        <w:t>required to establish</w:t>
      </w:r>
      <w:r w:rsidR="00E55E1B">
        <w:t xml:space="preserve"> its truth.</w:t>
      </w:r>
      <w:r w:rsidR="0004570C">
        <w:t xml:space="preserve"> </w:t>
      </w:r>
      <w:r w:rsidR="00E55E1B">
        <w:t>Granted, i</w:t>
      </w:r>
      <w:r w:rsidR="009D05F5">
        <w:t>t is a fact that calls out for explanation</w:t>
      </w:r>
      <w:r w:rsidR="00AD7597">
        <w:t>—a</w:t>
      </w:r>
      <w:r w:rsidR="00D43EDE">
        <w:t>s I mentioned in Section I, there is much more to be said about this human capacity.</w:t>
      </w:r>
      <w:r w:rsidR="00DA5C08">
        <w:t xml:space="preserve"> </w:t>
      </w:r>
      <w:r>
        <w:t>The</w:t>
      </w:r>
      <w:r w:rsidR="00403360">
        <w:t xml:space="preserve"> </w:t>
      </w:r>
      <w:r w:rsidR="0023785E">
        <w:t>banality</w:t>
      </w:r>
      <w:r>
        <w:t xml:space="preserve"> of the fact that humans have this capacity</w:t>
      </w:r>
      <w:r w:rsidR="00CC29A9">
        <w:t xml:space="preserve">, however, </w:t>
      </w:r>
      <w:r w:rsidR="00403360">
        <w:t>entails that I</w:t>
      </w:r>
      <w:r w:rsidR="00D642F1">
        <w:t xml:space="preserve"> need not offer</w:t>
      </w:r>
      <w:r w:rsidR="0023785E">
        <w:t xml:space="preserve"> any</w:t>
      </w:r>
      <w:r w:rsidR="00415455">
        <w:t xml:space="preserve"> such explanation </w:t>
      </w:r>
      <w:r w:rsidR="00C343F7">
        <w:t xml:space="preserve">in order </w:t>
      </w:r>
      <w:r w:rsidR="00D642F1">
        <w:t xml:space="preserve">to be justified in attributing this capacity to </w:t>
      </w:r>
      <w:r w:rsidR="00217956">
        <w:t>the epistemic agents in my</w:t>
      </w:r>
      <w:r w:rsidR="00DA5C08">
        <w:t xml:space="preserve"> model of the </w:t>
      </w:r>
      <w:r>
        <w:t>I</w:t>
      </w:r>
      <w:r w:rsidR="00DA5C08">
        <w:t xml:space="preserve">nchworm </w:t>
      </w:r>
      <w:r>
        <w:t>E</w:t>
      </w:r>
      <w:r w:rsidR="00DA5C08">
        <w:t>pisode</w:t>
      </w:r>
      <w:r w:rsidR="00BA07AC">
        <w:t>.</w:t>
      </w:r>
      <w:r w:rsidR="0023785E">
        <w:t xml:space="preserve"> </w:t>
      </w:r>
      <w:r w:rsidR="00AD7597">
        <w:t>That said</w:t>
      </w:r>
      <w:r w:rsidR="0023785E">
        <w:t xml:space="preserve">, </w:t>
      </w:r>
      <w:r w:rsidR="00AD7597">
        <w:t>while</w:t>
      </w:r>
      <w:r w:rsidR="0023785E">
        <w:t xml:space="preserve"> the</w:t>
      </w:r>
      <w:r w:rsidR="00AD7597">
        <w:t xml:space="preserve"> fact that humans have this</w:t>
      </w:r>
      <w:r w:rsidR="0023785E">
        <w:t xml:space="preserve"> </w:t>
      </w:r>
      <w:r w:rsidR="0023785E">
        <w:lastRenderedPageBreak/>
        <w:t>capacity</w:t>
      </w:r>
      <w:r w:rsidR="00AD7597">
        <w:t xml:space="preserve"> is</w:t>
      </w:r>
      <w:r w:rsidR="0023785E">
        <w:t xml:space="preserve"> </w:t>
      </w:r>
      <w:r w:rsidR="00200AAA">
        <w:t>banal</w:t>
      </w:r>
      <w:r w:rsidR="0023785E">
        <w:t>,</w:t>
      </w:r>
      <w:r w:rsidR="00B037BE">
        <w:rPr>
          <w:i/>
          <w:iCs/>
        </w:rPr>
        <w:t xml:space="preserve"> </w:t>
      </w:r>
      <w:r w:rsidR="0023785E">
        <w:t>the consequences of</w:t>
      </w:r>
      <w:r w:rsidR="008828F8">
        <w:t xml:space="preserve"> making this realistic attribution to epistemic agents in models of how they cope with practical underdetermination problems</w:t>
      </w:r>
      <w:r w:rsidR="0023785E">
        <w:t xml:space="preserve"> is anything but. </w:t>
      </w:r>
      <w:r w:rsidR="008828F8">
        <w:t>As the analysis of the Inchworm Episode shows, i</w:t>
      </w:r>
      <w:r w:rsidR="00B037BE">
        <w:t>n making this capacity central to our conception of scientists as epistemic agents</w:t>
      </w:r>
      <w:r w:rsidR="008828F8">
        <w:t>,</w:t>
      </w:r>
      <w:r w:rsidR="00B037BE">
        <w:t xml:space="preserve"> we can understand</w:t>
      </w:r>
      <w:r w:rsidR="00884203">
        <w:t xml:space="preserve"> at least one way in which</w:t>
      </w:r>
      <w:r w:rsidR="00B037BE">
        <w:t xml:space="preserve"> experimental practice</w:t>
      </w:r>
      <w:r w:rsidR="00884203">
        <w:t xml:space="preserve"> in science works such that it can develop in genuinely novel “</w:t>
      </w:r>
      <w:proofErr w:type="spellStart"/>
      <w:r w:rsidR="00884203">
        <w:t>unprestatable</w:t>
      </w:r>
      <w:proofErr w:type="spellEnd"/>
      <w:r w:rsidR="00884203">
        <w:t>” ways.</w:t>
      </w:r>
      <w:r w:rsidR="00BD1EB6">
        <w:t xml:space="preserve"> We can appreciate, in other words,</w:t>
      </w:r>
      <w:r w:rsidR="00D17C23">
        <w:t xml:space="preserve"> a sense in which </w:t>
      </w:r>
      <w:r w:rsidR="00BD1EB6">
        <w:t>experimental science is</w:t>
      </w:r>
      <w:r w:rsidR="008828F8">
        <w:t xml:space="preserve"> a</w:t>
      </w:r>
      <w:r w:rsidR="00A946D8">
        <w:t xml:space="preserve"> genuinely </w:t>
      </w:r>
      <w:r w:rsidR="00BF351A">
        <w:rPr>
          <w:i/>
          <w:iCs/>
        </w:rPr>
        <w:t>creative</w:t>
      </w:r>
      <w:r w:rsidR="008828F8">
        <w:rPr>
          <w:i/>
          <w:iCs/>
        </w:rPr>
        <w:t xml:space="preserve"> </w:t>
      </w:r>
      <w:r w:rsidR="008828F8">
        <w:t>enterprise.</w:t>
      </w:r>
      <w:r w:rsidR="00F906AE">
        <w:rPr>
          <w:i/>
          <w:iCs/>
        </w:rPr>
        <w:t xml:space="preserve"> </w:t>
      </w:r>
    </w:p>
    <w:p w14:paraId="052494B6" w14:textId="26477E3E" w:rsidR="00640E3E" w:rsidRDefault="00AD7597" w:rsidP="00DC3905">
      <w:pPr>
        <w:ind w:firstLine="720"/>
      </w:pPr>
      <w:r>
        <w:t>Second, my introduction</w:t>
      </w:r>
      <w:r w:rsidR="0023785E">
        <w:t xml:space="preserve"> contrasted the approach I pursue with the “epistemic gap” </w:t>
      </w:r>
      <w:r w:rsidR="000A5A8D">
        <w:t>analysis of practical underdetermination problems.</w:t>
      </w:r>
      <w:r w:rsidR="0023785E">
        <w:t xml:space="preserve"> The latter</w:t>
      </w:r>
      <w:r w:rsidR="00DC3905">
        <w:t xml:space="preserve"> </w:t>
      </w:r>
      <w:r>
        <w:t>understands relationships between evidence and hypothesis to be, in the first instance, logical ones</w:t>
      </w:r>
      <w:r w:rsidR="008828F8">
        <w:t>. In turn,</w:t>
      </w:r>
      <w:r>
        <w:t xml:space="preserve"> </w:t>
      </w:r>
      <w:r w:rsidR="008828F8">
        <w:t>it</w:t>
      </w:r>
      <w:r>
        <w:t xml:space="preserve"> analyzes problems of practical underdetermination as ones in which </w:t>
      </w:r>
      <w:r w:rsidR="0023785E">
        <w:t>“logic</w:t>
      </w:r>
      <w:r w:rsidR="00E3562C">
        <w:t xml:space="preserve"> and evidence</w:t>
      </w:r>
      <w:r w:rsidR="0023785E">
        <w:t xml:space="preserve"> leave off</w:t>
      </w:r>
      <w:r w:rsidR="000A5A8D">
        <w:t>.</w:t>
      </w:r>
      <w:r w:rsidR="0023785E">
        <w:t>”</w:t>
      </w:r>
      <w:r w:rsidR="00DC3905">
        <w:t xml:space="preserve"> As </w:t>
      </w:r>
      <w:r w:rsidR="008828F8">
        <w:t>is</w:t>
      </w:r>
      <w:r w:rsidR="00DC3905">
        <w:t xml:space="preserve"> clear</w:t>
      </w:r>
      <w:r w:rsidR="008828F8">
        <w:t xml:space="preserve"> (I hope) from the discussion above,</w:t>
      </w:r>
      <w:r w:rsidR="00DC3905">
        <w:t xml:space="preserve"> the data-to-phenomenon inferences that researchers in the Inchworm Episode drew were not </w:t>
      </w:r>
      <w:r w:rsidR="00DC3905">
        <w:rPr>
          <w:i/>
          <w:iCs/>
        </w:rPr>
        <w:t xml:space="preserve">logical </w:t>
      </w:r>
      <w:r w:rsidR="00DC3905">
        <w:t>ones at all. Rather, th</w:t>
      </w:r>
      <w:r w:rsidR="008828F8">
        <w:t>at</w:t>
      </w:r>
      <w:r w:rsidR="00DC3905">
        <w:t xml:space="preserve"> inferential work was </w:t>
      </w:r>
      <w:r w:rsidR="002F45A4">
        <w:t>facilitated</w:t>
      </w:r>
      <w:r w:rsidR="00DC3905">
        <w:t xml:space="preserve"> by empirical criteria—substantive local “background” </w:t>
      </w:r>
      <w:r w:rsidR="00E3562C">
        <w:t>knowledge</w:t>
      </w:r>
      <w:r w:rsidR="00DC3905">
        <w:t xml:space="preserve"> about kinesin’s behavior</w:t>
      </w:r>
      <w:r>
        <w:t>.</w:t>
      </w:r>
      <w:r w:rsidR="00E3562C">
        <w:rPr>
          <w:rStyle w:val="FootnoteReference"/>
        </w:rPr>
        <w:footnoteReference w:id="21"/>
      </w:r>
      <w:r w:rsidR="00DC3905">
        <w:t xml:space="preserve"> The</w:t>
      </w:r>
      <w:r w:rsidR="005B46F6">
        <w:t>se</w:t>
      </w:r>
      <w:r w:rsidR="00DC3905">
        <w:t xml:space="preserve"> inferences, in other words, were </w:t>
      </w:r>
      <w:r w:rsidR="00DC3905">
        <w:rPr>
          <w:i/>
          <w:iCs/>
        </w:rPr>
        <w:t xml:space="preserve">material </w:t>
      </w:r>
      <w:r w:rsidR="00DC3905">
        <w:t xml:space="preserve">in the sense of (Norton 2021) as opposed to </w:t>
      </w:r>
      <w:r>
        <w:t>formal</w:t>
      </w:r>
      <w:r w:rsidR="00DC3905">
        <w:t xml:space="preserve">. </w:t>
      </w:r>
      <w:r w:rsidR="000A5A8D">
        <w:t>As we saw, t</w:t>
      </w:r>
      <w:r w:rsidR="00DC3905">
        <w:t>he creative introduction of torque generation as a new empirical criterion changed the structure of the overall space of hypotheses</w:t>
      </w:r>
      <w:r w:rsidR="005B46F6">
        <w:t xml:space="preserve"> and, concomitantly, enabled a new </w:t>
      </w:r>
      <w:r w:rsidR="005B46F6" w:rsidRPr="005B46F6">
        <w:rPr>
          <w:i/>
          <w:iCs/>
        </w:rPr>
        <w:t>material</w:t>
      </w:r>
      <w:r w:rsidR="005B46F6">
        <w:t xml:space="preserve"> inference to be drawn from data observable in the single-molecule assay (microtubule rotations or the lack thereof) to the hypothesis that kinesin walks in an inchworm (or symmetric hand-over-hand) fashion. This is just another way of putting the point </w:t>
      </w:r>
      <w:r w:rsidR="000A5A8D">
        <w:t xml:space="preserve">I </w:t>
      </w:r>
      <w:r w:rsidR="008828F8">
        <w:t>made</w:t>
      </w:r>
      <w:r w:rsidR="000A5A8D">
        <w:t xml:space="preserve"> above, namely, </w:t>
      </w:r>
      <w:r w:rsidR="005B46F6">
        <w:t xml:space="preserve">that with the introduction of torque generation, </w:t>
      </w:r>
      <w:r w:rsidR="008828F8">
        <w:t>“</w:t>
      </w:r>
      <w:r w:rsidR="005B46F6">
        <w:t>inchworm</w:t>
      </w:r>
      <w:r w:rsidR="008828F8">
        <w:t>”</w:t>
      </w:r>
      <w:r w:rsidR="005B46F6">
        <w:t xml:space="preserve"> became an experimentally live hypothesis</w:t>
      </w:r>
      <w:r w:rsidR="008828F8">
        <w:t>, one on which data</w:t>
      </w:r>
      <w:r w:rsidR="00E3562C">
        <w:t xml:space="preserve"> </w:t>
      </w:r>
      <w:r w:rsidR="00E3562C">
        <w:rPr>
          <w:i/>
          <w:iCs/>
        </w:rPr>
        <w:t>materially</w:t>
      </w:r>
      <w:r w:rsidR="008828F8">
        <w:t xml:space="preserve"> can bear as evidence.</w:t>
      </w:r>
      <w:r w:rsidR="005B46F6">
        <w:t xml:space="preserve"> </w:t>
      </w:r>
      <w:r w:rsidR="00AB7493">
        <w:t>Indeed, w</w:t>
      </w:r>
      <w:r w:rsidR="005B46F6">
        <w:t xml:space="preserve">e can only appreciate the way in which the single-molecule research platform developed in the creative way that it did by acknowledging, in </w:t>
      </w:r>
      <w:r w:rsidR="00AB7493">
        <w:t>our</w:t>
      </w:r>
      <w:r w:rsidR="005B46F6">
        <w:t xml:space="preserve"> philosophical analysis of the episode, that the inferences researchers drew were material as opposed to logical. </w:t>
      </w:r>
      <w:r w:rsidR="00AB7493">
        <w:t>The more immediate point, however,</w:t>
      </w:r>
      <w:r w:rsidR="000A5A8D">
        <w:t xml:space="preserve"> is that contrary to what the “epistemic gap” approach suggests, problems of practical underdetermination are not</w:t>
      </w:r>
      <w:r w:rsidR="00AB7493">
        <w:t xml:space="preserve"> realistically </w:t>
      </w:r>
      <w:r w:rsidR="000A5A8D">
        <w:t>analyzed as circumstances in which</w:t>
      </w:r>
      <w:r w:rsidR="000A5A8D" w:rsidRPr="002D4B2E">
        <w:t> </w:t>
      </w:r>
      <w:r w:rsidR="000A5A8D">
        <w:t>“</w:t>
      </w:r>
      <w:r w:rsidR="000A5A8D" w:rsidRPr="000200FE">
        <w:t>some</w:t>
      </w:r>
      <w:r w:rsidR="000A5A8D">
        <w:t xml:space="preserve"> . . . </w:t>
      </w:r>
      <w:r w:rsidR="000A5A8D" w:rsidRPr="002D4B2E">
        <w:t xml:space="preserve"> </w:t>
      </w:r>
      <w:r w:rsidR="000A5A8D" w:rsidRPr="000A5A8D">
        <w:t xml:space="preserve">hypotheses </w:t>
      </w:r>
      <w:r w:rsidR="000A5A8D">
        <w:t xml:space="preserve">. . . </w:t>
      </w:r>
      <w:r w:rsidR="000A5A8D" w:rsidRPr="002D4B2E">
        <w:t xml:space="preserve"> are underdetermined </w:t>
      </w:r>
      <w:r w:rsidR="000A5A8D" w:rsidRPr="006D0AF1">
        <w:t xml:space="preserve">by </w:t>
      </w:r>
      <w:r w:rsidR="000A5A8D" w:rsidRPr="001B2DEF">
        <w:rPr>
          <w:i/>
          <w:iCs/>
        </w:rPr>
        <w:t>logic</w:t>
      </w:r>
      <w:r w:rsidR="000A5A8D" w:rsidRPr="000200FE">
        <w:rPr>
          <w:i/>
          <w:iCs/>
        </w:rPr>
        <w:t xml:space="preserve"> </w:t>
      </w:r>
      <w:r w:rsidR="000A5A8D" w:rsidRPr="002D4B2E">
        <w:t>and the </w:t>
      </w:r>
      <w:r w:rsidR="000A5A8D" w:rsidRPr="000200FE">
        <w:t>currently available</w:t>
      </w:r>
      <w:r w:rsidR="000A5A8D" w:rsidRPr="002D4B2E">
        <w:t> </w:t>
      </w:r>
      <w:r w:rsidR="000A5A8D" w:rsidRPr="000A5A8D">
        <w:t>evidence</w:t>
      </w:r>
      <w:r w:rsidR="000A5A8D">
        <w:rPr>
          <w:i/>
          <w:iCs/>
        </w:rPr>
        <w:t xml:space="preserve"> </w:t>
      </w:r>
      <w:r w:rsidR="000A5A8D">
        <w:t>(Biddle 2013; my emphasis)</w:t>
      </w:r>
      <w:r w:rsidR="000A5A8D">
        <w:rPr>
          <w:i/>
          <w:iCs/>
        </w:rPr>
        <w:t xml:space="preserve">. </w:t>
      </w:r>
      <w:r w:rsidR="000A5A8D">
        <w:t xml:space="preserve">Rather, they represent circumstances in which </w:t>
      </w:r>
      <w:r w:rsidR="00640E3E">
        <w:t>the</w:t>
      </w:r>
      <w:r w:rsidR="000A5A8D">
        <w:t xml:space="preserve"> possibilities of </w:t>
      </w:r>
      <w:r w:rsidR="000A5A8D">
        <w:rPr>
          <w:i/>
          <w:iCs/>
        </w:rPr>
        <w:t xml:space="preserve">material </w:t>
      </w:r>
      <w:r w:rsidR="000A5A8D">
        <w:t>inference from evidence to hypothesis are</w:t>
      </w:r>
      <w:r w:rsidR="00640E3E">
        <w:t xml:space="preserve"> limited by the empirical criteria (or, to use Longino’s broader term “background assumptions”) that scaffold such inferences.</w:t>
      </w:r>
    </w:p>
    <w:p w14:paraId="629A0F5A" w14:textId="77777777" w:rsidR="007C3682" w:rsidRDefault="00D11369" w:rsidP="00D9257F">
      <w:pPr>
        <w:ind w:firstLine="720"/>
      </w:pPr>
      <w:r>
        <w:t>Finally, I suggest that, realistically construed, problems of practical underdetermination just are what I have called “experimental dead-spaces” and that understanding them</w:t>
      </w:r>
      <w:r w:rsidR="006B7EF8">
        <w:t xml:space="preserve"> as such</w:t>
      </w:r>
      <w:r>
        <w:t xml:space="preserve"> discourages thin “logical” analyses of practical underdetermination problems. In other words, recognizing that the “genuine feature</w:t>
      </w:r>
      <w:r w:rsidR="006B7EF8">
        <w:t>s</w:t>
      </w:r>
      <w:r>
        <w:t xml:space="preserve"> of scientific inquiry” that we are analyzing when we analyze problems of practical underdetermination </w:t>
      </w:r>
      <w:r w:rsidR="006B7EF8">
        <w:t>are</w:t>
      </w:r>
      <w:r>
        <w:t>, in fact, experimental dead-space</w:t>
      </w:r>
      <w:r w:rsidR="006B7EF8">
        <w:t>s</w:t>
      </w:r>
      <w:r>
        <w:t xml:space="preserve"> encourages us to identify, minimally, the tool researchers are using to study a phenomenon and the empirical criteria they have in place t</w:t>
      </w:r>
      <w:r w:rsidR="006B7EF8">
        <w:t>hat both facilitate and limit</w:t>
      </w:r>
      <w:r>
        <w:t xml:space="preserve"> the</w:t>
      </w:r>
      <w:r w:rsidR="006B7EF8">
        <w:t xml:space="preserve"> kinds of</w:t>
      </w:r>
      <w:r>
        <w:t xml:space="preserve"> material-inferen</w:t>
      </w:r>
      <w:r w:rsidR="006B7EF8">
        <w:t>ces they draw</w:t>
      </w:r>
      <w:r>
        <w:t xml:space="preserve"> </w:t>
      </w:r>
      <w:r w:rsidR="006B7EF8">
        <w:t>from</w:t>
      </w:r>
      <w:r>
        <w:t xml:space="preserve"> the data they produce </w:t>
      </w:r>
      <w:r w:rsidR="006B7EF8">
        <w:t>to the</w:t>
      </w:r>
      <w:r>
        <w:t xml:space="preserve"> hypotheses</w:t>
      </w:r>
      <w:r w:rsidR="006B7EF8">
        <w:t xml:space="preserve"> they formulate</w:t>
      </w:r>
      <w:r>
        <w:t>.</w:t>
      </w:r>
      <w:r w:rsidR="00E3562C">
        <w:t xml:space="preserve"> Further, it encourages us to develop an understanding of epistemic agency as involving the kinds of capacities relevant to</w:t>
      </w:r>
      <w:r w:rsidR="00D9257F">
        <w:t xml:space="preserve"> understanding how actual human </w:t>
      </w:r>
      <w:proofErr w:type="gramStart"/>
      <w:r w:rsidR="00D9257F">
        <w:t>scientists</w:t>
      </w:r>
      <w:proofErr w:type="gramEnd"/>
      <w:r w:rsidR="00D9257F">
        <w:t xml:space="preserve"> interface</w:t>
      </w:r>
      <w:r w:rsidR="00E3562C">
        <w:rPr>
          <w:i/>
          <w:iCs/>
        </w:rPr>
        <w:t xml:space="preserve"> </w:t>
      </w:r>
      <w:r w:rsidR="00E3562C">
        <w:t>with</w:t>
      </w:r>
      <w:r w:rsidR="00D9257F">
        <w:t xml:space="preserve"> each of the </w:t>
      </w:r>
      <w:r w:rsidR="00D9257F">
        <w:lastRenderedPageBreak/>
        <w:t xml:space="preserve">dimensions that characterize, as Cartwright (2023) might put it, the “tangle of science”—material, administrative, epistemic, organizational, financial, political, ethic material, organizational, administrative, financial. </w:t>
      </w:r>
    </w:p>
    <w:p w14:paraId="33E460F0" w14:textId="2B196D65" w:rsidR="00D11369" w:rsidRDefault="007C3682" w:rsidP="00D9257F">
      <w:pPr>
        <w:ind w:firstLine="720"/>
      </w:pPr>
      <w:r>
        <w:t>I believe that the creative capacity I have invoked here is an important one, in particular for understanding how single-molecule kinesin researchers coped with their practical underdetermination problem. I also take it to be singularly important for understanding the nature of scientific change. That said, I do not mean to suggest that it is the only capacity philosophers might be allowed to attribute to epistemic agents in their models of how science works.</w:t>
      </w:r>
      <w:r w:rsidR="00D9257F">
        <w:t xml:space="preserve"> </w:t>
      </w:r>
      <w:r>
        <w:t>However, as a methodological injunction, I do take it to be the case, however, that whatever capacity one attributes to epistemic agents in the course of developing an account of how science works, should be one that we have independent reason for thinking is a real capacity of human beings. One might think of this as the role of my discussion of the Dun</w:t>
      </w:r>
      <w:r w:rsidR="008C7FCD">
        <w:t>c</w:t>
      </w:r>
      <w:r>
        <w:t xml:space="preserve">ker Candle Task above. </w:t>
      </w:r>
      <w:r w:rsidR="00E3562C">
        <w:t xml:space="preserve"> </w:t>
      </w:r>
      <w:r w:rsidR="006B7EF8">
        <w:t xml:space="preserve"> </w:t>
      </w:r>
    </w:p>
    <w:p w14:paraId="529158DB" w14:textId="6A1EE2A8" w:rsidR="007C3682" w:rsidRDefault="007C3682" w:rsidP="00D9257F">
      <w:pPr>
        <w:ind w:firstLine="720"/>
      </w:pPr>
    </w:p>
    <w:p w14:paraId="27AB4993" w14:textId="301AAD65" w:rsidR="0023785E" w:rsidRPr="0023785E" w:rsidRDefault="00DC3905" w:rsidP="00DC3905">
      <w:pPr>
        <w:ind w:firstLine="720"/>
      </w:pPr>
      <w:r>
        <w:t xml:space="preserve"> </w:t>
      </w:r>
      <w:r w:rsidR="0023785E">
        <w:t xml:space="preserve"> </w:t>
      </w:r>
    </w:p>
    <w:p w14:paraId="58EF8A19" w14:textId="77777777" w:rsidR="00764384" w:rsidRDefault="00764384" w:rsidP="00CE7B1B">
      <w:pPr>
        <w:ind w:firstLine="720"/>
        <w:rPr>
          <w:sz w:val="20"/>
          <w:szCs w:val="20"/>
        </w:rPr>
      </w:pPr>
    </w:p>
    <w:p w14:paraId="21F08BAC" w14:textId="1F31EC81" w:rsidR="00FD330D" w:rsidRDefault="00FD330D" w:rsidP="00FD330D">
      <w:pPr>
        <w:rPr>
          <w:szCs w:val="24"/>
        </w:rPr>
      </w:pPr>
      <w:r>
        <w:rPr>
          <w:szCs w:val="24"/>
        </w:rPr>
        <w:t xml:space="preserve">= = = = = = = = = = </w:t>
      </w:r>
    </w:p>
    <w:p w14:paraId="50F2103D" w14:textId="77777777" w:rsidR="00FD330D" w:rsidRDefault="00FD330D" w:rsidP="00FD330D">
      <w:pPr>
        <w:rPr>
          <w:szCs w:val="24"/>
        </w:rPr>
      </w:pPr>
      <w:r>
        <w:rPr>
          <w:szCs w:val="24"/>
        </w:rPr>
        <w:t xml:space="preserve">The author has no conflict of interest to disclose. </w:t>
      </w:r>
    </w:p>
    <w:p w14:paraId="0C061906" w14:textId="77777777" w:rsidR="00FD330D" w:rsidRDefault="00FD330D" w:rsidP="00FD330D">
      <w:pPr>
        <w:rPr>
          <w:szCs w:val="24"/>
        </w:rPr>
      </w:pPr>
      <w:r>
        <w:rPr>
          <w:szCs w:val="24"/>
        </w:rPr>
        <w:t>This work was supported by a grant from The John Templeton Foundation (#62385). Any opinions, findings, and conclusions or recommendations expressed in this material are those of the author and do not necessarily reflect the views of the John Templeton Foundations.</w:t>
      </w:r>
    </w:p>
    <w:p w14:paraId="0DD31256" w14:textId="57E30F3F" w:rsidR="00764384" w:rsidRPr="00FD330D" w:rsidRDefault="00FD330D" w:rsidP="00FD330D">
      <w:pPr>
        <w:rPr>
          <w:szCs w:val="24"/>
        </w:rPr>
      </w:pPr>
      <w:r>
        <w:rPr>
          <w:szCs w:val="24"/>
        </w:rPr>
        <w:t xml:space="preserve">= = = = = = = = = = </w:t>
      </w:r>
    </w:p>
    <w:p w14:paraId="5C1A0BC2" w14:textId="77777777" w:rsidR="00764384" w:rsidRDefault="00764384" w:rsidP="00CE7B1B">
      <w:pPr>
        <w:ind w:firstLine="720"/>
        <w:rPr>
          <w:sz w:val="20"/>
          <w:szCs w:val="20"/>
        </w:rPr>
      </w:pPr>
    </w:p>
    <w:p w14:paraId="71F8D394" w14:textId="77777777" w:rsidR="00764384" w:rsidRDefault="00764384" w:rsidP="00CE7B1B">
      <w:pPr>
        <w:ind w:firstLine="720"/>
        <w:rPr>
          <w:sz w:val="20"/>
          <w:szCs w:val="20"/>
        </w:rPr>
      </w:pPr>
    </w:p>
    <w:p w14:paraId="4A481CCF" w14:textId="77777777" w:rsidR="00764384" w:rsidRDefault="00764384" w:rsidP="00CE7B1B">
      <w:pPr>
        <w:ind w:firstLine="720"/>
        <w:rPr>
          <w:sz w:val="20"/>
          <w:szCs w:val="20"/>
        </w:rPr>
      </w:pPr>
    </w:p>
    <w:p w14:paraId="71BB40C8" w14:textId="77777777" w:rsidR="00764384" w:rsidRDefault="00764384" w:rsidP="00CE7B1B">
      <w:pPr>
        <w:ind w:firstLine="720"/>
        <w:rPr>
          <w:sz w:val="20"/>
          <w:szCs w:val="20"/>
        </w:rPr>
      </w:pPr>
    </w:p>
    <w:p w14:paraId="256EDB34" w14:textId="77777777" w:rsidR="00764384" w:rsidRDefault="00764384" w:rsidP="00CE7B1B">
      <w:pPr>
        <w:ind w:firstLine="720"/>
        <w:rPr>
          <w:sz w:val="20"/>
          <w:szCs w:val="20"/>
        </w:rPr>
      </w:pPr>
    </w:p>
    <w:p w14:paraId="21914BEE" w14:textId="77777777" w:rsidR="00764384" w:rsidRDefault="00764384" w:rsidP="00CE7B1B">
      <w:pPr>
        <w:ind w:firstLine="720"/>
        <w:rPr>
          <w:sz w:val="20"/>
          <w:szCs w:val="20"/>
        </w:rPr>
      </w:pPr>
    </w:p>
    <w:p w14:paraId="3E51115E" w14:textId="77777777" w:rsidR="00764384" w:rsidRDefault="00764384" w:rsidP="00CE7B1B">
      <w:pPr>
        <w:ind w:firstLine="720"/>
        <w:rPr>
          <w:sz w:val="20"/>
          <w:szCs w:val="20"/>
        </w:rPr>
      </w:pPr>
    </w:p>
    <w:p w14:paraId="6A2A41C3" w14:textId="77777777" w:rsidR="00764384" w:rsidRDefault="00764384" w:rsidP="00CE7B1B">
      <w:pPr>
        <w:ind w:firstLine="720"/>
        <w:rPr>
          <w:sz w:val="20"/>
          <w:szCs w:val="20"/>
        </w:rPr>
      </w:pPr>
    </w:p>
    <w:p w14:paraId="45288DAB" w14:textId="77777777" w:rsidR="00764384" w:rsidRDefault="00764384" w:rsidP="00CE7B1B">
      <w:pPr>
        <w:ind w:firstLine="720"/>
        <w:rPr>
          <w:sz w:val="20"/>
          <w:szCs w:val="20"/>
        </w:rPr>
      </w:pPr>
    </w:p>
    <w:p w14:paraId="1B3739E4" w14:textId="77777777" w:rsidR="00764384" w:rsidRDefault="00764384" w:rsidP="00CE7B1B">
      <w:pPr>
        <w:ind w:firstLine="720"/>
        <w:rPr>
          <w:sz w:val="20"/>
          <w:szCs w:val="20"/>
        </w:rPr>
      </w:pPr>
    </w:p>
    <w:p w14:paraId="1C1656E8" w14:textId="77777777" w:rsidR="00764384" w:rsidRDefault="00764384" w:rsidP="00CE7B1B">
      <w:pPr>
        <w:ind w:firstLine="720"/>
        <w:rPr>
          <w:sz w:val="20"/>
          <w:szCs w:val="20"/>
        </w:rPr>
      </w:pPr>
    </w:p>
    <w:p w14:paraId="3BCEE883" w14:textId="77777777" w:rsidR="00764384" w:rsidRDefault="00764384" w:rsidP="00CE7B1B">
      <w:pPr>
        <w:ind w:firstLine="720"/>
        <w:rPr>
          <w:sz w:val="20"/>
          <w:szCs w:val="20"/>
        </w:rPr>
      </w:pPr>
    </w:p>
    <w:p w14:paraId="15A6331F" w14:textId="77777777" w:rsidR="00764384" w:rsidRDefault="00764384" w:rsidP="00CE7B1B">
      <w:pPr>
        <w:ind w:firstLine="720"/>
        <w:rPr>
          <w:sz w:val="20"/>
          <w:szCs w:val="20"/>
        </w:rPr>
      </w:pPr>
    </w:p>
    <w:p w14:paraId="683CF2FE" w14:textId="77777777" w:rsidR="000148EA" w:rsidRDefault="000148EA" w:rsidP="00CE7B1B">
      <w:pPr>
        <w:ind w:firstLine="720"/>
        <w:rPr>
          <w:sz w:val="20"/>
          <w:szCs w:val="20"/>
        </w:rPr>
      </w:pPr>
    </w:p>
    <w:p w14:paraId="70B623DC" w14:textId="77777777" w:rsidR="000148EA" w:rsidRDefault="000148EA" w:rsidP="00CE7B1B">
      <w:pPr>
        <w:ind w:firstLine="720"/>
        <w:rPr>
          <w:sz w:val="20"/>
          <w:szCs w:val="20"/>
        </w:rPr>
      </w:pPr>
    </w:p>
    <w:p w14:paraId="5DF21876" w14:textId="77777777" w:rsidR="000148EA" w:rsidRDefault="000148EA" w:rsidP="00CE7B1B">
      <w:pPr>
        <w:ind w:firstLine="720"/>
        <w:rPr>
          <w:sz w:val="20"/>
          <w:szCs w:val="20"/>
        </w:rPr>
      </w:pPr>
    </w:p>
    <w:p w14:paraId="66F0F242" w14:textId="77777777" w:rsidR="000148EA" w:rsidRDefault="000148EA" w:rsidP="00CE7B1B">
      <w:pPr>
        <w:ind w:firstLine="720"/>
        <w:rPr>
          <w:sz w:val="20"/>
          <w:szCs w:val="20"/>
        </w:rPr>
      </w:pPr>
    </w:p>
    <w:p w14:paraId="16E76801" w14:textId="77777777" w:rsidR="000148EA" w:rsidRDefault="000148EA" w:rsidP="00CE7B1B">
      <w:pPr>
        <w:ind w:firstLine="720"/>
        <w:rPr>
          <w:sz w:val="20"/>
          <w:szCs w:val="20"/>
        </w:rPr>
      </w:pPr>
    </w:p>
    <w:p w14:paraId="4574C506" w14:textId="77777777" w:rsidR="000148EA" w:rsidRDefault="000148EA" w:rsidP="00CE7B1B">
      <w:pPr>
        <w:ind w:firstLine="720"/>
        <w:rPr>
          <w:sz w:val="20"/>
          <w:szCs w:val="20"/>
        </w:rPr>
      </w:pPr>
    </w:p>
    <w:p w14:paraId="326421B9" w14:textId="77777777" w:rsidR="000148EA" w:rsidRDefault="000148EA" w:rsidP="00CE7B1B">
      <w:pPr>
        <w:ind w:firstLine="720"/>
        <w:rPr>
          <w:sz w:val="20"/>
          <w:szCs w:val="20"/>
        </w:rPr>
      </w:pPr>
    </w:p>
    <w:p w14:paraId="18B8E3A2" w14:textId="77777777" w:rsidR="000148EA" w:rsidRDefault="000148EA" w:rsidP="00CE7B1B">
      <w:pPr>
        <w:ind w:firstLine="720"/>
        <w:rPr>
          <w:sz w:val="20"/>
          <w:szCs w:val="20"/>
        </w:rPr>
      </w:pPr>
    </w:p>
    <w:p w14:paraId="39FB19F9" w14:textId="77777777" w:rsidR="000148EA" w:rsidRDefault="000148EA" w:rsidP="00CE7B1B">
      <w:pPr>
        <w:ind w:firstLine="720"/>
        <w:rPr>
          <w:sz w:val="20"/>
          <w:szCs w:val="20"/>
        </w:rPr>
      </w:pPr>
    </w:p>
    <w:p w14:paraId="7CF27ABC" w14:textId="77777777" w:rsidR="000148EA" w:rsidRDefault="000148EA" w:rsidP="00CE7B1B">
      <w:pPr>
        <w:ind w:firstLine="720"/>
        <w:rPr>
          <w:sz w:val="20"/>
          <w:szCs w:val="20"/>
        </w:rPr>
      </w:pPr>
    </w:p>
    <w:p w14:paraId="3A3EC42E" w14:textId="77777777" w:rsidR="000148EA" w:rsidRDefault="000148EA" w:rsidP="00CE7B1B">
      <w:pPr>
        <w:ind w:firstLine="720"/>
        <w:rPr>
          <w:sz w:val="20"/>
          <w:szCs w:val="20"/>
        </w:rPr>
      </w:pPr>
    </w:p>
    <w:p w14:paraId="2A59011B" w14:textId="77777777" w:rsidR="000148EA" w:rsidRDefault="000148EA" w:rsidP="00CE7B1B">
      <w:pPr>
        <w:ind w:firstLine="720"/>
        <w:rPr>
          <w:sz w:val="20"/>
          <w:szCs w:val="20"/>
        </w:rPr>
      </w:pPr>
    </w:p>
    <w:p w14:paraId="27476795" w14:textId="77777777" w:rsidR="000148EA" w:rsidRDefault="000148EA" w:rsidP="00CE7B1B">
      <w:pPr>
        <w:ind w:firstLine="720"/>
        <w:rPr>
          <w:sz w:val="20"/>
          <w:szCs w:val="20"/>
        </w:rPr>
      </w:pPr>
    </w:p>
    <w:p w14:paraId="12F0DFBD" w14:textId="77777777" w:rsidR="000148EA" w:rsidRDefault="000148EA" w:rsidP="00CE7B1B">
      <w:pPr>
        <w:ind w:firstLine="720"/>
        <w:rPr>
          <w:sz w:val="20"/>
          <w:szCs w:val="20"/>
        </w:rPr>
      </w:pPr>
    </w:p>
    <w:p w14:paraId="70B5801D" w14:textId="77777777" w:rsidR="00764384" w:rsidRDefault="00764384" w:rsidP="000148EA">
      <w:pPr>
        <w:rPr>
          <w:sz w:val="20"/>
          <w:szCs w:val="20"/>
        </w:rPr>
      </w:pPr>
    </w:p>
    <w:p w14:paraId="1935D79D" w14:textId="52ACAB7A" w:rsidR="000148EA" w:rsidRDefault="000148EA" w:rsidP="000148EA">
      <w:pPr>
        <w:jc w:val="center"/>
        <w:rPr>
          <w:rFonts w:cs="Times New Roman"/>
          <w:b/>
          <w:bCs/>
          <w:color w:val="222222"/>
          <w:szCs w:val="24"/>
          <w:shd w:val="clear" w:color="auto" w:fill="FFFFFF"/>
        </w:rPr>
      </w:pPr>
      <w:r w:rsidRPr="000148EA">
        <w:rPr>
          <w:rFonts w:cs="Times New Roman"/>
          <w:b/>
          <w:bCs/>
          <w:color w:val="222222"/>
          <w:szCs w:val="24"/>
          <w:shd w:val="clear" w:color="auto" w:fill="FFFFFF"/>
        </w:rPr>
        <w:t>References</w:t>
      </w:r>
    </w:p>
    <w:p w14:paraId="569A9667" w14:textId="77777777" w:rsidR="00A22D9A" w:rsidRPr="000148EA" w:rsidRDefault="00A22D9A" w:rsidP="000148EA">
      <w:pPr>
        <w:jc w:val="center"/>
        <w:rPr>
          <w:rFonts w:cs="Times New Roman"/>
          <w:b/>
          <w:bCs/>
          <w:color w:val="222222"/>
          <w:szCs w:val="24"/>
          <w:shd w:val="clear" w:color="auto" w:fill="FFFFFF"/>
        </w:rPr>
      </w:pPr>
    </w:p>
    <w:p w14:paraId="1102883F" w14:textId="57926503" w:rsidR="000148EA" w:rsidRDefault="00972995" w:rsidP="00972995">
      <w:proofErr w:type="spellStart"/>
      <w:r w:rsidRPr="009D1C58">
        <w:t>Astumian</w:t>
      </w:r>
      <w:proofErr w:type="spellEnd"/>
      <w:r w:rsidRPr="009D1C58">
        <w:t>, R. D. (2010). Thermodynamics and kinetics of molecular motors. </w:t>
      </w:r>
      <w:r w:rsidRPr="009D1C58">
        <w:rPr>
          <w:i/>
          <w:iCs/>
        </w:rPr>
        <w:t>Biophysical journal</w:t>
      </w:r>
      <w:r w:rsidRPr="009D1C58">
        <w:t>, </w:t>
      </w:r>
      <w:r w:rsidRPr="009D1C58">
        <w:rPr>
          <w:i/>
          <w:iCs/>
        </w:rPr>
        <w:t>98</w:t>
      </w:r>
      <w:r w:rsidRPr="009D1C58">
        <w:t>(11), 2401-2409.</w:t>
      </w:r>
    </w:p>
    <w:p w14:paraId="612C49AB" w14:textId="77777777" w:rsidR="00F24AB7" w:rsidRDefault="00F24AB7" w:rsidP="00972995"/>
    <w:p w14:paraId="247841C6" w14:textId="5B16EC7E" w:rsidR="00F24AB7" w:rsidRDefault="00963F9D" w:rsidP="00972995">
      <w:pPr>
        <w:rPr>
          <w:rFonts w:cs="Times New Roman"/>
          <w:color w:val="222222"/>
          <w:szCs w:val="24"/>
          <w:shd w:val="clear" w:color="auto" w:fill="FFFFFF"/>
        </w:rPr>
      </w:pPr>
      <w:r w:rsidRPr="00963F9D">
        <w:rPr>
          <w:rFonts w:cs="Times New Roman"/>
          <w:color w:val="222222"/>
          <w:szCs w:val="24"/>
          <w:shd w:val="clear" w:color="auto" w:fill="FFFFFF"/>
        </w:rPr>
        <w:t>Biddle, J. (2013). State of the field: Transient underdetermination and values in science. </w:t>
      </w:r>
      <w:r w:rsidRPr="00963F9D">
        <w:rPr>
          <w:rFonts w:cs="Times New Roman"/>
          <w:i/>
          <w:iCs/>
          <w:color w:val="222222"/>
          <w:szCs w:val="24"/>
          <w:shd w:val="clear" w:color="auto" w:fill="FFFFFF"/>
        </w:rPr>
        <w:t>Studies in History and Philosophy of Science Part A</w:t>
      </w:r>
      <w:r w:rsidRPr="00963F9D">
        <w:rPr>
          <w:rFonts w:cs="Times New Roman"/>
          <w:color w:val="222222"/>
          <w:szCs w:val="24"/>
          <w:shd w:val="clear" w:color="auto" w:fill="FFFFFF"/>
        </w:rPr>
        <w:t>, </w:t>
      </w:r>
      <w:r w:rsidRPr="00963F9D">
        <w:rPr>
          <w:rFonts w:cs="Times New Roman"/>
          <w:i/>
          <w:iCs/>
          <w:color w:val="222222"/>
          <w:szCs w:val="24"/>
          <w:shd w:val="clear" w:color="auto" w:fill="FFFFFF"/>
        </w:rPr>
        <w:t>44</w:t>
      </w:r>
      <w:r w:rsidRPr="00963F9D">
        <w:rPr>
          <w:rFonts w:cs="Times New Roman"/>
          <w:color w:val="222222"/>
          <w:szCs w:val="24"/>
          <w:shd w:val="clear" w:color="auto" w:fill="FFFFFF"/>
        </w:rPr>
        <w:t>(1), 124-133.</w:t>
      </w:r>
    </w:p>
    <w:p w14:paraId="13A90E33" w14:textId="77777777" w:rsidR="00972995" w:rsidRDefault="00972995" w:rsidP="007E7F06">
      <w:pPr>
        <w:rPr>
          <w:rFonts w:cs="Times New Roman"/>
          <w:color w:val="222222"/>
          <w:shd w:val="clear" w:color="auto" w:fill="FFFFFF"/>
        </w:rPr>
      </w:pPr>
    </w:p>
    <w:p w14:paraId="2FE26321" w14:textId="48DE4FD2" w:rsidR="00963F14" w:rsidRDefault="00963F14" w:rsidP="007E7F06">
      <w:pPr>
        <w:rPr>
          <w:rFonts w:cs="Times New Roman"/>
          <w:color w:val="222222"/>
          <w:shd w:val="clear" w:color="auto" w:fill="FFFFFF"/>
        </w:rPr>
      </w:pPr>
      <w:r w:rsidRPr="0056536C">
        <w:rPr>
          <w:rFonts w:cs="Times New Roman"/>
          <w:color w:val="222222"/>
          <w:shd w:val="clear" w:color="auto" w:fill="FFFFFF"/>
        </w:rPr>
        <w:t>Block, S. M., Goldstein, L. S., &amp; Schnapp, B. J. (1990). Bead movement by single kinesin molecules studied with optical tweezers. </w:t>
      </w:r>
      <w:r w:rsidRPr="0056536C">
        <w:rPr>
          <w:rFonts w:cs="Times New Roman"/>
          <w:i/>
          <w:iCs/>
          <w:color w:val="222222"/>
          <w:shd w:val="clear" w:color="auto" w:fill="FFFFFF"/>
        </w:rPr>
        <w:t>Nature</w:t>
      </w:r>
      <w:r w:rsidRPr="0056536C">
        <w:rPr>
          <w:rFonts w:cs="Times New Roman"/>
          <w:color w:val="222222"/>
          <w:shd w:val="clear" w:color="auto" w:fill="FFFFFF"/>
        </w:rPr>
        <w:t>, </w:t>
      </w:r>
      <w:r w:rsidRPr="0056536C">
        <w:rPr>
          <w:rFonts w:cs="Times New Roman"/>
          <w:i/>
          <w:iCs/>
          <w:color w:val="222222"/>
          <w:shd w:val="clear" w:color="auto" w:fill="FFFFFF"/>
        </w:rPr>
        <w:t>348</w:t>
      </w:r>
      <w:r w:rsidRPr="0056536C">
        <w:rPr>
          <w:rFonts w:cs="Times New Roman"/>
          <w:color w:val="222222"/>
          <w:shd w:val="clear" w:color="auto" w:fill="FFFFFF"/>
        </w:rPr>
        <w:t>(6299), 348-352.</w:t>
      </w:r>
    </w:p>
    <w:p w14:paraId="0062460B" w14:textId="77777777" w:rsidR="00972995" w:rsidRDefault="00972995" w:rsidP="007E7F06">
      <w:pPr>
        <w:rPr>
          <w:rFonts w:cs="Times New Roman"/>
          <w:color w:val="222222"/>
          <w:shd w:val="clear" w:color="auto" w:fill="FFFFFF"/>
        </w:rPr>
      </w:pPr>
    </w:p>
    <w:p w14:paraId="2348B6D1" w14:textId="385FF07D" w:rsidR="00972995" w:rsidRDefault="00972995" w:rsidP="007E7F06">
      <w:pPr>
        <w:rPr>
          <w:rFonts w:cs="Times New Roman"/>
          <w:color w:val="222222"/>
          <w:shd w:val="clear" w:color="auto" w:fill="FFFFFF"/>
        </w:rPr>
      </w:pPr>
      <w:r w:rsidRPr="00910D29">
        <w:rPr>
          <w:rFonts w:cs="Times New Roman"/>
          <w:color w:val="222222"/>
          <w:shd w:val="clear" w:color="auto" w:fill="FFFFFF"/>
        </w:rPr>
        <w:t xml:space="preserve">Block, S. M., &amp; Svoboda, K. (1995). Analysis of </w:t>
      </w:r>
      <w:proofErr w:type="gramStart"/>
      <w:r w:rsidRPr="00910D29">
        <w:rPr>
          <w:rFonts w:cs="Times New Roman"/>
          <w:color w:val="222222"/>
          <w:shd w:val="clear" w:color="auto" w:fill="FFFFFF"/>
        </w:rPr>
        <w:t>high resolution</w:t>
      </w:r>
      <w:proofErr w:type="gramEnd"/>
      <w:r w:rsidRPr="00910D29">
        <w:rPr>
          <w:rFonts w:cs="Times New Roman"/>
          <w:color w:val="222222"/>
          <w:shd w:val="clear" w:color="auto" w:fill="FFFFFF"/>
        </w:rPr>
        <w:t xml:space="preserve"> recordings of motor movement. </w:t>
      </w:r>
      <w:r w:rsidRPr="00910D29">
        <w:rPr>
          <w:rFonts w:cs="Times New Roman"/>
          <w:i/>
          <w:iCs/>
          <w:color w:val="222222"/>
          <w:shd w:val="clear" w:color="auto" w:fill="FFFFFF"/>
        </w:rPr>
        <w:t>Biophysical journal</w:t>
      </w:r>
      <w:r w:rsidRPr="00910D29">
        <w:rPr>
          <w:rFonts w:cs="Times New Roman"/>
          <w:color w:val="222222"/>
          <w:shd w:val="clear" w:color="auto" w:fill="FFFFFF"/>
        </w:rPr>
        <w:t>, </w:t>
      </w:r>
      <w:r w:rsidRPr="00910D29">
        <w:rPr>
          <w:rFonts w:cs="Times New Roman"/>
          <w:i/>
          <w:iCs/>
          <w:color w:val="222222"/>
          <w:shd w:val="clear" w:color="auto" w:fill="FFFFFF"/>
        </w:rPr>
        <w:t>68</w:t>
      </w:r>
      <w:r w:rsidRPr="00910D29">
        <w:rPr>
          <w:rFonts w:cs="Times New Roman"/>
          <w:color w:val="222222"/>
          <w:shd w:val="clear" w:color="auto" w:fill="FFFFFF"/>
        </w:rPr>
        <w:t>(4 Suppl), 230S.</w:t>
      </w:r>
    </w:p>
    <w:p w14:paraId="1D32625F" w14:textId="77777777" w:rsidR="00377A54" w:rsidRDefault="00377A54" w:rsidP="007E7F06">
      <w:pPr>
        <w:rPr>
          <w:rFonts w:cs="Times New Roman"/>
          <w:color w:val="222222"/>
          <w:shd w:val="clear" w:color="auto" w:fill="FFFFFF"/>
        </w:rPr>
      </w:pPr>
    </w:p>
    <w:p w14:paraId="33977B77" w14:textId="7EA76F16" w:rsidR="00377A54" w:rsidRPr="00377A54" w:rsidRDefault="00377A54" w:rsidP="007E7F06">
      <w:pPr>
        <w:rPr>
          <w:rFonts w:cs="Times New Roman"/>
          <w:color w:val="222222"/>
          <w:szCs w:val="24"/>
          <w:shd w:val="clear" w:color="auto" w:fill="FFFFFF"/>
        </w:rPr>
      </w:pPr>
      <w:r w:rsidRPr="00377A54">
        <w:rPr>
          <w:rFonts w:cs="Times New Roman"/>
          <w:color w:val="222222"/>
          <w:szCs w:val="24"/>
          <w:shd w:val="clear" w:color="auto" w:fill="FFFFFF"/>
        </w:rPr>
        <w:t>Bogen, J., &amp; Woodward, J. (1988). Saving the phenomena. </w:t>
      </w:r>
      <w:r w:rsidRPr="00377A54">
        <w:rPr>
          <w:rFonts w:cs="Times New Roman"/>
          <w:i/>
          <w:iCs/>
          <w:color w:val="222222"/>
          <w:szCs w:val="24"/>
          <w:shd w:val="clear" w:color="auto" w:fill="FFFFFF"/>
        </w:rPr>
        <w:t>The philosophical review</w:t>
      </w:r>
      <w:r w:rsidRPr="00377A54">
        <w:rPr>
          <w:rFonts w:cs="Times New Roman"/>
          <w:color w:val="222222"/>
          <w:szCs w:val="24"/>
          <w:shd w:val="clear" w:color="auto" w:fill="FFFFFF"/>
        </w:rPr>
        <w:t>, </w:t>
      </w:r>
      <w:r w:rsidRPr="00377A54">
        <w:rPr>
          <w:rFonts w:cs="Times New Roman"/>
          <w:i/>
          <w:iCs/>
          <w:color w:val="222222"/>
          <w:szCs w:val="24"/>
          <w:shd w:val="clear" w:color="auto" w:fill="FFFFFF"/>
        </w:rPr>
        <w:t>97</w:t>
      </w:r>
      <w:r w:rsidRPr="00377A54">
        <w:rPr>
          <w:rFonts w:cs="Times New Roman"/>
          <w:color w:val="222222"/>
          <w:szCs w:val="24"/>
          <w:shd w:val="clear" w:color="auto" w:fill="FFFFFF"/>
        </w:rPr>
        <w:t>(3), 303-352.</w:t>
      </w:r>
    </w:p>
    <w:p w14:paraId="0287A1CD" w14:textId="77777777" w:rsidR="00963F14" w:rsidRDefault="00963F14" w:rsidP="007E7F06">
      <w:pPr>
        <w:rPr>
          <w:rFonts w:cs="Times New Roman"/>
          <w:color w:val="222222"/>
          <w:shd w:val="clear" w:color="auto" w:fill="FFFFFF"/>
        </w:rPr>
      </w:pPr>
    </w:p>
    <w:p w14:paraId="2A83D4D2" w14:textId="545D46EC" w:rsidR="00963F14" w:rsidRPr="00963F14" w:rsidRDefault="00963F14" w:rsidP="007E7F06">
      <w:pPr>
        <w:rPr>
          <w:rFonts w:cs="Times New Roman"/>
          <w:color w:val="222222"/>
          <w:szCs w:val="24"/>
          <w:shd w:val="clear" w:color="auto" w:fill="FFFFFF"/>
        </w:rPr>
      </w:pPr>
      <w:r w:rsidRPr="00963F14">
        <w:rPr>
          <w:rFonts w:cs="Times New Roman"/>
          <w:color w:val="222222"/>
          <w:szCs w:val="24"/>
          <w:shd w:val="clear" w:color="auto" w:fill="FFFFFF"/>
        </w:rPr>
        <w:t>Bollhagen, A. (2021</w:t>
      </w:r>
      <w:r w:rsidR="00F24AB7">
        <w:rPr>
          <w:rFonts w:cs="Times New Roman"/>
          <w:color w:val="222222"/>
          <w:szCs w:val="24"/>
          <w:shd w:val="clear" w:color="auto" w:fill="FFFFFF"/>
        </w:rPr>
        <w:t>a</w:t>
      </w:r>
      <w:r w:rsidRPr="00963F14">
        <w:rPr>
          <w:rFonts w:cs="Times New Roman"/>
          <w:color w:val="222222"/>
          <w:szCs w:val="24"/>
          <w:shd w:val="clear" w:color="auto" w:fill="FFFFFF"/>
        </w:rPr>
        <w:t>). The inchworm episode: Reconstituting the phenomenon of kinesin motility. </w:t>
      </w:r>
      <w:r w:rsidRPr="00963F14">
        <w:rPr>
          <w:rFonts w:cs="Times New Roman"/>
          <w:i/>
          <w:iCs/>
          <w:color w:val="222222"/>
          <w:szCs w:val="24"/>
          <w:shd w:val="clear" w:color="auto" w:fill="FFFFFF"/>
        </w:rPr>
        <w:t>European Journal for Philosophy of Science</w:t>
      </w:r>
      <w:r w:rsidRPr="00963F14">
        <w:rPr>
          <w:rFonts w:cs="Times New Roman"/>
          <w:color w:val="222222"/>
          <w:szCs w:val="24"/>
          <w:shd w:val="clear" w:color="auto" w:fill="FFFFFF"/>
        </w:rPr>
        <w:t>, </w:t>
      </w:r>
      <w:r w:rsidRPr="00963F14">
        <w:rPr>
          <w:rFonts w:cs="Times New Roman"/>
          <w:i/>
          <w:iCs/>
          <w:color w:val="222222"/>
          <w:szCs w:val="24"/>
          <w:shd w:val="clear" w:color="auto" w:fill="FFFFFF"/>
        </w:rPr>
        <w:t>11</w:t>
      </w:r>
      <w:r w:rsidRPr="00963F14">
        <w:rPr>
          <w:rFonts w:cs="Times New Roman"/>
          <w:color w:val="222222"/>
          <w:szCs w:val="24"/>
          <w:shd w:val="clear" w:color="auto" w:fill="FFFFFF"/>
        </w:rPr>
        <w:t>(2), 50.</w:t>
      </w:r>
    </w:p>
    <w:p w14:paraId="35ACC12C" w14:textId="77777777" w:rsidR="00963F14" w:rsidRDefault="00963F14" w:rsidP="007E7F06">
      <w:pPr>
        <w:rPr>
          <w:rFonts w:cs="Times New Roman"/>
          <w:color w:val="222222"/>
          <w:szCs w:val="24"/>
          <w:shd w:val="clear" w:color="auto" w:fill="FFFFFF"/>
        </w:rPr>
      </w:pPr>
    </w:p>
    <w:p w14:paraId="00B00609" w14:textId="1976BE4D" w:rsidR="00764384" w:rsidRDefault="007E7F06" w:rsidP="007E7F06">
      <w:pPr>
        <w:rPr>
          <w:rFonts w:cs="Times New Roman"/>
          <w:color w:val="222222"/>
          <w:szCs w:val="24"/>
          <w:shd w:val="clear" w:color="auto" w:fill="FFFFFF"/>
        </w:rPr>
      </w:pPr>
      <w:r w:rsidRPr="000148EA">
        <w:rPr>
          <w:rFonts w:cs="Times New Roman"/>
          <w:color w:val="222222"/>
          <w:szCs w:val="24"/>
          <w:shd w:val="clear" w:color="auto" w:fill="FFFFFF"/>
        </w:rPr>
        <w:t>Bollhagen, A. (2021</w:t>
      </w:r>
      <w:r w:rsidR="00F24AB7">
        <w:rPr>
          <w:rFonts w:cs="Times New Roman"/>
          <w:color w:val="222222"/>
          <w:szCs w:val="24"/>
          <w:shd w:val="clear" w:color="auto" w:fill="FFFFFF"/>
        </w:rPr>
        <w:t>b</w:t>
      </w:r>
      <w:r w:rsidRPr="000148EA">
        <w:rPr>
          <w:rFonts w:cs="Times New Roman"/>
          <w:color w:val="222222"/>
          <w:szCs w:val="24"/>
          <w:shd w:val="clear" w:color="auto" w:fill="FFFFFF"/>
        </w:rPr>
        <w:t>). Hempel's Raven Revisited. </w:t>
      </w:r>
      <w:r w:rsidRPr="000148EA">
        <w:rPr>
          <w:rFonts w:cs="Times New Roman"/>
          <w:i/>
          <w:iCs/>
          <w:color w:val="222222"/>
          <w:szCs w:val="24"/>
          <w:shd w:val="clear" w:color="auto" w:fill="FFFFFF"/>
        </w:rPr>
        <w:t>The Journal of Philosophy</w:t>
      </w:r>
      <w:r w:rsidRPr="000148EA">
        <w:rPr>
          <w:rFonts w:cs="Times New Roman"/>
          <w:color w:val="222222"/>
          <w:szCs w:val="24"/>
          <w:shd w:val="clear" w:color="auto" w:fill="FFFFFF"/>
        </w:rPr>
        <w:t>, </w:t>
      </w:r>
      <w:r w:rsidRPr="000148EA">
        <w:rPr>
          <w:rFonts w:cs="Times New Roman"/>
          <w:i/>
          <w:iCs/>
          <w:color w:val="222222"/>
          <w:szCs w:val="24"/>
          <w:shd w:val="clear" w:color="auto" w:fill="FFFFFF"/>
        </w:rPr>
        <w:t>118</w:t>
      </w:r>
      <w:r w:rsidRPr="000148EA">
        <w:rPr>
          <w:rFonts w:cs="Times New Roman"/>
          <w:color w:val="222222"/>
          <w:szCs w:val="24"/>
          <w:shd w:val="clear" w:color="auto" w:fill="FFFFFF"/>
        </w:rPr>
        <w:t>(3), 113-138.</w:t>
      </w:r>
    </w:p>
    <w:p w14:paraId="68627DFC" w14:textId="77777777" w:rsidR="00963F9D" w:rsidRDefault="00963F9D" w:rsidP="007E7F06">
      <w:pPr>
        <w:rPr>
          <w:rFonts w:cs="Times New Roman"/>
          <w:color w:val="222222"/>
          <w:szCs w:val="24"/>
          <w:shd w:val="clear" w:color="auto" w:fill="FFFFFF"/>
        </w:rPr>
      </w:pPr>
    </w:p>
    <w:p w14:paraId="738E5A67" w14:textId="372F1987" w:rsidR="00963F9D" w:rsidRPr="000148EA" w:rsidRDefault="00963F9D" w:rsidP="007E7F06">
      <w:pPr>
        <w:rPr>
          <w:rFonts w:cs="Times New Roman"/>
          <w:szCs w:val="24"/>
        </w:rPr>
      </w:pPr>
      <w:r w:rsidRPr="00842392">
        <w:t xml:space="preserve">Brown, Matthew J. 2013. "Values in Science beyond Underdetermination and Inductive Risk." Philosophy of Science 80 (5):829-839. </w:t>
      </w:r>
      <w:proofErr w:type="spellStart"/>
      <w:r w:rsidRPr="00842392">
        <w:t>doi</w:t>
      </w:r>
      <w:proofErr w:type="spellEnd"/>
      <w:r w:rsidRPr="00842392">
        <w:t>: 10.1086/673720.</w:t>
      </w:r>
    </w:p>
    <w:p w14:paraId="7DF37FF4" w14:textId="77777777" w:rsidR="00764384" w:rsidRPr="000148EA" w:rsidRDefault="00764384" w:rsidP="00CE7B1B">
      <w:pPr>
        <w:ind w:firstLine="720"/>
        <w:rPr>
          <w:rFonts w:cs="Times New Roman"/>
          <w:szCs w:val="24"/>
        </w:rPr>
      </w:pPr>
    </w:p>
    <w:p w14:paraId="3FD6CA5B" w14:textId="4422D90A" w:rsidR="00764384" w:rsidRPr="000148EA" w:rsidRDefault="007E7F06" w:rsidP="007E7F06">
      <w:pPr>
        <w:rPr>
          <w:rFonts w:cs="Times New Roman"/>
          <w:szCs w:val="24"/>
        </w:rPr>
      </w:pPr>
      <w:r w:rsidRPr="000148EA">
        <w:rPr>
          <w:rFonts w:cs="Times New Roman"/>
          <w:color w:val="222222"/>
          <w:szCs w:val="24"/>
          <w:shd w:val="clear" w:color="auto" w:fill="FFFFFF"/>
        </w:rPr>
        <w:t xml:space="preserve">Cartwright, N., Hardie, J., </w:t>
      </w:r>
      <w:proofErr w:type="spellStart"/>
      <w:r w:rsidRPr="000148EA">
        <w:rPr>
          <w:rFonts w:cs="Times New Roman"/>
          <w:color w:val="222222"/>
          <w:szCs w:val="24"/>
          <w:shd w:val="clear" w:color="auto" w:fill="FFFFFF"/>
        </w:rPr>
        <w:t>Montuschi</w:t>
      </w:r>
      <w:proofErr w:type="spellEnd"/>
      <w:r w:rsidRPr="000148EA">
        <w:rPr>
          <w:rFonts w:cs="Times New Roman"/>
          <w:color w:val="222222"/>
          <w:szCs w:val="24"/>
          <w:shd w:val="clear" w:color="auto" w:fill="FFFFFF"/>
        </w:rPr>
        <w:t>, E., Soleiman, M., &amp; Thresher, A. C. (2022). </w:t>
      </w:r>
      <w:r w:rsidRPr="000148EA">
        <w:rPr>
          <w:rFonts w:cs="Times New Roman"/>
          <w:i/>
          <w:iCs/>
          <w:color w:val="222222"/>
          <w:szCs w:val="24"/>
          <w:shd w:val="clear" w:color="auto" w:fill="FFFFFF"/>
        </w:rPr>
        <w:t xml:space="preserve">The tangle of science: reliability beyond method, </w:t>
      </w:r>
      <w:proofErr w:type="spellStart"/>
      <w:r w:rsidRPr="000148EA">
        <w:rPr>
          <w:rFonts w:cs="Times New Roman"/>
          <w:i/>
          <w:iCs/>
          <w:color w:val="222222"/>
          <w:szCs w:val="24"/>
          <w:shd w:val="clear" w:color="auto" w:fill="FFFFFF"/>
        </w:rPr>
        <w:t>rigour</w:t>
      </w:r>
      <w:proofErr w:type="spellEnd"/>
      <w:r w:rsidRPr="000148EA">
        <w:rPr>
          <w:rFonts w:cs="Times New Roman"/>
          <w:i/>
          <w:iCs/>
          <w:color w:val="222222"/>
          <w:szCs w:val="24"/>
          <w:shd w:val="clear" w:color="auto" w:fill="FFFFFF"/>
        </w:rPr>
        <w:t>, and objectivity</w:t>
      </w:r>
      <w:r w:rsidRPr="000148EA">
        <w:rPr>
          <w:rFonts w:cs="Times New Roman"/>
          <w:color w:val="222222"/>
          <w:szCs w:val="24"/>
          <w:shd w:val="clear" w:color="auto" w:fill="FFFFFF"/>
        </w:rPr>
        <w:t>. Oxford University Press.</w:t>
      </w:r>
    </w:p>
    <w:p w14:paraId="027FD730" w14:textId="77777777" w:rsidR="008C7FCD" w:rsidRDefault="008C7FCD" w:rsidP="006A79D3">
      <w:pPr>
        <w:rPr>
          <w:rFonts w:cs="Times New Roman"/>
          <w:color w:val="222222"/>
          <w:szCs w:val="24"/>
          <w:shd w:val="clear" w:color="auto" w:fill="FFFFFF"/>
        </w:rPr>
      </w:pPr>
    </w:p>
    <w:p w14:paraId="264B4676" w14:textId="5745D92F" w:rsidR="008C7FCD" w:rsidRDefault="00972995" w:rsidP="006A79D3">
      <w:pPr>
        <w:rPr>
          <w:rFonts w:cs="Times New Roman"/>
          <w:color w:val="222222"/>
          <w:szCs w:val="24"/>
          <w:shd w:val="clear" w:color="auto" w:fill="FFFFFF"/>
        </w:rPr>
      </w:pPr>
      <w:r w:rsidRPr="00972995">
        <w:rPr>
          <w:rFonts w:cs="Times New Roman"/>
          <w:color w:val="222222"/>
          <w:szCs w:val="24"/>
          <w:shd w:val="clear" w:color="auto" w:fill="FFFFFF"/>
        </w:rPr>
        <w:t xml:space="preserve">Cartwright, N., Hardie, J., </w:t>
      </w:r>
      <w:proofErr w:type="spellStart"/>
      <w:r w:rsidRPr="00972995">
        <w:rPr>
          <w:rFonts w:cs="Times New Roman"/>
          <w:color w:val="222222"/>
          <w:szCs w:val="24"/>
          <w:shd w:val="clear" w:color="auto" w:fill="FFFFFF"/>
        </w:rPr>
        <w:t>Montuschi</w:t>
      </w:r>
      <w:proofErr w:type="spellEnd"/>
      <w:r w:rsidRPr="00972995">
        <w:rPr>
          <w:rFonts w:cs="Times New Roman"/>
          <w:color w:val="222222"/>
          <w:szCs w:val="24"/>
          <w:shd w:val="clear" w:color="auto" w:fill="FFFFFF"/>
        </w:rPr>
        <w:t>, E., Soleiman, M., &amp; Thresher, A. C. (2023). </w:t>
      </w:r>
      <w:r w:rsidRPr="00972995">
        <w:rPr>
          <w:rFonts w:cs="Times New Roman"/>
          <w:i/>
          <w:iCs/>
          <w:color w:val="222222"/>
          <w:szCs w:val="24"/>
          <w:shd w:val="clear" w:color="auto" w:fill="FFFFFF"/>
        </w:rPr>
        <w:t xml:space="preserve">The tangle of science: reliability beyond method, </w:t>
      </w:r>
      <w:proofErr w:type="spellStart"/>
      <w:r w:rsidRPr="00972995">
        <w:rPr>
          <w:rFonts w:cs="Times New Roman"/>
          <w:i/>
          <w:iCs/>
          <w:color w:val="222222"/>
          <w:szCs w:val="24"/>
          <w:shd w:val="clear" w:color="auto" w:fill="FFFFFF"/>
        </w:rPr>
        <w:t>rigour</w:t>
      </w:r>
      <w:proofErr w:type="spellEnd"/>
      <w:r w:rsidRPr="00972995">
        <w:rPr>
          <w:rFonts w:cs="Times New Roman"/>
          <w:i/>
          <w:iCs/>
          <w:color w:val="222222"/>
          <w:szCs w:val="24"/>
          <w:shd w:val="clear" w:color="auto" w:fill="FFFFFF"/>
        </w:rPr>
        <w:t>, and objectivity</w:t>
      </w:r>
      <w:r w:rsidRPr="00972995">
        <w:rPr>
          <w:rFonts w:cs="Times New Roman"/>
          <w:color w:val="222222"/>
          <w:szCs w:val="24"/>
          <w:shd w:val="clear" w:color="auto" w:fill="FFFFFF"/>
        </w:rPr>
        <w:t>. Oxford University Press.</w:t>
      </w:r>
    </w:p>
    <w:p w14:paraId="7192F425" w14:textId="77777777" w:rsidR="00F24AB7" w:rsidRDefault="00F24AB7" w:rsidP="006A79D3">
      <w:pPr>
        <w:rPr>
          <w:rFonts w:cs="Times New Roman"/>
          <w:color w:val="222222"/>
          <w:szCs w:val="24"/>
          <w:shd w:val="clear" w:color="auto" w:fill="FFFFFF"/>
        </w:rPr>
      </w:pPr>
    </w:p>
    <w:p w14:paraId="65D0784B" w14:textId="554DAD2A" w:rsidR="00F24AB7" w:rsidRDefault="00F24AB7" w:rsidP="006A79D3">
      <w:pPr>
        <w:rPr>
          <w:rFonts w:cs="Times New Roman"/>
          <w:color w:val="222222"/>
          <w:szCs w:val="24"/>
          <w:shd w:val="clear" w:color="auto" w:fill="FFFFFF"/>
        </w:rPr>
      </w:pPr>
      <w:r w:rsidRPr="00F24AB7">
        <w:rPr>
          <w:rFonts w:cs="Times New Roman"/>
          <w:color w:val="222222"/>
          <w:szCs w:val="24"/>
          <w:shd w:val="clear" w:color="auto" w:fill="FFFFFF"/>
        </w:rPr>
        <w:t>Chang, H. (2022). </w:t>
      </w:r>
      <w:r w:rsidRPr="00F24AB7">
        <w:rPr>
          <w:rFonts w:cs="Times New Roman"/>
          <w:i/>
          <w:iCs/>
          <w:color w:val="222222"/>
          <w:szCs w:val="24"/>
          <w:shd w:val="clear" w:color="auto" w:fill="FFFFFF"/>
        </w:rPr>
        <w:t>Realism for realistic people</w:t>
      </w:r>
      <w:r w:rsidRPr="00F24AB7">
        <w:rPr>
          <w:rFonts w:cs="Times New Roman"/>
          <w:color w:val="222222"/>
          <w:szCs w:val="24"/>
          <w:shd w:val="clear" w:color="auto" w:fill="FFFFFF"/>
        </w:rPr>
        <w:t>. Cambridge University Press.</w:t>
      </w:r>
    </w:p>
    <w:p w14:paraId="376D5968" w14:textId="77777777" w:rsidR="00963F9D" w:rsidRDefault="00963F9D" w:rsidP="006A79D3">
      <w:pPr>
        <w:rPr>
          <w:rFonts w:cs="Times New Roman"/>
          <w:color w:val="222222"/>
          <w:szCs w:val="24"/>
          <w:shd w:val="clear" w:color="auto" w:fill="FFFFFF"/>
        </w:rPr>
      </w:pPr>
    </w:p>
    <w:p w14:paraId="506C5CFF" w14:textId="59005551" w:rsidR="00963F9D" w:rsidRDefault="00963F9D" w:rsidP="006A79D3">
      <w:pPr>
        <w:rPr>
          <w:rFonts w:cs="Times New Roman"/>
          <w:color w:val="222222"/>
          <w:szCs w:val="24"/>
          <w:shd w:val="clear" w:color="auto" w:fill="FFFFFF"/>
        </w:rPr>
      </w:pPr>
      <w:r w:rsidRPr="00963F9D">
        <w:rPr>
          <w:rFonts w:cs="Times New Roman"/>
          <w:color w:val="222222"/>
          <w:szCs w:val="24"/>
          <w:shd w:val="clear" w:color="auto" w:fill="FFFFFF"/>
        </w:rPr>
        <w:t>DiMarco, M., &amp; Khalifa, K. (2019). Inquiry tickets: Values, pursuit, and underdetermination. </w:t>
      </w:r>
      <w:r w:rsidRPr="00963F9D">
        <w:rPr>
          <w:rFonts w:cs="Times New Roman"/>
          <w:i/>
          <w:iCs/>
          <w:color w:val="222222"/>
          <w:szCs w:val="24"/>
          <w:shd w:val="clear" w:color="auto" w:fill="FFFFFF"/>
        </w:rPr>
        <w:t>Philosophy of Science</w:t>
      </w:r>
      <w:r w:rsidRPr="00963F9D">
        <w:rPr>
          <w:rFonts w:cs="Times New Roman"/>
          <w:color w:val="222222"/>
          <w:szCs w:val="24"/>
          <w:shd w:val="clear" w:color="auto" w:fill="FFFFFF"/>
        </w:rPr>
        <w:t>, </w:t>
      </w:r>
      <w:r w:rsidRPr="00963F9D">
        <w:rPr>
          <w:rFonts w:cs="Times New Roman"/>
          <w:i/>
          <w:iCs/>
          <w:color w:val="222222"/>
          <w:szCs w:val="24"/>
          <w:shd w:val="clear" w:color="auto" w:fill="FFFFFF"/>
        </w:rPr>
        <w:t>86</w:t>
      </w:r>
      <w:r w:rsidRPr="00963F9D">
        <w:rPr>
          <w:rFonts w:cs="Times New Roman"/>
          <w:color w:val="222222"/>
          <w:szCs w:val="24"/>
          <w:shd w:val="clear" w:color="auto" w:fill="FFFFFF"/>
        </w:rPr>
        <w:t>(5), 1016-1028.</w:t>
      </w:r>
    </w:p>
    <w:p w14:paraId="474546A2" w14:textId="77777777" w:rsidR="00963F9D" w:rsidRDefault="00963F9D" w:rsidP="006A79D3">
      <w:pPr>
        <w:rPr>
          <w:rFonts w:cs="Times New Roman"/>
          <w:color w:val="222222"/>
          <w:szCs w:val="24"/>
          <w:shd w:val="clear" w:color="auto" w:fill="FFFFFF"/>
        </w:rPr>
      </w:pPr>
    </w:p>
    <w:p w14:paraId="4F254615" w14:textId="4B230ED7" w:rsidR="00963F9D" w:rsidRDefault="00963F9D" w:rsidP="006A79D3">
      <w:pPr>
        <w:rPr>
          <w:rFonts w:cs="Times New Roman"/>
          <w:color w:val="222222"/>
          <w:szCs w:val="24"/>
          <w:shd w:val="clear" w:color="auto" w:fill="FFFFFF"/>
        </w:rPr>
      </w:pPr>
      <w:r w:rsidRPr="00963F9D">
        <w:rPr>
          <w:rFonts w:cs="Times New Roman"/>
          <w:color w:val="222222"/>
          <w:szCs w:val="24"/>
          <w:shd w:val="clear" w:color="auto" w:fill="FFFFFF"/>
        </w:rPr>
        <w:t>Douglas, H. (2000). Inductive risk and values in science. </w:t>
      </w:r>
      <w:r w:rsidRPr="00963F9D">
        <w:rPr>
          <w:rFonts w:cs="Times New Roman"/>
          <w:i/>
          <w:iCs/>
          <w:color w:val="222222"/>
          <w:szCs w:val="24"/>
          <w:shd w:val="clear" w:color="auto" w:fill="FFFFFF"/>
        </w:rPr>
        <w:t>Philosophy of science</w:t>
      </w:r>
      <w:r w:rsidRPr="00963F9D">
        <w:rPr>
          <w:rFonts w:cs="Times New Roman"/>
          <w:color w:val="222222"/>
          <w:szCs w:val="24"/>
          <w:shd w:val="clear" w:color="auto" w:fill="FFFFFF"/>
        </w:rPr>
        <w:t>, </w:t>
      </w:r>
      <w:r w:rsidRPr="00963F9D">
        <w:rPr>
          <w:rFonts w:cs="Times New Roman"/>
          <w:i/>
          <w:iCs/>
          <w:color w:val="222222"/>
          <w:szCs w:val="24"/>
          <w:shd w:val="clear" w:color="auto" w:fill="FFFFFF"/>
        </w:rPr>
        <w:t>67</w:t>
      </w:r>
      <w:r w:rsidRPr="00963F9D">
        <w:rPr>
          <w:rFonts w:cs="Times New Roman"/>
          <w:color w:val="222222"/>
          <w:szCs w:val="24"/>
          <w:shd w:val="clear" w:color="auto" w:fill="FFFFFF"/>
        </w:rPr>
        <w:t>(4), 559-579.</w:t>
      </w:r>
    </w:p>
    <w:p w14:paraId="5FDD9572" w14:textId="77777777" w:rsidR="008C7FCD" w:rsidRDefault="008C7FCD" w:rsidP="006A79D3">
      <w:pPr>
        <w:rPr>
          <w:rFonts w:cs="Times New Roman"/>
          <w:color w:val="222222"/>
          <w:shd w:val="clear" w:color="auto" w:fill="FFFFFF"/>
        </w:rPr>
      </w:pPr>
    </w:p>
    <w:p w14:paraId="715F31C2" w14:textId="13089C52" w:rsidR="008C7FCD" w:rsidRDefault="008C7FCD" w:rsidP="006A79D3">
      <w:pPr>
        <w:rPr>
          <w:rFonts w:cs="Times New Roman"/>
          <w:color w:val="222222"/>
          <w:szCs w:val="24"/>
          <w:shd w:val="clear" w:color="auto" w:fill="FFFFFF"/>
        </w:rPr>
      </w:pPr>
      <w:r w:rsidRPr="000148EA">
        <w:rPr>
          <w:rFonts w:cs="Times New Roman"/>
          <w:color w:val="222222"/>
          <w:szCs w:val="24"/>
          <w:shd w:val="clear" w:color="auto" w:fill="FFFFFF"/>
        </w:rPr>
        <w:t>Duncker, K., &amp; Lees, L. S. (1945). On problem-solving. </w:t>
      </w:r>
      <w:r w:rsidRPr="000148EA">
        <w:rPr>
          <w:rFonts w:cs="Times New Roman"/>
          <w:i/>
          <w:iCs/>
          <w:color w:val="222222"/>
          <w:szCs w:val="24"/>
          <w:shd w:val="clear" w:color="auto" w:fill="FFFFFF"/>
        </w:rPr>
        <w:t>Psychological monographs</w:t>
      </w:r>
      <w:r w:rsidRPr="000148EA">
        <w:rPr>
          <w:rFonts w:cs="Times New Roman"/>
          <w:color w:val="222222"/>
          <w:szCs w:val="24"/>
          <w:shd w:val="clear" w:color="auto" w:fill="FFFFFF"/>
        </w:rPr>
        <w:t>, </w:t>
      </w:r>
      <w:r w:rsidRPr="000148EA">
        <w:rPr>
          <w:rFonts w:cs="Times New Roman"/>
          <w:i/>
          <w:iCs/>
          <w:color w:val="222222"/>
          <w:szCs w:val="24"/>
          <w:shd w:val="clear" w:color="auto" w:fill="FFFFFF"/>
        </w:rPr>
        <w:t>58</w:t>
      </w:r>
      <w:r w:rsidRPr="000148EA">
        <w:rPr>
          <w:rFonts w:cs="Times New Roman"/>
          <w:color w:val="222222"/>
          <w:szCs w:val="24"/>
          <w:shd w:val="clear" w:color="auto" w:fill="FFFFFF"/>
        </w:rPr>
        <w:t xml:space="preserve">(5), </w:t>
      </w:r>
      <w:proofErr w:type="spellStart"/>
      <w:r w:rsidRPr="000148EA">
        <w:rPr>
          <w:rFonts w:cs="Times New Roman"/>
          <w:color w:val="222222"/>
          <w:szCs w:val="24"/>
          <w:shd w:val="clear" w:color="auto" w:fill="FFFFFF"/>
        </w:rPr>
        <w:t>i</w:t>
      </w:r>
      <w:proofErr w:type="spellEnd"/>
      <w:r w:rsidRPr="000148EA">
        <w:rPr>
          <w:rFonts w:cs="Times New Roman"/>
          <w:color w:val="222222"/>
          <w:szCs w:val="24"/>
          <w:shd w:val="clear" w:color="auto" w:fill="FFFFFF"/>
        </w:rPr>
        <w:t>.</w:t>
      </w:r>
    </w:p>
    <w:p w14:paraId="75DC3267" w14:textId="77777777" w:rsidR="00963F9D" w:rsidRDefault="00963F9D" w:rsidP="006A79D3">
      <w:pPr>
        <w:rPr>
          <w:rFonts w:cs="Times New Roman"/>
          <w:color w:val="222222"/>
          <w:szCs w:val="24"/>
          <w:shd w:val="clear" w:color="auto" w:fill="FFFFFF"/>
        </w:rPr>
      </w:pPr>
    </w:p>
    <w:p w14:paraId="146D09C6" w14:textId="218FBD2B" w:rsidR="00963F9D" w:rsidRDefault="00963F9D" w:rsidP="006A79D3">
      <w:pPr>
        <w:rPr>
          <w:rFonts w:cs="Times New Roman"/>
          <w:color w:val="222222"/>
          <w:szCs w:val="24"/>
          <w:shd w:val="clear" w:color="auto" w:fill="FFFFFF"/>
        </w:rPr>
      </w:pPr>
      <w:r w:rsidRPr="00842392">
        <w:lastRenderedPageBreak/>
        <w:t>Elliott, Kevin C. 2011. Is a little pollution good for you</w:t>
      </w:r>
      <w:proofErr w:type="gramStart"/>
      <w:r w:rsidRPr="00842392">
        <w:t>? :</w:t>
      </w:r>
      <w:proofErr w:type="gramEnd"/>
      <w:r w:rsidRPr="00842392">
        <w:t xml:space="preserve"> incorporating societal values in environmental research, Environmental ethics and science policy series. New York: Oxford University Press.</w:t>
      </w:r>
    </w:p>
    <w:p w14:paraId="2B44AFD6" w14:textId="77777777" w:rsidR="00F24AB7" w:rsidRDefault="00F24AB7" w:rsidP="006A79D3">
      <w:pPr>
        <w:rPr>
          <w:rFonts w:cs="Times New Roman"/>
          <w:color w:val="222222"/>
          <w:szCs w:val="24"/>
          <w:shd w:val="clear" w:color="auto" w:fill="FFFFFF"/>
        </w:rPr>
      </w:pPr>
    </w:p>
    <w:p w14:paraId="5F74E57A" w14:textId="7CCC62C4" w:rsidR="00F24AB7" w:rsidRPr="008C7FCD" w:rsidRDefault="00F24AB7" w:rsidP="006A79D3">
      <w:pPr>
        <w:rPr>
          <w:rFonts w:cs="Times New Roman"/>
          <w:szCs w:val="24"/>
        </w:rPr>
      </w:pPr>
      <w:r w:rsidRPr="0073050A">
        <w:rPr>
          <w:rFonts w:cs="Times New Roman"/>
          <w:color w:val="222222"/>
          <w:shd w:val="clear" w:color="auto" w:fill="FFFFFF"/>
        </w:rPr>
        <w:t>German, T. P., &amp; Defeyter, M. A. (2000). Immunity to functional fixedness in young children. </w:t>
      </w:r>
      <w:r w:rsidRPr="0073050A">
        <w:rPr>
          <w:rFonts w:cs="Times New Roman"/>
          <w:i/>
          <w:iCs/>
          <w:color w:val="222222"/>
          <w:shd w:val="clear" w:color="auto" w:fill="FFFFFF"/>
        </w:rPr>
        <w:t>Psychonomic Bulletin &amp; Review</w:t>
      </w:r>
      <w:r w:rsidRPr="0073050A">
        <w:rPr>
          <w:rFonts w:cs="Times New Roman"/>
          <w:color w:val="222222"/>
          <w:shd w:val="clear" w:color="auto" w:fill="FFFFFF"/>
        </w:rPr>
        <w:t>, </w:t>
      </w:r>
      <w:r w:rsidRPr="0073050A">
        <w:rPr>
          <w:rFonts w:cs="Times New Roman"/>
          <w:i/>
          <w:iCs/>
          <w:color w:val="222222"/>
          <w:shd w:val="clear" w:color="auto" w:fill="FFFFFF"/>
        </w:rPr>
        <w:t>7</w:t>
      </w:r>
      <w:r w:rsidRPr="0073050A">
        <w:rPr>
          <w:rFonts w:cs="Times New Roman"/>
          <w:color w:val="222222"/>
          <w:shd w:val="clear" w:color="auto" w:fill="FFFFFF"/>
        </w:rPr>
        <w:t>, 707-712</w:t>
      </w:r>
    </w:p>
    <w:p w14:paraId="112BB059" w14:textId="77777777" w:rsidR="00FD0DBA" w:rsidRDefault="00FD0DBA" w:rsidP="006A79D3">
      <w:pPr>
        <w:rPr>
          <w:rFonts w:cs="Times New Roman"/>
          <w:color w:val="222222"/>
          <w:shd w:val="clear" w:color="auto" w:fill="FFFFFF"/>
        </w:rPr>
      </w:pPr>
    </w:p>
    <w:p w14:paraId="5B9EFE1B" w14:textId="2F3D9E6F" w:rsidR="00FD0DBA" w:rsidRDefault="00FD0DBA" w:rsidP="006A79D3">
      <w:pPr>
        <w:rPr>
          <w:rFonts w:cs="Times New Roman"/>
          <w:color w:val="222222"/>
          <w:szCs w:val="24"/>
          <w:shd w:val="clear" w:color="auto" w:fill="FFFFFF"/>
        </w:rPr>
      </w:pPr>
      <w:r w:rsidRPr="00FD0DBA">
        <w:rPr>
          <w:rFonts w:cs="Times New Roman"/>
          <w:color w:val="222222"/>
          <w:szCs w:val="24"/>
          <w:shd w:val="clear" w:color="auto" w:fill="FFFFFF"/>
        </w:rPr>
        <w:t>Griesemer, J. (2013). Integration of approaches in David Wake’s model-taxon research platform for evolutionary morphology. </w:t>
      </w:r>
      <w:r w:rsidRPr="00FD0DBA">
        <w:rPr>
          <w:rFonts w:cs="Times New Roman"/>
          <w:i/>
          <w:iCs/>
          <w:color w:val="222222"/>
          <w:szCs w:val="24"/>
          <w:shd w:val="clear" w:color="auto" w:fill="FFFFFF"/>
        </w:rPr>
        <w:t>Studies in History and Philosophy of Science Part C: Studies in History and Philosophy of Biological and Biomedical Sciences</w:t>
      </w:r>
      <w:r w:rsidRPr="00FD0DBA">
        <w:rPr>
          <w:rFonts w:cs="Times New Roman"/>
          <w:color w:val="222222"/>
          <w:szCs w:val="24"/>
          <w:shd w:val="clear" w:color="auto" w:fill="FFFFFF"/>
        </w:rPr>
        <w:t>, </w:t>
      </w:r>
      <w:r w:rsidRPr="00FD0DBA">
        <w:rPr>
          <w:rFonts w:cs="Times New Roman"/>
          <w:i/>
          <w:iCs/>
          <w:color w:val="222222"/>
          <w:szCs w:val="24"/>
          <w:shd w:val="clear" w:color="auto" w:fill="FFFFFF"/>
        </w:rPr>
        <w:t>44</w:t>
      </w:r>
      <w:r w:rsidRPr="00FD0DBA">
        <w:rPr>
          <w:rFonts w:cs="Times New Roman"/>
          <w:color w:val="222222"/>
          <w:szCs w:val="24"/>
          <w:shd w:val="clear" w:color="auto" w:fill="FFFFFF"/>
        </w:rPr>
        <w:t>(4), 525-536.</w:t>
      </w:r>
    </w:p>
    <w:p w14:paraId="05AD74A9" w14:textId="77777777" w:rsidR="00963F9D" w:rsidRDefault="00963F9D" w:rsidP="006A79D3">
      <w:pPr>
        <w:rPr>
          <w:rFonts w:cs="Times New Roman"/>
          <w:color w:val="222222"/>
          <w:szCs w:val="24"/>
          <w:shd w:val="clear" w:color="auto" w:fill="FFFFFF"/>
        </w:rPr>
      </w:pPr>
    </w:p>
    <w:p w14:paraId="2B54EE98" w14:textId="20574EEB" w:rsidR="00963F9D" w:rsidRDefault="00963F9D" w:rsidP="006A79D3">
      <w:pPr>
        <w:rPr>
          <w:rFonts w:cs="Times New Roman"/>
          <w:color w:val="222222"/>
          <w:szCs w:val="24"/>
          <w:shd w:val="clear" w:color="auto" w:fill="FFFFFF"/>
        </w:rPr>
      </w:pPr>
      <w:r w:rsidRPr="00963F9D">
        <w:rPr>
          <w:rFonts w:cs="Times New Roman"/>
          <w:color w:val="222222"/>
          <w:szCs w:val="24"/>
          <w:shd w:val="clear" w:color="auto" w:fill="FFFFFF"/>
        </w:rPr>
        <w:t xml:space="preserve">Holman, B., &amp; </w:t>
      </w:r>
      <w:proofErr w:type="spellStart"/>
      <w:r w:rsidRPr="00963F9D">
        <w:rPr>
          <w:rFonts w:cs="Times New Roman"/>
          <w:color w:val="222222"/>
          <w:szCs w:val="24"/>
          <w:shd w:val="clear" w:color="auto" w:fill="FFFFFF"/>
        </w:rPr>
        <w:t>Wilholt</w:t>
      </w:r>
      <w:proofErr w:type="spellEnd"/>
      <w:r w:rsidRPr="00963F9D">
        <w:rPr>
          <w:rFonts w:cs="Times New Roman"/>
          <w:color w:val="222222"/>
          <w:szCs w:val="24"/>
          <w:shd w:val="clear" w:color="auto" w:fill="FFFFFF"/>
        </w:rPr>
        <w:t>, T. (2022). The new demarcation problem. </w:t>
      </w:r>
      <w:r w:rsidRPr="00963F9D">
        <w:rPr>
          <w:rFonts w:cs="Times New Roman"/>
          <w:i/>
          <w:iCs/>
          <w:color w:val="222222"/>
          <w:szCs w:val="24"/>
          <w:shd w:val="clear" w:color="auto" w:fill="FFFFFF"/>
        </w:rPr>
        <w:t>Studies in history and philosophy of science</w:t>
      </w:r>
      <w:r w:rsidRPr="00963F9D">
        <w:rPr>
          <w:rFonts w:cs="Times New Roman"/>
          <w:color w:val="222222"/>
          <w:szCs w:val="24"/>
          <w:shd w:val="clear" w:color="auto" w:fill="FFFFFF"/>
        </w:rPr>
        <w:t>, </w:t>
      </w:r>
      <w:r w:rsidRPr="00963F9D">
        <w:rPr>
          <w:rFonts w:cs="Times New Roman"/>
          <w:i/>
          <w:iCs/>
          <w:color w:val="222222"/>
          <w:szCs w:val="24"/>
          <w:shd w:val="clear" w:color="auto" w:fill="FFFFFF"/>
        </w:rPr>
        <w:t>91</w:t>
      </w:r>
      <w:r w:rsidRPr="00963F9D">
        <w:rPr>
          <w:rFonts w:cs="Times New Roman"/>
          <w:color w:val="222222"/>
          <w:szCs w:val="24"/>
          <w:shd w:val="clear" w:color="auto" w:fill="FFFFFF"/>
        </w:rPr>
        <w:t>, 211-220.</w:t>
      </w:r>
    </w:p>
    <w:p w14:paraId="55C10AA1" w14:textId="77777777" w:rsidR="00972995" w:rsidRDefault="00972995" w:rsidP="006A79D3">
      <w:pPr>
        <w:rPr>
          <w:rFonts w:cs="Times New Roman"/>
          <w:color w:val="222222"/>
          <w:szCs w:val="24"/>
          <w:shd w:val="clear" w:color="auto" w:fill="FFFFFF"/>
        </w:rPr>
      </w:pPr>
    </w:p>
    <w:p w14:paraId="475CE8BC" w14:textId="24E56743" w:rsidR="00972995" w:rsidRDefault="00972995" w:rsidP="006A79D3">
      <w:r>
        <w:t>Howard, J. (1996). The movement of kinesin along microtubules. Annual review of physiology, 58(1), 703–729.</w:t>
      </w:r>
    </w:p>
    <w:p w14:paraId="4BD69153" w14:textId="77777777" w:rsidR="00972995" w:rsidRDefault="00972995" w:rsidP="006A79D3"/>
    <w:p w14:paraId="576CC391" w14:textId="02976B5F" w:rsidR="00972995" w:rsidRDefault="00972995" w:rsidP="006A79D3">
      <w:r>
        <w:t>Hua, W., Chung, J., &amp; Gelles, J. (2002). Distinguishing inchworm and hand-over-hand processive kinesin movement by neck rotation measurements. Science, 295(5556), 844–848.</w:t>
      </w:r>
    </w:p>
    <w:p w14:paraId="47272EDC" w14:textId="77777777" w:rsidR="00963F9D" w:rsidRDefault="00963F9D" w:rsidP="006A79D3"/>
    <w:p w14:paraId="61FEB2FF" w14:textId="23CFC9C5" w:rsidR="00963F9D" w:rsidRPr="00FD0DBA" w:rsidRDefault="00963F9D" w:rsidP="006A79D3">
      <w:pPr>
        <w:rPr>
          <w:rFonts w:cs="Times New Roman"/>
          <w:szCs w:val="24"/>
        </w:rPr>
      </w:pPr>
      <w:r w:rsidRPr="00842392">
        <w:t>Intemann, Kristen. 2005. "Feminism, underdetermination, and values in science." Philosophy of Science 72 (5):1001-1012.</w:t>
      </w:r>
    </w:p>
    <w:p w14:paraId="41241531" w14:textId="77777777" w:rsidR="00764384" w:rsidRPr="000148EA" w:rsidRDefault="00764384" w:rsidP="006A79D3">
      <w:pPr>
        <w:rPr>
          <w:rFonts w:cs="Times New Roman"/>
          <w:szCs w:val="24"/>
        </w:rPr>
      </w:pPr>
    </w:p>
    <w:p w14:paraId="239F5602" w14:textId="3ED149C4" w:rsidR="00F24AB7" w:rsidRDefault="00F24AB7" w:rsidP="00660922">
      <w:pPr>
        <w:rPr>
          <w:rFonts w:cs="Times New Roman"/>
          <w:szCs w:val="24"/>
        </w:rPr>
      </w:pPr>
      <w:r w:rsidRPr="00F24AB7">
        <w:rPr>
          <w:rFonts w:cs="Times New Roman"/>
          <w:szCs w:val="24"/>
        </w:rPr>
        <w:t>Kauffman, S. A. (2014). Prolegomenon to patterns in evolution. </w:t>
      </w:r>
      <w:r w:rsidRPr="00F24AB7">
        <w:rPr>
          <w:rFonts w:cs="Times New Roman"/>
          <w:i/>
          <w:iCs/>
          <w:szCs w:val="24"/>
        </w:rPr>
        <w:t>Biosystems</w:t>
      </w:r>
      <w:r w:rsidRPr="00F24AB7">
        <w:rPr>
          <w:rFonts w:cs="Times New Roman"/>
          <w:szCs w:val="24"/>
        </w:rPr>
        <w:t>, </w:t>
      </w:r>
      <w:r w:rsidRPr="00F24AB7">
        <w:rPr>
          <w:rFonts w:cs="Times New Roman"/>
          <w:i/>
          <w:iCs/>
          <w:szCs w:val="24"/>
        </w:rPr>
        <w:t>123</w:t>
      </w:r>
      <w:r w:rsidRPr="00F24AB7">
        <w:rPr>
          <w:rFonts w:cs="Times New Roman"/>
          <w:szCs w:val="24"/>
        </w:rPr>
        <w:t>, 3-8.</w:t>
      </w:r>
    </w:p>
    <w:p w14:paraId="6A589B57" w14:textId="77777777" w:rsidR="00A22D9A" w:rsidRDefault="00A22D9A" w:rsidP="00660922">
      <w:pPr>
        <w:rPr>
          <w:rFonts w:cs="Times New Roman"/>
          <w:szCs w:val="24"/>
        </w:rPr>
      </w:pPr>
    </w:p>
    <w:p w14:paraId="5EF23AA3" w14:textId="48978A1D" w:rsidR="00A22D9A" w:rsidRDefault="00A22D9A" w:rsidP="00660922">
      <w:pPr>
        <w:rPr>
          <w:rFonts w:cs="Times New Roman"/>
          <w:szCs w:val="24"/>
        </w:rPr>
      </w:pPr>
      <w:r w:rsidRPr="006511FE">
        <w:rPr>
          <w:rFonts w:cs="Times New Roman"/>
          <w:color w:val="222222"/>
          <w:shd w:val="clear" w:color="auto" w:fill="FFFFFF"/>
        </w:rPr>
        <w:t>Kauffman, S. A. (2019). </w:t>
      </w:r>
      <w:r w:rsidRPr="006511FE">
        <w:rPr>
          <w:rFonts w:cs="Times New Roman"/>
          <w:i/>
          <w:iCs/>
          <w:color w:val="222222"/>
          <w:shd w:val="clear" w:color="auto" w:fill="FFFFFF"/>
        </w:rPr>
        <w:t>A world beyond physics: the emergence and evolution of life</w:t>
      </w:r>
      <w:r w:rsidRPr="006511FE">
        <w:rPr>
          <w:rFonts w:cs="Times New Roman"/>
          <w:color w:val="222222"/>
          <w:shd w:val="clear" w:color="auto" w:fill="FFFFFF"/>
        </w:rPr>
        <w:t>. Oxford University Press.</w:t>
      </w:r>
    </w:p>
    <w:p w14:paraId="40F198A3" w14:textId="77777777" w:rsidR="00F24AB7" w:rsidRDefault="00F24AB7" w:rsidP="00660922">
      <w:pPr>
        <w:rPr>
          <w:rFonts w:cs="Times New Roman"/>
          <w:szCs w:val="24"/>
        </w:rPr>
      </w:pPr>
    </w:p>
    <w:p w14:paraId="562208EF" w14:textId="77777777" w:rsidR="00F24AB7" w:rsidRDefault="00F24AB7" w:rsidP="00F24AB7">
      <w:pPr>
        <w:rPr>
          <w:rFonts w:cs="Times New Roman"/>
          <w:color w:val="222222"/>
          <w:szCs w:val="24"/>
          <w:shd w:val="clear" w:color="auto" w:fill="FFFFFF"/>
        </w:rPr>
      </w:pPr>
      <w:r w:rsidRPr="000148EA">
        <w:rPr>
          <w:rFonts w:cs="Times New Roman"/>
          <w:color w:val="222222"/>
          <w:szCs w:val="24"/>
          <w:shd w:val="clear" w:color="auto" w:fill="FFFFFF"/>
        </w:rPr>
        <w:t>Kitcher, P. (2001). </w:t>
      </w:r>
      <w:r w:rsidRPr="000148EA">
        <w:rPr>
          <w:rFonts w:cs="Times New Roman"/>
          <w:i/>
          <w:iCs/>
          <w:color w:val="222222"/>
          <w:szCs w:val="24"/>
          <w:shd w:val="clear" w:color="auto" w:fill="FFFFFF"/>
        </w:rPr>
        <w:t>Science, truth, and democracy</w:t>
      </w:r>
      <w:r w:rsidRPr="000148EA">
        <w:rPr>
          <w:rFonts w:cs="Times New Roman"/>
          <w:color w:val="222222"/>
          <w:szCs w:val="24"/>
          <w:shd w:val="clear" w:color="auto" w:fill="FFFFFF"/>
        </w:rPr>
        <w:t>. Oxford University Press.</w:t>
      </w:r>
    </w:p>
    <w:p w14:paraId="009102B8" w14:textId="77777777" w:rsidR="00F24AB7" w:rsidRDefault="00F24AB7" w:rsidP="00660922">
      <w:pPr>
        <w:rPr>
          <w:rFonts w:cs="Times New Roman"/>
          <w:color w:val="222222"/>
          <w:szCs w:val="24"/>
          <w:shd w:val="clear" w:color="auto" w:fill="FFFFFF"/>
        </w:rPr>
      </w:pPr>
    </w:p>
    <w:p w14:paraId="4079CB60" w14:textId="10574F7C" w:rsidR="00F24AB7" w:rsidRDefault="00F24AB7" w:rsidP="00660922">
      <w:pPr>
        <w:rPr>
          <w:rFonts w:cs="Times New Roman"/>
          <w:color w:val="222222"/>
          <w:szCs w:val="24"/>
          <w:shd w:val="clear" w:color="auto" w:fill="FFFFFF"/>
        </w:rPr>
      </w:pPr>
      <w:r w:rsidRPr="00660922">
        <w:rPr>
          <w:rFonts w:cs="Times New Roman"/>
          <w:color w:val="222222"/>
          <w:szCs w:val="24"/>
          <w:shd w:val="clear" w:color="auto" w:fill="FFFFFF"/>
        </w:rPr>
        <w:t xml:space="preserve">Kukla, A. (1996). Does every theory have empirically equivalent </w:t>
      </w:r>
      <w:proofErr w:type="gramStart"/>
      <w:r w:rsidRPr="00660922">
        <w:rPr>
          <w:rFonts w:cs="Times New Roman"/>
          <w:color w:val="222222"/>
          <w:szCs w:val="24"/>
          <w:shd w:val="clear" w:color="auto" w:fill="FFFFFF"/>
        </w:rPr>
        <w:t>rivals?.</w:t>
      </w:r>
      <w:proofErr w:type="gramEnd"/>
      <w:r w:rsidRPr="00660922">
        <w:rPr>
          <w:rFonts w:cs="Times New Roman"/>
          <w:color w:val="222222"/>
          <w:szCs w:val="24"/>
          <w:shd w:val="clear" w:color="auto" w:fill="FFFFFF"/>
        </w:rPr>
        <w:t xml:space="preserve"> </w:t>
      </w:r>
      <w:proofErr w:type="spellStart"/>
      <w:r w:rsidRPr="00660922">
        <w:rPr>
          <w:rFonts w:cs="Times New Roman"/>
          <w:color w:val="222222"/>
          <w:szCs w:val="24"/>
          <w:shd w:val="clear" w:color="auto" w:fill="FFFFFF"/>
        </w:rPr>
        <w:t>Erkenntnis</w:t>
      </w:r>
      <w:proofErr w:type="spellEnd"/>
      <w:r w:rsidRPr="00660922">
        <w:rPr>
          <w:rFonts w:cs="Times New Roman"/>
          <w:i/>
          <w:iCs/>
          <w:color w:val="222222"/>
          <w:szCs w:val="24"/>
          <w:shd w:val="clear" w:color="auto" w:fill="FFFFFF"/>
        </w:rPr>
        <w:t>, 44</w:t>
      </w:r>
      <w:r w:rsidRPr="00660922">
        <w:rPr>
          <w:rFonts w:cs="Times New Roman"/>
          <w:color w:val="222222"/>
          <w:szCs w:val="24"/>
          <w:shd w:val="clear" w:color="auto" w:fill="FFFFFF"/>
        </w:rPr>
        <w:t>(2), 137-166.</w:t>
      </w:r>
    </w:p>
    <w:p w14:paraId="565A595D" w14:textId="77777777" w:rsidR="00A22D9A" w:rsidRDefault="00A22D9A" w:rsidP="00660922">
      <w:pPr>
        <w:rPr>
          <w:rFonts w:cs="Times New Roman"/>
          <w:color w:val="222222"/>
          <w:szCs w:val="24"/>
          <w:shd w:val="clear" w:color="auto" w:fill="FFFFFF"/>
        </w:rPr>
      </w:pPr>
    </w:p>
    <w:p w14:paraId="494D0F40" w14:textId="77777777" w:rsidR="00A22D9A" w:rsidRPr="00F24AB7" w:rsidRDefault="00A22D9A" w:rsidP="00A22D9A">
      <w:pPr>
        <w:rPr>
          <w:rFonts w:cs="Times New Roman"/>
          <w:color w:val="222222"/>
          <w:szCs w:val="24"/>
          <w:shd w:val="clear" w:color="auto" w:fill="FFFFFF"/>
        </w:rPr>
      </w:pPr>
      <w:r w:rsidRPr="00A22D9A">
        <w:rPr>
          <w:rFonts w:cs="Times New Roman"/>
          <w:color w:val="222222"/>
          <w:szCs w:val="24"/>
          <w:shd w:val="clear" w:color="auto" w:fill="FFFFFF"/>
        </w:rPr>
        <w:t>Longino, H. E. (1990). </w:t>
      </w:r>
      <w:r w:rsidRPr="00A22D9A">
        <w:rPr>
          <w:rFonts w:cs="Times New Roman"/>
          <w:i/>
          <w:iCs/>
          <w:color w:val="222222"/>
          <w:szCs w:val="24"/>
          <w:shd w:val="clear" w:color="auto" w:fill="FFFFFF"/>
        </w:rPr>
        <w:t>Science as social knowledge: Values and objectivity in scientific inquiry</w:t>
      </w:r>
      <w:r w:rsidRPr="00A22D9A">
        <w:rPr>
          <w:rFonts w:cs="Times New Roman"/>
          <w:color w:val="222222"/>
          <w:szCs w:val="24"/>
          <w:shd w:val="clear" w:color="auto" w:fill="FFFFFF"/>
        </w:rPr>
        <w:t>. Princeton, NJ: Princeton University Press.</w:t>
      </w:r>
    </w:p>
    <w:p w14:paraId="269BFD31" w14:textId="6A96AC42" w:rsidR="00A22D9A" w:rsidRDefault="00A22D9A" w:rsidP="00660922">
      <w:pPr>
        <w:rPr>
          <w:rFonts w:cs="Times New Roman"/>
          <w:color w:val="222222"/>
          <w:szCs w:val="24"/>
          <w:shd w:val="clear" w:color="auto" w:fill="FFFFFF"/>
        </w:rPr>
      </w:pPr>
    </w:p>
    <w:p w14:paraId="5765DA42" w14:textId="79900EFD" w:rsidR="00A22D9A" w:rsidRDefault="00A22D9A" w:rsidP="00660922">
      <w:pPr>
        <w:rPr>
          <w:rFonts w:cs="Times New Roman"/>
          <w:color w:val="222222"/>
          <w:szCs w:val="24"/>
          <w:shd w:val="clear" w:color="auto" w:fill="FFFFFF"/>
        </w:rPr>
      </w:pPr>
      <w:r w:rsidRPr="00A22D9A">
        <w:rPr>
          <w:rFonts w:cs="Times New Roman"/>
          <w:color w:val="222222"/>
          <w:szCs w:val="24"/>
          <w:shd w:val="clear" w:color="auto" w:fill="FFFFFF"/>
        </w:rPr>
        <w:t>Longino, H. (2016). </w:t>
      </w:r>
      <w:r w:rsidRPr="00A22D9A">
        <w:rPr>
          <w:rFonts w:cs="Times New Roman"/>
          <w:i/>
          <w:iCs/>
          <w:color w:val="222222"/>
          <w:szCs w:val="24"/>
          <w:shd w:val="clear" w:color="auto" w:fill="FFFFFF"/>
        </w:rPr>
        <w:t xml:space="preserve">Underdetermination: A Dirty Little </w:t>
      </w:r>
      <w:proofErr w:type="gramStart"/>
      <w:r w:rsidRPr="00A22D9A">
        <w:rPr>
          <w:rFonts w:cs="Times New Roman"/>
          <w:i/>
          <w:iCs/>
          <w:color w:val="222222"/>
          <w:szCs w:val="24"/>
          <w:shd w:val="clear" w:color="auto" w:fill="FFFFFF"/>
        </w:rPr>
        <w:t>Secret?</w:t>
      </w:r>
      <w:r w:rsidRPr="00A22D9A">
        <w:rPr>
          <w:rFonts w:cs="Times New Roman"/>
          <w:color w:val="222222"/>
          <w:szCs w:val="24"/>
          <w:shd w:val="clear" w:color="auto" w:fill="FFFFFF"/>
        </w:rPr>
        <w:t>.</w:t>
      </w:r>
      <w:proofErr w:type="gramEnd"/>
      <w:r w:rsidRPr="00A22D9A">
        <w:rPr>
          <w:rFonts w:cs="Times New Roman"/>
          <w:color w:val="222222"/>
          <w:szCs w:val="24"/>
          <w:shd w:val="clear" w:color="auto" w:fill="FFFFFF"/>
        </w:rPr>
        <w:t xml:space="preserve"> Department of Science and Technology Studies, UCL.</w:t>
      </w:r>
    </w:p>
    <w:p w14:paraId="19A6EFD1" w14:textId="77777777" w:rsidR="00F24AB7" w:rsidRDefault="00F24AB7" w:rsidP="00F24AB7"/>
    <w:p w14:paraId="102F038B" w14:textId="76A7AD0E" w:rsidR="00F24AB7" w:rsidRPr="00660922" w:rsidRDefault="00F24AB7" w:rsidP="00F24AB7">
      <w:pPr>
        <w:rPr>
          <w:rFonts w:cs="Times New Roman"/>
          <w:color w:val="222222"/>
          <w:szCs w:val="24"/>
          <w:shd w:val="clear" w:color="auto" w:fill="FFFFFF"/>
        </w:rPr>
      </w:pPr>
      <w:r w:rsidRPr="004F3FD7">
        <w:t>Norton, J. D. (2021). </w:t>
      </w:r>
      <w:r w:rsidRPr="00DC3905">
        <w:rPr>
          <w:i/>
          <w:iCs/>
        </w:rPr>
        <w:t>The material theory of induction</w:t>
      </w:r>
      <w:r w:rsidRPr="00DC3905">
        <w:t> (p. 680). University of Calgary Press.</w:t>
      </w:r>
    </w:p>
    <w:p w14:paraId="000136AD" w14:textId="77777777" w:rsidR="00F24AB7" w:rsidRDefault="00F24AB7" w:rsidP="00660922">
      <w:pPr>
        <w:rPr>
          <w:rFonts w:cs="Times New Roman"/>
          <w:szCs w:val="24"/>
        </w:rPr>
      </w:pPr>
    </w:p>
    <w:p w14:paraId="069F1FF3" w14:textId="77777777" w:rsidR="00F24AB7" w:rsidRPr="00660922" w:rsidRDefault="00F24AB7" w:rsidP="00F24AB7">
      <w:pPr>
        <w:rPr>
          <w:rFonts w:cs="Times New Roman"/>
          <w:szCs w:val="24"/>
        </w:rPr>
      </w:pPr>
      <w:r w:rsidRPr="00660922">
        <w:rPr>
          <w:rFonts w:cs="Times New Roman"/>
          <w:szCs w:val="24"/>
        </w:rPr>
        <w:t>Quine, W. V. O. (1951). Two dogmas of empiricism. The Philosophical Review,60,20–43.</w:t>
      </w:r>
    </w:p>
    <w:p w14:paraId="2A39CDF6" w14:textId="77777777" w:rsidR="00F24AB7" w:rsidRDefault="00F24AB7" w:rsidP="00660922">
      <w:pPr>
        <w:rPr>
          <w:rFonts w:cs="Times New Roman"/>
          <w:szCs w:val="24"/>
        </w:rPr>
      </w:pPr>
    </w:p>
    <w:p w14:paraId="4738C057" w14:textId="77777777" w:rsidR="00F24AB7" w:rsidRPr="000148EA" w:rsidRDefault="00F24AB7" w:rsidP="00F24AB7">
      <w:pPr>
        <w:rPr>
          <w:rFonts w:cs="Times New Roman"/>
          <w:color w:val="222222"/>
          <w:szCs w:val="24"/>
          <w:shd w:val="clear" w:color="auto" w:fill="FFFFFF"/>
        </w:rPr>
      </w:pPr>
      <w:proofErr w:type="spellStart"/>
      <w:r w:rsidRPr="0073050A">
        <w:rPr>
          <w:rFonts w:cs="Times New Roman"/>
          <w:color w:val="222222"/>
          <w:shd w:val="clear" w:color="auto" w:fill="FFFFFF"/>
        </w:rPr>
        <w:lastRenderedPageBreak/>
        <w:t>Sozański</w:t>
      </w:r>
      <w:proofErr w:type="spellEnd"/>
      <w:r w:rsidRPr="0073050A">
        <w:rPr>
          <w:rFonts w:cs="Times New Roman"/>
          <w:color w:val="222222"/>
          <w:shd w:val="clear" w:color="auto" w:fill="FFFFFF"/>
        </w:rPr>
        <w:t xml:space="preserve">, K., Ruhnow, F., </w:t>
      </w:r>
      <w:proofErr w:type="spellStart"/>
      <w:r w:rsidRPr="0073050A">
        <w:rPr>
          <w:rFonts w:cs="Times New Roman"/>
          <w:color w:val="222222"/>
          <w:shd w:val="clear" w:color="auto" w:fill="FFFFFF"/>
        </w:rPr>
        <w:t>Wiśniewska</w:t>
      </w:r>
      <w:proofErr w:type="spellEnd"/>
      <w:r w:rsidRPr="0073050A">
        <w:rPr>
          <w:rFonts w:cs="Times New Roman"/>
          <w:color w:val="222222"/>
          <w:shd w:val="clear" w:color="auto" w:fill="FFFFFF"/>
        </w:rPr>
        <w:t xml:space="preserve">, A., Tabaka, M., Diez, S., &amp; </w:t>
      </w:r>
      <w:proofErr w:type="spellStart"/>
      <w:r w:rsidRPr="0073050A">
        <w:rPr>
          <w:rFonts w:cs="Times New Roman"/>
          <w:color w:val="222222"/>
          <w:shd w:val="clear" w:color="auto" w:fill="FFFFFF"/>
        </w:rPr>
        <w:t>Hołyst</w:t>
      </w:r>
      <w:proofErr w:type="spellEnd"/>
      <w:r w:rsidRPr="0073050A">
        <w:rPr>
          <w:rFonts w:cs="Times New Roman"/>
          <w:color w:val="222222"/>
          <w:shd w:val="clear" w:color="auto" w:fill="FFFFFF"/>
        </w:rPr>
        <w:t>, R. (2015). Small crowders slow down kinesin-1 stepping by hindering motor domain diffusion. </w:t>
      </w:r>
      <w:r w:rsidRPr="0073050A">
        <w:rPr>
          <w:rFonts w:cs="Times New Roman"/>
          <w:i/>
          <w:iCs/>
          <w:color w:val="222222"/>
          <w:shd w:val="clear" w:color="auto" w:fill="FFFFFF"/>
        </w:rPr>
        <w:t>Physical review letters</w:t>
      </w:r>
      <w:r w:rsidRPr="0073050A">
        <w:rPr>
          <w:rFonts w:cs="Times New Roman"/>
          <w:color w:val="222222"/>
          <w:shd w:val="clear" w:color="auto" w:fill="FFFFFF"/>
        </w:rPr>
        <w:t>, </w:t>
      </w:r>
      <w:r w:rsidRPr="0073050A">
        <w:rPr>
          <w:rFonts w:cs="Times New Roman"/>
          <w:i/>
          <w:iCs/>
          <w:color w:val="222222"/>
          <w:shd w:val="clear" w:color="auto" w:fill="FFFFFF"/>
        </w:rPr>
        <w:t>115</w:t>
      </w:r>
      <w:r w:rsidRPr="0073050A">
        <w:rPr>
          <w:rFonts w:cs="Times New Roman"/>
          <w:color w:val="222222"/>
          <w:shd w:val="clear" w:color="auto" w:fill="FFFFFF"/>
        </w:rPr>
        <w:t>(21), 218102.</w:t>
      </w:r>
    </w:p>
    <w:p w14:paraId="5E6E4422" w14:textId="5D8E9230" w:rsidR="00F24AB7" w:rsidRDefault="00F24AB7" w:rsidP="00660922">
      <w:pPr>
        <w:rPr>
          <w:rFonts w:cs="Times New Roman"/>
          <w:szCs w:val="24"/>
        </w:rPr>
      </w:pPr>
    </w:p>
    <w:p w14:paraId="63FE561A" w14:textId="3AF18453" w:rsidR="00764384" w:rsidRPr="000148EA" w:rsidRDefault="00660922" w:rsidP="00660922">
      <w:pPr>
        <w:rPr>
          <w:rFonts w:cs="Times New Roman"/>
          <w:szCs w:val="24"/>
        </w:rPr>
      </w:pPr>
      <w:r w:rsidRPr="00660922">
        <w:rPr>
          <w:rFonts w:cs="Times New Roman"/>
          <w:szCs w:val="24"/>
        </w:rPr>
        <w:t xml:space="preserve">Stanford, P.K. (2001). Refusing the devil’s bargain: What kind of underdetermination should we take seriously? </w:t>
      </w:r>
      <w:r w:rsidRPr="00660922">
        <w:rPr>
          <w:rFonts w:cs="Times New Roman"/>
          <w:i/>
          <w:iCs/>
          <w:szCs w:val="24"/>
        </w:rPr>
        <w:t>Philosophy of Science</w:t>
      </w:r>
      <w:r w:rsidRPr="00660922">
        <w:rPr>
          <w:rFonts w:cs="Times New Roman"/>
          <w:szCs w:val="24"/>
        </w:rPr>
        <w:t>, 68, S1-S12</w:t>
      </w:r>
    </w:p>
    <w:p w14:paraId="50F7686F" w14:textId="09FBC8C4" w:rsidR="00DF4D3B" w:rsidRPr="000148EA" w:rsidRDefault="008E3476" w:rsidP="00F24AB7">
      <w:pPr>
        <w:ind w:firstLine="720"/>
        <w:rPr>
          <w:rFonts w:cs="Times New Roman"/>
          <w:szCs w:val="24"/>
        </w:rPr>
      </w:pPr>
      <w:r w:rsidRPr="000148EA">
        <w:rPr>
          <w:rFonts w:cs="Times New Roman"/>
          <w:szCs w:val="24"/>
        </w:rPr>
        <w:t xml:space="preserve"> </w:t>
      </w:r>
    </w:p>
    <w:p w14:paraId="13F30263" w14:textId="18BF4709" w:rsidR="000D43A7" w:rsidRPr="000148EA" w:rsidRDefault="000D43A7" w:rsidP="00A462E6">
      <w:pPr>
        <w:rPr>
          <w:rFonts w:cs="Times New Roman"/>
          <w:color w:val="222222"/>
          <w:szCs w:val="24"/>
          <w:shd w:val="clear" w:color="auto" w:fill="FFFFFF"/>
        </w:rPr>
      </w:pPr>
      <w:r w:rsidRPr="000148EA">
        <w:rPr>
          <w:rFonts w:cs="Times New Roman"/>
          <w:color w:val="222222"/>
          <w:szCs w:val="24"/>
          <w:shd w:val="clear" w:color="auto" w:fill="FFFFFF"/>
        </w:rPr>
        <w:t>Turnbull, M. G. (2018). Underdetermination in science: What it is and why we should care. </w:t>
      </w:r>
      <w:r w:rsidRPr="000148EA">
        <w:rPr>
          <w:rFonts w:cs="Times New Roman"/>
          <w:i/>
          <w:iCs/>
          <w:color w:val="222222"/>
          <w:szCs w:val="24"/>
          <w:shd w:val="clear" w:color="auto" w:fill="FFFFFF"/>
        </w:rPr>
        <w:t>Philosophy Compass</w:t>
      </w:r>
      <w:r w:rsidRPr="000148EA">
        <w:rPr>
          <w:rFonts w:cs="Times New Roman"/>
          <w:color w:val="222222"/>
          <w:szCs w:val="24"/>
          <w:shd w:val="clear" w:color="auto" w:fill="FFFFFF"/>
        </w:rPr>
        <w:t>, </w:t>
      </w:r>
      <w:r w:rsidRPr="000148EA">
        <w:rPr>
          <w:rFonts w:cs="Times New Roman"/>
          <w:i/>
          <w:iCs/>
          <w:color w:val="222222"/>
          <w:szCs w:val="24"/>
          <w:shd w:val="clear" w:color="auto" w:fill="FFFFFF"/>
        </w:rPr>
        <w:t>13</w:t>
      </w:r>
      <w:r w:rsidRPr="000148EA">
        <w:rPr>
          <w:rFonts w:cs="Times New Roman"/>
          <w:color w:val="222222"/>
          <w:szCs w:val="24"/>
          <w:shd w:val="clear" w:color="auto" w:fill="FFFFFF"/>
        </w:rPr>
        <w:t>(2), e12475.</w:t>
      </w:r>
    </w:p>
    <w:p w14:paraId="58F075DA" w14:textId="77777777" w:rsidR="008C7FCD" w:rsidRDefault="008C7FCD" w:rsidP="000148EA">
      <w:pPr>
        <w:rPr>
          <w:rFonts w:cs="Times New Roman"/>
          <w:color w:val="222222"/>
          <w:szCs w:val="24"/>
          <w:shd w:val="clear" w:color="auto" w:fill="FFFFFF"/>
        </w:rPr>
      </w:pPr>
    </w:p>
    <w:p w14:paraId="64C41EF2" w14:textId="52E412F6" w:rsidR="008C7FCD" w:rsidRDefault="008C7FCD" w:rsidP="000148EA">
      <w:r w:rsidRPr="00790C43">
        <w:t>Wimsatt, W. C. (2007). </w:t>
      </w:r>
      <w:r w:rsidRPr="00790C43">
        <w:rPr>
          <w:i/>
          <w:iCs/>
        </w:rPr>
        <w:t>Re-engineering philosophy for limited beings: Piecewise approximations to reality</w:t>
      </w:r>
      <w:r w:rsidRPr="00790C43">
        <w:t>. Harvard University Press.</w:t>
      </w:r>
    </w:p>
    <w:p w14:paraId="7FC0134F" w14:textId="77777777" w:rsidR="00972995" w:rsidRDefault="00972995" w:rsidP="000148EA"/>
    <w:p w14:paraId="6DA3A3A8" w14:textId="323FCA95" w:rsidR="00972995" w:rsidRPr="000148EA" w:rsidRDefault="00972995" w:rsidP="000148EA">
      <w:pPr>
        <w:rPr>
          <w:rFonts w:cs="Times New Roman"/>
          <w:szCs w:val="24"/>
        </w:rPr>
      </w:pPr>
      <w:r w:rsidRPr="00FF0DBC">
        <w:rPr>
          <w:rFonts w:cs="Times New Roman"/>
          <w:color w:val="222222"/>
          <w:shd w:val="clear" w:color="auto" w:fill="FFFFFF"/>
        </w:rPr>
        <w:t>Woodward, J. F. (2011). Data and phenomena: A restatement and defense. </w:t>
      </w:r>
      <w:proofErr w:type="spellStart"/>
      <w:r w:rsidRPr="00FF0DBC">
        <w:rPr>
          <w:rFonts w:cs="Times New Roman"/>
          <w:i/>
          <w:iCs/>
          <w:color w:val="222222"/>
          <w:shd w:val="clear" w:color="auto" w:fill="FFFFFF"/>
        </w:rPr>
        <w:t>Synthese</w:t>
      </w:r>
      <w:proofErr w:type="spellEnd"/>
      <w:r w:rsidRPr="00FF0DBC">
        <w:rPr>
          <w:rFonts w:cs="Times New Roman"/>
          <w:color w:val="222222"/>
          <w:shd w:val="clear" w:color="auto" w:fill="FFFFFF"/>
        </w:rPr>
        <w:t>, </w:t>
      </w:r>
      <w:r w:rsidRPr="00FF0DBC">
        <w:rPr>
          <w:rFonts w:cs="Times New Roman"/>
          <w:i/>
          <w:iCs/>
          <w:color w:val="222222"/>
          <w:shd w:val="clear" w:color="auto" w:fill="FFFFFF"/>
        </w:rPr>
        <w:t>182</w:t>
      </w:r>
      <w:r w:rsidRPr="00FF0DBC">
        <w:rPr>
          <w:rFonts w:cs="Times New Roman"/>
          <w:color w:val="222222"/>
          <w:shd w:val="clear" w:color="auto" w:fill="FFFFFF"/>
        </w:rPr>
        <w:t>, 165-179.</w:t>
      </w:r>
    </w:p>
    <w:sectPr w:rsidR="00972995" w:rsidRPr="000148EA">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3CBFA" w14:textId="77777777" w:rsidR="00D26AF3" w:rsidRDefault="00D26AF3" w:rsidP="00245D1E">
      <w:pPr>
        <w:spacing w:line="240" w:lineRule="auto"/>
      </w:pPr>
      <w:r>
        <w:separator/>
      </w:r>
    </w:p>
  </w:endnote>
  <w:endnote w:type="continuationSeparator" w:id="0">
    <w:p w14:paraId="405259C4" w14:textId="77777777" w:rsidR="00D26AF3" w:rsidRDefault="00D26AF3" w:rsidP="00245D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 Hand Extrablack">
    <w:charset w:val="00"/>
    <w:family w:val="script"/>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BD9DE" w14:textId="77777777" w:rsidR="00D26AF3" w:rsidRDefault="00D26AF3" w:rsidP="00245D1E">
      <w:pPr>
        <w:spacing w:line="240" w:lineRule="auto"/>
      </w:pPr>
      <w:r>
        <w:separator/>
      </w:r>
    </w:p>
  </w:footnote>
  <w:footnote w:type="continuationSeparator" w:id="0">
    <w:p w14:paraId="52BEBB40" w14:textId="77777777" w:rsidR="00D26AF3" w:rsidRDefault="00D26AF3" w:rsidP="00245D1E">
      <w:pPr>
        <w:spacing w:line="240" w:lineRule="auto"/>
      </w:pPr>
      <w:r>
        <w:continuationSeparator/>
      </w:r>
    </w:p>
  </w:footnote>
  <w:footnote w:id="1">
    <w:p w14:paraId="7A13036E" w14:textId="3A82E370" w:rsidR="00660922" w:rsidRDefault="00660922">
      <w:pPr>
        <w:pStyle w:val="FootnoteText"/>
      </w:pPr>
      <w:r>
        <w:rPr>
          <w:rStyle w:val="FootnoteReference"/>
        </w:rPr>
        <w:footnoteRef/>
      </w:r>
      <w:r>
        <w:t xml:space="preserve"> Turnbull (2018) distinguishes between “equivalence underdetermination (Kukla 199</w:t>
      </w:r>
      <w:r w:rsidR="006A79D3">
        <w:t>6</w:t>
      </w:r>
      <w:r>
        <w:t>), “holist underdetermination</w:t>
      </w:r>
      <w:r w:rsidR="006A79D3">
        <w:t>”</w:t>
      </w:r>
      <w:r>
        <w:t xml:space="preserve"> (Quine 1951), and “transient underdetermination”</w:t>
      </w:r>
      <w:r w:rsidR="006A79D3">
        <w:t xml:space="preserve"> (Stanford 2001)</w:t>
      </w:r>
      <w:r>
        <w:t xml:space="preserve"> I follow Kitcher </w:t>
      </w:r>
      <w:r w:rsidR="00A83AA1">
        <w:t>(20</w:t>
      </w:r>
      <w:r w:rsidR="001D7FC4">
        <w:t>01</w:t>
      </w:r>
      <w:r w:rsidR="00A83AA1">
        <w:t xml:space="preserve">) </w:t>
      </w:r>
      <w:r>
        <w:t>in labeling these as forms of permanent underdetermination.</w:t>
      </w:r>
      <w:r w:rsidR="00E23441">
        <w:t xml:space="preserve"> While some philosophers have labeled as “transient underdetermination” what I am calling “practical underdetermination,” I use the latter in order to distinguish it from the form of permanent underdetermination that Stanford (2001) </w:t>
      </w:r>
      <w:r w:rsidR="008E7EF7">
        <w:t>calls “transient</w:t>
      </w:r>
      <w:r w:rsidR="00E23441">
        <w:t>.</w:t>
      </w:r>
      <w:r w:rsidR="008E7EF7">
        <w:t>”</w:t>
      </w:r>
    </w:p>
  </w:footnote>
  <w:footnote w:id="2">
    <w:p w14:paraId="53FFBF46" w14:textId="0CEBBCDC" w:rsidR="00C6641F" w:rsidRDefault="00C6641F">
      <w:pPr>
        <w:pStyle w:val="FootnoteText"/>
      </w:pPr>
      <w:r>
        <w:rPr>
          <w:rStyle w:val="FootnoteReference"/>
        </w:rPr>
        <w:footnoteRef/>
      </w:r>
      <w:r>
        <w:t xml:space="preserve"> I</w:t>
      </w:r>
      <w:r w:rsidR="007A4F08">
        <w:t xml:space="preserve">n focusing on the development of science, my analysis overlaps with DiMarco and Khalifa (2019) in highlighting the </w:t>
      </w:r>
      <w:r w:rsidR="008B2A33">
        <w:t>“</w:t>
      </w:r>
      <w:r w:rsidR="007A4F08">
        <w:t>temporal</w:t>
      </w:r>
      <w:r w:rsidR="008B2A33">
        <w:t xml:space="preserve"> dimensions” of</w:t>
      </w:r>
      <w:r w:rsidR="00F4055F">
        <w:t xml:space="preserve"> how scientists cope with practical underdetermination problems</w:t>
      </w:r>
      <w:r w:rsidR="005F59BB" w:rsidRPr="005F59BB">
        <w:t>.</w:t>
      </w:r>
      <w:r w:rsidR="008B2A33">
        <w:t xml:space="preserve"> </w:t>
      </w:r>
      <w:r w:rsidR="007A4F08">
        <w:t xml:space="preserve"> </w:t>
      </w:r>
    </w:p>
  </w:footnote>
  <w:footnote w:id="3">
    <w:p w14:paraId="66C2A638" w14:textId="507B48DD" w:rsidR="007E2E47" w:rsidRDefault="007E2E47">
      <w:pPr>
        <w:pStyle w:val="FootnoteText"/>
      </w:pPr>
      <w:r>
        <w:rPr>
          <w:rStyle w:val="FootnoteReference"/>
        </w:rPr>
        <w:footnoteRef/>
      </w:r>
      <w:r>
        <w:t xml:space="preserve"> </w:t>
      </w:r>
      <w:r w:rsidR="005C1527">
        <w:t>Thi</w:t>
      </w:r>
      <w:r w:rsidR="004A25B1">
        <w:t xml:space="preserve">s is the way practical underdetermination problems are formulated in order to run what </w:t>
      </w:r>
      <w:r w:rsidR="00962342">
        <w:t xml:space="preserve">Intemann’s (2005) </w:t>
      </w:r>
      <w:r w:rsidR="004A25B1">
        <w:t>calls</w:t>
      </w:r>
      <w:r w:rsidR="00962342">
        <w:t xml:space="preserve"> “gap argument</w:t>
      </w:r>
      <w:r w:rsidR="00D80B2B">
        <w:t>.</w:t>
      </w:r>
      <w:r w:rsidR="00962342">
        <w:t xml:space="preserve">” </w:t>
      </w:r>
    </w:p>
  </w:footnote>
  <w:footnote w:id="4">
    <w:p w14:paraId="2F831FCA" w14:textId="66652996" w:rsidR="00B23C8D" w:rsidRDefault="00B23C8D">
      <w:pPr>
        <w:pStyle w:val="FootnoteText"/>
      </w:pPr>
      <w:r>
        <w:rPr>
          <w:rStyle w:val="FootnoteReference"/>
        </w:rPr>
        <w:footnoteRef/>
      </w:r>
      <w:r>
        <w:t xml:space="preserve"> I take my point here to be in line with Brown’s (2013) point th</w:t>
      </w:r>
      <w:r w:rsidR="008B16FC">
        <w:t>at the “gap” formulation adopts a “criterion of lexical priority of evidence over values” (829). I also take my analysis to be in line with his call for philosophers to fashion “alternative ideal for science” that captures its “ability to surprise us with new information beyond or contrary to our hopes and expectations” (830).</w:t>
      </w:r>
    </w:p>
  </w:footnote>
  <w:footnote w:id="5">
    <w:p w14:paraId="616FC050" w14:textId="3535376F" w:rsidR="00AE66F6" w:rsidRDefault="00AE66F6">
      <w:pPr>
        <w:pStyle w:val="FootnoteText"/>
      </w:pPr>
      <w:r>
        <w:rPr>
          <w:rStyle w:val="FootnoteReference"/>
        </w:rPr>
        <w:footnoteRef/>
      </w:r>
      <w:r>
        <w:t xml:space="preserve"> It should be recognized that here I only offer one case of practical underdetermination that I borrow from Bollhagen (2021). </w:t>
      </w:r>
      <w:r w:rsidR="00AB6C35">
        <w:t xml:space="preserve">However, </w:t>
      </w:r>
      <w:r>
        <w:t xml:space="preserve">I </w:t>
      </w:r>
      <w:r w:rsidR="00AB6C35">
        <w:t>believe that</w:t>
      </w:r>
      <w:r>
        <w:t xml:space="preserve"> the analysis I give of the particular case can provide guidance as to how to reconstruct practical underdetermination problem</w:t>
      </w:r>
      <w:r w:rsidR="00581815">
        <w:t>s</w:t>
      </w:r>
      <w:r>
        <w:t xml:space="preserve"> more generally.</w:t>
      </w:r>
    </w:p>
  </w:footnote>
  <w:footnote w:id="6">
    <w:p w14:paraId="4B5BD040" w14:textId="1B95D02A" w:rsidR="0007497B" w:rsidRDefault="0007497B">
      <w:pPr>
        <w:pStyle w:val="FootnoteText"/>
      </w:pPr>
      <w:r>
        <w:rPr>
          <w:rStyle w:val="FootnoteReference"/>
        </w:rPr>
        <w:footnoteRef/>
      </w:r>
      <w:r>
        <w:t xml:space="preserve"> In this paper, I do not offer</w:t>
      </w:r>
      <w:r w:rsidR="008F250F">
        <w:t xml:space="preserve"> additional</w:t>
      </w:r>
      <w:r>
        <w:t xml:space="preserve"> positive argument for Kauffman’s view. Rather, I take it on in order to see what we can see from the analytic perspective it offers on the case study. </w:t>
      </w:r>
    </w:p>
  </w:footnote>
  <w:footnote w:id="7">
    <w:p w14:paraId="592C5E15" w14:textId="1ACEDA3E" w:rsidR="001D117D" w:rsidRDefault="001D117D" w:rsidP="001D117D">
      <w:pPr>
        <w:pStyle w:val="FootnoteText"/>
      </w:pPr>
      <w:r>
        <w:rPr>
          <w:rStyle w:val="FootnoteReference"/>
        </w:rPr>
        <w:footnoteRef/>
      </w:r>
      <w:r>
        <w:t xml:space="preserve"> By “algorithm” I mean just what Kauffman means</w:t>
      </w:r>
      <w:r w:rsidR="008A7470">
        <w:t>, as I understand him.</w:t>
      </w:r>
      <w:r>
        <w:t xml:space="preserve"> Specifically, an algorithm in this sense is a finite set of well-defined rules that, when</w:t>
      </w:r>
      <w:r w:rsidR="0093262E">
        <w:t xml:space="preserve"> iteratively</w:t>
      </w:r>
      <w:r>
        <w:t xml:space="preserve"> applied to a system</w:t>
      </w:r>
      <w:r w:rsidR="0093262E">
        <w:t xml:space="preserve"> in a particular state at a time</w:t>
      </w:r>
      <w:r>
        <w:t>, enable an exhaustive specification of all possible states into which the system might develop in the next timestep. I acknowledge that ther</w:t>
      </w:r>
      <w:r w:rsidR="0093262E">
        <w:t>e</w:t>
      </w:r>
      <w:r>
        <w:t xml:space="preserve"> </w:t>
      </w:r>
      <w:r w:rsidR="0093262E">
        <w:t>are</w:t>
      </w:r>
      <w:r>
        <w:t xml:space="preserve"> other definitions of “algorithm” that are inconsistent with my use of the term here.  </w:t>
      </w:r>
    </w:p>
  </w:footnote>
  <w:footnote w:id="8">
    <w:p w14:paraId="659D4B68" w14:textId="5F5A7511" w:rsidR="002E32E9" w:rsidRDefault="002E32E9">
      <w:pPr>
        <w:pStyle w:val="FootnoteText"/>
      </w:pPr>
      <w:r>
        <w:rPr>
          <w:rStyle w:val="FootnoteReference"/>
        </w:rPr>
        <w:footnoteRef/>
      </w:r>
      <w:r>
        <w:t xml:space="preserve"> </w:t>
      </w:r>
      <w:r w:rsidRPr="002E32E9">
        <w:t>Erwin, D. H. (2017). The topology of evolutionary novelty and innovation in macroevolution. </w:t>
      </w:r>
      <w:r w:rsidRPr="002E32E9">
        <w:rPr>
          <w:i/>
          <w:iCs/>
        </w:rPr>
        <w:t>Philosophical Transactions of the Royal Society B: Biological Sciences</w:t>
      </w:r>
      <w:r w:rsidRPr="002E32E9">
        <w:t>, </w:t>
      </w:r>
      <w:r w:rsidRPr="002E32E9">
        <w:rPr>
          <w:i/>
          <w:iCs/>
        </w:rPr>
        <w:t>372</w:t>
      </w:r>
      <w:r w:rsidRPr="002E32E9">
        <w:t>(1735), 20160422.</w:t>
      </w:r>
      <w:r w:rsidR="00F4318C">
        <w:t xml:space="preserve"> Erwin also points out that Kauffman may be incorrect regarding the predictability of evolutionary processes due to the latter’s being unaware of the extent of co-option of developmentally relevant genes. “One can predict to a near certainty that, if an organism is going to evolve a neurotoxin, evolution will co-opt a neurotransmitter to do the job” (personal correspondence).</w:t>
      </w:r>
    </w:p>
  </w:footnote>
  <w:footnote w:id="9">
    <w:p w14:paraId="0CAF8110" w14:textId="14A334F4" w:rsidR="00A4225D" w:rsidRDefault="00A4225D" w:rsidP="00A4225D">
      <w:pPr>
        <w:pStyle w:val="FootnoteText"/>
      </w:pPr>
      <w:r>
        <w:rPr>
          <w:rStyle w:val="FootnoteReference"/>
        </w:rPr>
        <w:footnoteRef/>
      </w:r>
      <w:r>
        <w:t xml:space="preserve"> In Kauffman (2014), he formulates the argument as follows: 1) the uses of a screwdriver are indefinite. 2) The uses of a screwdriver are, unlike integers, unorderable. Therefore, 3) “No algorithm, or ‘effective procedure’ can list all the uses of a screwdriver or find the next use. I have just . . . shown you that uses of a screwdriver </w:t>
      </w:r>
      <w:proofErr w:type="gramStart"/>
      <w:r>
        <w:t>are not be</w:t>
      </w:r>
      <w:proofErr w:type="gramEnd"/>
      <w:r>
        <w:t xml:space="preserve"> found algorithmically (5). Evaluating this argument is beyond the scope of this paper. Here I am merely taking on board an understanding of his view for purposes of building my analysis of the case. </w:t>
      </w:r>
    </w:p>
  </w:footnote>
  <w:footnote w:id="10">
    <w:p w14:paraId="4173BE5A" w14:textId="35D6E9E8" w:rsidR="00F279B6" w:rsidRDefault="00F279B6">
      <w:pPr>
        <w:pStyle w:val="FootnoteText"/>
      </w:pPr>
      <w:r>
        <w:rPr>
          <w:rStyle w:val="FootnoteReference"/>
        </w:rPr>
        <w:footnoteRef/>
      </w:r>
      <w:r>
        <w:t xml:space="preserve"> Thanks to Jim Griesemer for the phrase “epistemic twist” in application to Kauffman’s framework.</w:t>
      </w:r>
    </w:p>
  </w:footnote>
  <w:footnote w:id="11">
    <w:p w14:paraId="4105BAC7" w14:textId="3026174F" w:rsidR="009C0AC8" w:rsidRDefault="009C0AC8">
      <w:pPr>
        <w:pStyle w:val="FootnoteText"/>
      </w:pPr>
      <w:r>
        <w:rPr>
          <w:rStyle w:val="FootnoteReference"/>
        </w:rPr>
        <w:footnoteRef/>
      </w:r>
      <w:r>
        <w:t xml:space="preserve"> My purpose here is not to give a full answer to this question. My discussion is meant to illustrate the parallel between the “creative” means by which systems in the biosphere evolve on Kauffman’s view, and the </w:t>
      </w:r>
      <w:r w:rsidR="00F24AB7">
        <w:t>“creative” means by which</w:t>
      </w:r>
      <w:r>
        <w:t xml:space="preserve"> subjects </w:t>
      </w:r>
      <w:r w:rsidR="00F24AB7">
        <w:t>solve</w:t>
      </w:r>
      <w:r>
        <w:t xml:space="preserve"> the Dun</w:t>
      </w:r>
      <w:r w:rsidR="008C7FCD">
        <w:t>c</w:t>
      </w:r>
      <w:r>
        <w:t>ker Candle task.</w:t>
      </w:r>
      <w:r w:rsidR="007541EF">
        <w:t xml:space="preserve"> The key point is that both cases involve the functional </w:t>
      </w:r>
      <w:r w:rsidR="007541EF">
        <w:rPr>
          <w:i/>
          <w:iCs/>
        </w:rPr>
        <w:t>re</w:t>
      </w:r>
      <w:r w:rsidR="007541EF">
        <w:t>deployment of prior structure over time.</w:t>
      </w:r>
      <w:r>
        <w:t xml:space="preserve"> </w:t>
      </w:r>
    </w:p>
  </w:footnote>
  <w:footnote w:id="12">
    <w:p w14:paraId="637F47C7" w14:textId="18A436A8" w:rsidR="007055F3" w:rsidRDefault="007055F3">
      <w:pPr>
        <w:pStyle w:val="FootnoteText"/>
      </w:pPr>
      <w:r w:rsidRPr="0073050A">
        <w:rPr>
          <w:rStyle w:val="FootnoteReference"/>
          <w:rFonts w:cs="Times New Roman"/>
        </w:rPr>
        <w:footnoteRef/>
      </w:r>
      <w:r w:rsidRPr="0073050A">
        <w:rPr>
          <w:rFonts w:cs="Times New Roman"/>
        </w:rPr>
        <w:t xml:space="preserve"> </w:t>
      </w:r>
      <w:r w:rsidRPr="0073050A">
        <w:rPr>
          <w:rFonts w:cs="Times New Roman"/>
          <w:color w:val="222222"/>
          <w:shd w:val="clear" w:color="auto" w:fill="FFFFFF"/>
        </w:rPr>
        <w:t>German, T. P., &amp; Defeyter, M. A. (2000). Immunity to functional fixedness in young children. </w:t>
      </w:r>
      <w:r w:rsidRPr="0073050A">
        <w:rPr>
          <w:rFonts w:cs="Times New Roman"/>
          <w:i/>
          <w:iCs/>
          <w:color w:val="222222"/>
          <w:shd w:val="clear" w:color="auto" w:fill="FFFFFF"/>
        </w:rPr>
        <w:t>Psychonomic Bulletin &amp; Review</w:t>
      </w:r>
      <w:r w:rsidRPr="0073050A">
        <w:rPr>
          <w:rFonts w:cs="Times New Roman"/>
          <w:color w:val="222222"/>
          <w:shd w:val="clear" w:color="auto" w:fill="FFFFFF"/>
        </w:rPr>
        <w:t>, </w:t>
      </w:r>
      <w:r w:rsidRPr="0073050A">
        <w:rPr>
          <w:rFonts w:cs="Times New Roman"/>
          <w:i/>
          <w:iCs/>
          <w:color w:val="222222"/>
          <w:shd w:val="clear" w:color="auto" w:fill="FFFFFF"/>
        </w:rPr>
        <w:t>7</w:t>
      </w:r>
      <w:r w:rsidRPr="0073050A">
        <w:rPr>
          <w:rFonts w:cs="Times New Roman"/>
          <w:color w:val="222222"/>
          <w:shd w:val="clear" w:color="auto" w:fill="FFFFFF"/>
        </w:rPr>
        <w:t>, 707-712.</w:t>
      </w:r>
    </w:p>
  </w:footnote>
  <w:footnote w:id="13">
    <w:p w14:paraId="3E5B8256" w14:textId="747F55AC" w:rsidR="00446FC8" w:rsidRDefault="00446FC8">
      <w:pPr>
        <w:pStyle w:val="FootnoteText"/>
      </w:pPr>
      <w:r>
        <w:rPr>
          <w:rStyle w:val="FootnoteReference"/>
        </w:rPr>
        <w:footnoteRef/>
      </w:r>
      <w:r>
        <w:t xml:space="preserve"> To put the point in terms I have developed elsewhere, by “creativity” I mean to refer specifically to the “indeterminate yet characteristic means by which</w:t>
      </w:r>
      <w:r w:rsidR="008C7FCD">
        <w:t xml:space="preserve"> </w:t>
      </w:r>
      <w:r>
        <w:t>discontinuous change</w:t>
      </w:r>
      <w:r w:rsidR="008C7FCD">
        <w:t xml:space="preserve"> is brought about</w:t>
      </w:r>
      <w:r>
        <w:t xml:space="preserve"> (Bollhagen 2021).</w:t>
      </w:r>
      <w:r w:rsidR="008C7FCD">
        <w:t xml:space="preserve"> In this sense, both the means by which discontinuous change is brought about in biological evolution and the means by which it is brought about in research platforms are “creative.”  </w:t>
      </w:r>
    </w:p>
  </w:footnote>
  <w:footnote w:id="14">
    <w:p w14:paraId="5013CC59" w14:textId="5369E846" w:rsidR="00FE0679" w:rsidRDefault="00FE0679" w:rsidP="00FE0679">
      <w:pPr>
        <w:pStyle w:val="FootnoteText"/>
      </w:pPr>
      <w:r>
        <w:rPr>
          <w:rStyle w:val="FootnoteReference"/>
        </w:rPr>
        <w:footnoteRef/>
      </w:r>
      <w:r>
        <w:t xml:space="preserve"> For reference to “stroke-release” see: </w:t>
      </w:r>
      <w:r w:rsidRPr="0056536C">
        <w:rPr>
          <w:rFonts w:cs="Times New Roman"/>
          <w:color w:val="222222"/>
          <w:shd w:val="clear" w:color="auto" w:fill="FFFFFF"/>
        </w:rPr>
        <w:t>Block, S. M., Goldstein, L. S., &amp; Schnapp, B. J. (1990).</w:t>
      </w:r>
    </w:p>
  </w:footnote>
  <w:footnote w:id="15">
    <w:p w14:paraId="751D65B9" w14:textId="7AE08BD9" w:rsidR="006D3F6D" w:rsidRDefault="006D3F6D" w:rsidP="006D3F6D">
      <w:pPr>
        <w:pStyle w:val="FootnoteText"/>
      </w:pPr>
      <w:r>
        <w:rPr>
          <w:rStyle w:val="FootnoteReference"/>
        </w:rPr>
        <w:footnoteRef/>
      </w:r>
      <w:r>
        <w:t xml:space="preserve"> </w:t>
      </w:r>
      <w:r w:rsidR="003C16CB">
        <w:t xml:space="preserve">See </w:t>
      </w:r>
      <w:r>
        <w:rPr>
          <w:rFonts w:cs="Times New Roman"/>
          <w:color w:val="222222"/>
          <w:shd w:val="clear" w:color="auto" w:fill="FFFFFF"/>
        </w:rPr>
        <w:t xml:space="preserve">Bollhagen (2021) </w:t>
      </w:r>
      <w:r w:rsidR="003C16CB">
        <w:rPr>
          <w:rFonts w:cs="Times New Roman"/>
          <w:color w:val="222222"/>
          <w:shd w:val="clear" w:color="auto" w:fill="FFFFFF"/>
        </w:rPr>
        <w:t>for</w:t>
      </w:r>
      <w:r>
        <w:rPr>
          <w:rFonts w:cs="Times New Roman"/>
          <w:color w:val="222222"/>
          <w:shd w:val="clear" w:color="auto" w:fill="FFFFFF"/>
        </w:rPr>
        <w:t xml:space="preserve"> </w:t>
      </w:r>
      <w:r w:rsidR="003C16CB">
        <w:rPr>
          <w:rFonts w:cs="Times New Roman"/>
          <w:color w:val="222222"/>
          <w:shd w:val="clear" w:color="auto" w:fill="FFFFFF"/>
        </w:rPr>
        <w:t>more detailed discussion of further examples</w:t>
      </w:r>
      <w:r>
        <w:rPr>
          <w:rFonts w:cs="Times New Roman"/>
          <w:color w:val="222222"/>
          <w:shd w:val="clear" w:color="auto" w:fill="FFFFFF"/>
        </w:rPr>
        <w:t xml:space="preserve"> such studies.</w:t>
      </w:r>
    </w:p>
  </w:footnote>
  <w:footnote w:id="16">
    <w:p w14:paraId="47F05526" w14:textId="30C8671D" w:rsidR="00A21B70" w:rsidRDefault="00A21B70">
      <w:pPr>
        <w:pStyle w:val="FootnoteText"/>
      </w:pPr>
      <w:r>
        <w:rPr>
          <w:rStyle w:val="FootnoteReference"/>
        </w:rPr>
        <w:footnoteRef/>
      </w:r>
      <w:r>
        <w:t xml:space="preserve"> Griesemer and Gerson (under review)</w:t>
      </w:r>
      <w:r w:rsidR="00972995">
        <w:t xml:space="preserve"> discuss “anchoring” in more detail.</w:t>
      </w:r>
    </w:p>
  </w:footnote>
  <w:footnote w:id="17">
    <w:p w14:paraId="51BA8B40" w14:textId="09FE82C0" w:rsidR="008451C4" w:rsidRDefault="008451C4">
      <w:pPr>
        <w:pStyle w:val="FootnoteText"/>
      </w:pPr>
      <w:r>
        <w:rPr>
          <w:rStyle w:val="FootnoteReference"/>
        </w:rPr>
        <w:footnoteRef/>
      </w:r>
      <w:r>
        <w:t xml:space="preserve"> I ignore, for example, </w:t>
      </w:r>
      <w:r w:rsidR="00AD6EC6">
        <w:t>the patterns of funding that enabled single-molecule researchers to do their research</w:t>
      </w:r>
      <w:r w:rsidR="00636BDF">
        <w:t xml:space="preserve"> and various administrative constraints that might have enabled or limited research.</w:t>
      </w:r>
      <w:r w:rsidR="00AD6EC6">
        <w:t xml:space="preserve"> In some </w:t>
      </w:r>
      <w:proofErr w:type="gramStart"/>
      <w:r w:rsidR="00AD6EC6">
        <w:t>cases</w:t>
      </w:r>
      <w:proofErr w:type="gramEnd"/>
      <w:r w:rsidR="00AD6EC6">
        <w:t xml:space="preserve"> and for some purposes th</w:t>
      </w:r>
      <w:r w:rsidR="00636BDF">
        <w:t>ese</w:t>
      </w:r>
      <w:r w:rsidR="00AD6EC6">
        <w:t xml:space="preserve"> might be precisely the aspect</w:t>
      </w:r>
      <w:r w:rsidR="00636BDF">
        <w:t>s</w:t>
      </w:r>
      <w:r w:rsidR="00AD6EC6">
        <w:t xml:space="preserve"> of a research platform on which one might want to focus</w:t>
      </w:r>
      <w:r w:rsidR="00636BDF">
        <w:t>.</w:t>
      </w:r>
    </w:p>
  </w:footnote>
  <w:footnote w:id="18">
    <w:p w14:paraId="18050D60" w14:textId="60C17C15" w:rsidR="00D27187" w:rsidRDefault="00D27187">
      <w:pPr>
        <w:pStyle w:val="FootnoteText"/>
      </w:pPr>
      <w:r>
        <w:rPr>
          <w:rStyle w:val="FootnoteReference"/>
        </w:rPr>
        <w:footnoteRef/>
      </w:r>
      <w:r>
        <w:rPr>
          <w:rStyle w:val="FootnoteReference"/>
        </w:rPr>
        <w:footnoteRef/>
      </w:r>
      <w:r>
        <w:t xml:space="preserve"> In other words, it remained functionally fixed at the threshold of its epistemically adjacent possible.</w:t>
      </w:r>
    </w:p>
  </w:footnote>
  <w:footnote w:id="19">
    <w:p w14:paraId="45DF7D9F" w14:textId="56990EEC" w:rsidR="00FE4592" w:rsidRDefault="00FE4592" w:rsidP="00FE4592">
      <w:pPr>
        <w:pStyle w:val="FootnoteText"/>
      </w:pPr>
      <w:r>
        <w:rPr>
          <w:rStyle w:val="FootnoteReference"/>
        </w:rPr>
        <w:footnoteRef/>
      </w:r>
      <w:r>
        <w:t xml:space="preserve"> Notably not </w:t>
      </w:r>
      <w:r w:rsidR="00B614F0">
        <w:t>“</w:t>
      </w:r>
      <w:r>
        <w:t>tangled</w:t>
      </w:r>
      <w:r w:rsidR="00B614F0">
        <w:t>”</w:t>
      </w:r>
      <w:r>
        <w:t xml:space="preserve"> with the work of the single-molecule research platform was that of chemists and physicists who model molecular motor activity in terms of chemical kinetics and thermodynamics.</w:t>
      </w:r>
      <w:r w:rsidR="002316B8">
        <w:t xml:space="preserve"> I take it that this “sociological” fact is important in understanding debates between experimentally inclined biologists and more theoretically inclined chemists and physicists over how to understand free-energy transduction in molecular motors.</w:t>
      </w:r>
      <w:r>
        <w:t xml:space="preserve"> See e.g. </w:t>
      </w:r>
      <w:proofErr w:type="spellStart"/>
      <w:r>
        <w:t>Astumian</w:t>
      </w:r>
      <w:proofErr w:type="spellEnd"/>
      <w:r>
        <w:t xml:space="preserve"> (2010). </w:t>
      </w:r>
    </w:p>
  </w:footnote>
  <w:footnote w:id="20">
    <w:p w14:paraId="6AFE5CEA" w14:textId="25613C8C" w:rsidR="004F3FD7" w:rsidRPr="004F3FD7" w:rsidRDefault="004F3FD7">
      <w:pPr>
        <w:pStyle w:val="FootnoteText"/>
      </w:pPr>
      <w:r>
        <w:rPr>
          <w:rStyle w:val="FootnoteReference"/>
        </w:rPr>
        <w:footnoteRef/>
      </w:r>
      <w:r w:rsidRPr="004F3FD7">
        <w:t xml:space="preserve"> I n</w:t>
      </w:r>
      <w:r w:rsidRPr="00412F66">
        <w:t>ote that I a</w:t>
      </w:r>
      <w:r>
        <w:t xml:space="preserve">m following Kauffman here uncritically. As Doug Erwin has pointed out to me, </w:t>
      </w:r>
      <w:r w:rsidR="00AA51EF">
        <w:t>whether the claim</w:t>
      </w:r>
      <w:r>
        <w:t xml:space="preserve"> that</w:t>
      </w:r>
      <w:r w:rsidR="00AA51EF">
        <w:t xml:space="preserve"> a system undergoes</w:t>
      </w:r>
      <w:r>
        <w:t xml:space="preserve"> discontinuous change has the implication</w:t>
      </w:r>
      <w:r w:rsidR="00AA51EF">
        <w:t xml:space="preserve">s for prediction that </w:t>
      </w:r>
      <w:r w:rsidR="003C3774">
        <w:t>Kauffman thinks i</w:t>
      </w:r>
      <w:r w:rsidR="00AA51EF">
        <w:t>t does is perhaps</w:t>
      </w:r>
      <w:r>
        <w:t xml:space="preserve"> more of a matter of contention than I let on</w:t>
      </w:r>
      <w:r w:rsidR="003C3774">
        <w:t xml:space="preserve"> in this paper</w:t>
      </w:r>
      <w:r>
        <w:t>. As he notes, “I can predict</w:t>
      </w:r>
      <w:r w:rsidR="007F19F6">
        <w:t>, to a near certainty, that if an organism is going to evolve a neurotoxin, evolution will co-opt a neurotransmitter to do the job” (personal correspondence).</w:t>
      </w:r>
      <w:r w:rsidR="00200AAA">
        <w:t xml:space="preserve"> </w:t>
      </w:r>
      <w:r w:rsidR="00AA51EF">
        <w:t>Thus, the</w:t>
      </w:r>
      <w:r w:rsidR="00200AAA">
        <w:t xml:space="preserve"> issue of predictability </w:t>
      </w:r>
      <w:r w:rsidR="00AA51EF">
        <w:t>is</w:t>
      </w:r>
      <w:r w:rsidR="00200AAA">
        <w:t xml:space="preserve"> separate from the issue of whether the kind of change under discussion here is discontinuous. My point in this paper is to show how “discontinuous” is an accurate characterization of the form of change that the single-molecule research platform underwent. It might turn out that our knowledge of the </w:t>
      </w:r>
      <w:r w:rsidR="003C3774">
        <w:t xml:space="preserve">characteristically “creative” </w:t>
      </w:r>
      <w:r w:rsidR="00200AAA">
        <w:t>means by which such change occurs can facilitate prediction in spite of that</w:t>
      </w:r>
      <w:r w:rsidR="003C3774">
        <w:t>. This is what</w:t>
      </w:r>
      <w:r w:rsidR="00200AAA">
        <w:t xml:space="preserve"> I take Erwin to</w:t>
      </w:r>
      <w:r w:rsidR="003C3774">
        <w:t xml:space="preserve"> be</w:t>
      </w:r>
      <w:r w:rsidR="00200AAA">
        <w:t xml:space="preserve"> suggest</w:t>
      </w:r>
      <w:r w:rsidR="003C3774">
        <w:t>ing</w:t>
      </w:r>
      <w:r w:rsidR="00200AAA">
        <w:t xml:space="preserve"> is the case in evolutionary biology. </w:t>
      </w:r>
      <w:r w:rsidR="007F19F6">
        <w:t xml:space="preserve">This interesting philosophical issue falls outside the scope of this </w:t>
      </w:r>
      <w:proofErr w:type="gramStart"/>
      <w:r w:rsidR="007F19F6">
        <w:t>paper</w:t>
      </w:r>
      <w:proofErr w:type="gramEnd"/>
      <w:r w:rsidR="007F19F6">
        <w:t xml:space="preserve"> however.</w:t>
      </w:r>
    </w:p>
  </w:footnote>
  <w:footnote w:id="21">
    <w:p w14:paraId="142A977E" w14:textId="7CF3196F" w:rsidR="00E3562C" w:rsidRDefault="00E3562C">
      <w:pPr>
        <w:pStyle w:val="FootnoteText"/>
      </w:pPr>
      <w:r>
        <w:rPr>
          <w:rStyle w:val="FootnoteReference"/>
        </w:rPr>
        <w:footnoteRef/>
      </w:r>
      <w:r>
        <w:t xml:space="preserve"> This background knowledge is tentative, of course. It might be that researchers deploy a bit of background knowledge as empirical criteria within a research platform only to later find out that it was not accurate.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81A4" w14:textId="1E98D4D6" w:rsidR="00113F80" w:rsidRDefault="00A208B6">
    <w:pPr>
      <w:pStyle w:val="Header"/>
    </w:pPr>
    <w:r>
      <w:t xml:space="preserve">Bollhagen </w:t>
    </w:r>
    <w:sdt>
      <w:sdtPr>
        <w:id w:val="-341083698"/>
        <w:docPartObj>
          <w:docPartGallery w:val="Page Numbers (Top of Page)"/>
          <w:docPartUnique/>
        </w:docPartObj>
      </w:sdtPr>
      <w:sdtEndPr>
        <w:rPr>
          <w:noProof/>
        </w:rPr>
      </w:sdtEndPr>
      <w:sdtContent>
        <w:r w:rsidR="00113F80">
          <w:fldChar w:fldCharType="begin"/>
        </w:r>
        <w:r w:rsidR="00113F80">
          <w:instrText xml:space="preserve"> PAGE   \* MERGEFORMAT </w:instrText>
        </w:r>
        <w:r w:rsidR="00113F80">
          <w:fldChar w:fldCharType="separate"/>
        </w:r>
        <w:r w:rsidR="00113F80">
          <w:rPr>
            <w:noProof/>
          </w:rPr>
          <w:t>2</w:t>
        </w:r>
        <w:r w:rsidR="00113F80">
          <w:rPr>
            <w:noProof/>
          </w:rPr>
          <w:fldChar w:fldCharType="end"/>
        </w:r>
      </w:sdtContent>
    </w:sdt>
  </w:p>
  <w:p w14:paraId="151F19AD" w14:textId="77777777" w:rsidR="00113F80" w:rsidRDefault="00113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4DC0"/>
    <w:multiLevelType w:val="hybridMultilevel"/>
    <w:tmpl w:val="7EFC1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E2C8B"/>
    <w:multiLevelType w:val="hybridMultilevel"/>
    <w:tmpl w:val="A7F4BCE4"/>
    <w:lvl w:ilvl="0" w:tplc="365CF5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A1589F"/>
    <w:multiLevelType w:val="hybridMultilevel"/>
    <w:tmpl w:val="63DC87E2"/>
    <w:lvl w:ilvl="0" w:tplc="414EB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A86FC9"/>
    <w:multiLevelType w:val="hybridMultilevel"/>
    <w:tmpl w:val="85269A88"/>
    <w:lvl w:ilvl="0" w:tplc="F970EB42">
      <w:start w:val="1"/>
      <w:numFmt w:val="bullet"/>
      <w:lvlText w:val="•"/>
      <w:lvlJc w:val="left"/>
      <w:pPr>
        <w:tabs>
          <w:tab w:val="num" w:pos="720"/>
        </w:tabs>
        <w:ind w:left="720" w:hanging="360"/>
      </w:pPr>
      <w:rPr>
        <w:rFonts w:ascii="The Hand Extrablack" w:hAnsi="The Hand Extrablack" w:hint="default"/>
      </w:rPr>
    </w:lvl>
    <w:lvl w:ilvl="1" w:tplc="FCAAD3F4" w:tentative="1">
      <w:start w:val="1"/>
      <w:numFmt w:val="bullet"/>
      <w:lvlText w:val="•"/>
      <w:lvlJc w:val="left"/>
      <w:pPr>
        <w:tabs>
          <w:tab w:val="num" w:pos="1440"/>
        </w:tabs>
        <w:ind w:left="1440" w:hanging="360"/>
      </w:pPr>
      <w:rPr>
        <w:rFonts w:ascii="The Hand Extrablack" w:hAnsi="The Hand Extrablack" w:hint="default"/>
      </w:rPr>
    </w:lvl>
    <w:lvl w:ilvl="2" w:tplc="BAA61820" w:tentative="1">
      <w:start w:val="1"/>
      <w:numFmt w:val="bullet"/>
      <w:lvlText w:val="•"/>
      <w:lvlJc w:val="left"/>
      <w:pPr>
        <w:tabs>
          <w:tab w:val="num" w:pos="2160"/>
        </w:tabs>
        <w:ind w:left="2160" w:hanging="360"/>
      </w:pPr>
      <w:rPr>
        <w:rFonts w:ascii="The Hand Extrablack" w:hAnsi="The Hand Extrablack" w:hint="default"/>
      </w:rPr>
    </w:lvl>
    <w:lvl w:ilvl="3" w:tplc="C55E296C" w:tentative="1">
      <w:start w:val="1"/>
      <w:numFmt w:val="bullet"/>
      <w:lvlText w:val="•"/>
      <w:lvlJc w:val="left"/>
      <w:pPr>
        <w:tabs>
          <w:tab w:val="num" w:pos="2880"/>
        </w:tabs>
        <w:ind w:left="2880" w:hanging="360"/>
      </w:pPr>
      <w:rPr>
        <w:rFonts w:ascii="The Hand Extrablack" w:hAnsi="The Hand Extrablack" w:hint="default"/>
      </w:rPr>
    </w:lvl>
    <w:lvl w:ilvl="4" w:tplc="7D720B7E" w:tentative="1">
      <w:start w:val="1"/>
      <w:numFmt w:val="bullet"/>
      <w:lvlText w:val="•"/>
      <w:lvlJc w:val="left"/>
      <w:pPr>
        <w:tabs>
          <w:tab w:val="num" w:pos="3600"/>
        </w:tabs>
        <w:ind w:left="3600" w:hanging="360"/>
      </w:pPr>
      <w:rPr>
        <w:rFonts w:ascii="The Hand Extrablack" w:hAnsi="The Hand Extrablack" w:hint="default"/>
      </w:rPr>
    </w:lvl>
    <w:lvl w:ilvl="5" w:tplc="39004842" w:tentative="1">
      <w:start w:val="1"/>
      <w:numFmt w:val="bullet"/>
      <w:lvlText w:val="•"/>
      <w:lvlJc w:val="left"/>
      <w:pPr>
        <w:tabs>
          <w:tab w:val="num" w:pos="4320"/>
        </w:tabs>
        <w:ind w:left="4320" w:hanging="360"/>
      </w:pPr>
      <w:rPr>
        <w:rFonts w:ascii="The Hand Extrablack" w:hAnsi="The Hand Extrablack" w:hint="default"/>
      </w:rPr>
    </w:lvl>
    <w:lvl w:ilvl="6" w:tplc="5E706498" w:tentative="1">
      <w:start w:val="1"/>
      <w:numFmt w:val="bullet"/>
      <w:lvlText w:val="•"/>
      <w:lvlJc w:val="left"/>
      <w:pPr>
        <w:tabs>
          <w:tab w:val="num" w:pos="5040"/>
        </w:tabs>
        <w:ind w:left="5040" w:hanging="360"/>
      </w:pPr>
      <w:rPr>
        <w:rFonts w:ascii="The Hand Extrablack" w:hAnsi="The Hand Extrablack" w:hint="default"/>
      </w:rPr>
    </w:lvl>
    <w:lvl w:ilvl="7" w:tplc="7CA07A5C" w:tentative="1">
      <w:start w:val="1"/>
      <w:numFmt w:val="bullet"/>
      <w:lvlText w:val="•"/>
      <w:lvlJc w:val="left"/>
      <w:pPr>
        <w:tabs>
          <w:tab w:val="num" w:pos="5760"/>
        </w:tabs>
        <w:ind w:left="5760" w:hanging="360"/>
      </w:pPr>
      <w:rPr>
        <w:rFonts w:ascii="The Hand Extrablack" w:hAnsi="The Hand Extrablack" w:hint="default"/>
      </w:rPr>
    </w:lvl>
    <w:lvl w:ilvl="8" w:tplc="79A657B2" w:tentative="1">
      <w:start w:val="1"/>
      <w:numFmt w:val="bullet"/>
      <w:lvlText w:val="•"/>
      <w:lvlJc w:val="left"/>
      <w:pPr>
        <w:tabs>
          <w:tab w:val="num" w:pos="6480"/>
        </w:tabs>
        <w:ind w:left="6480" w:hanging="360"/>
      </w:pPr>
      <w:rPr>
        <w:rFonts w:ascii="The Hand Extrablack" w:hAnsi="The Hand Extrablack" w:hint="default"/>
      </w:rPr>
    </w:lvl>
  </w:abstractNum>
  <w:abstractNum w:abstractNumId="4" w15:restartNumberingAfterBreak="0">
    <w:nsid w:val="1A3066C8"/>
    <w:multiLevelType w:val="hybridMultilevel"/>
    <w:tmpl w:val="78B42088"/>
    <w:lvl w:ilvl="0" w:tplc="ABD462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C20787"/>
    <w:multiLevelType w:val="hybridMultilevel"/>
    <w:tmpl w:val="05B67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C9D597E"/>
    <w:multiLevelType w:val="hybridMultilevel"/>
    <w:tmpl w:val="E56E3D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25E2EB3"/>
    <w:multiLevelType w:val="hybridMultilevel"/>
    <w:tmpl w:val="8B2203D6"/>
    <w:lvl w:ilvl="0" w:tplc="9322E7F0">
      <w:start w:val="1"/>
      <w:numFmt w:val="bullet"/>
      <w:lvlText w:val="•"/>
      <w:lvlJc w:val="left"/>
      <w:pPr>
        <w:tabs>
          <w:tab w:val="num" w:pos="720"/>
        </w:tabs>
        <w:ind w:left="720" w:hanging="360"/>
      </w:pPr>
      <w:rPr>
        <w:rFonts w:ascii="The Hand Extrablack" w:hAnsi="The Hand Extrablack" w:hint="default"/>
      </w:rPr>
    </w:lvl>
    <w:lvl w:ilvl="1" w:tplc="82F67760">
      <w:start w:val="1"/>
      <w:numFmt w:val="bullet"/>
      <w:lvlText w:val="•"/>
      <w:lvlJc w:val="left"/>
      <w:pPr>
        <w:tabs>
          <w:tab w:val="num" w:pos="1440"/>
        </w:tabs>
        <w:ind w:left="1440" w:hanging="360"/>
      </w:pPr>
      <w:rPr>
        <w:rFonts w:ascii="The Hand Extrablack" w:hAnsi="The Hand Extrablack" w:hint="default"/>
      </w:rPr>
    </w:lvl>
    <w:lvl w:ilvl="2" w:tplc="38185684" w:tentative="1">
      <w:start w:val="1"/>
      <w:numFmt w:val="bullet"/>
      <w:lvlText w:val="•"/>
      <w:lvlJc w:val="left"/>
      <w:pPr>
        <w:tabs>
          <w:tab w:val="num" w:pos="2160"/>
        </w:tabs>
        <w:ind w:left="2160" w:hanging="360"/>
      </w:pPr>
      <w:rPr>
        <w:rFonts w:ascii="The Hand Extrablack" w:hAnsi="The Hand Extrablack" w:hint="default"/>
      </w:rPr>
    </w:lvl>
    <w:lvl w:ilvl="3" w:tplc="8B720DAE" w:tentative="1">
      <w:start w:val="1"/>
      <w:numFmt w:val="bullet"/>
      <w:lvlText w:val="•"/>
      <w:lvlJc w:val="left"/>
      <w:pPr>
        <w:tabs>
          <w:tab w:val="num" w:pos="2880"/>
        </w:tabs>
        <w:ind w:left="2880" w:hanging="360"/>
      </w:pPr>
      <w:rPr>
        <w:rFonts w:ascii="The Hand Extrablack" w:hAnsi="The Hand Extrablack" w:hint="default"/>
      </w:rPr>
    </w:lvl>
    <w:lvl w:ilvl="4" w:tplc="21F6384C" w:tentative="1">
      <w:start w:val="1"/>
      <w:numFmt w:val="bullet"/>
      <w:lvlText w:val="•"/>
      <w:lvlJc w:val="left"/>
      <w:pPr>
        <w:tabs>
          <w:tab w:val="num" w:pos="3600"/>
        </w:tabs>
        <w:ind w:left="3600" w:hanging="360"/>
      </w:pPr>
      <w:rPr>
        <w:rFonts w:ascii="The Hand Extrablack" w:hAnsi="The Hand Extrablack" w:hint="default"/>
      </w:rPr>
    </w:lvl>
    <w:lvl w:ilvl="5" w:tplc="0B66B0DA" w:tentative="1">
      <w:start w:val="1"/>
      <w:numFmt w:val="bullet"/>
      <w:lvlText w:val="•"/>
      <w:lvlJc w:val="left"/>
      <w:pPr>
        <w:tabs>
          <w:tab w:val="num" w:pos="4320"/>
        </w:tabs>
        <w:ind w:left="4320" w:hanging="360"/>
      </w:pPr>
      <w:rPr>
        <w:rFonts w:ascii="The Hand Extrablack" w:hAnsi="The Hand Extrablack" w:hint="default"/>
      </w:rPr>
    </w:lvl>
    <w:lvl w:ilvl="6" w:tplc="0CBCFB2A" w:tentative="1">
      <w:start w:val="1"/>
      <w:numFmt w:val="bullet"/>
      <w:lvlText w:val="•"/>
      <w:lvlJc w:val="left"/>
      <w:pPr>
        <w:tabs>
          <w:tab w:val="num" w:pos="5040"/>
        </w:tabs>
        <w:ind w:left="5040" w:hanging="360"/>
      </w:pPr>
      <w:rPr>
        <w:rFonts w:ascii="The Hand Extrablack" w:hAnsi="The Hand Extrablack" w:hint="default"/>
      </w:rPr>
    </w:lvl>
    <w:lvl w:ilvl="7" w:tplc="FCF4BA2A" w:tentative="1">
      <w:start w:val="1"/>
      <w:numFmt w:val="bullet"/>
      <w:lvlText w:val="•"/>
      <w:lvlJc w:val="left"/>
      <w:pPr>
        <w:tabs>
          <w:tab w:val="num" w:pos="5760"/>
        </w:tabs>
        <w:ind w:left="5760" w:hanging="360"/>
      </w:pPr>
      <w:rPr>
        <w:rFonts w:ascii="The Hand Extrablack" w:hAnsi="The Hand Extrablack" w:hint="default"/>
      </w:rPr>
    </w:lvl>
    <w:lvl w:ilvl="8" w:tplc="86AC0DCA" w:tentative="1">
      <w:start w:val="1"/>
      <w:numFmt w:val="bullet"/>
      <w:lvlText w:val="•"/>
      <w:lvlJc w:val="left"/>
      <w:pPr>
        <w:tabs>
          <w:tab w:val="num" w:pos="6480"/>
        </w:tabs>
        <w:ind w:left="6480" w:hanging="360"/>
      </w:pPr>
      <w:rPr>
        <w:rFonts w:ascii="The Hand Extrablack" w:hAnsi="The Hand Extrablack" w:hint="default"/>
      </w:rPr>
    </w:lvl>
  </w:abstractNum>
  <w:abstractNum w:abstractNumId="8" w15:restartNumberingAfterBreak="0">
    <w:nsid w:val="55AC6BA1"/>
    <w:multiLevelType w:val="hybridMultilevel"/>
    <w:tmpl w:val="B24479F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55EC09E5"/>
    <w:multiLevelType w:val="hybridMultilevel"/>
    <w:tmpl w:val="8C3EA4BE"/>
    <w:lvl w:ilvl="0" w:tplc="A68252E6">
      <w:start w:val="1"/>
      <w:numFmt w:val="bullet"/>
      <w:lvlText w:val="•"/>
      <w:lvlJc w:val="left"/>
      <w:pPr>
        <w:tabs>
          <w:tab w:val="num" w:pos="720"/>
        </w:tabs>
        <w:ind w:left="720" w:hanging="360"/>
      </w:pPr>
      <w:rPr>
        <w:rFonts w:ascii="The Hand Extrablack" w:hAnsi="The Hand Extrablack" w:hint="default"/>
      </w:rPr>
    </w:lvl>
    <w:lvl w:ilvl="1" w:tplc="B896ECB8">
      <w:start w:val="1"/>
      <w:numFmt w:val="bullet"/>
      <w:lvlText w:val="•"/>
      <w:lvlJc w:val="left"/>
      <w:pPr>
        <w:tabs>
          <w:tab w:val="num" w:pos="1440"/>
        </w:tabs>
        <w:ind w:left="1440" w:hanging="360"/>
      </w:pPr>
      <w:rPr>
        <w:rFonts w:ascii="The Hand Extrablack" w:hAnsi="The Hand Extrablack" w:hint="default"/>
      </w:rPr>
    </w:lvl>
    <w:lvl w:ilvl="2" w:tplc="13E48E36" w:tentative="1">
      <w:start w:val="1"/>
      <w:numFmt w:val="bullet"/>
      <w:lvlText w:val="•"/>
      <w:lvlJc w:val="left"/>
      <w:pPr>
        <w:tabs>
          <w:tab w:val="num" w:pos="2160"/>
        </w:tabs>
        <w:ind w:left="2160" w:hanging="360"/>
      </w:pPr>
      <w:rPr>
        <w:rFonts w:ascii="The Hand Extrablack" w:hAnsi="The Hand Extrablack" w:hint="default"/>
      </w:rPr>
    </w:lvl>
    <w:lvl w:ilvl="3" w:tplc="56789454" w:tentative="1">
      <w:start w:val="1"/>
      <w:numFmt w:val="bullet"/>
      <w:lvlText w:val="•"/>
      <w:lvlJc w:val="left"/>
      <w:pPr>
        <w:tabs>
          <w:tab w:val="num" w:pos="2880"/>
        </w:tabs>
        <w:ind w:left="2880" w:hanging="360"/>
      </w:pPr>
      <w:rPr>
        <w:rFonts w:ascii="The Hand Extrablack" w:hAnsi="The Hand Extrablack" w:hint="default"/>
      </w:rPr>
    </w:lvl>
    <w:lvl w:ilvl="4" w:tplc="0346D18C" w:tentative="1">
      <w:start w:val="1"/>
      <w:numFmt w:val="bullet"/>
      <w:lvlText w:val="•"/>
      <w:lvlJc w:val="left"/>
      <w:pPr>
        <w:tabs>
          <w:tab w:val="num" w:pos="3600"/>
        </w:tabs>
        <w:ind w:left="3600" w:hanging="360"/>
      </w:pPr>
      <w:rPr>
        <w:rFonts w:ascii="The Hand Extrablack" w:hAnsi="The Hand Extrablack" w:hint="default"/>
      </w:rPr>
    </w:lvl>
    <w:lvl w:ilvl="5" w:tplc="9A728028" w:tentative="1">
      <w:start w:val="1"/>
      <w:numFmt w:val="bullet"/>
      <w:lvlText w:val="•"/>
      <w:lvlJc w:val="left"/>
      <w:pPr>
        <w:tabs>
          <w:tab w:val="num" w:pos="4320"/>
        </w:tabs>
        <w:ind w:left="4320" w:hanging="360"/>
      </w:pPr>
      <w:rPr>
        <w:rFonts w:ascii="The Hand Extrablack" w:hAnsi="The Hand Extrablack" w:hint="default"/>
      </w:rPr>
    </w:lvl>
    <w:lvl w:ilvl="6" w:tplc="F00458B0" w:tentative="1">
      <w:start w:val="1"/>
      <w:numFmt w:val="bullet"/>
      <w:lvlText w:val="•"/>
      <w:lvlJc w:val="left"/>
      <w:pPr>
        <w:tabs>
          <w:tab w:val="num" w:pos="5040"/>
        </w:tabs>
        <w:ind w:left="5040" w:hanging="360"/>
      </w:pPr>
      <w:rPr>
        <w:rFonts w:ascii="The Hand Extrablack" w:hAnsi="The Hand Extrablack" w:hint="default"/>
      </w:rPr>
    </w:lvl>
    <w:lvl w:ilvl="7" w:tplc="DFEAAB2E" w:tentative="1">
      <w:start w:val="1"/>
      <w:numFmt w:val="bullet"/>
      <w:lvlText w:val="•"/>
      <w:lvlJc w:val="left"/>
      <w:pPr>
        <w:tabs>
          <w:tab w:val="num" w:pos="5760"/>
        </w:tabs>
        <w:ind w:left="5760" w:hanging="360"/>
      </w:pPr>
      <w:rPr>
        <w:rFonts w:ascii="The Hand Extrablack" w:hAnsi="The Hand Extrablack" w:hint="default"/>
      </w:rPr>
    </w:lvl>
    <w:lvl w:ilvl="8" w:tplc="ACBEAA8E" w:tentative="1">
      <w:start w:val="1"/>
      <w:numFmt w:val="bullet"/>
      <w:lvlText w:val="•"/>
      <w:lvlJc w:val="left"/>
      <w:pPr>
        <w:tabs>
          <w:tab w:val="num" w:pos="6480"/>
        </w:tabs>
        <w:ind w:left="6480" w:hanging="360"/>
      </w:pPr>
      <w:rPr>
        <w:rFonts w:ascii="The Hand Extrablack" w:hAnsi="The Hand Extrablack" w:hint="default"/>
      </w:rPr>
    </w:lvl>
  </w:abstractNum>
  <w:abstractNum w:abstractNumId="10" w15:restartNumberingAfterBreak="0">
    <w:nsid w:val="5D6822FD"/>
    <w:multiLevelType w:val="hybridMultilevel"/>
    <w:tmpl w:val="1EC855C2"/>
    <w:lvl w:ilvl="0" w:tplc="472A92A4">
      <w:start w:val="1"/>
      <w:numFmt w:val="bullet"/>
      <w:lvlText w:val="•"/>
      <w:lvlJc w:val="left"/>
      <w:pPr>
        <w:tabs>
          <w:tab w:val="num" w:pos="720"/>
        </w:tabs>
        <w:ind w:left="720" w:hanging="360"/>
      </w:pPr>
      <w:rPr>
        <w:rFonts w:ascii="The Hand Extrablack" w:hAnsi="The Hand Extrablack" w:hint="default"/>
      </w:rPr>
    </w:lvl>
    <w:lvl w:ilvl="1" w:tplc="4B8CB220">
      <w:start w:val="1"/>
      <w:numFmt w:val="bullet"/>
      <w:lvlText w:val="•"/>
      <w:lvlJc w:val="left"/>
      <w:pPr>
        <w:tabs>
          <w:tab w:val="num" w:pos="1440"/>
        </w:tabs>
        <w:ind w:left="1440" w:hanging="360"/>
      </w:pPr>
      <w:rPr>
        <w:rFonts w:ascii="The Hand Extrablack" w:hAnsi="The Hand Extrablack" w:hint="default"/>
      </w:rPr>
    </w:lvl>
    <w:lvl w:ilvl="2" w:tplc="E9587FDA" w:tentative="1">
      <w:start w:val="1"/>
      <w:numFmt w:val="bullet"/>
      <w:lvlText w:val="•"/>
      <w:lvlJc w:val="left"/>
      <w:pPr>
        <w:tabs>
          <w:tab w:val="num" w:pos="2160"/>
        </w:tabs>
        <w:ind w:left="2160" w:hanging="360"/>
      </w:pPr>
      <w:rPr>
        <w:rFonts w:ascii="The Hand Extrablack" w:hAnsi="The Hand Extrablack" w:hint="default"/>
      </w:rPr>
    </w:lvl>
    <w:lvl w:ilvl="3" w:tplc="72708BE2" w:tentative="1">
      <w:start w:val="1"/>
      <w:numFmt w:val="bullet"/>
      <w:lvlText w:val="•"/>
      <w:lvlJc w:val="left"/>
      <w:pPr>
        <w:tabs>
          <w:tab w:val="num" w:pos="2880"/>
        </w:tabs>
        <w:ind w:left="2880" w:hanging="360"/>
      </w:pPr>
      <w:rPr>
        <w:rFonts w:ascii="The Hand Extrablack" w:hAnsi="The Hand Extrablack" w:hint="default"/>
      </w:rPr>
    </w:lvl>
    <w:lvl w:ilvl="4" w:tplc="CC128DC6" w:tentative="1">
      <w:start w:val="1"/>
      <w:numFmt w:val="bullet"/>
      <w:lvlText w:val="•"/>
      <w:lvlJc w:val="left"/>
      <w:pPr>
        <w:tabs>
          <w:tab w:val="num" w:pos="3600"/>
        </w:tabs>
        <w:ind w:left="3600" w:hanging="360"/>
      </w:pPr>
      <w:rPr>
        <w:rFonts w:ascii="The Hand Extrablack" w:hAnsi="The Hand Extrablack" w:hint="default"/>
      </w:rPr>
    </w:lvl>
    <w:lvl w:ilvl="5" w:tplc="552E5E4E" w:tentative="1">
      <w:start w:val="1"/>
      <w:numFmt w:val="bullet"/>
      <w:lvlText w:val="•"/>
      <w:lvlJc w:val="left"/>
      <w:pPr>
        <w:tabs>
          <w:tab w:val="num" w:pos="4320"/>
        </w:tabs>
        <w:ind w:left="4320" w:hanging="360"/>
      </w:pPr>
      <w:rPr>
        <w:rFonts w:ascii="The Hand Extrablack" w:hAnsi="The Hand Extrablack" w:hint="default"/>
      </w:rPr>
    </w:lvl>
    <w:lvl w:ilvl="6" w:tplc="713ECE9E" w:tentative="1">
      <w:start w:val="1"/>
      <w:numFmt w:val="bullet"/>
      <w:lvlText w:val="•"/>
      <w:lvlJc w:val="left"/>
      <w:pPr>
        <w:tabs>
          <w:tab w:val="num" w:pos="5040"/>
        </w:tabs>
        <w:ind w:left="5040" w:hanging="360"/>
      </w:pPr>
      <w:rPr>
        <w:rFonts w:ascii="The Hand Extrablack" w:hAnsi="The Hand Extrablack" w:hint="default"/>
      </w:rPr>
    </w:lvl>
    <w:lvl w:ilvl="7" w:tplc="FD40226C" w:tentative="1">
      <w:start w:val="1"/>
      <w:numFmt w:val="bullet"/>
      <w:lvlText w:val="•"/>
      <w:lvlJc w:val="left"/>
      <w:pPr>
        <w:tabs>
          <w:tab w:val="num" w:pos="5760"/>
        </w:tabs>
        <w:ind w:left="5760" w:hanging="360"/>
      </w:pPr>
      <w:rPr>
        <w:rFonts w:ascii="The Hand Extrablack" w:hAnsi="The Hand Extrablack" w:hint="default"/>
      </w:rPr>
    </w:lvl>
    <w:lvl w:ilvl="8" w:tplc="DA36C7E0" w:tentative="1">
      <w:start w:val="1"/>
      <w:numFmt w:val="bullet"/>
      <w:lvlText w:val="•"/>
      <w:lvlJc w:val="left"/>
      <w:pPr>
        <w:tabs>
          <w:tab w:val="num" w:pos="6480"/>
        </w:tabs>
        <w:ind w:left="6480" w:hanging="360"/>
      </w:pPr>
      <w:rPr>
        <w:rFonts w:ascii="The Hand Extrablack" w:hAnsi="The Hand Extrablack" w:hint="default"/>
      </w:rPr>
    </w:lvl>
  </w:abstractNum>
  <w:abstractNum w:abstractNumId="11" w15:restartNumberingAfterBreak="0">
    <w:nsid w:val="7AC47D9A"/>
    <w:multiLevelType w:val="hybridMultilevel"/>
    <w:tmpl w:val="C2AE3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3015563">
    <w:abstractNumId w:val="1"/>
  </w:num>
  <w:num w:numId="2" w16cid:durableId="1496187018">
    <w:abstractNumId w:val="8"/>
  </w:num>
  <w:num w:numId="3" w16cid:durableId="1548839909">
    <w:abstractNumId w:val="0"/>
  </w:num>
  <w:num w:numId="4" w16cid:durableId="1582569837">
    <w:abstractNumId w:val="9"/>
  </w:num>
  <w:num w:numId="5" w16cid:durableId="562759730">
    <w:abstractNumId w:val="7"/>
  </w:num>
  <w:num w:numId="6" w16cid:durableId="840850230">
    <w:abstractNumId w:val="10"/>
  </w:num>
  <w:num w:numId="7" w16cid:durableId="2076009869">
    <w:abstractNumId w:val="2"/>
  </w:num>
  <w:num w:numId="8" w16cid:durableId="1138381804">
    <w:abstractNumId w:val="6"/>
  </w:num>
  <w:num w:numId="9" w16cid:durableId="1518883901">
    <w:abstractNumId w:val="11"/>
  </w:num>
  <w:num w:numId="10" w16cid:durableId="1704552071">
    <w:abstractNumId w:val="5"/>
  </w:num>
  <w:num w:numId="11" w16cid:durableId="1334725398">
    <w:abstractNumId w:val="3"/>
  </w:num>
  <w:num w:numId="12" w16cid:durableId="11989336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5CD"/>
    <w:rsid w:val="00000354"/>
    <w:rsid w:val="0000061E"/>
    <w:rsid w:val="00001434"/>
    <w:rsid w:val="00003CDD"/>
    <w:rsid w:val="000041F0"/>
    <w:rsid w:val="0000491B"/>
    <w:rsid w:val="0000520D"/>
    <w:rsid w:val="000068A0"/>
    <w:rsid w:val="000068B8"/>
    <w:rsid w:val="00006DEC"/>
    <w:rsid w:val="000070C8"/>
    <w:rsid w:val="000074D8"/>
    <w:rsid w:val="0000786A"/>
    <w:rsid w:val="00007A5E"/>
    <w:rsid w:val="00010715"/>
    <w:rsid w:val="00010C74"/>
    <w:rsid w:val="00011149"/>
    <w:rsid w:val="00011A66"/>
    <w:rsid w:val="00013A9B"/>
    <w:rsid w:val="000148EA"/>
    <w:rsid w:val="00014B72"/>
    <w:rsid w:val="00015176"/>
    <w:rsid w:val="00015D67"/>
    <w:rsid w:val="000162BE"/>
    <w:rsid w:val="000169FD"/>
    <w:rsid w:val="00017CBB"/>
    <w:rsid w:val="00017DBA"/>
    <w:rsid w:val="000200FE"/>
    <w:rsid w:val="000207DD"/>
    <w:rsid w:val="00020920"/>
    <w:rsid w:val="00020D21"/>
    <w:rsid w:val="0002136C"/>
    <w:rsid w:val="000215CB"/>
    <w:rsid w:val="0002278F"/>
    <w:rsid w:val="00022807"/>
    <w:rsid w:val="00022F89"/>
    <w:rsid w:val="00024EBD"/>
    <w:rsid w:val="00025034"/>
    <w:rsid w:val="0002614D"/>
    <w:rsid w:val="000268EC"/>
    <w:rsid w:val="00027BD1"/>
    <w:rsid w:val="00030A67"/>
    <w:rsid w:val="0003288E"/>
    <w:rsid w:val="00032F57"/>
    <w:rsid w:val="0003399B"/>
    <w:rsid w:val="00033F48"/>
    <w:rsid w:val="000340B1"/>
    <w:rsid w:val="0003495C"/>
    <w:rsid w:val="00035A00"/>
    <w:rsid w:val="000360DD"/>
    <w:rsid w:val="0004041C"/>
    <w:rsid w:val="000418DD"/>
    <w:rsid w:val="00042127"/>
    <w:rsid w:val="00042974"/>
    <w:rsid w:val="00042AAE"/>
    <w:rsid w:val="0004339E"/>
    <w:rsid w:val="000444D4"/>
    <w:rsid w:val="000452DB"/>
    <w:rsid w:val="0004570C"/>
    <w:rsid w:val="00046A0B"/>
    <w:rsid w:val="00047651"/>
    <w:rsid w:val="00050DDA"/>
    <w:rsid w:val="00051A0C"/>
    <w:rsid w:val="00051A91"/>
    <w:rsid w:val="00053B0D"/>
    <w:rsid w:val="00053EF0"/>
    <w:rsid w:val="000545B5"/>
    <w:rsid w:val="0005529C"/>
    <w:rsid w:val="0005591B"/>
    <w:rsid w:val="0005610F"/>
    <w:rsid w:val="000564DC"/>
    <w:rsid w:val="00056CFD"/>
    <w:rsid w:val="0005784A"/>
    <w:rsid w:val="00057CAD"/>
    <w:rsid w:val="000604A5"/>
    <w:rsid w:val="000605E0"/>
    <w:rsid w:val="00061EDD"/>
    <w:rsid w:val="00062C6E"/>
    <w:rsid w:val="0006314C"/>
    <w:rsid w:val="000637F1"/>
    <w:rsid w:val="00064333"/>
    <w:rsid w:val="00065445"/>
    <w:rsid w:val="0007007C"/>
    <w:rsid w:val="00070156"/>
    <w:rsid w:val="0007062D"/>
    <w:rsid w:val="00072297"/>
    <w:rsid w:val="000724B7"/>
    <w:rsid w:val="00072CFE"/>
    <w:rsid w:val="00073429"/>
    <w:rsid w:val="000736CB"/>
    <w:rsid w:val="0007497B"/>
    <w:rsid w:val="00075278"/>
    <w:rsid w:val="00075D5D"/>
    <w:rsid w:val="00076331"/>
    <w:rsid w:val="0007664F"/>
    <w:rsid w:val="0007717A"/>
    <w:rsid w:val="00080396"/>
    <w:rsid w:val="0008052F"/>
    <w:rsid w:val="00080EFD"/>
    <w:rsid w:val="00081424"/>
    <w:rsid w:val="000814BE"/>
    <w:rsid w:val="000823BF"/>
    <w:rsid w:val="00084C13"/>
    <w:rsid w:val="00085B0E"/>
    <w:rsid w:val="00085C2E"/>
    <w:rsid w:val="00085F93"/>
    <w:rsid w:val="00086030"/>
    <w:rsid w:val="000863FE"/>
    <w:rsid w:val="00086BC3"/>
    <w:rsid w:val="00087494"/>
    <w:rsid w:val="0008774D"/>
    <w:rsid w:val="00087F59"/>
    <w:rsid w:val="00090C5D"/>
    <w:rsid w:val="00091439"/>
    <w:rsid w:val="00091F8C"/>
    <w:rsid w:val="00092041"/>
    <w:rsid w:val="000927D0"/>
    <w:rsid w:val="00094778"/>
    <w:rsid w:val="00094944"/>
    <w:rsid w:val="00095387"/>
    <w:rsid w:val="00095449"/>
    <w:rsid w:val="00095D03"/>
    <w:rsid w:val="00096648"/>
    <w:rsid w:val="00096951"/>
    <w:rsid w:val="000971D4"/>
    <w:rsid w:val="00097389"/>
    <w:rsid w:val="000973B1"/>
    <w:rsid w:val="00097B86"/>
    <w:rsid w:val="000A0897"/>
    <w:rsid w:val="000A139C"/>
    <w:rsid w:val="000A2145"/>
    <w:rsid w:val="000A2797"/>
    <w:rsid w:val="000A305D"/>
    <w:rsid w:val="000A3AB2"/>
    <w:rsid w:val="000A3F5D"/>
    <w:rsid w:val="000A4CA2"/>
    <w:rsid w:val="000A4CB7"/>
    <w:rsid w:val="000A4F48"/>
    <w:rsid w:val="000A531A"/>
    <w:rsid w:val="000A5A8D"/>
    <w:rsid w:val="000A6A99"/>
    <w:rsid w:val="000A7E10"/>
    <w:rsid w:val="000B0412"/>
    <w:rsid w:val="000B0447"/>
    <w:rsid w:val="000B1494"/>
    <w:rsid w:val="000B293F"/>
    <w:rsid w:val="000B2A4B"/>
    <w:rsid w:val="000B31F2"/>
    <w:rsid w:val="000B3DC7"/>
    <w:rsid w:val="000B4624"/>
    <w:rsid w:val="000B4E50"/>
    <w:rsid w:val="000B4FE7"/>
    <w:rsid w:val="000B52E9"/>
    <w:rsid w:val="000B5407"/>
    <w:rsid w:val="000B5C60"/>
    <w:rsid w:val="000B657B"/>
    <w:rsid w:val="000B6B8D"/>
    <w:rsid w:val="000B71DB"/>
    <w:rsid w:val="000B73B9"/>
    <w:rsid w:val="000B7861"/>
    <w:rsid w:val="000C1922"/>
    <w:rsid w:val="000C1E48"/>
    <w:rsid w:val="000C2382"/>
    <w:rsid w:val="000C2ED9"/>
    <w:rsid w:val="000C2FBC"/>
    <w:rsid w:val="000C3722"/>
    <w:rsid w:val="000C3A32"/>
    <w:rsid w:val="000C661D"/>
    <w:rsid w:val="000D0669"/>
    <w:rsid w:val="000D0E30"/>
    <w:rsid w:val="000D2C06"/>
    <w:rsid w:val="000D39F6"/>
    <w:rsid w:val="000D3BDC"/>
    <w:rsid w:val="000D43A7"/>
    <w:rsid w:val="000D4936"/>
    <w:rsid w:val="000D4D91"/>
    <w:rsid w:val="000D5804"/>
    <w:rsid w:val="000D731B"/>
    <w:rsid w:val="000D7640"/>
    <w:rsid w:val="000D77DC"/>
    <w:rsid w:val="000D7AA2"/>
    <w:rsid w:val="000E050C"/>
    <w:rsid w:val="000E2905"/>
    <w:rsid w:val="000E2EC5"/>
    <w:rsid w:val="000E3931"/>
    <w:rsid w:val="000E3F66"/>
    <w:rsid w:val="000E4764"/>
    <w:rsid w:val="000E48B0"/>
    <w:rsid w:val="000E4CB8"/>
    <w:rsid w:val="000E57D6"/>
    <w:rsid w:val="000E5EC1"/>
    <w:rsid w:val="000E7490"/>
    <w:rsid w:val="000E7791"/>
    <w:rsid w:val="000F086F"/>
    <w:rsid w:val="000F09D8"/>
    <w:rsid w:val="000F1436"/>
    <w:rsid w:val="000F1D12"/>
    <w:rsid w:val="000F2CCC"/>
    <w:rsid w:val="000F3047"/>
    <w:rsid w:val="000F3A94"/>
    <w:rsid w:val="000F3C78"/>
    <w:rsid w:val="000F3EB3"/>
    <w:rsid w:val="000F456F"/>
    <w:rsid w:val="000F6611"/>
    <w:rsid w:val="000F732C"/>
    <w:rsid w:val="000F7479"/>
    <w:rsid w:val="00100203"/>
    <w:rsid w:val="0010109A"/>
    <w:rsid w:val="00101C48"/>
    <w:rsid w:val="001031F6"/>
    <w:rsid w:val="001035CD"/>
    <w:rsid w:val="0010386C"/>
    <w:rsid w:val="001049E8"/>
    <w:rsid w:val="001069D6"/>
    <w:rsid w:val="001077AF"/>
    <w:rsid w:val="00110B25"/>
    <w:rsid w:val="001112D4"/>
    <w:rsid w:val="00113281"/>
    <w:rsid w:val="00113F7A"/>
    <w:rsid w:val="00113F80"/>
    <w:rsid w:val="001142F1"/>
    <w:rsid w:val="001147BF"/>
    <w:rsid w:val="00114CAC"/>
    <w:rsid w:val="00115B55"/>
    <w:rsid w:val="001161D9"/>
    <w:rsid w:val="00117CDC"/>
    <w:rsid w:val="0012009F"/>
    <w:rsid w:val="00120231"/>
    <w:rsid w:val="0012080B"/>
    <w:rsid w:val="00120F33"/>
    <w:rsid w:val="00121E02"/>
    <w:rsid w:val="00121FBA"/>
    <w:rsid w:val="00122202"/>
    <w:rsid w:val="00122312"/>
    <w:rsid w:val="0012261B"/>
    <w:rsid w:val="00122C11"/>
    <w:rsid w:val="00122E2B"/>
    <w:rsid w:val="00122ED2"/>
    <w:rsid w:val="00123F2E"/>
    <w:rsid w:val="00124114"/>
    <w:rsid w:val="00126A1B"/>
    <w:rsid w:val="00127243"/>
    <w:rsid w:val="00127472"/>
    <w:rsid w:val="001276BD"/>
    <w:rsid w:val="0012783F"/>
    <w:rsid w:val="001305E9"/>
    <w:rsid w:val="00130F6D"/>
    <w:rsid w:val="00131040"/>
    <w:rsid w:val="00131ABE"/>
    <w:rsid w:val="0013279E"/>
    <w:rsid w:val="00132F79"/>
    <w:rsid w:val="001333FB"/>
    <w:rsid w:val="00133EEC"/>
    <w:rsid w:val="00134487"/>
    <w:rsid w:val="00134CD2"/>
    <w:rsid w:val="0013510A"/>
    <w:rsid w:val="001352A2"/>
    <w:rsid w:val="00135E25"/>
    <w:rsid w:val="00135E5B"/>
    <w:rsid w:val="00136707"/>
    <w:rsid w:val="00136774"/>
    <w:rsid w:val="001373AE"/>
    <w:rsid w:val="001377C2"/>
    <w:rsid w:val="00137F67"/>
    <w:rsid w:val="001403DD"/>
    <w:rsid w:val="00140C15"/>
    <w:rsid w:val="0014181D"/>
    <w:rsid w:val="001444A0"/>
    <w:rsid w:val="00144DAB"/>
    <w:rsid w:val="00145296"/>
    <w:rsid w:val="00145A74"/>
    <w:rsid w:val="00146249"/>
    <w:rsid w:val="001477A4"/>
    <w:rsid w:val="00147FEF"/>
    <w:rsid w:val="00151116"/>
    <w:rsid w:val="0015124E"/>
    <w:rsid w:val="001513BB"/>
    <w:rsid w:val="00151439"/>
    <w:rsid w:val="00151562"/>
    <w:rsid w:val="001516C1"/>
    <w:rsid w:val="001519D7"/>
    <w:rsid w:val="00152A9E"/>
    <w:rsid w:val="001532F4"/>
    <w:rsid w:val="00153CAB"/>
    <w:rsid w:val="0015437B"/>
    <w:rsid w:val="00156082"/>
    <w:rsid w:val="00156677"/>
    <w:rsid w:val="00156975"/>
    <w:rsid w:val="00157351"/>
    <w:rsid w:val="00157816"/>
    <w:rsid w:val="001613D8"/>
    <w:rsid w:val="001613EF"/>
    <w:rsid w:val="00161812"/>
    <w:rsid w:val="00161833"/>
    <w:rsid w:val="0016236E"/>
    <w:rsid w:val="001630E1"/>
    <w:rsid w:val="00164DE8"/>
    <w:rsid w:val="00165921"/>
    <w:rsid w:val="00165FF6"/>
    <w:rsid w:val="00167618"/>
    <w:rsid w:val="00167869"/>
    <w:rsid w:val="001711D3"/>
    <w:rsid w:val="00172C94"/>
    <w:rsid w:val="00173D2C"/>
    <w:rsid w:val="00174685"/>
    <w:rsid w:val="0017661A"/>
    <w:rsid w:val="001771BD"/>
    <w:rsid w:val="00177D89"/>
    <w:rsid w:val="00180690"/>
    <w:rsid w:val="0018138B"/>
    <w:rsid w:val="001824D7"/>
    <w:rsid w:val="001837A2"/>
    <w:rsid w:val="00184D12"/>
    <w:rsid w:val="0018596D"/>
    <w:rsid w:val="00185C56"/>
    <w:rsid w:val="00186D8A"/>
    <w:rsid w:val="00187D94"/>
    <w:rsid w:val="00187DA8"/>
    <w:rsid w:val="00190177"/>
    <w:rsid w:val="00190562"/>
    <w:rsid w:val="00191541"/>
    <w:rsid w:val="00191C69"/>
    <w:rsid w:val="00191F8E"/>
    <w:rsid w:val="00192A5D"/>
    <w:rsid w:val="001935A1"/>
    <w:rsid w:val="001959A2"/>
    <w:rsid w:val="0019619B"/>
    <w:rsid w:val="00196B23"/>
    <w:rsid w:val="0019783E"/>
    <w:rsid w:val="001A066F"/>
    <w:rsid w:val="001A1325"/>
    <w:rsid w:val="001A1A1E"/>
    <w:rsid w:val="001A1B03"/>
    <w:rsid w:val="001A1C2B"/>
    <w:rsid w:val="001A2508"/>
    <w:rsid w:val="001A3516"/>
    <w:rsid w:val="001A3FCE"/>
    <w:rsid w:val="001A4AFE"/>
    <w:rsid w:val="001A4BCB"/>
    <w:rsid w:val="001A527E"/>
    <w:rsid w:val="001A5AF6"/>
    <w:rsid w:val="001A6128"/>
    <w:rsid w:val="001B1168"/>
    <w:rsid w:val="001B147D"/>
    <w:rsid w:val="001B2DEF"/>
    <w:rsid w:val="001B3225"/>
    <w:rsid w:val="001B3646"/>
    <w:rsid w:val="001B3DC4"/>
    <w:rsid w:val="001B3E41"/>
    <w:rsid w:val="001B4134"/>
    <w:rsid w:val="001B4A8B"/>
    <w:rsid w:val="001B6616"/>
    <w:rsid w:val="001C061C"/>
    <w:rsid w:val="001C113E"/>
    <w:rsid w:val="001C1373"/>
    <w:rsid w:val="001C16CD"/>
    <w:rsid w:val="001C1B23"/>
    <w:rsid w:val="001C1DD8"/>
    <w:rsid w:val="001C29BD"/>
    <w:rsid w:val="001C439C"/>
    <w:rsid w:val="001C460B"/>
    <w:rsid w:val="001C4D44"/>
    <w:rsid w:val="001C4F41"/>
    <w:rsid w:val="001C55A2"/>
    <w:rsid w:val="001C5B05"/>
    <w:rsid w:val="001C61CE"/>
    <w:rsid w:val="001C6DBE"/>
    <w:rsid w:val="001C7B32"/>
    <w:rsid w:val="001D117D"/>
    <w:rsid w:val="001D177F"/>
    <w:rsid w:val="001D2F2F"/>
    <w:rsid w:val="001D3950"/>
    <w:rsid w:val="001D5989"/>
    <w:rsid w:val="001D61EB"/>
    <w:rsid w:val="001D6FFB"/>
    <w:rsid w:val="001D7FC4"/>
    <w:rsid w:val="001E05AB"/>
    <w:rsid w:val="001E0DCC"/>
    <w:rsid w:val="001E0F14"/>
    <w:rsid w:val="001E1C72"/>
    <w:rsid w:val="001E20A4"/>
    <w:rsid w:val="001E28E4"/>
    <w:rsid w:val="001E2E61"/>
    <w:rsid w:val="001E37EB"/>
    <w:rsid w:val="001E44C0"/>
    <w:rsid w:val="001E6060"/>
    <w:rsid w:val="001E6CEB"/>
    <w:rsid w:val="001E7F95"/>
    <w:rsid w:val="001F0AC5"/>
    <w:rsid w:val="001F1987"/>
    <w:rsid w:val="001F1A20"/>
    <w:rsid w:val="001F2377"/>
    <w:rsid w:val="001F2744"/>
    <w:rsid w:val="001F3E33"/>
    <w:rsid w:val="001F4D72"/>
    <w:rsid w:val="001F575D"/>
    <w:rsid w:val="001F5E38"/>
    <w:rsid w:val="001F7200"/>
    <w:rsid w:val="002000AF"/>
    <w:rsid w:val="00200AAA"/>
    <w:rsid w:val="0020171E"/>
    <w:rsid w:val="00202268"/>
    <w:rsid w:val="00202A73"/>
    <w:rsid w:val="00203124"/>
    <w:rsid w:val="00203DA9"/>
    <w:rsid w:val="0020407E"/>
    <w:rsid w:val="00204504"/>
    <w:rsid w:val="00204A68"/>
    <w:rsid w:val="00204B18"/>
    <w:rsid w:val="00205CB3"/>
    <w:rsid w:val="002067EC"/>
    <w:rsid w:val="00206886"/>
    <w:rsid w:val="00206A5D"/>
    <w:rsid w:val="00206F95"/>
    <w:rsid w:val="00207638"/>
    <w:rsid w:val="0021082F"/>
    <w:rsid w:val="00211AED"/>
    <w:rsid w:val="002130BA"/>
    <w:rsid w:val="00214375"/>
    <w:rsid w:val="00214469"/>
    <w:rsid w:val="002144AA"/>
    <w:rsid w:val="00214598"/>
    <w:rsid w:val="00214741"/>
    <w:rsid w:val="00214BDC"/>
    <w:rsid w:val="0021563D"/>
    <w:rsid w:val="00215811"/>
    <w:rsid w:val="0021593C"/>
    <w:rsid w:val="00215F29"/>
    <w:rsid w:val="002161F0"/>
    <w:rsid w:val="00217956"/>
    <w:rsid w:val="00217B80"/>
    <w:rsid w:val="00220B90"/>
    <w:rsid w:val="00223A4D"/>
    <w:rsid w:val="00223C95"/>
    <w:rsid w:val="00224C79"/>
    <w:rsid w:val="002260ED"/>
    <w:rsid w:val="00227087"/>
    <w:rsid w:val="00227645"/>
    <w:rsid w:val="0022774F"/>
    <w:rsid w:val="00227B2A"/>
    <w:rsid w:val="00227B50"/>
    <w:rsid w:val="0023001E"/>
    <w:rsid w:val="002314C0"/>
    <w:rsid w:val="002316B8"/>
    <w:rsid w:val="002319A4"/>
    <w:rsid w:val="00231C6F"/>
    <w:rsid w:val="002322B0"/>
    <w:rsid w:val="002338E6"/>
    <w:rsid w:val="002350F7"/>
    <w:rsid w:val="00235271"/>
    <w:rsid w:val="00237791"/>
    <w:rsid w:val="0023785E"/>
    <w:rsid w:val="00237BED"/>
    <w:rsid w:val="00240044"/>
    <w:rsid w:val="00241165"/>
    <w:rsid w:val="00241413"/>
    <w:rsid w:val="002414A8"/>
    <w:rsid w:val="0024181C"/>
    <w:rsid w:val="0024243C"/>
    <w:rsid w:val="0024307E"/>
    <w:rsid w:val="00243BC1"/>
    <w:rsid w:val="002441F0"/>
    <w:rsid w:val="00245D1E"/>
    <w:rsid w:val="002462C8"/>
    <w:rsid w:val="002462DC"/>
    <w:rsid w:val="00246C08"/>
    <w:rsid w:val="00247B12"/>
    <w:rsid w:val="00247EE3"/>
    <w:rsid w:val="0025083B"/>
    <w:rsid w:val="00251179"/>
    <w:rsid w:val="00252136"/>
    <w:rsid w:val="00253674"/>
    <w:rsid w:val="00253BA3"/>
    <w:rsid w:val="00253DD0"/>
    <w:rsid w:val="00254EC4"/>
    <w:rsid w:val="00255335"/>
    <w:rsid w:val="0025542E"/>
    <w:rsid w:val="00256129"/>
    <w:rsid w:val="00256B16"/>
    <w:rsid w:val="00256BCE"/>
    <w:rsid w:val="00256F16"/>
    <w:rsid w:val="002579C3"/>
    <w:rsid w:val="002616F9"/>
    <w:rsid w:val="00261A67"/>
    <w:rsid w:val="002634DE"/>
    <w:rsid w:val="002637E1"/>
    <w:rsid w:val="0026416F"/>
    <w:rsid w:val="002643FE"/>
    <w:rsid w:val="00265550"/>
    <w:rsid w:val="00265ED0"/>
    <w:rsid w:val="002663FC"/>
    <w:rsid w:val="00266C95"/>
    <w:rsid w:val="002704F4"/>
    <w:rsid w:val="002706E4"/>
    <w:rsid w:val="00271655"/>
    <w:rsid w:val="00271DC3"/>
    <w:rsid w:val="00272736"/>
    <w:rsid w:val="00272F86"/>
    <w:rsid w:val="00274DDE"/>
    <w:rsid w:val="00274FE6"/>
    <w:rsid w:val="0027684B"/>
    <w:rsid w:val="00277550"/>
    <w:rsid w:val="00277A4E"/>
    <w:rsid w:val="002800D4"/>
    <w:rsid w:val="00280341"/>
    <w:rsid w:val="00280E34"/>
    <w:rsid w:val="00280F3B"/>
    <w:rsid w:val="0028145D"/>
    <w:rsid w:val="00281D46"/>
    <w:rsid w:val="002855E9"/>
    <w:rsid w:val="00285B22"/>
    <w:rsid w:val="00285B75"/>
    <w:rsid w:val="0028611A"/>
    <w:rsid w:val="0028677E"/>
    <w:rsid w:val="00287A49"/>
    <w:rsid w:val="00290221"/>
    <w:rsid w:val="00290593"/>
    <w:rsid w:val="002908C1"/>
    <w:rsid w:val="00290F2E"/>
    <w:rsid w:val="00292371"/>
    <w:rsid w:val="002929EB"/>
    <w:rsid w:val="002930C1"/>
    <w:rsid w:val="00293576"/>
    <w:rsid w:val="002939D0"/>
    <w:rsid w:val="00294463"/>
    <w:rsid w:val="002947B6"/>
    <w:rsid w:val="00295AE1"/>
    <w:rsid w:val="002963E6"/>
    <w:rsid w:val="0029675A"/>
    <w:rsid w:val="00296FB1"/>
    <w:rsid w:val="002A0304"/>
    <w:rsid w:val="002A0830"/>
    <w:rsid w:val="002A085C"/>
    <w:rsid w:val="002A18DD"/>
    <w:rsid w:val="002A290F"/>
    <w:rsid w:val="002A2EB1"/>
    <w:rsid w:val="002A40DC"/>
    <w:rsid w:val="002A4DB6"/>
    <w:rsid w:val="002A5EAD"/>
    <w:rsid w:val="002A715F"/>
    <w:rsid w:val="002B0278"/>
    <w:rsid w:val="002B0564"/>
    <w:rsid w:val="002B0802"/>
    <w:rsid w:val="002B0E34"/>
    <w:rsid w:val="002B13A0"/>
    <w:rsid w:val="002B1C85"/>
    <w:rsid w:val="002B1C9C"/>
    <w:rsid w:val="002B3573"/>
    <w:rsid w:val="002B4151"/>
    <w:rsid w:val="002B4AF3"/>
    <w:rsid w:val="002B560D"/>
    <w:rsid w:val="002B58C0"/>
    <w:rsid w:val="002B58CD"/>
    <w:rsid w:val="002B5EC0"/>
    <w:rsid w:val="002B6487"/>
    <w:rsid w:val="002B6B8C"/>
    <w:rsid w:val="002B7128"/>
    <w:rsid w:val="002B7499"/>
    <w:rsid w:val="002B7A0D"/>
    <w:rsid w:val="002B7BC9"/>
    <w:rsid w:val="002C074C"/>
    <w:rsid w:val="002C1680"/>
    <w:rsid w:val="002C3D82"/>
    <w:rsid w:val="002C543E"/>
    <w:rsid w:val="002C5747"/>
    <w:rsid w:val="002C57BC"/>
    <w:rsid w:val="002C6F96"/>
    <w:rsid w:val="002D0059"/>
    <w:rsid w:val="002D0D00"/>
    <w:rsid w:val="002D1F93"/>
    <w:rsid w:val="002D2FA5"/>
    <w:rsid w:val="002D3BDA"/>
    <w:rsid w:val="002D4469"/>
    <w:rsid w:val="002D4A54"/>
    <w:rsid w:val="002D4B2E"/>
    <w:rsid w:val="002D507E"/>
    <w:rsid w:val="002D5E84"/>
    <w:rsid w:val="002D615B"/>
    <w:rsid w:val="002D77EC"/>
    <w:rsid w:val="002E00CC"/>
    <w:rsid w:val="002E0D64"/>
    <w:rsid w:val="002E1FA4"/>
    <w:rsid w:val="002E20BC"/>
    <w:rsid w:val="002E32E9"/>
    <w:rsid w:val="002E3624"/>
    <w:rsid w:val="002E36FE"/>
    <w:rsid w:val="002E3CDE"/>
    <w:rsid w:val="002E43F0"/>
    <w:rsid w:val="002E4DB7"/>
    <w:rsid w:val="002E5BE5"/>
    <w:rsid w:val="002E5D8F"/>
    <w:rsid w:val="002E6D85"/>
    <w:rsid w:val="002E6F26"/>
    <w:rsid w:val="002E74E6"/>
    <w:rsid w:val="002E7E28"/>
    <w:rsid w:val="002F048C"/>
    <w:rsid w:val="002F055E"/>
    <w:rsid w:val="002F0B5D"/>
    <w:rsid w:val="002F196C"/>
    <w:rsid w:val="002F21B4"/>
    <w:rsid w:val="002F23F0"/>
    <w:rsid w:val="002F2560"/>
    <w:rsid w:val="002F45A4"/>
    <w:rsid w:val="002F5DF7"/>
    <w:rsid w:val="002F6BBF"/>
    <w:rsid w:val="002F6F21"/>
    <w:rsid w:val="002F7625"/>
    <w:rsid w:val="003011AA"/>
    <w:rsid w:val="003013A5"/>
    <w:rsid w:val="0030217C"/>
    <w:rsid w:val="00302538"/>
    <w:rsid w:val="00302D52"/>
    <w:rsid w:val="0030324E"/>
    <w:rsid w:val="00303682"/>
    <w:rsid w:val="00303B48"/>
    <w:rsid w:val="003042FF"/>
    <w:rsid w:val="00304314"/>
    <w:rsid w:val="0030444E"/>
    <w:rsid w:val="00304A39"/>
    <w:rsid w:val="00304E50"/>
    <w:rsid w:val="00306057"/>
    <w:rsid w:val="00306421"/>
    <w:rsid w:val="00307421"/>
    <w:rsid w:val="00307578"/>
    <w:rsid w:val="00307A62"/>
    <w:rsid w:val="00312ABB"/>
    <w:rsid w:val="00312B29"/>
    <w:rsid w:val="00313439"/>
    <w:rsid w:val="003136D9"/>
    <w:rsid w:val="00316C04"/>
    <w:rsid w:val="00317398"/>
    <w:rsid w:val="00317EF4"/>
    <w:rsid w:val="003214C4"/>
    <w:rsid w:val="00321B7D"/>
    <w:rsid w:val="00321CC8"/>
    <w:rsid w:val="003227EC"/>
    <w:rsid w:val="00322B72"/>
    <w:rsid w:val="00322C80"/>
    <w:rsid w:val="003234EC"/>
    <w:rsid w:val="0032435E"/>
    <w:rsid w:val="00324398"/>
    <w:rsid w:val="00324A04"/>
    <w:rsid w:val="00325131"/>
    <w:rsid w:val="0032591F"/>
    <w:rsid w:val="00325B50"/>
    <w:rsid w:val="00325C65"/>
    <w:rsid w:val="00327306"/>
    <w:rsid w:val="0033011C"/>
    <w:rsid w:val="003315AC"/>
    <w:rsid w:val="003322FD"/>
    <w:rsid w:val="0033264A"/>
    <w:rsid w:val="003329DF"/>
    <w:rsid w:val="00332DC0"/>
    <w:rsid w:val="003330E3"/>
    <w:rsid w:val="00333FAE"/>
    <w:rsid w:val="00334588"/>
    <w:rsid w:val="00335CF7"/>
    <w:rsid w:val="00335D4F"/>
    <w:rsid w:val="00337982"/>
    <w:rsid w:val="00337E7E"/>
    <w:rsid w:val="00340879"/>
    <w:rsid w:val="003409D0"/>
    <w:rsid w:val="00340DE3"/>
    <w:rsid w:val="003421DB"/>
    <w:rsid w:val="003426DB"/>
    <w:rsid w:val="00342994"/>
    <w:rsid w:val="00342BE7"/>
    <w:rsid w:val="0034313E"/>
    <w:rsid w:val="0034352A"/>
    <w:rsid w:val="00344DDB"/>
    <w:rsid w:val="00344E1D"/>
    <w:rsid w:val="00345326"/>
    <w:rsid w:val="003478A3"/>
    <w:rsid w:val="0035041B"/>
    <w:rsid w:val="00352EA3"/>
    <w:rsid w:val="00353113"/>
    <w:rsid w:val="0035375D"/>
    <w:rsid w:val="00353B2E"/>
    <w:rsid w:val="00353D7B"/>
    <w:rsid w:val="003543CA"/>
    <w:rsid w:val="00354CEB"/>
    <w:rsid w:val="00355139"/>
    <w:rsid w:val="003567CF"/>
    <w:rsid w:val="00356801"/>
    <w:rsid w:val="0035682E"/>
    <w:rsid w:val="00357628"/>
    <w:rsid w:val="0036098A"/>
    <w:rsid w:val="003612E4"/>
    <w:rsid w:val="0036189E"/>
    <w:rsid w:val="00361D8F"/>
    <w:rsid w:val="00362102"/>
    <w:rsid w:val="00363256"/>
    <w:rsid w:val="00363951"/>
    <w:rsid w:val="003639DA"/>
    <w:rsid w:val="003640F8"/>
    <w:rsid w:val="003642D1"/>
    <w:rsid w:val="00365217"/>
    <w:rsid w:val="003678B8"/>
    <w:rsid w:val="00367D57"/>
    <w:rsid w:val="00370653"/>
    <w:rsid w:val="0037182A"/>
    <w:rsid w:val="00371B7C"/>
    <w:rsid w:val="00372F9E"/>
    <w:rsid w:val="003733E5"/>
    <w:rsid w:val="003736D1"/>
    <w:rsid w:val="003741A1"/>
    <w:rsid w:val="00374D1B"/>
    <w:rsid w:val="00377492"/>
    <w:rsid w:val="00377527"/>
    <w:rsid w:val="00377A54"/>
    <w:rsid w:val="00380DC3"/>
    <w:rsid w:val="003810A4"/>
    <w:rsid w:val="00381807"/>
    <w:rsid w:val="003831AA"/>
    <w:rsid w:val="0038474B"/>
    <w:rsid w:val="00385291"/>
    <w:rsid w:val="003857C8"/>
    <w:rsid w:val="00386767"/>
    <w:rsid w:val="00387744"/>
    <w:rsid w:val="00387E89"/>
    <w:rsid w:val="00391963"/>
    <w:rsid w:val="00391B38"/>
    <w:rsid w:val="00391C83"/>
    <w:rsid w:val="0039369C"/>
    <w:rsid w:val="0039435F"/>
    <w:rsid w:val="00394BB6"/>
    <w:rsid w:val="00394CDB"/>
    <w:rsid w:val="00395816"/>
    <w:rsid w:val="003959F5"/>
    <w:rsid w:val="003961F0"/>
    <w:rsid w:val="00396F8B"/>
    <w:rsid w:val="003978DA"/>
    <w:rsid w:val="00397E6F"/>
    <w:rsid w:val="003A0E9D"/>
    <w:rsid w:val="003A1514"/>
    <w:rsid w:val="003A16A6"/>
    <w:rsid w:val="003A1C5D"/>
    <w:rsid w:val="003A3420"/>
    <w:rsid w:val="003A5B71"/>
    <w:rsid w:val="003A637B"/>
    <w:rsid w:val="003B0FE8"/>
    <w:rsid w:val="003B1558"/>
    <w:rsid w:val="003B16BE"/>
    <w:rsid w:val="003B2127"/>
    <w:rsid w:val="003B23A9"/>
    <w:rsid w:val="003B3414"/>
    <w:rsid w:val="003B3459"/>
    <w:rsid w:val="003B46DF"/>
    <w:rsid w:val="003B4AE9"/>
    <w:rsid w:val="003B779A"/>
    <w:rsid w:val="003B7979"/>
    <w:rsid w:val="003B7A2C"/>
    <w:rsid w:val="003B7B86"/>
    <w:rsid w:val="003C01B8"/>
    <w:rsid w:val="003C16CB"/>
    <w:rsid w:val="003C1771"/>
    <w:rsid w:val="003C2BEA"/>
    <w:rsid w:val="003C3589"/>
    <w:rsid w:val="003C3774"/>
    <w:rsid w:val="003C5A07"/>
    <w:rsid w:val="003D046C"/>
    <w:rsid w:val="003D1C57"/>
    <w:rsid w:val="003D23F6"/>
    <w:rsid w:val="003D3B62"/>
    <w:rsid w:val="003D421A"/>
    <w:rsid w:val="003D524C"/>
    <w:rsid w:val="003D52C2"/>
    <w:rsid w:val="003D740A"/>
    <w:rsid w:val="003E01F3"/>
    <w:rsid w:val="003E0D0D"/>
    <w:rsid w:val="003E15C3"/>
    <w:rsid w:val="003E170F"/>
    <w:rsid w:val="003E2A02"/>
    <w:rsid w:val="003E3B62"/>
    <w:rsid w:val="003E3FFD"/>
    <w:rsid w:val="003E4084"/>
    <w:rsid w:val="003E46B3"/>
    <w:rsid w:val="003E478D"/>
    <w:rsid w:val="003E5629"/>
    <w:rsid w:val="003E6986"/>
    <w:rsid w:val="003E714F"/>
    <w:rsid w:val="003E73BC"/>
    <w:rsid w:val="003E7BD0"/>
    <w:rsid w:val="003E7F38"/>
    <w:rsid w:val="003F067D"/>
    <w:rsid w:val="003F1687"/>
    <w:rsid w:val="003F187D"/>
    <w:rsid w:val="003F18DB"/>
    <w:rsid w:val="003F1E02"/>
    <w:rsid w:val="003F2958"/>
    <w:rsid w:val="003F33B6"/>
    <w:rsid w:val="003F3405"/>
    <w:rsid w:val="003F5536"/>
    <w:rsid w:val="003F6242"/>
    <w:rsid w:val="003F6A83"/>
    <w:rsid w:val="003F7004"/>
    <w:rsid w:val="003F717D"/>
    <w:rsid w:val="003F73C7"/>
    <w:rsid w:val="003F7A9B"/>
    <w:rsid w:val="00400445"/>
    <w:rsid w:val="00402B42"/>
    <w:rsid w:val="00403360"/>
    <w:rsid w:val="00403AC2"/>
    <w:rsid w:val="00406636"/>
    <w:rsid w:val="00406B56"/>
    <w:rsid w:val="0040717E"/>
    <w:rsid w:val="004072BD"/>
    <w:rsid w:val="0040796E"/>
    <w:rsid w:val="00410823"/>
    <w:rsid w:val="00410F05"/>
    <w:rsid w:val="004114C3"/>
    <w:rsid w:val="00412F66"/>
    <w:rsid w:val="00413EAE"/>
    <w:rsid w:val="0041430E"/>
    <w:rsid w:val="00415455"/>
    <w:rsid w:val="00416DAD"/>
    <w:rsid w:val="00417104"/>
    <w:rsid w:val="00417880"/>
    <w:rsid w:val="00417A27"/>
    <w:rsid w:val="004231C9"/>
    <w:rsid w:val="004239A5"/>
    <w:rsid w:val="004244EC"/>
    <w:rsid w:val="00426044"/>
    <w:rsid w:val="00426D5A"/>
    <w:rsid w:val="004271CE"/>
    <w:rsid w:val="0042785F"/>
    <w:rsid w:val="00427FB4"/>
    <w:rsid w:val="004301E0"/>
    <w:rsid w:val="00431080"/>
    <w:rsid w:val="004317A6"/>
    <w:rsid w:val="00431AE8"/>
    <w:rsid w:val="00432012"/>
    <w:rsid w:val="004321AA"/>
    <w:rsid w:val="00432634"/>
    <w:rsid w:val="00432AF7"/>
    <w:rsid w:val="00433F1F"/>
    <w:rsid w:val="00433FCB"/>
    <w:rsid w:val="0043420E"/>
    <w:rsid w:val="0043452A"/>
    <w:rsid w:val="004359B7"/>
    <w:rsid w:val="00436094"/>
    <w:rsid w:val="00440F03"/>
    <w:rsid w:val="004411B2"/>
    <w:rsid w:val="00441447"/>
    <w:rsid w:val="004417B3"/>
    <w:rsid w:val="0044194C"/>
    <w:rsid w:val="00441C87"/>
    <w:rsid w:val="00441E08"/>
    <w:rsid w:val="00442B02"/>
    <w:rsid w:val="00444427"/>
    <w:rsid w:val="00444CF6"/>
    <w:rsid w:val="004455FD"/>
    <w:rsid w:val="00446AB4"/>
    <w:rsid w:val="00446EC4"/>
    <w:rsid w:val="00446FC8"/>
    <w:rsid w:val="0044727B"/>
    <w:rsid w:val="004510C7"/>
    <w:rsid w:val="00451834"/>
    <w:rsid w:val="00451EF8"/>
    <w:rsid w:val="00452531"/>
    <w:rsid w:val="0045262C"/>
    <w:rsid w:val="004526BA"/>
    <w:rsid w:val="00454A28"/>
    <w:rsid w:val="0045669B"/>
    <w:rsid w:val="004566F7"/>
    <w:rsid w:val="00456EE8"/>
    <w:rsid w:val="00456F54"/>
    <w:rsid w:val="00457692"/>
    <w:rsid w:val="00457FE4"/>
    <w:rsid w:val="00460133"/>
    <w:rsid w:val="00460690"/>
    <w:rsid w:val="00460F4C"/>
    <w:rsid w:val="00461155"/>
    <w:rsid w:val="004614B1"/>
    <w:rsid w:val="004616C1"/>
    <w:rsid w:val="004635B5"/>
    <w:rsid w:val="004638DE"/>
    <w:rsid w:val="00463987"/>
    <w:rsid w:val="00464703"/>
    <w:rsid w:val="004651CC"/>
    <w:rsid w:val="004654C0"/>
    <w:rsid w:val="00465572"/>
    <w:rsid w:val="00465719"/>
    <w:rsid w:val="004659E1"/>
    <w:rsid w:val="0046634B"/>
    <w:rsid w:val="004667CC"/>
    <w:rsid w:val="0046720B"/>
    <w:rsid w:val="00467A04"/>
    <w:rsid w:val="00467E5A"/>
    <w:rsid w:val="00467E7A"/>
    <w:rsid w:val="00470B01"/>
    <w:rsid w:val="00471EB9"/>
    <w:rsid w:val="004726FA"/>
    <w:rsid w:val="00472D21"/>
    <w:rsid w:val="00472DEA"/>
    <w:rsid w:val="00472DF8"/>
    <w:rsid w:val="004738A0"/>
    <w:rsid w:val="004738C9"/>
    <w:rsid w:val="00473DB8"/>
    <w:rsid w:val="00473DE7"/>
    <w:rsid w:val="0047410C"/>
    <w:rsid w:val="004744F7"/>
    <w:rsid w:val="004745CD"/>
    <w:rsid w:val="004746D9"/>
    <w:rsid w:val="004753F3"/>
    <w:rsid w:val="00476288"/>
    <w:rsid w:val="00476769"/>
    <w:rsid w:val="00476BF3"/>
    <w:rsid w:val="00477081"/>
    <w:rsid w:val="00477A4D"/>
    <w:rsid w:val="00480E2E"/>
    <w:rsid w:val="0048213B"/>
    <w:rsid w:val="00482E4F"/>
    <w:rsid w:val="00486C3B"/>
    <w:rsid w:val="0049135B"/>
    <w:rsid w:val="004920B2"/>
    <w:rsid w:val="0049265D"/>
    <w:rsid w:val="0049449E"/>
    <w:rsid w:val="004948F1"/>
    <w:rsid w:val="00494F1F"/>
    <w:rsid w:val="004958B1"/>
    <w:rsid w:val="00495910"/>
    <w:rsid w:val="0049623E"/>
    <w:rsid w:val="004971DD"/>
    <w:rsid w:val="0049731C"/>
    <w:rsid w:val="004973BD"/>
    <w:rsid w:val="004A08F4"/>
    <w:rsid w:val="004A0966"/>
    <w:rsid w:val="004A1B88"/>
    <w:rsid w:val="004A2574"/>
    <w:rsid w:val="004A25B1"/>
    <w:rsid w:val="004A2665"/>
    <w:rsid w:val="004A270F"/>
    <w:rsid w:val="004A3698"/>
    <w:rsid w:val="004A45CF"/>
    <w:rsid w:val="004A4A01"/>
    <w:rsid w:val="004A5885"/>
    <w:rsid w:val="004A6D35"/>
    <w:rsid w:val="004A7330"/>
    <w:rsid w:val="004A7AB9"/>
    <w:rsid w:val="004B0741"/>
    <w:rsid w:val="004B1068"/>
    <w:rsid w:val="004B10D8"/>
    <w:rsid w:val="004B11E1"/>
    <w:rsid w:val="004B16D7"/>
    <w:rsid w:val="004B1C7E"/>
    <w:rsid w:val="004B1F64"/>
    <w:rsid w:val="004B2045"/>
    <w:rsid w:val="004B21EB"/>
    <w:rsid w:val="004B3CDA"/>
    <w:rsid w:val="004B3EE3"/>
    <w:rsid w:val="004B3F58"/>
    <w:rsid w:val="004B4201"/>
    <w:rsid w:val="004B50D2"/>
    <w:rsid w:val="004B512D"/>
    <w:rsid w:val="004B557F"/>
    <w:rsid w:val="004B62F5"/>
    <w:rsid w:val="004B6D94"/>
    <w:rsid w:val="004B75F7"/>
    <w:rsid w:val="004B76CE"/>
    <w:rsid w:val="004B7782"/>
    <w:rsid w:val="004C09F3"/>
    <w:rsid w:val="004C0A16"/>
    <w:rsid w:val="004C0A43"/>
    <w:rsid w:val="004C213F"/>
    <w:rsid w:val="004C28B6"/>
    <w:rsid w:val="004C2991"/>
    <w:rsid w:val="004C2D43"/>
    <w:rsid w:val="004C4090"/>
    <w:rsid w:val="004C5210"/>
    <w:rsid w:val="004C5AB6"/>
    <w:rsid w:val="004C6474"/>
    <w:rsid w:val="004D13DD"/>
    <w:rsid w:val="004D1638"/>
    <w:rsid w:val="004D31B6"/>
    <w:rsid w:val="004D3870"/>
    <w:rsid w:val="004D4321"/>
    <w:rsid w:val="004D5486"/>
    <w:rsid w:val="004D55EF"/>
    <w:rsid w:val="004D6485"/>
    <w:rsid w:val="004D6C4D"/>
    <w:rsid w:val="004E0373"/>
    <w:rsid w:val="004E09EF"/>
    <w:rsid w:val="004E0BB7"/>
    <w:rsid w:val="004E18F6"/>
    <w:rsid w:val="004E1DF5"/>
    <w:rsid w:val="004E273D"/>
    <w:rsid w:val="004E31A5"/>
    <w:rsid w:val="004E3E3C"/>
    <w:rsid w:val="004E4C58"/>
    <w:rsid w:val="004E5269"/>
    <w:rsid w:val="004E52D0"/>
    <w:rsid w:val="004E5B38"/>
    <w:rsid w:val="004E6D8A"/>
    <w:rsid w:val="004F048E"/>
    <w:rsid w:val="004F06B2"/>
    <w:rsid w:val="004F1E76"/>
    <w:rsid w:val="004F20A8"/>
    <w:rsid w:val="004F2536"/>
    <w:rsid w:val="004F2E10"/>
    <w:rsid w:val="004F323B"/>
    <w:rsid w:val="004F3FD7"/>
    <w:rsid w:val="004F4692"/>
    <w:rsid w:val="004F62F0"/>
    <w:rsid w:val="004F7BD1"/>
    <w:rsid w:val="004F7ECD"/>
    <w:rsid w:val="0050052C"/>
    <w:rsid w:val="00500BE1"/>
    <w:rsid w:val="0050103E"/>
    <w:rsid w:val="0050220B"/>
    <w:rsid w:val="00502C61"/>
    <w:rsid w:val="005030CA"/>
    <w:rsid w:val="00503312"/>
    <w:rsid w:val="00503321"/>
    <w:rsid w:val="005035D4"/>
    <w:rsid w:val="00503DB1"/>
    <w:rsid w:val="00504135"/>
    <w:rsid w:val="005043AE"/>
    <w:rsid w:val="005045A9"/>
    <w:rsid w:val="0050599C"/>
    <w:rsid w:val="005059D7"/>
    <w:rsid w:val="0050666C"/>
    <w:rsid w:val="00506AB3"/>
    <w:rsid w:val="00511509"/>
    <w:rsid w:val="00512BDA"/>
    <w:rsid w:val="00513E6A"/>
    <w:rsid w:val="005148C1"/>
    <w:rsid w:val="00515781"/>
    <w:rsid w:val="0051702A"/>
    <w:rsid w:val="00517327"/>
    <w:rsid w:val="0051738B"/>
    <w:rsid w:val="00517AB3"/>
    <w:rsid w:val="00520043"/>
    <w:rsid w:val="00521254"/>
    <w:rsid w:val="00523550"/>
    <w:rsid w:val="00523E25"/>
    <w:rsid w:val="00524749"/>
    <w:rsid w:val="00527532"/>
    <w:rsid w:val="00530227"/>
    <w:rsid w:val="00530A4B"/>
    <w:rsid w:val="00531EB4"/>
    <w:rsid w:val="00532124"/>
    <w:rsid w:val="005324ED"/>
    <w:rsid w:val="005331AC"/>
    <w:rsid w:val="005338CA"/>
    <w:rsid w:val="00533ED9"/>
    <w:rsid w:val="00534C58"/>
    <w:rsid w:val="00534C67"/>
    <w:rsid w:val="0053560B"/>
    <w:rsid w:val="005365D8"/>
    <w:rsid w:val="00537E21"/>
    <w:rsid w:val="00540B1A"/>
    <w:rsid w:val="00541001"/>
    <w:rsid w:val="00541289"/>
    <w:rsid w:val="005417A4"/>
    <w:rsid w:val="00544326"/>
    <w:rsid w:val="0054558D"/>
    <w:rsid w:val="00545F67"/>
    <w:rsid w:val="005501C5"/>
    <w:rsid w:val="00550B03"/>
    <w:rsid w:val="00551507"/>
    <w:rsid w:val="00552026"/>
    <w:rsid w:val="005529DC"/>
    <w:rsid w:val="00553141"/>
    <w:rsid w:val="00554DE7"/>
    <w:rsid w:val="00555EB5"/>
    <w:rsid w:val="00556454"/>
    <w:rsid w:val="00556AAD"/>
    <w:rsid w:val="005579DB"/>
    <w:rsid w:val="00557D45"/>
    <w:rsid w:val="00560653"/>
    <w:rsid w:val="005609E3"/>
    <w:rsid w:val="00562D14"/>
    <w:rsid w:val="005633DF"/>
    <w:rsid w:val="005634A7"/>
    <w:rsid w:val="00564D61"/>
    <w:rsid w:val="0056536C"/>
    <w:rsid w:val="00565FD8"/>
    <w:rsid w:val="0056682F"/>
    <w:rsid w:val="00566BCF"/>
    <w:rsid w:val="00566C7C"/>
    <w:rsid w:val="005670CE"/>
    <w:rsid w:val="005703BE"/>
    <w:rsid w:val="00571CDB"/>
    <w:rsid w:val="00573215"/>
    <w:rsid w:val="00576283"/>
    <w:rsid w:val="00576BB9"/>
    <w:rsid w:val="0057707A"/>
    <w:rsid w:val="00577CA0"/>
    <w:rsid w:val="00577CBC"/>
    <w:rsid w:val="00577F70"/>
    <w:rsid w:val="00581218"/>
    <w:rsid w:val="00581815"/>
    <w:rsid w:val="0058181A"/>
    <w:rsid w:val="00581967"/>
    <w:rsid w:val="005819E0"/>
    <w:rsid w:val="00581F03"/>
    <w:rsid w:val="0058297F"/>
    <w:rsid w:val="00582DCC"/>
    <w:rsid w:val="00583AD9"/>
    <w:rsid w:val="00584472"/>
    <w:rsid w:val="0058453E"/>
    <w:rsid w:val="00584739"/>
    <w:rsid w:val="005852C6"/>
    <w:rsid w:val="0058534C"/>
    <w:rsid w:val="00585563"/>
    <w:rsid w:val="00586169"/>
    <w:rsid w:val="00586C72"/>
    <w:rsid w:val="00586CAA"/>
    <w:rsid w:val="0059057D"/>
    <w:rsid w:val="00590886"/>
    <w:rsid w:val="00590BCE"/>
    <w:rsid w:val="00591343"/>
    <w:rsid w:val="00591654"/>
    <w:rsid w:val="0059180B"/>
    <w:rsid w:val="005924C0"/>
    <w:rsid w:val="00593115"/>
    <w:rsid w:val="005937A7"/>
    <w:rsid w:val="00593FFE"/>
    <w:rsid w:val="00594400"/>
    <w:rsid w:val="00596FCF"/>
    <w:rsid w:val="00597588"/>
    <w:rsid w:val="00597B7A"/>
    <w:rsid w:val="005A0454"/>
    <w:rsid w:val="005A09ED"/>
    <w:rsid w:val="005A1AC4"/>
    <w:rsid w:val="005A1C42"/>
    <w:rsid w:val="005A1FF0"/>
    <w:rsid w:val="005A2D6C"/>
    <w:rsid w:val="005A355B"/>
    <w:rsid w:val="005A3EE6"/>
    <w:rsid w:val="005A42F4"/>
    <w:rsid w:val="005A5E08"/>
    <w:rsid w:val="005A7308"/>
    <w:rsid w:val="005A7F2E"/>
    <w:rsid w:val="005B22F6"/>
    <w:rsid w:val="005B26B9"/>
    <w:rsid w:val="005B2FB8"/>
    <w:rsid w:val="005B3655"/>
    <w:rsid w:val="005B38E7"/>
    <w:rsid w:val="005B3C97"/>
    <w:rsid w:val="005B46F6"/>
    <w:rsid w:val="005B4F9B"/>
    <w:rsid w:val="005B60B4"/>
    <w:rsid w:val="005B635F"/>
    <w:rsid w:val="005B66CC"/>
    <w:rsid w:val="005B66E7"/>
    <w:rsid w:val="005B7F89"/>
    <w:rsid w:val="005C05AC"/>
    <w:rsid w:val="005C0B76"/>
    <w:rsid w:val="005C1527"/>
    <w:rsid w:val="005C187D"/>
    <w:rsid w:val="005C1BE9"/>
    <w:rsid w:val="005C27C6"/>
    <w:rsid w:val="005C2B81"/>
    <w:rsid w:val="005C3A1F"/>
    <w:rsid w:val="005C43AA"/>
    <w:rsid w:val="005C55F6"/>
    <w:rsid w:val="005C5B8E"/>
    <w:rsid w:val="005D045D"/>
    <w:rsid w:val="005D0AE7"/>
    <w:rsid w:val="005D0D42"/>
    <w:rsid w:val="005D0FA1"/>
    <w:rsid w:val="005D12D2"/>
    <w:rsid w:val="005D195E"/>
    <w:rsid w:val="005D3B34"/>
    <w:rsid w:val="005D3D3F"/>
    <w:rsid w:val="005D461E"/>
    <w:rsid w:val="005D4E51"/>
    <w:rsid w:val="005D7666"/>
    <w:rsid w:val="005D798A"/>
    <w:rsid w:val="005E1CFA"/>
    <w:rsid w:val="005E28D9"/>
    <w:rsid w:val="005E2BD1"/>
    <w:rsid w:val="005E3625"/>
    <w:rsid w:val="005E38DA"/>
    <w:rsid w:val="005E6969"/>
    <w:rsid w:val="005F00CF"/>
    <w:rsid w:val="005F02D5"/>
    <w:rsid w:val="005F03A0"/>
    <w:rsid w:val="005F048F"/>
    <w:rsid w:val="005F0681"/>
    <w:rsid w:val="005F0FBA"/>
    <w:rsid w:val="005F350B"/>
    <w:rsid w:val="005F3C2D"/>
    <w:rsid w:val="005F3CF2"/>
    <w:rsid w:val="005F4521"/>
    <w:rsid w:val="005F45AB"/>
    <w:rsid w:val="005F59BB"/>
    <w:rsid w:val="005F63FE"/>
    <w:rsid w:val="005F6B5B"/>
    <w:rsid w:val="005F6E53"/>
    <w:rsid w:val="0060120E"/>
    <w:rsid w:val="006014F4"/>
    <w:rsid w:val="00602AD2"/>
    <w:rsid w:val="00602BEE"/>
    <w:rsid w:val="006036A2"/>
    <w:rsid w:val="00604378"/>
    <w:rsid w:val="0060461D"/>
    <w:rsid w:val="006046D6"/>
    <w:rsid w:val="00605446"/>
    <w:rsid w:val="0060592E"/>
    <w:rsid w:val="00605B29"/>
    <w:rsid w:val="00606065"/>
    <w:rsid w:val="0060636C"/>
    <w:rsid w:val="00606D6D"/>
    <w:rsid w:val="00606E10"/>
    <w:rsid w:val="006072E1"/>
    <w:rsid w:val="0060730D"/>
    <w:rsid w:val="00607613"/>
    <w:rsid w:val="00607B08"/>
    <w:rsid w:val="006107C7"/>
    <w:rsid w:val="00611465"/>
    <w:rsid w:val="0061186C"/>
    <w:rsid w:val="0061210F"/>
    <w:rsid w:val="0061269D"/>
    <w:rsid w:val="00613762"/>
    <w:rsid w:val="00614B20"/>
    <w:rsid w:val="00614BF2"/>
    <w:rsid w:val="00614E20"/>
    <w:rsid w:val="00616FC7"/>
    <w:rsid w:val="00617A62"/>
    <w:rsid w:val="006205B9"/>
    <w:rsid w:val="0062178D"/>
    <w:rsid w:val="00621DDC"/>
    <w:rsid w:val="006221DC"/>
    <w:rsid w:val="00622CC7"/>
    <w:rsid w:val="00623044"/>
    <w:rsid w:val="00623A46"/>
    <w:rsid w:val="00623F2C"/>
    <w:rsid w:val="006243B1"/>
    <w:rsid w:val="00625185"/>
    <w:rsid w:val="00626286"/>
    <w:rsid w:val="00627A88"/>
    <w:rsid w:val="00627C39"/>
    <w:rsid w:val="006309C7"/>
    <w:rsid w:val="00634556"/>
    <w:rsid w:val="006348DF"/>
    <w:rsid w:val="00635584"/>
    <w:rsid w:val="00635988"/>
    <w:rsid w:val="00636BDF"/>
    <w:rsid w:val="00640388"/>
    <w:rsid w:val="006404F5"/>
    <w:rsid w:val="006405CC"/>
    <w:rsid w:val="006409F4"/>
    <w:rsid w:val="00640E3E"/>
    <w:rsid w:val="006414CB"/>
    <w:rsid w:val="00641899"/>
    <w:rsid w:val="00641C3E"/>
    <w:rsid w:val="00641DEB"/>
    <w:rsid w:val="00641EBA"/>
    <w:rsid w:val="00644AB0"/>
    <w:rsid w:val="00644D22"/>
    <w:rsid w:val="00645384"/>
    <w:rsid w:val="00645742"/>
    <w:rsid w:val="00645BA2"/>
    <w:rsid w:val="00646C8F"/>
    <w:rsid w:val="00647395"/>
    <w:rsid w:val="0064791E"/>
    <w:rsid w:val="00647B1E"/>
    <w:rsid w:val="00650113"/>
    <w:rsid w:val="006501A4"/>
    <w:rsid w:val="00650CD5"/>
    <w:rsid w:val="00650D16"/>
    <w:rsid w:val="006511FE"/>
    <w:rsid w:val="006512E2"/>
    <w:rsid w:val="0065130F"/>
    <w:rsid w:val="006514C2"/>
    <w:rsid w:val="0065154E"/>
    <w:rsid w:val="00652D5D"/>
    <w:rsid w:val="0065320A"/>
    <w:rsid w:val="00653298"/>
    <w:rsid w:val="00654179"/>
    <w:rsid w:val="006551E7"/>
    <w:rsid w:val="00655575"/>
    <w:rsid w:val="00655B1D"/>
    <w:rsid w:val="00656257"/>
    <w:rsid w:val="00657209"/>
    <w:rsid w:val="0066008D"/>
    <w:rsid w:val="00660922"/>
    <w:rsid w:val="006611AD"/>
    <w:rsid w:val="00661946"/>
    <w:rsid w:val="006619B0"/>
    <w:rsid w:val="00661A54"/>
    <w:rsid w:val="00661D58"/>
    <w:rsid w:val="00662225"/>
    <w:rsid w:val="00662294"/>
    <w:rsid w:val="0066377A"/>
    <w:rsid w:val="006639E2"/>
    <w:rsid w:val="00666DC3"/>
    <w:rsid w:val="0066701C"/>
    <w:rsid w:val="00670022"/>
    <w:rsid w:val="00670AD9"/>
    <w:rsid w:val="00671727"/>
    <w:rsid w:val="00673894"/>
    <w:rsid w:val="00673E4C"/>
    <w:rsid w:val="00674348"/>
    <w:rsid w:val="006743F5"/>
    <w:rsid w:val="006747AE"/>
    <w:rsid w:val="00674BB1"/>
    <w:rsid w:val="00674C5E"/>
    <w:rsid w:val="00674F44"/>
    <w:rsid w:val="00675CFD"/>
    <w:rsid w:val="00675D65"/>
    <w:rsid w:val="00676D4F"/>
    <w:rsid w:val="006808E1"/>
    <w:rsid w:val="00680E11"/>
    <w:rsid w:val="00680E13"/>
    <w:rsid w:val="00683C3C"/>
    <w:rsid w:val="00684385"/>
    <w:rsid w:val="006848CD"/>
    <w:rsid w:val="00684900"/>
    <w:rsid w:val="00684990"/>
    <w:rsid w:val="00685DF5"/>
    <w:rsid w:val="00687708"/>
    <w:rsid w:val="006906CD"/>
    <w:rsid w:val="00691DC8"/>
    <w:rsid w:val="00691FA1"/>
    <w:rsid w:val="006924A2"/>
    <w:rsid w:val="00692930"/>
    <w:rsid w:val="006931BC"/>
    <w:rsid w:val="00693C3E"/>
    <w:rsid w:val="006966CA"/>
    <w:rsid w:val="00696F32"/>
    <w:rsid w:val="00697282"/>
    <w:rsid w:val="006A0313"/>
    <w:rsid w:val="006A0A0A"/>
    <w:rsid w:val="006A0F30"/>
    <w:rsid w:val="006A1593"/>
    <w:rsid w:val="006A1615"/>
    <w:rsid w:val="006A17EB"/>
    <w:rsid w:val="006A23D9"/>
    <w:rsid w:val="006A248A"/>
    <w:rsid w:val="006A256D"/>
    <w:rsid w:val="006A3F4E"/>
    <w:rsid w:val="006A4CB8"/>
    <w:rsid w:val="006A4CF7"/>
    <w:rsid w:val="006A5416"/>
    <w:rsid w:val="006A6DA0"/>
    <w:rsid w:val="006A74FB"/>
    <w:rsid w:val="006A79D3"/>
    <w:rsid w:val="006A7A69"/>
    <w:rsid w:val="006A7FA7"/>
    <w:rsid w:val="006B1053"/>
    <w:rsid w:val="006B273C"/>
    <w:rsid w:val="006B2875"/>
    <w:rsid w:val="006B294B"/>
    <w:rsid w:val="006B2A87"/>
    <w:rsid w:val="006B2B74"/>
    <w:rsid w:val="006B3462"/>
    <w:rsid w:val="006B34D0"/>
    <w:rsid w:val="006B5002"/>
    <w:rsid w:val="006B517A"/>
    <w:rsid w:val="006B5531"/>
    <w:rsid w:val="006B6589"/>
    <w:rsid w:val="006B7EF8"/>
    <w:rsid w:val="006C00C5"/>
    <w:rsid w:val="006C0284"/>
    <w:rsid w:val="006C0CF4"/>
    <w:rsid w:val="006C1838"/>
    <w:rsid w:val="006C29FD"/>
    <w:rsid w:val="006C32E4"/>
    <w:rsid w:val="006C34D8"/>
    <w:rsid w:val="006C35E8"/>
    <w:rsid w:val="006C3831"/>
    <w:rsid w:val="006C3870"/>
    <w:rsid w:val="006C3C5A"/>
    <w:rsid w:val="006C3C9B"/>
    <w:rsid w:val="006C4410"/>
    <w:rsid w:val="006C4B28"/>
    <w:rsid w:val="006C4C73"/>
    <w:rsid w:val="006C5D90"/>
    <w:rsid w:val="006C7F2D"/>
    <w:rsid w:val="006D020E"/>
    <w:rsid w:val="006D0AF1"/>
    <w:rsid w:val="006D112C"/>
    <w:rsid w:val="006D3B73"/>
    <w:rsid w:val="006D3DC2"/>
    <w:rsid w:val="006D3F6D"/>
    <w:rsid w:val="006D48AF"/>
    <w:rsid w:val="006D4961"/>
    <w:rsid w:val="006D4A92"/>
    <w:rsid w:val="006D4D89"/>
    <w:rsid w:val="006D6B89"/>
    <w:rsid w:val="006D793F"/>
    <w:rsid w:val="006D7BA8"/>
    <w:rsid w:val="006E173F"/>
    <w:rsid w:val="006E261A"/>
    <w:rsid w:val="006E539C"/>
    <w:rsid w:val="006E6740"/>
    <w:rsid w:val="006E67B0"/>
    <w:rsid w:val="006F12D9"/>
    <w:rsid w:val="006F1452"/>
    <w:rsid w:val="006F14B0"/>
    <w:rsid w:val="006F18A5"/>
    <w:rsid w:val="006F1D05"/>
    <w:rsid w:val="006F1F96"/>
    <w:rsid w:val="006F22FF"/>
    <w:rsid w:val="006F24B2"/>
    <w:rsid w:val="006F2941"/>
    <w:rsid w:val="006F2F30"/>
    <w:rsid w:val="006F39C3"/>
    <w:rsid w:val="006F3CC8"/>
    <w:rsid w:val="006F3DF6"/>
    <w:rsid w:val="006F4E28"/>
    <w:rsid w:val="006F51DA"/>
    <w:rsid w:val="006F5AAB"/>
    <w:rsid w:val="006F5D92"/>
    <w:rsid w:val="006F6463"/>
    <w:rsid w:val="00701AED"/>
    <w:rsid w:val="00702AD5"/>
    <w:rsid w:val="007032E0"/>
    <w:rsid w:val="00703F67"/>
    <w:rsid w:val="0070429E"/>
    <w:rsid w:val="00704350"/>
    <w:rsid w:val="00705520"/>
    <w:rsid w:val="007055F3"/>
    <w:rsid w:val="0070666C"/>
    <w:rsid w:val="00706B90"/>
    <w:rsid w:val="00707116"/>
    <w:rsid w:val="00707D71"/>
    <w:rsid w:val="00711755"/>
    <w:rsid w:val="00711E66"/>
    <w:rsid w:val="007120DE"/>
    <w:rsid w:val="0071211A"/>
    <w:rsid w:val="007131D6"/>
    <w:rsid w:val="007136CD"/>
    <w:rsid w:val="00713B98"/>
    <w:rsid w:val="00713EB6"/>
    <w:rsid w:val="0071469E"/>
    <w:rsid w:val="0071590E"/>
    <w:rsid w:val="00716178"/>
    <w:rsid w:val="0071711C"/>
    <w:rsid w:val="007172D0"/>
    <w:rsid w:val="007202D2"/>
    <w:rsid w:val="0072093B"/>
    <w:rsid w:val="00721282"/>
    <w:rsid w:val="00721A38"/>
    <w:rsid w:val="00722396"/>
    <w:rsid w:val="00722D14"/>
    <w:rsid w:val="00722EB8"/>
    <w:rsid w:val="007235F2"/>
    <w:rsid w:val="00723712"/>
    <w:rsid w:val="00723B5C"/>
    <w:rsid w:val="00723D25"/>
    <w:rsid w:val="00723D5D"/>
    <w:rsid w:val="00723FA9"/>
    <w:rsid w:val="00725B63"/>
    <w:rsid w:val="007262AD"/>
    <w:rsid w:val="0073050A"/>
    <w:rsid w:val="007310A0"/>
    <w:rsid w:val="007310EE"/>
    <w:rsid w:val="00734A78"/>
    <w:rsid w:val="00734E20"/>
    <w:rsid w:val="00735861"/>
    <w:rsid w:val="00735C3E"/>
    <w:rsid w:val="00736334"/>
    <w:rsid w:val="00736977"/>
    <w:rsid w:val="00736A22"/>
    <w:rsid w:val="00737AAC"/>
    <w:rsid w:val="00737CE2"/>
    <w:rsid w:val="007402D4"/>
    <w:rsid w:val="00742E5E"/>
    <w:rsid w:val="00742EC6"/>
    <w:rsid w:val="00743139"/>
    <w:rsid w:val="0074526F"/>
    <w:rsid w:val="007453B1"/>
    <w:rsid w:val="007458D9"/>
    <w:rsid w:val="00745A9C"/>
    <w:rsid w:val="00746818"/>
    <w:rsid w:val="00746AA2"/>
    <w:rsid w:val="0074744D"/>
    <w:rsid w:val="00747527"/>
    <w:rsid w:val="0075007C"/>
    <w:rsid w:val="007503BB"/>
    <w:rsid w:val="0075105B"/>
    <w:rsid w:val="00752258"/>
    <w:rsid w:val="007524C7"/>
    <w:rsid w:val="00752837"/>
    <w:rsid w:val="00752E2F"/>
    <w:rsid w:val="00753BF1"/>
    <w:rsid w:val="00753F46"/>
    <w:rsid w:val="007541EF"/>
    <w:rsid w:val="00755A1A"/>
    <w:rsid w:val="00756528"/>
    <w:rsid w:val="0075738D"/>
    <w:rsid w:val="00757956"/>
    <w:rsid w:val="00757D9E"/>
    <w:rsid w:val="00757E25"/>
    <w:rsid w:val="00760FD9"/>
    <w:rsid w:val="0076181D"/>
    <w:rsid w:val="00761B10"/>
    <w:rsid w:val="007629E4"/>
    <w:rsid w:val="00762C9C"/>
    <w:rsid w:val="007642FB"/>
    <w:rsid w:val="00764384"/>
    <w:rsid w:val="00764718"/>
    <w:rsid w:val="007656C4"/>
    <w:rsid w:val="00766386"/>
    <w:rsid w:val="007667A3"/>
    <w:rsid w:val="00766EFF"/>
    <w:rsid w:val="00770A86"/>
    <w:rsid w:val="007719CB"/>
    <w:rsid w:val="007734CB"/>
    <w:rsid w:val="007734E6"/>
    <w:rsid w:val="0077518D"/>
    <w:rsid w:val="00776090"/>
    <w:rsid w:val="0077609D"/>
    <w:rsid w:val="00776A43"/>
    <w:rsid w:val="00777D36"/>
    <w:rsid w:val="0078214E"/>
    <w:rsid w:val="00782C80"/>
    <w:rsid w:val="00782F49"/>
    <w:rsid w:val="00783393"/>
    <w:rsid w:val="00783EEA"/>
    <w:rsid w:val="007844E6"/>
    <w:rsid w:val="0078458D"/>
    <w:rsid w:val="00784A5F"/>
    <w:rsid w:val="00784CFD"/>
    <w:rsid w:val="007853F2"/>
    <w:rsid w:val="00786C89"/>
    <w:rsid w:val="00787EAC"/>
    <w:rsid w:val="0079037B"/>
    <w:rsid w:val="007908DF"/>
    <w:rsid w:val="00790C43"/>
    <w:rsid w:val="007916AB"/>
    <w:rsid w:val="00793E30"/>
    <w:rsid w:val="0079467D"/>
    <w:rsid w:val="00794B47"/>
    <w:rsid w:val="00794EF2"/>
    <w:rsid w:val="00794F0D"/>
    <w:rsid w:val="007953FD"/>
    <w:rsid w:val="0079552A"/>
    <w:rsid w:val="007965E0"/>
    <w:rsid w:val="007966A9"/>
    <w:rsid w:val="00796B3C"/>
    <w:rsid w:val="00797247"/>
    <w:rsid w:val="007973BC"/>
    <w:rsid w:val="007975D8"/>
    <w:rsid w:val="007A1283"/>
    <w:rsid w:val="007A23D4"/>
    <w:rsid w:val="007A2CA6"/>
    <w:rsid w:val="007A3777"/>
    <w:rsid w:val="007A4F08"/>
    <w:rsid w:val="007A52AF"/>
    <w:rsid w:val="007A5AE6"/>
    <w:rsid w:val="007A7865"/>
    <w:rsid w:val="007B0E0A"/>
    <w:rsid w:val="007B1815"/>
    <w:rsid w:val="007B3073"/>
    <w:rsid w:val="007B3A92"/>
    <w:rsid w:val="007B4280"/>
    <w:rsid w:val="007B4B44"/>
    <w:rsid w:val="007B5A19"/>
    <w:rsid w:val="007B733F"/>
    <w:rsid w:val="007B7FAA"/>
    <w:rsid w:val="007C0260"/>
    <w:rsid w:val="007C153A"/>
    <w:rsid w:val="007C240C"/>
    <w:rsid w:val="007C346A"/>
    <w:rsid w:val="007C3682"/>
    <w:rsid w:val="007C3975"/>
    <w:rsid w:val="007C51C1"/>
    <w:rsid w:val="007D1391"/>
    <w:rsid w:val="007D1F91"/>
    <w:rsid w:val="007D2FEF"/>
    <w:rsid w:val="007D50DB"/>
    <w:rsid w:val="007D5620"/>
    <w:rsid w:val="007D57C2"/>
    <w:rsid w:val="007D71D6"/>
    <w:rsid w:val="007D7D07"/>
    <w:rsid w:val="007E0D9A"/>
    <w:rsid w:val="007E2E47"/>
    <w:rsid w:val="007E3977"/>
    <w:rsid w:val="007E41F5"/>
    <w:rsid w:val="007E4A2F"/>
    <w:rsid w:val="007E4BF2"/>
    <w:rsid w:val="007E612C"/>
    <w:rsid w:val="007E7F06"/>
    <w:rsid w:val="007F0FAC"/>
    <w:rsid w:val="007F184E"/>
    <w:rsid w:val="007F19F6"/>
    <w:rsid w:val="007F338D"/>
    <w:rsid w:val="007F433F"/>
    <w:rsid w:val="007F453C"/>
    <w:rsid w:val="007F46C4"/>
    <w:rsid w:val="007F4BB1"/>
    <w:rsid w:val="007F4FA5"/>
    <w:rsid w:val="007F51ED"/>
    <w:rsid w:val="007F577F"/>
    <w:rsid w:val="007F5D0C"/>
    <w:rsid w:val="007F61EB"/>
    <w:rsid w:val="007F764B"/>
    <w:rsid w:val="00800D05"/>
    <w:rsid w:val="00800E84"/>
    <w:rsid w:val="00801656"/>
    <w:rsid w:val="00801B8C"/>
    <w:rsid w:val="00801C60"/>
    <w:rsid w:val="00801F46"/>
    <w:rsid w:val="00802135"/>
    <w:rsid w:val="00803F47"/>
    <w:rsid w:val="00804731"/>
    <w:rsid w:val="008049D0"/>
    <w:rsid w:val="00805D3D"/>
    <w:rsid w:val="00807085"/>
    <w:rsid w:val="00807F6A"/>
    <w:rsid w:val="0081064D"/>
    <w:rsid w:val="00811192"/>
    <w:rsid w:val="0081159A"/>
    <w:rsid w:val="008138B4"/>
    <w:rsid w:val="00814D2C"/>
    <w:rsid w:val="00814FC2"/>
    <w:rsid w:val="00815E09"/>
    <w:rsid w:val="00816B79"/>
    <w:rsid w:val="00816C2A"/>
    <w:rsid w:val="00817022"/>
    <w:rsid w:val="00817357"/>
    <w:rsid w:val="008174F2"/>
    <w:rsid w:val="0081769E"/>
    <w:rsid w:val="00820382"/>
    <w:rsid w:val="00820712"/>
    <w:rsid w:val="00820AA0"/>
    <w:rsid w:val="00821325"/>
    <w:rsid w:val="0082185A"/>
    <w:rsid w:val="0082226F"/>
    <w:rsid w:val="00822C7C"/>
    <w:rsid w:val="00823DE5"/>
    <w:rsid w:val="00824B17"/>
    <w:rsid w:val="00824D73"/>
    <w:rsid w:val="008267FB"/>
    <w:rsid w:val="00826CF8"/>
    <w:rsid w:val="00826FE1"/>
    <w:rsid w:val="008278D2"/>
    <w:rsid w:val="00832520"/>
    <w:rsid w:val="00832A1E"/>
    <w:rsid w:val="008330B9"/>
    <w:rsid w:val="0083324B"/>
    <w:rsid w:val="008339D9"/>
    <w:rsid w:val="00833DA0"/>
    <w:rsid w:val="0083522F"/>
    <w:rsid w:val="00836673"/>
    <w:rsid w:val="00836B43"/>
    <w:rsid w:val="0083767C"/>
    <w:rsid w:val="00837D6E"/>
    <w:rsid w:val="0084105D"/>
    <w:rsid w:val="0084107A"/>
    <w:rsid w:val="00841DE2"/>
    <w:rsid w:val="00842392"/>
    <w:rsid w:val="00842741"/>
    <w:rsid w:val="00842B35"/>
    <w:rsid w:val="00842C09"/>
    <w:rsid w:val="00843BF6"/>
    <w:rsid w:val="0084427D"/>
    <w:rsid w:val="008447C2"/>
    <w:rsid w:val="00844EEA"/>
    <w:rsid w:val="00844F5A"/>
    <w:rsid w:val="008451C4"/>
    <w:rsid w:val="00845608"/>
    <w:rsid w:val="00845F55"/>
    <w:rsid w:val="00845F56"/>
    <w:rsid w:val="00846C11"/>
    <w:rsid w:val="00846C55"/>
    <w:rsid w:val="00846F00"/>
    <w:rsid w:val="00847025"/>
    <w:rsid w:val="0084707B"/>
    <w:rsid w:val="00847990"/>
    <w:rsid w:val="00847BF0"/>
    <w:rsid w:val="00847E79"/>
    <w:rsid w:val="00852775"/>
    <w:rsid w:val="00853231"/>
    <w:rsid w:val="00854138"/>
    <w:rsid w:val="00854C47"/>
    <w:rsid w:val="00855000"/>
    <w:rsid w:val="00855F9F"/>
    <w:rsid w:val="00857990"/>
    <w:rsid w:val="008605FA"/>
    <w:rsid w:val="008609E8"/>
    <w:rsid w:val="0086170D"/>
    <w:rsid w:val="0086200E"/>
    <w:rsid w:val="008625A1"/>
    <w:rsid w:val="0086278B"/>
    <w:rsid w:val="00862FED"/>
    <w:rsid w:val="00863498"/>
    <w:rsid w:val="00863579"/>
    <w:rsid w:val="00864495"/>
    <w:rsid w:val="008647D5"/>
    <w:rsid w:val="008654A6"/>
    <w:rsid w:val="00867B61"/>
    <w:rsid w:val="00870511"/>
    <w:rsid w:val="00872975"/>
    <w:rsid w:val="0087325B"/>
    <w:rsid w:val="00873B6F"/>
    <w:rsid w:val="0087445E"/>
    <w:rsid w:val="008744B3"/>
    <w:rsid w:val="00874CC9"/>
    <w:rsid w:val="008757EA"/>
    <w:rsid w:val="0087707D"/>
    <w:rsid w:val="00877A0C"/>
    <w:rsid w:val="008803DF"/>
    <w:rsid w:val="00881CB4"/>
    <w:rsid w:val="008828F8"/>
    <w:rsid w:val="00883E63"/>
    <w:rsid w:val="00884203"/>
    <w:rsid w:val="008853CE"/>
    <w:rsid w:val="0088589C"/>
    <w:rsid w:val="00885A95"/>
    <w:rsid w:val="00885EC9"/>
    <w:rsid w:val="00886131"/>
    <w:rsid w:val="00886D58"/>
    <w:rsid w:val="0088714C"/>
    <w:rsid w:val="008903D0"/>
    <w:rsid w:val="00891E1A"/>
    <w:rsid w:val="008928A1"/>
    <w:rsid w:val="00892DD6"/>
    <w:rsid w:val="0089315E"/>
    <w:rsid w:val="0089350F"/>
    <w:rsid w:val="0089523C"/>
    <w:rsid w:val="00896E05"/>
    <w:rsid w:val="00897376"/>
    <w:rsid w:val="008A167A"/>
    <w:rsid w:val="008A1FF5"/>
    <w:rsid w:val="008A2994"/>
    <w:rsid w:val="008A2D05"/>
    <w:rsid w:val="008A2FA5"/>
    <w:rsid w:val="008A30E9"/>
    <w:rsid w:val="008A3C6E"/>
    <w:rsid w:val="008A5C5A"/>
    <w:rsid w:val="008A68A2"/>
    <w:rsid w:val="008A7470"/>
    <w:rsid w:val="008B0265"/>
    <w:rsid w:val="008B03ED"/>
    <w:rsid w:val="008B0D1A"/>
    <w:rsid w:val="008B16FC"/>
    <w:rsid w:val="008B1BBF"/>
    <w:rsid w:val="008B1E2D"/>
    <w:rsid w:val="008B2A33"/>
    <w:rsid w:val="008B2BCA"/>
    <w:rsid w:val="008B2D9D"/>
    <w:rsid w:val="008B34B8"/>
    <w:rsid w:val="008B3EE8"/>
    <w:rsid w:val="008B417D"/>
    <w:rsid w:val="008B4919"/>
    <w:rsid w:val="008B4946"/>
    <w:rsid w:val="008B57D0"/>
    <w:rsid w:val="008B5BA6"/>
    <w:rsid w:val="008B5E9D"/>
    <w:rsid w:val="008B6443"/>
    <w:rsid w:val="008B677E"/>
    <w:rsid w:val="008B6A18"/>
    <w:rsid w:val="008B7974"/>
    <w:rsid w:val="008C01B6"/>
    <w:rsid w:val="008C0502"/>
    <w:rsid w:val="008C1228"/>
    <w:rsid w:val="008C1368"/>
    <w:rsid w:val="008C17D5"/>
    <w:rsid w:val="008C1B33"/>
    <w:rsid w:val="008C1D9E"/>
    <w:rsid w:val="008C2CED"/>
    <w:rsid w:val="008C3748"/>
    <w:rsid w:val="008C3E57"/>
    <w:rsid w:val="008C3F55"/>
    <w:rsid w:val="008C44C8"/>
    <w:rsid w:val="008C4B5D"/>
    <w:rsid w:val="008C4FC8"/>
    <w:rsid w:val="008C4FFA"/>
    <w:rsid w:val="008C5AF8"/>
    <w:rsid w:val="008C65D5"/>
    <w:rsid w:val="008C7B9C"/>
    <w:rsid w:val="008C7FCD"/>
    <w:rsid w:val="008D013B"/>
    <w:rsid w:val="008D09E3"/>
    <w:rsid w:val="008D110B"/>
    <w:rsid w:val="008D1397"/>
    <w:rsid w:val="008D1822"/>
    <w:rsid w:val="008D220B"/>
    <w:rsid w:val="008D2651"/>
    <w:rsid w:val="008D27CE"/>
    <w:rsid w:val="008D3ED8"/>
    <w:rsid w:val="008D4E71"/>
    <w:rsid w:val="008D645C"/>
    <w:rsid w:val="008D67A8"/>
    <w:rsid w:val="008D7216"/>
    <w:rsid w:val="008E016C"/>
    <w:rsid w:val="008E09A5"/>
    <w:rsid w:val="008E0E23"/>
    <w:rsid w:val="008E10E0"/>
    <w:rsid w:val="008E1411"/>
    <w:rsid w:val="008E1826"/>
    <w:rsid w:val="008E2E86"/>
    <w:rsid w:val="008E2ED6"/>
    <w:rsid w:val="008E3476"/>
    <w:rsid w:val="008E3DA5"/>
    <w:rsid w:val="008E4619"/>
    <w:rsid w:val="008E59F5"/>
    <w:rsid w:val="008E64DB"/>
    <w:rsid w:val="008E6BC5"/>
    <w:rsid w:val="008E7265"/>
    <w:rsid w:val="008E761B"/>
    <w:rsid w:val="008E784A"/>
    <w:rsid w:val="008E7C6D"/>
    <w:rsid w:val="008E7EF7"/>
    <w:rsid w:val="008F0352"/>
    <w:rsid w:val="008F14A1"/>
    <w:rsid w:val="008F150C"/>
    <w:rsid w:val="008F15E6"/>
    <w:rsid w:val="008F250F"/>
    <w:rsid w:val="008F2895"/>
    <w:rsid w:val="008F2AEF"/>
    <w:rsid w:val="008F2B63"/>
    <w:rsid w:val="008F3BCD"/>
    <w:rsid w:val="008F64C3"/>
    <w:rsid w:val="008F655B"/>
    <w:rsid w:val="008F6BBC"/>
    <w:rsid w:val="008F7CE2"/>
    <w:rsid w:val="008F7E60"/>
    <w:rsid w:val="00900E0E"/>
    <w:rsid w:val="009012A9"/>
    <w:rsid w:val="00901A20"/>
    <w:rsid w:val="00901AB4"/>
    <w:rsid w:val="00902072"/>
    <w:rsid w:val="00902342"/>
    <w:rsid w:val="00902564"/>
    <w:rsid w:val="0090370A"/>
    <w:rsid w:val="009038F0"/>
    <w:rsid w:val="00904AB6"/>
    <w:rsid w:val="00905327"/>
    <w:rsid w:val="009058BC"/>
    <w:rsid w:val="00906468"/>
    <w:rsid w:val="00907210"/>
    <w:rsid w:val="00907FE4"/>
    <w:rsid w:val="00910A2B"/>
    <w:rsid w:val="00910D29"/>
    <w:rsid w:val="00910EC5"/>
    <w:rsid w:val="00911DC6"/>
    <w:rsid w:val="009142BE"/>
    <w:rsid w:val="009158C2"/>
    <w:rsid w:val="00915E34"/>
    <w:rsid w:val="00916621"/>
    <w:rsid w:val="009174A4"/>
    <w:rsid w:val="00917726"/>
    <w:rsid w:val="0091774B"/>
    <w:rsid w:val="00917D8C"/>
    <w:rsid w:val="0092009E"/>
    <w:rsid w:val="00920218"/>
    <w:rsid w:val="00922243"/>
    <w:rsid w:val="009232E4"/>
    <w:rsid w:val="0092353C"/>
    <w:rsid w:val="0092358B"/>
    <w:rsid w:val="009244A6"/>
    <w:rsid w:val="00924823"/>
    <w:rsid w:val="00924E2B"/>
    <w:rsid w:val="009259AE"/>
    <w:rsid w:val="00925E9F"/>
    <w:rsid w:val="00927B4A"/>
    <w:rsid w:val="00931A8D"/>
    <w:rsid w:val="00931D70"/>
    <w:rsid w:val="00932127"/>
    <w:rsid w:val="0093262E"/>
    <w:rsid w:val="009328F2"/>
    <w:rsid w:val="0093363D"/>
    <w:rsid w:val="00933E55"/>
    <w:rsid w:val="00934221"/>
    <w:rsid w:val="00934FE8"/>
    <w:rsid w:val="00936591"/>
    <w:rsid w:val="00936BEC"/>
    <w:rsid w:val="009404CD"/>
    <w:rsid w:val="009411AB"/>
    <w:rsid w:val="0094396C"/>
    <w:rsid w:val="009439F4"/>
    <w:rsid w:val="00945941"/>
    <w:rsid w:val="009469AB"/>
    <w:rsid w:val="0094746D"/>
    <w:rsid w:val="0094770C"/>
    <w:rsid w:val="0095102F"/>
    <w:rsid w:val="009510B8"/>
    <w:rsid w:val="00951755"/>
    <w:rsid w:val="0095219C"/>
    <w:rsid w:val="00952ADA"/>
    <w:rsid w:val="00953E64"/>
    <w:rsid w:val="0095409C"/>
    <w:rsid w:val="0095459B"/>
    <w:rsid w:val="00956777"/>
    <w:rsid w:val="00956C37"/>
    <w:rsid w:val="00956D71"/>
    <w:rsid w:val="00956DB9"/>
    <w:rsid w:val="00956F0C"/>
    <w:rsid w:val="00961B3A"/>
    <w:rsid w:val="00961D0B"/>
    <w:rsid w:val="00962342"/>
    <w:rsid w:val="0096297E"/>
    <w:rsid w:val="009632A9"/>
    <w:rsid w:val="00963F14"/>
    <w:rsid w:val="00963F9D"/>
    <w:rsid w:val="00964A8F"/>
    <w:rsid w:val="0096657A"/>
    <w:rsid w:val="00966654"/>
    <w:rsid w:val="00966D55"/>
    <w:rsid w:val="009679F4"/>
    <w:rsid w:val="00967C14"/>
    <w:rsid w:val="0097072D"/>
    <w:rsid w:val="00970E08"/>
    <w:rsid w:val="00970FC0"/>
    <w:rsid w:val="00972995"/>
    <w:rsid w:val="009729D7"/>
    <w:rsid w:val="009738F8"/>
    <w:rsid w:val="00977371"/>
    <w:rsid w:val="00977AF9"/>
    <w:rsid w:val="00981050"/>
    <w:rsid w:val="0098267D"/>
    <w:rsid w:val="009827E5"/>
    <w:rsid w:val="00983364"/>
    <w:rsid w:val="00984C5F"/>
    <w:rsid w:val="00984DE7"/>
    <w:rsid w:val="009876E5"/>
    <w:rsid w:val="00990D1B"/>
    <w:rsid w:val="00991959"/>
    <w:rsid w:val="009922C1"/>
    <w:rsid w:val="00992B0D"/>
    <w:rsid w:val="00993123"/>
    <w:rsid w:val="0099379B"/>
    <w:rsid w:val="00993AB9"/>
    <w:rsid w:val="00995900"/>
    <w:rsid w:val="00995BA5"/>
    <w:rsid w:val="00995DFD"/>
    <w:rsid w:val="00996A4C"/>
    <w:rsid w:val="0099704F"/>
    <w:rsid w:val="009978F9"/>
    <w:rsid w:val="009A0758"/>
    <w:rsid w:val="009A0BF8"/>
    <w:rsid w:val="009A1A11"/>
    <w:rsid w:val="009A1B8F"/>
    <w:rsid w:val="009A26EB"/>
    <w:rsid w:val="009A27C5"/>
    <w:rsid w:val="009A27DE"/>
    <w:rsid w:val="009A2D64"/>
    <w:rsid w:val="009A3223"/>
    <w:rsid w:val="009A4C6E"/>
    <w:rsid w:val="009A5DAD"/>
    <w:rsid w:val="009A5F54"/>
    <w:rsid w:val="009A79CE"/>
    <w:rsid w:val="009B06C0"/>
    <w:rsid w:val="009B108C"/>
    <w:rsid w:val="009B22C5"/>
    <w:rsid w:val="009B3272"/>
    <w:rsid w:val="009B3A13"/>
    <w:rsid w:val="009B4AE0"/>
    <w:rsid w:val="009B4C2A"/>
    <w:rsid w:val="009B4DC0"/>
    <w:rsid w:val="009B5E85"/>
    <w:rsid w:val="009B67B8"/>
    <w:rsid w:val="009B7216"/>
    <w:rsid w:val="009B78F4"/>
    <w:rsid w:val="009C07DE"/>
    <w:rsid w:val="009C0AC8"/>
    <w:rsid w:val="009C0C7A"/>
    <w:rsid w:val="009C1316"/>
    <w:rsid w:val="009C29D0"/>
    <w:rsid w:val="009C2AF5"/>
    <w:rsid w:val="009C4FBE"/>
    <w:rsid w:val="009C5C24"/>
    <w:rsid w:val="009C5EF9"/>
    <w:rsid w:val="009C5F12"/>
    <w:rsid w:val="009C7E23"/>
    <w:rsid w:val="009C7E8A"/>
    <w:rsid w:val="009C7F80"/>
    <w:rsid w:val="009C7FF9"/>
    <w:rsid w:val="009D05F5"/>
    <w:rsid w:val="009D0B99"/>
    <w:rsid w:val="009D1093"/>
    <w:rsid w:val="009D109C"/>
    <w:rsid w:val="009D1C58"/>
    <w:rsid w:val="009D25A6"/>
    <w:rsid w:val="009D31E5"/>
    <w:rsid w:val="009D327E"/>
    <w:rsid w:val="009D4879"/>
    <w:rsid w:val="009D4BE8"/>
    <w:rsid w:val="009D61C0"/>
    <w:rsid w:val="009D671E"/>
    <w:rsid w:val="009D71B2"/>
    <w:rsid w:val="009D736F"/>
    <w:rsid w:val="009D7546"/>
    <w:rsid w:val="009E1D9E"/>
    <w:rsid w:val="009E2818"/>
    <w:rsid w:val="009E28D3"/>
    <w:rsid w:val="009E29F2"/>
    <w:rsid w:val="009E3F38"/>
    <w:rsid w:val="009E430B"/>
    <w:rsid w:val="009E46E9"/>
    <w:rsid w:val="009E5341"/>
    <w:rsid w:val="009E6750"/>
    <w:rsid w:val="009E726E"/>
    <w:rsid w:val="009F01C1"/>
    <w:rsid w:val="009F05EC"/>
    <w:rsid w:val="009F0CA1"/>
    <w:rsid w:val="009F130E"/>
    <w:rsid w:val="009F17FD"/>
    <w:rsid w:val="009F461D"/>
    <w:rsid w:val="009F5529"/>
    <w:rsid w:val="009F63BD"/>
    <w:rsid w:val="009F653D"/>
    <w:rsid w:val="00A00515"/>
    <w:rsid w:val="00A00C03"/>
    <w:rsid w:val="00A01746"/>
    <w:rsid w:val="00A018AA"/>
    <w:rsid w:val="00A01ABE"/>
    <w:rsid w:val="00A01D6C"/>
    <w:rsid w:val="00A01E98"/>
    <w:rsid w:val="00A02E39"/>
    <w:rsid w:val="00A03092"/>
    <w:rsid w:val="00A033EE"/>
    <w:rsid w:val="00A03A07"/>
    <w:rsid w:val="00A03FB0"/>
    <w:rsid w:val="00A0407F"/>
    <w:rsid w:val="00A04099"/>
    <w:rsid w:val="00A06321"/>
    <w:rsid w:val="00A0682E"/>
    <w:rsid w:val="00A0705E"/>
    <w:rsid w:val="00A0707D"/>
    <w:rsid w:val="00A10209"/>
    <w:rsid w:val="00A11BC4"/>
    <w:rsid w:val="00A11BF3"/>
    <w:rsid w:val="00A13777"/>
    <w:rsid w:val="00A140CF"/>
    <w:rsid w:val="00A14F0F"/>
    <w:rsid w:val="00A15880"/>
    <w:rsid w:val="00A15E71"/>
    <w:rsid w:val="00A16D5F"/>
    <w:rsid w:val="00A177D5"/>
    <w:rsid w:val="00A17AA2"/>
    <w:rsid w:val="00A17BA4"/>
    <w:rsid w:val="00A200DC"/>
    <w:rsid w:val="00A20397"/>
    <w:rsid w:val="00A208B6"/>
    <w:rsid w:val="00A20F23"/>
    <w:rsid w:val="00A2102C"/>
    <w:rsid w:val="00A21166"/>
    <w:rsid w:val="00A21224"/>
    <w:rsid w:val="00A21A72"/>
    <w:rsid w:val="00A21B70"/>
    <w:rsid w:val="00A22D9A"/>
    <w:rsid w:val="00A24A68"/>
    <w:rsid w:val="00A25585"/>
    <w:rsid w:val="00A256A1"/>
    <w:rsid w:val="00A26110"/>
    <w:rsid w:val="00A26853"/>
    <w:rsid w:val="00A26FD8"/>
    <w:rsid w:val="00A27762"/>
    <w:rsid w:val="00A3145F"/>
    <w:rsid w:val="00A32332"/>
    <w:rsid w:val="00A32A4A"/>
    <w:rsid w:val="00A33117"/>
    <w:rsid w:val="00A33721"/>
    <w:rsid w:val="00A337A0"/>
    <w:rsid w:val="00A337E3"/>
    <w:rsid w:val="00A33806"/>
    <w:rsid w:val="00A33E9E"/>
    <w:rsid w:val="00A343C6"/>
    <w:rsid w:val="00A370E6"/>
    <w:rsid w:val="00A3774C"/>
    <w:rsid w:val="00A408B9"/>
    <w:rsid w:val="00A411EA"/>
    <w:rsid w:val="00A412F7"/>
    <w:rsid w:val="00A41989"/>
    <w:rsid w:val="00A41C67"/>
    <w:rsid w:val="00A41C9E"/>
    <w:rsid w:val="00A41DE9"/>
    <w:rsid w:val="00A41EAB"/>
    <w:rsid w:val="00A4225D"/>
    <w:rsid w:val="00A425D1"/>
    <w:rsid w:val="00A43829"/>
    <w:rsid w:val="00A43A8D"/>
    <w:rsid w:val="00A44101"/>
    <w:rsid w:val="00A449CB"/>
    <w:rsid w:val="00A449E5"/>
    <w:rsid w:val="00A4559D"/>
    <w:rsid w:val="00A457BA"/>
    <w:rsid w:val="00A45BA2"/>
    <w:rsid w:val="00A46156"/>
    <w:rsid w:val="00A462E6"/>
    <w:rsid w:val="00A4674C"/>
    <w:rsid w:val="00A47387"/>
    <w:rsid w:val="00A50C72"/>
    <w:rsid w:val="00A52DD9"/>
    <w:rsid w:val="00A5460E"/>
    <w:rsid w:val="00A54755"/>
    <w:rsid w:val="00A56FE3"/>
    <w:rsid w:val="00A61D1A"/>
    <w:rsid w:val="00A623D0"/>
    <w:rsid w:val="00A62C9E"/>
    <w:rsid w:val="00A63029"/>
    <w:rsid w:val="00A63FA7"/>
    <w:rsid w:val="00A641D3"/>
    <w:rsid w:val="00A64A29"/>
    <w:rsid w:val="00A652C0"/>
    <w:rsid w:val="00A65A9F"/>
    <w:rsid w:val="00A66F87"/>
    <w:rsid w:val="00A70521"/>
    <w:rsid w:val="00A72345"/>
    <w:rsid w:val="00A726FC"/>
    <w:rsid w:val="00A72814"/>
    <w:rsid w:val="00A72840"/>
    <w:rsid w:val="00A7434F"/>
    <w:rsid w:val="00A752B7"/>
    <w:rsid w:val="00A76974"/>
    <w:rsid w:val="00A76A13"/>
    <w:rsid w:val="00A76E08"/>
    <w:rsid w:val="00A77B57"/>
    <w:rsid w:val="00A77C50"/>
    <w:rsid w:val="00A77D25"/>
    <w:rsid w:val="00A77FFD"/>
    <w:rsid w:val="00A82218"/>
    <w:rsid w:val="00A83287"/>
    <w:rsid w:val="00A834D1"/>
    <w:rsid w:val="00A83AA1"/>
    <w:rsid w:val="00A83B0F"/>
    <w:rsid w:val="00A86739"/>
    <w:rsid w:val="00A869E4"/>
    <w:rsid w:val="00A87839"/>
    <w:rsid w:val="00A91FE0"/>
    <w:rsid w:val="00A92DDC"/>
    <w:rsid w:val="00A93786"/>
    <w:rsid w:val="00A939C6"/>
    <w:rsid w:val="00A94105"/>
    <w:rsid w:val="00A941FF"/>
    <w:rsid w:val="00A9444C"/>
    <w:rsid w:val="00A946D8"/>
    <w:rsid w:val="00A94C49"/>
    <w:rsid w:val="00A95356"/>
    <w:rsid w:val="00A959DB"/>
    <w:rsid w:val="00A97E02"/>
    <w:rsid w:val="00AA02E3"/>
    <w:rsid w:val="00AA03AC"/>
    <w:rsid w:val="00AA1249"/>
    <w:rsid w:val="00AA1859"/>
    <w:rsid w:val="00AA21BF"/>
    <w:rsid w:val="00AA3217"/>
    <w:rsid w:val="00AA417F"/>
    <w:rsid w:val="00AA4BF8"/>
    <w:rsid w:val="00AA4BFC"/>
    <w:rsid w:val="00AA51EF"/>
    <w:rsid w:val="00AA59C0"/>
    <w:rsid w:val="00AA6F36"/>
    <w:rsid w:val="00AA6FF6"/>
    <w:rsid w:val="00AA7728"/>
    <w:rsid w:val="00AA7B3B"/>
    <w:rsid w:val="00AA7E88"/>
    <w:rsid w:val="00AB09DA"/>
    <w:rsid w:val="00AB14F3"/>
    <w:rsid w:val="00AB2174"/>
    <w:rsid w:val="00AB2FC0"/>
    <w:rsid w:val="00AB3918"/>
    <w:rsid w:val="00AB48D8"/>
    <w:rsid w:val="00AB54D7"/>
    <w:rsid w:val="00AB69B6"/>
    <w:rsid w:val="00AB6BEC"/>
    <w:rsid w:val="00AB6C35"/>
    <w:rsid w:val="00AB6E10"/>
    <w:rsid w:val="00AB7493"/>
    <w:rsid w:val="00AB74EE"/>
    <w:rsid w:val="00AB76F1"/>
    <w:rsid w:val="00AC05FC"/>
    <w:rsid w:val="00AC0C63"/>
    <w:rsid w:val="00AC126A"/>
    <w:rsid w:val="00AC2672"/>
    <w:rsid w:val="00AC52B3"/>
    <w:rsid w:val="00AC62F1"/>
    <w:rsid w:val="00AC74E3"/>
    <w:rsid w:val="00AC77D5"/>
    <w:rsid w:val="00AD1E7D"/>
    <w:rsid w:val="00AD38B4"/>
    <w:rsid w:val="00AD3BE0"/>
    <w:rsid w:val="00AD448A"/>
    <w:rsid w:val="00AD4A62"/>
    <w:rsid w:val="00AD4B8A"/>
    <w:rsid w:val="00AD4C7F"/>
    <w:rsid w:val="00AD62BB"/>
    <w:rsid w:val="00AD640B"/>
    <w:rsid w:val="00AD6EC6"/>
    <w:rsid w:val="00AD7597"/>
    <w:rsid w:val="00AE1F6F"/>
    <w:rsid w:val="00AE20CB"/>
    <w:rsid w:val="00AE2FEB"/>
    <w:rsid w:val="00AE332E"/>
    <w:rsid w:val="00AE397E"/>
    <w:rsid w:val="00AE4D02"/>
    <w:rsid w:val="00AE5042"/>
    <w:rsid w:val="00AE5196"/>
    <w:rsid w:val="00AE5366"/>
    <w:rsid w:val="00AE57B6"/>
    <w:rsid w:val="00AE59FC"/>
    <w:rsid w:val="00AE5BA3"/>
    <w:rsid w:val="00AE66F6"/>
    <w:rsid w:val="00AE670B"/>
    <w:rsid w:val="00AF00E5"/>
    <w:rsid w:val="00AF0970"/>
    <w:rsid w:val="00AF0D8E"/>
    <w:rsid w:val="00AF0E09"/>
    <w:rsid w:val="00AF1864"/>
    <w:rsid w:val="00AF2021"/>
    <w:rsid w:val="00AF3057"/>
    <w:rsid w:val="00AF3DBF"/>
    <w:rsid w:val="00AF3ED0"/>
    <w:rsid w:val="00AF4F3D"/>
    <w:rsid w:val="00AF69ED"/>
    <w:rsid w:val="00AF6B4D"/>
    <w:rsid w:val="00AF6E8C"/>
    <w:rsid w:val="00AF6EE1"/>
    <w:rsid w:val="00AF7021"/>
    <w:rsid w:val="00AF7E94"/>
    <w:rsid w:val="00AF7FF3"/>
    <w:rsid w:val="00B003E9"/>
    <w:rsid w:val="00B00AC0"/>
    <w:rsid w:val="00B01909"/>
    <w:rsid w:val="00B0232B"/>
    <w:rsid w:val="00B037BE"/>
    <w:rsid w:val="00B04A24"/>
    <w:rsid w:val="00B04AA4"/>
    <w:rsid w:val="00B05C95"/>
    <w:rsid w:val="00B06B3F"/>
    <w:rsid w:val="00B06EAC"/>
    <w:rsid w:val="00B071B4"/>
    <w:rsid w:val="00B07308"/>
    <w:rsid w:val="00B103F9"/>
    <w:rsid w:val="00B112BF"/>
    <w:rsid w:val="00B12630"/>
    <w:rsid w:val="00B126FF"/>
    <w:rsid w:val="00B14417"/>
    <w:rsid w:val="00B15550"/>
    <w:rsid w:val="00B17132"/>
    <w:rsid w:val="00B173E1"/>
    <w:rsid w:val="00B17D2C"/>
    <w:rsid w:val="00B20300"/>
    <w:rsid w:val="00B2091B"/>
    <w:rsid w:val="00B20AF3"/>
    <w:rsid w:val="00B20CC8"/>
    <w:rsid w:val="00B21F83"/>
    <w:rsid w:val="00B220ED"/>
    <w:rsid w:val="00B23657"/>
    <w:rsid w:val="00B23C8D"/>
    <w:rsid w:val="00B24D93"/>
    <w:rsid w:val="00B25C1F"/>
    <w:rsid w:val="00B2683A"/>
    <w:rsid w:val="00B26FC2"/>
    <w:rsid w:val="00B2736F"/>
    <w:rsid w:val="00B27D9C"/>
    <w:rsid w:val="00B307F2"/>
    <w:rsid w:val="00B3205A"/>
    <w:rsid w:val="00B324F2"/>
    <w:rsid w:val="00B325C2"/>
    <w:rsid w:val="00B32F1E"/>
    <w:rsid w:val="00B33BD8"/>
    <w:rsid w:val="00B3489E"/>
    <w:rsid w:val="00B34DDD"/>
    <w:rsid w:val="00B36096"/>
    <w:rsid w:val="00B3783A"/>
    <w:rsid w:val="00B4155B"/>
    <w:rsid w:val="00B416F0"/>
    <w:rsid w:val="00B41966"/>
    <w:rsid w:val="00B41F5D"/>
    <w:rsid w:val="00B42837"/>
    <w:rsid w:val="00B43150"/>
    <w:rsid w:val="00B43A8A"/>
    <w:rsid w:val="00B440E1"/>
    <w:rsid w:val="00B444F2"/>
    <w:rsid w:val="00B454DB"/>
    <w:rsid w:val="00B4571B"/>
    <w:rsid w:val="00B45C29"/>
    <w:rsid w:val="00B45F2E"/>
    <w:rsid w:val="00B47033"/>
    <w:rsid w:val="00B47077"/>
    <w:rsid w:val="00B47AA4"/>
    <w:rsid w:val="00B47F0C"/>
    <w:rsid w:val="00B50A9E"/>
    <w:rsid w:val="00B50ED4"/>
    <w:rsid w:val="00B50EEC"/>
    <w:rsid w:val="00B515FA"/>
    <w:rsid w:val="00B51661"/>
    <w:rsid w:val="00B54D00"/>
    <w:rsid w:val="00B54D45"/>
    <w:rsid w:val="00B56C47"/>
    <w:rsid w:val="00B574C5"/>
    <w:rsid w:val="00B57D7E"/>
    <w:rsid w:val="00B60BCB"/>
    <w:rsid w:val="00B60CF7"/>
    <w:rsid w:val="00B60F72"/>
    <w:rsid w:val="00B6116B"/>
    <w:rsid w:val="00B61457"/>
    <w:rsid w:val="00B614F0"/>
    <w:rsid w:val="00B62541"/>
    <w:rsid w:val="00B625DC"/>
    <w:rsid w:val="00B625FD"/>
    <w:rsid w:val="00B626D4"/>
    <w:rsid w:val="00B63F74"/>
    <w:rsid w:val="00B656AB"/>
    <w:rsid w:val="00B65878"/>
    <w:rsid w:val="00B6595C"/>
    <w:rsid w:val="00B66CBA"/>
    <w:rsid w:val="00B71065"/>
    <w:rsid w:val="00B71AF4"/>
    <w:rsid w:val="00B71B26"/>
    <w:rsid w:val="00B720C6"/>
    <w:rsid w:val="00B7301E"/>
    <w:rsid w:val="00B744A4"/>
    <w:rsid w:val="00B74E5F"/>
    <w:rsid w:val="00B761C0"/>
    <w:rsid w:val="00B77BFC"/>
    <w:rsid w:val="00B809B5"/>
    <w:rsid w:val="00B81144"/>
    <w:rsid w:val="00B81B75"/>
    <w:rsid w:val="00B8227A"/>
    <w:rsid w:val="00B82517"/>
    <w:rsid w:val="00B828BB"/>
    <w:rsid w:val="00B84AD6"/>
    <w:rsid w:val="00B84DF4"/>
    <w:rsid w:val="00B84F2E"/>
    <w:rsid w:val="00B8552A"/>
    <w:rsid w:val="00B856BB"/>
    <w:rsid w:val="00B86712"/>
    <w:rsid w:val="00B8700D"/>
    <w:rsid w:val="00B8728C"/>
    <w:rsid w:val="00B910C8"/>
    <w:rsid w:val="00B91A78"/>
    <w:rsid w:val="00B92FE0"/>
    <w:rsid w:val="00B93CEF"/>
    <w:rsid w:val="00B95CE1"/>
    <w:rsid w:val="00B95EE1"/>
    <w:rsid w:val="00B96ADD"/>
    <w:rsid w:val="00B96CB3"/>
    <w:rsid w:val="00B96F84"/>
    <w:rsid w:val="00B970CD"/>
    <w:rsid w:val="00B97591"/>
    <w:rsid w:val="00B97E4B"/>
    <w:rsid w:val="00BA00A8"/>
    <w:rsid w:val="00BA03D9"/>
    <w:rsid w:val="00BA06E0"/>
    <w:rsid w:val="00BA07AC"/>
    <w:rsid w:val="00BA1A15"/>
    <w:rsid w:val="00BA28E3"/>
    <w:rsid w:val="00BA2B1B"/>
    <w:rsid w:val="00BA485C"/>
    <w:rsid w:val="00BA49AC"/>
    <w:rsid w:val="00BA49CD"/>
    <w:rsid w:val="00BA4D39"/>
    <w:rsid w:val="00BA4F52"/>
    <w:rsid w:val="00BA587E"/>
    <w:rsid w:val="00BA5923"/>
    <w:rsid w:val="00BA6559"/>
    <w:rsid w:val="00BA7006"/>
    <w:rsid w:val="00BA7C12"/>
    <w:rsid w:val="00BB1AC2"/>
    <w:rsid w:val="00BB2143"/>
    <w:rsid w:val="00BB266A"/>
    <w:rsid w:val="00BB2C08"/>
    <w:rsid w:val="00BB3063"/>
    <w:rsid w:val="00BB3EF9"/>
    <w:rsid w:val="00BB4872"/>
    <w:rsid w:val="00BB5B26"/>
    <w:rsid w:val="00BB61BB"/>
    <w:rsid w:val="00BB6A07"/>
    <w:rsid w:val="00BB6FCA"/>
    <w:rsid w:val="00BC014A"/>
    <w:rsid w:val="00BC091A"/>
    <w:rsid w:val="00BC0E0F"/>
    <w:rsid w:val="00BC249F"/>
    <w:rsid w:val="00BC2DEA"/>
    <w:rsid w:val="00BC4737"/>
    <w:rsid w:val="00BC5F10"/>
    <w:rsid w:val="00BC6534"/>
    <w:rsid w:val="00BC6B49"/>
    <w:rsid w:val="00BC7474"/>
    <w:rsid w:val="00BC7D03"/>
    <w:rsid w:val="00BD0A3E"/>
    <w:rsid w:val="00BD1D1D"/>
    <w:rsid w:val="00BD1EB6"/>
    <w:rsid w:val="00BD3171"/>
    <w:rsid w:val="00BD33D9"/>
    <w:rsid w:val="00BD34B5"/>
    <w:rsid w:val="00BD3A1A"/>
    <w:rsid w:val="00BD3A1E"/>
    <w:rsid w:val="00BD3E0F"/>
    <w:rsid w:val="00BD3F00"/>
    <w:rsid w:val="00BD4587"/>
    <w:rsid w:val="00BD48D9"/>
    <w:rsid w:val="00BD7585"/>
    <w:rsid w:val="00BD75A4"/>
    <w:rsid w:val="00BD79C5"/>
    <w:rsid w:val="00BE016C"/>
    <w:rsid w:val="00BE0286"/>
    <w:rsid w:val="00BE083E"/>
    <w:rsid w:val="00BE1239"/>
    <w:rsid w:val="00BE148E"/>
    <w:rsid w:val="00BE25C4"/>
    <w:rsid w:val="00BE3955"/>
    <w:rsid w:val="00BE3DD9"/>
    <w:rsid w:val="00BE4401"/>
    <w:rsid w:val="00BE472A"/>
    <w:rsid w:val="00BE4FD4"/>
    <w:rsid w:val="00BE6C9E"/>
    <w:rsid w:val="00BE7A52"/>
    <w:rsid w:val="00BE7BFB"/>
    <w:rsid w:val="00BF17D2"/>
    <w:rsid w:val="00BF184A"/>
    <w:rsid w:val="00BF29DE"/>
    <w:rsid w:val="00BF3221"/>
    <w:rsid w:val="00BF351A"/>
    <w:rsid w:val="00BF3721"/>
    <w:rsid w:val="00BF495E"/>
    <w:rsid w:val="00BF4B60"/>
    <w:rsid w:val="00BF4E00"/>
    <w:rsid w:val="00BF5046"/>
    <w:rsid w:val="00BF5154"/>
    <w:rsid w:val="00BF604C"/>
    <w:rsid w:val="00BF6731"/>
    <w:rsid w:val="00C0014C"/>
    <w:rsid w:val="00C0023F"/>
    <w:rsid w:val="00C0061A"/>
    <w:rsid w:val="00C01D45"/>
    <w:rsid w:val="00C01EA8"/>
    <w:rsid w:val="00C02106"/>
    <w:rsid w:val="00C026B2"/>
    <w:rsid w:val="00C03209"/>
    <w:rsid w:val="00C03919"/>
    <w:rsid w:val="00C04C40"/>
    <w:rsid w:val="00C04C7A"/>
    <w:rsid w:val="00C05373"/>
    <w:rsid w:val="00C0553D"/>
    <w:rsid w:val="00C0573B"/>
    <w:rsid w:val="00C06E02"/>
    <w:rsid w:val="00C07784"/>
    <w:rsid w:val="00C10D1E"/>
    <w:rsid w:val="00C128F0"/>
    <w:rsid w:val="00C13CD0"/>
    <w:rsid w:val="00C144B1"/>
    <w:rsid w:val="00C168DE"/>
    <w:rsid w:val="00C1747E"/>
    <w:rsid w:val="00C1773E"/>
    <w:rsid w:val="00C20942"/>
    <w:rsid w:val="00C20F85"/>
    <w:rsid w:val="00C214FF"/>
    <w:rsid w:val="00C21600"/>
    <w:rsid w:val="00C216A9"/>
    <w:rsid w:val="00C21ECE"/>
    <w:rsid w:val="00C226D1"/>
    <w:rsid w:val="00C2487D"/>
    <w:rsid w:val="00C24962"/>
    <w:rsid w:val="00C264DC"/>
    <w:rsid w:val="00C26A82"/>
    <w:rsid w:val="00C26E18"/>
    <w:rsid w:val="00C27770"/>
    <w:rsid w:val="00C27FEB"/>
    <w:rsid w:val="00C300FF"/>
    <w:rsid w:val="00C3045C"/>
    <w:rsid w:val="00C31C0B"/>
    <w:rsid w:val="00C325F6"/>
    <w:rsid w:val="00C3274A"/>
    <w:rsid w:val="00C32D2B"/>
    <w:rsid w:val="00C33C37"/>
    <w:rsid w:val="00C341EA"/>
    <w:rsid w:val="00C343F7"/>
    <w:rsid w:val="00C34CE2"/>
    <w:rsid w:val="00C35C23"/>
    <w:rsid w:val="00C36A3E"/>
    <w:rsid w:val="00C41C93"/>
    <w:rsid w:val="00C4291C"/>
    <w:rsid w:val="00C42B64"/>
    <w:rsid w:val="00C43038"/>
    <w:rsid w:val="00C4311E"/>
    <w:rsid w:val="00C4369A"/>
    <w:rsid w:val="00C453C9"/>
    <w:rsid w:val="00C45973"/>
    <w:rsid w:val="00C50921"/>
    <w:rsid w:val="00C50DF5"/>
    <w:rsid w:val="00C515B5"/>
    <w:rsid w:val="00C51629"/>
    <w:rsid w:val="00C51EE7"/>
    <w:rsid w:val="00C5203F"/>
    <w:rsid w:val="00C52832"/>
    <w:rsid w:val="00C52EB5"/>
    <w:rsid w:val="00C538D1"/>
    <w:rsid w:val="00C5469A"/>
    <w:rsid w:val="00C5477B"/>
    <w:rsid w:val="00C55701"/>
    <w:rsid w:val="00C55DAF"/>
    <w:rsid w:val="00C55E7D"/>
    <w:rsid w:val="00C567D7"/>
    <w:rsid w:val="00C6021D"/>
    <w:rsid w:val="00C602BD"/>
    <w:rsid w:val="00C61895"/>
    <w:rsid w:val="00C6195A"/>
    <w:rsid w:val="00C62C60"/>
    <w:rsid w:val="00C63588"/>
    <w:rsid w:val="00C64F98"/>
    <w:rsid w:val="00C6641F"/>
    <w:rsid w:val="00C6642D"/>
    <w:rsid w:val="00C668B7"/>
    <w:rsid w:val="00C66CD6"/>
    <w:rsid w:val="00C66D83"/>
    <w:rsid w:val="00C66D84"/>
    <w:rsid w:val="00C67F32"/>
    <w:rsid w:val="00C7029A"/>
    <w:rsid w:val="00C7104E"/>
    <w:rsid w:val="00C71225"/>
    <w:rsid w:val="00C718D1"/>
    <w:rsid w:val="00C737F3"/>
    <w:rsid w:val="00C7385B"/>
    <w:rsid w:val="00C741EE"/>
    <w:rsid w:val="00C742F3"/>
    <w:rsid w:val="00C7508C"/>
    <w:rsid w:val="00C762F1"/>
    <w:rsid w:val="00C76963"/>
    <w:rsid w:val="00C813DD"/>
    <w:rsid w:val="00C81836"/>
    <w:rsid w:val="00C81C34"/>
    <w:rsid w:val="00C82314"/>
    <w:rsid w:val="00C83194"/>
    <w:rsid w:val="00C83450"/>
    <w:rsid w:val="00C83795"/>
    <w:rsid w:val="00C8562B"/>
    <w:rsid w:val="00C859C6"/>
    <w:rsid w:val="00C86BBF"/>
    <w:rsid w:val="00C87485"/>
    <w:rsid w:val="00C9066C"/>
    <w:rsid w:val="00C913FD"/>
    <w:rsid w:val="00C91870"/>
    <w:rsid w:val="00C92B61"/>
    <w:rsid w:val="00C92BFF"/>
    <w:rsid w:val="00C92C2D"/>
    <w:rsid w:val="00C93AED"/>
    <w:rsid w:val="00C93FD2"/>
    <w:rsid w:val="00C95735"/>
    <w:rsid w:val="00C9590D"/>
    <w:rsid w:val="00C95C92"/>
    <w:rsid w:val="00C95F92"/>
    <w:rsid w:val="00C9778E"/>
    <w:rsid w:val="00C97AE3"/>
    <w:rsid w:val="00CA0E2F"/>
    <w:rsid w:val="00CA1978"/>
    <w:rsid w:val="00CA20BB"/>
    <w:rsid w:val="00CA2192"/>
    <w:rsid w:val="00CA2B31"/>
    <w:rsid w:val="00CA2E82"/>
    <w:rsid w:val="00CA591C"/>
    <w:rsid w:val="00CA69E8"/>
    <w:rsid w:val="00CA7AF5"/>
    <w:rsid w:val="00CB0706"/>
    <w:rsid w:val="00CB0812"/>
    <w:rsid w:val="00CB0A34"/>
    <w:rsid w:val="00CB1298"/>
    <w:rsid w:val="00CB2665"/>
    <w:rsid w:val="00CB2D09"/>
    <w:rsid w:val="00CB3095"/>
    <w:rsid w:val="00CB42B3"/>
    <w:rsid w:val="00CB4A14"/>
    <w:rsid w:val="00CB4D5D"/>
    <w:rsid w:val="00CB5223"/>
    <w:rsid w:val="00CB52E4"/>
    <w:rsid w:val="00CB53C4"/>
    <w:rsid w:val="00CB68BD"/>
    <w:rsid w:val="00CB75AC"/>
    <w:rsid w:val="00CB7CE2"/>
    <w:rsid w:val="00CB7F4A"/>
    <w:rsid w:val="00CC0166"/>
    <w:rsid w:val="00CC268A"/>
    <w:rsid w:val="00CC26E3"/>
    <w:rsid w:val="00CC28BC"/>
    <w:rsid w:val="00CC29A9"/>
    <w:rsid w:val="00CC31F0"/>
    <w:rsid w:val="00CC32A5"/>
    <w:rsid w:val="00CC44A2"/>
    <w:rsid w:val="00CC6C86"/>
    <w:rsid w:val="00CC73FD"/>
    <w:rsid w:val="00CD0318"/>
    <w:rsid w:val="00CD0EAA"/>
    <w:rsid w:val="00CD0EFB"/>
    <w:rsid w:val="00CD1C6A"/>
    <w:rsid w:val="00CD2AE6"/>
    <w:rsid w:val="00CD36A9"/>
    <w:rsid w:val="00CD3B6F"/>
    <w:rsid w:val="00CD3FD7"/>
    <w:rsid w:val="00CD5D88"/>
    <w:rsid w:val="00CD6117"/>
    <w:rsid w:val="00CD646E"/>
    <w:rsid w:val="00CD7788"/>
    <w:rsid w:val="00CD7A1C"/>
    <w:rsid w:val="00CD7FA3"/>
    <w:rsid w:val="00CE0504"/>
    <w:rsid w:val="00CE150B"/>
    <w:rsid w:val="00CE1EC5"/>
    <w:rsid w:val="00CE4AB7"/>
    <w:rsid w:val="00CE52DB"/>
    <w:rsid w:val="00CE66F2"/>
    <w:rsid w:val="00CE7B1B"/>
    <w:rsid w:val="00CE7B50"/>
    <w:rsid w:val="00CF0186"/>
    <w:rsid w:val="00CF0600"/>
    <w:rsid w:val="00CF069E"/>
    <w:rsid w:val="00CF09F8"/>
    <w:rsid w:val="00CF172E"/>
    <w:rsid w:val="00CF1AF1"/>
    <w:rsid w:val="00CF3343"/>
    <w:rsid w:val="00CF3716"/>
    <w:rsid w:val="00CF6462"/>
    <w:rsid w:val="00CF6EBD"/>
    <w:rsid w:val="00CF7150"/>
    <w:rsid w:val="00CF781F"/>
    <w:rsid w:val="00D01820"/>
    <w:rsid w:val="00D01FF4"/>
    <w:rsid w:val="00D0291C"/>
    <w:rsid w:val="00D02DAA"/>
    <w:rsid w:val="00D03A0F"/>
    <w:rsid w:val="00D03F06"/>
    <w:rsid w:val="00D04249"/>
    <w:rsid w:val="00D0463A"/>
    <w:rsid w:val="00D046D2"/>
    <w:rsid w:val="00D04CC7"/>
    <w:rsid w:val="00D05321"/>
    <w:rsid w:val="00D0533E"/>
    <w:rsid w:val="00D054BB"/>
    <w:rsid w:val="00D056CB"/>
    <w:rsid w:val="00D066A2"/>
    <w:rsid w:val="00D07255"/>
    <w:rsid w:val="00D07422"/>
    <w:rsid w:val="00D0764C"/>
    <w:rsid w:val="00D11369"/>
    <w:rsid w:val="00D11576"/>
    <w:rsid w:val="00D12D21"/>
    <w:rsid w:val="00D13370"/>
    <w:rsid w:val="00D13A65"/>
    <w:rsid w:val="00D15295"/>
    <w:rsid w:val="00D1541F"/>
    <w:rsid w:val="00D166A9"/>
    <w:rsid w:val="00D16B58"/>
    <w:rsid w:val="00D177A3"/>
    <w:rsid w:val="00D17C0E"/>
    <w:rsid w:val="00D17C23"/>
    <w:rsid w:val="00D17E87"/>
    <w:rsid w:val="00D20C71"/>
    <w:rsid w:val="00D219B6"/>
    <w:rsid w:val="00D22410"/>
    <w:rsid w:val="00D23501"/>
    <w:rsid w:val="00D245E0"/>
    <w:rsid w:val="00D2483E"/>
    <w:rsid w:val="00D24D77"/>
    <w:rsid w:val="00D268E4"/>
    <w:rsid w:val="00D26AF3"/>
    <w:rsid w:val="00D27187"/>
    <w:rsid w:val="00D276D4"/>
    <w:rsid w:val="00D307FE"/>
    <w:rsid w:val="00D30DF4"/>
    <w:rsid w:val="00D30E11"/>
    <w:rsid w:val="00D3121D"/>
    <w:rsid w:val="00D31446"/>
    <w:rsid w:val="00D31CAE"/>
    <w:rsid w:val="00D31DE1"/>
    <w:rsid w:val="00D3292E"/>
    <w:rsid w:val="00D330C4"/>
    <w:rsid w:val="00D34E20"/>
    <w:rsid w:val="00D35E61"/>
    <w:rsid w:val="00D36268"/>
    <w:rsid w:val="00D363A4"/>
    <w:rsid w:val="00D36463"/>
    <w:rsid w:val="00D36AD4"/>
    <w:rsid w:val="00D36F63"/>
    <w:rsid w:val="00D37AE1"/>
    <w:rsid w:val="00D40124"/>
    <w:rsid w:val="00D40BF4"/>
    <w:rsid w:val="00D40C0D"/>
    <w:rsid w:val="00D40D67"/>
    <w:rsid w:val="00D40EC3"/>
    <w:rsid w:val="00D42259"/>
    <w:rsid w:val="00D42B13"/>
    <w:rsid w:val="00D42C9C"/>
    <w:rsid w:val="00D43A04"/>
    <w:rsid w:val="00D43BAB"/>
    <w:rsid w:val="00D43EDE"/>
    <w:rsid w:val="00D43F2B"/>
    <w:rsid w:val="00D44AD9"/>
    <w:rsid w:val="00D45F54"/>
    <w:rsid w:val="00D467A1"/>
    <w:rsid w:val="00D46A73"/>
    <w:rsid w:val="00D46C97"/>
    <w:rsid w:val="00D50E20"/>
    <w:rsid w:val="00D517D9"/>
    <w:rsid w:val="00D52B13"/>
    <w:rsid w:val="00D52DF3"/>
    <w:rsid w:val="00D53228"/>
    <w:rsid w:val="00D535EE"/>
    <w:rsid w:val="00D550E9"/>
    <w:rsid w:val="00D559BB"/>
    <w:rsid w:val="00D55BAF"/>
    <w:rsid w:val="00D56991"/>
    <w:rsid w:val="00D57925"/>
    <w:rsid w:val="00D57BBB"/>
    <w:rsid w:val="00D607BA"/>
    <w:rsid w:val="00D61548"/>
    <w:rsid w:val="00D6193C"/>
    <w:rsid w:val="00D619D5"/>
    <w:rsid w:val="00D62FCE"/>
    <w:rsid w:val="00D63005"/>
    <w:rsid w:val="00D63380"/>
    <w:rsid w:val="00D63858"/>
    <w:rsid w:val="00D64011"/>
    <w:rsid w:val="00D641D3"/>
    <w:rsid w:val="00D642F1"/>
    <w:rsid w:val="00D65284"/>
    <w:rsid w:val="00D65877"/>
    <w:rsid w:val="00D66E2D"/>
    <w:rsid w:val="00D714D0"/>
    <w:rsid w:val="00D73861"/>
    <w:rsid w:val="00D73C09"/>
    <w:rsid w:val="00D743DC"/>
    <w:rsid w:val="00D74441"/>
    <w:rsid w:val="00D746E1"/>
    <w:rsid w:val="00D74959"/>
    <w:rsid w:val="00D756BA"/>
    <w:rsid w:val="00D75822"/>
    <w:rsid w:val="00D77224"/>
    <w:rsid w:val="00D77B42"/>
    <w:rsid w:val="00D77E62"/>
    <w:rsid w:val="00D77FF4"/>
    <w:rsid w:val="00D8008F"/>
    <w:rsid w:val="00D80B2B"/>
    <w:rsid w:val="00D80C18"/>
    <w:rsid w:val="00D813E1"/>
    <w:rsid w:val="00D81DBF"/>
    <w:rsid w:val="00D82846"/>
    <w:rsid w:val="00D829CB"/>
    <w:rsid w:val="00D83E21"/>
    <w:rsid w:val="00D84193"/>
    <w:rsid w:val="00D84DB5"/>
    <w:rsid w:val="00D8581E"/>
    <w:rsid w:val="00D85F18"/>
    <w:rsid w:val="00D868EB"/>
    <w:rsid w:val="00D86BC8"/>
    <w:rsid w:val="00D86C14"/>
    <w:rsid w:val="00D8783F"/>
    <w:rsid w:val="00D87DF4"/>
    <w:rsid w:val="00D902EB"/>
    <w:rsid w:val="00D90D86"/>
    <w:rsid w:val="00D9119E"/>
    <w:rsid w:val="00D91B72"/>
    <w:rsid w:val="00D9257F"/>
    <w:rsid w:val="00D92B13"/>
    <w:rsid w:val="00D93EB0"/>
    <w:rsid w:val="00D94185"/>
    <w:rsid w:val="00D94B33"/>
    <w:rsid w:val="00D95C8E"/>
    <w:rsid w:val="00D96E2C"/>
    <w:rsid w:val="00D96FEA"/>
    <w:rsid w:val="00D97727"/>
    <w:rsid w:val="00DA0A0A"/>
    <w:rsid w:val="00DA1207"/>
    <w:rsid w:val="00DA1240"/>
    <w:rsid w:val="00DA17AC"/>
    <w:rsid w:val="00DA1E71"/>
    <w:rsid w:val="00DA30EB"/>
    <w:rsid w:val="00DA3335"/>
    <w:rsid w:val="00DA3F3A"/>
    <w:rsid w:val="00DA4640"/>
    <w:rsid w:val="00DA5C08"/>
    <w:rsid w:val="00DA5C3D"/>
    <w:rsid w:val="00DA6010"/>
    <w:rsid w:val="00DA631A"/>
    <w:rsid w:val="00DA6507"/>
    <w:rsid w:val="00DA6A35"/>
    <w:rsid w:val="00DA7EA0"/>
    <w:rsid w:val="00DB0112"/>
    <w:rsid w:val="00DB212E"/>
    <w:rsid w:val="00DB22BF"/>
    <w:rsid w:val="00DB22E5"/>
    <w:rsid w:val="00DB2C6D"/>
    <w:rsid w:val="00DB3039"/>
    <w:rsid w:val="00DB438A"/>
    <w:rsid w:val="00DB4990"/>
    <w:rsid w:val="00DB4DF6"/>
    <w:rsid w:val="00DB4E21"/>
    <w:rsid w:val="00DB5151"/>
    <w:rsid w:val="00DB59FF"/>
    <w:rsid w:val="00DB5DF7"/>
    <w:rsid w:val="00DB6181"/>
    <w:rsid w:val="00DB6ACA"/>
    <w:rsid w:val="00DB7022"/>
    <w:rsid w:val="00DB71FD"/>
    <w:rsid w:val="00DB76FB"/>
    <w:rsid w:val="00DB7C50"/>
    <w:rsid w:val="00DB7E8D"/>
    <w:rsid w:val="00DB7F9B"/>
    <w:rsid w:val="00DC1978"/>
    <w:rsid w:val="00DC2243"/>
    <w:rsid w:val="00DC28D5"/>
    <w:rsid w:val="00DC36D7"/>
    <w:rsid w:val="00DC3778"/>
    <w:rsid w:val="00DC3905"/>
    <w:rsid w:val="00DC3C0F"/>
    <w:rsid w:val="00DC3E4E"/>
    <w:rsid w:val="00DC4106"/>
    <w:rsid w:val="00DC523B"/>
    <w:rsid w:val="00DC6765"/>
    <w:rsid w:val="00DC6A61"/>
    <w:rsid w:val="00DC79F7"/>
    <w:rsid w:val="00DD00F8"/>
    <w:rsid w:val="00DD2FCA"/>
    <w:rsid w:val="00DD323B"/>
    <w:rsid w:val="00DD3806"/>
    <w:rsid w:val="00DD5740"/>
    <w:rsid w:val="00DD5881"/>
    <w:rsid w:val="00DD6434"/>
    <w:rsid w:val="00DD6818"/>
    <w:rsid w:val="00DE04E2"/>
    <w:rsid w:val="00DE0C7E"/>
    <w:rsid w:val="00DE1549"/>
    <w:rsid w:val="00DE1CE3"/>
    <w:rsid w:val="00DE236E"/>
    <w:rsid w:val="00DE3928"/>
    <w:rsid w:val="00DE469A"/>
    <w:rsid w:val="00DE5A4C"/>
    <w:rsid w:val="00DE64E7"/>
    <w:rsid w:val="00DE6670"/>
    <w:rsid w:val="00DE72B6"/>
    <w:rsid w:val="00DE74A7"/>
    <w:rsid w:val="00DF001A"/>
    <w:rsid w:val="00DF21A3"/>
    <w:rsid w:val="00DF2E3A"/>
    <w:rsid w:val="00DF3AD9"/>
    <w:rsid w:val="00DF3CE3"/>
    <w:rsid w:val="00DF3E33"/>
    <w:rsid w:val="00DF4475"/>
    <w:rsid w:val="00DF4D3B"/>
    <w:rsid w:val="00DF5911"/>
    <w:rsid w:val="00DF6265"/>
    <w:rsid w:val="00DF6376"/>
    <w:rsid w:val="00DF661A"/>
    <w:rsid w:val="00DF7358"/>
    <w:rsid w:val="00DF7A54"/>
    <w:rsid w:val="00E009DE"/>
    <w:rsid w:val="00E01B0A"/>
    <w:rsid w:val="00E027B3"/>
    <w:rsid w:val="00E02FAB"/>
    <w:rsid w:val="00E041B9"/>
    <w:rsid w:val="00E04460"/>
    <w:rsid w:val="00E0488F"/>
    <w:rsid w:val="00E04D6E"/>
    <w:rsid w:val="00E05C97"/>
    <w:rsid w:val="00E0691A"/>
    <w:rsid w:val="00E06C38"/>
    <w:rsid w:val="00E07EC9"/>
    <w:rsid w:val="00E101AC"/>
    <w:rsid w:val="00E101C3"/>
    <w:rsid w:val="00E111C7"/>
    <w:rsid w:val="00E12BD8"/>
    <w:rsid w:val="00E12D6E"/>
    <w:rsid w:val="00E13034"/>
    <w:rsid w:val="00E137D6"/>
    <w:rsid w:val="00E142B4"/>
    <w:rsid w:val="00E153B7"/>
    <w:rsid w:val="00E160A6"/>
    <w:rsid w:val="00E169A9"/>
    <w:rsid w:val="00E16E27"/>
    <w:rsid w:val="00E16E2B"/>
    <w:rsid w:val="00E16F1F"/>
    <w:rsid w:val="00E17185"/>
    <w:rsid w:val="00E175FE"/>
    <w:rsid w:val="00E17E4D"/>
    <w:rsid w:val="00E20018"/>
    <w:rsid w:val="00E201F4"/>
    <w:rsid w:val="00E20479"/>
    <w:rsid w:val="00E20D88"/>
    <w:rsid w:val="00E21169"/>
    <w:rsid w:val="00E219BC"/>
    <w:rsid w:val="00E224F4"/>
    <w:rsid w:val="00E228AB"/>
    <w:rsid w:val="00E233DC"/>
    <w:rsid w:val="00E23441"/>
    <w:rsid w:val="00E24A8E"/>
    <w:rsid w:val="00E25143"/>
    <w:rsid w:val="00E25FEF"/>
    <w:rsid w:val="00E2606C"/>
    <w:rsid w:val="00E27AEE"/>
    <w:rsid w:val="00E30006"/>
    <w:rsid w:val="00E30857"/>
    <w:rsid w:val="00E30DA6"/>
    <w:rsid w:val="00E3127A"/>
    <w:rsid w:val="00E32165"/>
    <w:rsid w:val="00E321C7"/>
    <w:rsid w:val="00E32AA1"/>
    <w:rsid w:val="00E33078"/>
    <w:rsid w:val="00E349C5"/>
    <w:rsid w:val="00E3507E"/>
    <w:rsid w:val="00E353F3"/>
    <w:rsid w:val="00E3562C"/>
    <w:rsid w:val="00E36B94"/>
    <w:rsid w:val="00E36E66"/>
    <w:rsid w:val="00E36FD9"/>
    <w:rsid w:val="00E379B2"/>
    <w:rsid w:val="00E401FD"/>
    <w:rsid w:val="00E4097D"/>
    <w:rsid w:val="00E414D1"/>
    <w:rsid w:val="00E4273B"/>
    <w:rsid w:val="00E4284D"/>
    <w:rsid w:val="00E443EC"/>
    <w:rsid w:val="00E445C2"/>
    <w:rsid w:val="00E447FE"/>
    <w:rsid w:val="00E44D60"/>
    <w:rsid w:val="00E44F1E"/>
    <w:rsid w:val="00E45883"/>
    <w:rsid w:val="00E45954"/>
    <w:rsid w:val="00E467D4"/>
    <w:rsid w:val="00E46945"/>
    <w:rsid w:val="00E4710B"/>
    <w:rsid w:val="00E5087C"/>
    <w:rsid w:val="00E512D2"/>
    <w:rsid w:val="00E51547"/>
    <w:rsid w:val="00E52D78"/>
    <w:rsid w:val="00E53D22"/>
    <w:rsid w:val="00E54808"/>
    <w:rsid w:val="00E548CC"/>
    <w:rsid w:val="00E54BF9"/>
    <w:rsid w:val="00E54E4B"/>
    <w:rsid w:val="00E55E1B"/>
    <w:rsid w:val="00E561C0"/>
    <w:rsid w:val="00E562EE"/>
    <w:rsid w:val="00E56B57"/>
    <w:rsid w:val="00E57610"/>
    <w:rsid w:val="00E603FA"/>
    <w:rsid w:val="00E604F5"/>
    <w:rsid w:val="00E60E36"/>
    <w:rsid w:val="00E61861"/>
    <w:rsid w:val="00E61EF4"/>
    <w:rsid w:val="00E62CED"/>
    <w:rsid w:val="00E636FA"/>
    <w:rsid w:val="00E639DE"/>
    <w:rsid w:val="00E63CBC"/>
    <w:rsid w:val="00E6409E"/>
    <w:rsid w:val="00E64FD4"/>
    <w:rsid w:val="00E65414"/>
    <w:rsid w:val="00E657BF"/>
    <w:rsid w:val="00E659D6"/>
    <w:rsid w:val="00E65DCF"/>
    <w:rsid w:val="00E667BE"/>
    <w:rsid w:val="00E66E68"/>
    <w:rsid w:val="00E6729E"/>
    <w:rsid w:val="00E676DA"/>
    <w:rsid w:val="00E67F89"/>
    <w:rsid w:val="00E70554"/>
    <w:rsid w:val="00E717AC"/>
    <w:rsid w:val="00E71A40"/>
    <w:rsid w:val="00E71CB0"/>
    <w:rsid w:val="00E71CB9"/>
    <w:rsid w:val="00E72592"/>
    <w:rsid w:val="00E72ABF"/>
    <w:rsid w:val="00E73275"/>
    <w:rsid w:val="00E748F3"/>
    <w:rsid w:val="00E76032"/>
    <w:rsid w:val="00E775AA"/>
    <w:rsid w:val="00E77E8C"/>
    <w:rsid w:val="00E80658"/>
    <w:rsid w:val="00E818E7"/>
    <w:rsid w:val="00E822DA"/>
    <w:rsid w:val="00E82D8B"/>
    <w:rsid w:val="00E83407"/>
    <w:rsid w:val="00E84460"/>
    <w:rsid w:val="00E84DB6"/>
    <w:rsid w:val="00E84DBB"/>
    <w:rsid w:val="00E851E4"/>
    <w:rsid w:val="00E853EF"/>
    <w:rsid w:val="00E869A4"/>
    <w:rsid w:val="00E86A72"/>
    <w:rsid w:val="00E86D04"/>
    <w:rsid w:val="00E87BFC"/>
    <w:rsid w:val="00E90FCD"/>
    <w:rsid w:val="00E91C88"/>
    <w:rsid w:val="00E92185"/>
    <w:rsid w:val="00E92616"/>
    <w:rsid w:val="00E93075"/>
    <w:rsid w:val="00E931B8"/>
    <w:rsid w:val="00E936DA"/>
    <w:rsid w:val="00E93C80"/>
    <w:rsid w:val="00E944CD"/>
    <w:rsid w:val="00E94827"/>
    <w:rsid w:val="00E94BAF"/>
    <w:rsid w:val="00E94CC2"/>
    <w:rsid w:val="00E94D09"/>
    <w:rsid w:val="00E94FA9"/>
    <w:rsid w:val="00E95C85"/>
    <w:rsid w:val="00E961C5"/>
    <w:rsid w:val="00E96635"/>
    <w:rsid w:val="00E97131"/>
    <w:rsid w:val="00E973BD"/>
    <w:rsid w:val="00EA0526"/>
    <w:rsid w:val="00EA1DA2"/>
    <w:rsid w:val="00EA2858"/>
    <w:rsid w:val="00EA31AA"/>
    <w:rsid w:val="00EA3A45"/>
    <w:rsid w:val="00EA4B06"/>
    <w:rsid w:val="00EA5096"/>
    <w:rsid w:val="00EA55E9"/>
    <w:rsid w:val="00EB03AE"/>
    <w:rsid w:val="00EB0B79"/>
    <w:rsid w:val="00EB2CF0"/>
    <w:rsid w:val="00EB3266"/>
    <w:rsid w:val="00EB3368"/>
    <w:rsid w:val="00EB361F"/>
    <w:rsid w:val="00EB4A48"/>
    <w:rsid w:val="00EB5352"/>
    <w:rsid w:val="00EB702E"/>
    <w:rsid w:val="00EB7C31"/>
    <w:rsid w:val="00EB7F3E"/>
    <w:rsid w:val="00EC0113"/>
    <w:rsid w:val="00EC2627"/>
    <w:rsid w:val="00EC2FA4"/>
    <w:rsid w:val="00EC4449"/>
    <w:rsid w:val="00EC46B2"/>
    <w:rsid w:val="00EC4EE8"/>
    <w:rsid w:val="00EC5A4B"/>
    <w:rsid w:val="00EC7998"/>
    <w:rsid w:val="00EC7CDF"/>
    <w:rsid w:val="00ED0097"/>
    <w:rsid w:val="00ED0644"/>
    <w:rsid w:val="00ED1A86"/>
    <w:rsid w:val="00ED315B"/>
    <w:rsid w:val="00ED3710"/>
    <w:rsid w:val="00ED3EA6"/>
    <w:rsid w:val="00ED40D9"/>
    <w:rsid w:val="00ED6314"/>
    <w:rsid w:val="00ED7085"/>
    <w:rsid w:val="00EE215C"/>
    <w:rsid w:val="00EE23EA"/>
    <w:rsid w:val="00EE3FC2"/>
    <w:rsid w:val="00EE43B5"/>
    <w:rsid w:val="00EE4CC6"/>
    <w:rsid w:val="00EE4DFD"/>
    <w:rsid w:val="00EE5771"/>
    <w:rsid w:val="00EE62DA"/>
    <w:rsid w:val="00EE76F5"/>
    <w:rsid w:val="00EF24FE"/>
    <w:rsid w:val="00EF27C5"/>
    <w:rsid w:val="00EF2818"/>
    <w:rsid w:val="00EF2D05"/>
    <w:rsid w:val="00EF3BC0"/>
    <w:rsid w:val="00EF4451"/>
    <w:rsid w:val="00EF4B06"/>
    <w:rsid w:val="00EF5C9D"/>
    <w:rsid w:val="00EF677E"/>
    <w:rsid w:val="00EF7BE6"/>
    <w:rsid w:val="00F00060"/>
    <w:rsid w:val="00F0067D"/>
    <w:rsid w:val="00F00767"/>
    <w:rsid w:val="00F00ECC"/>
    <w:rsid w:val="00F017D7"/>
    <w:rsid w:val="00F0198D"/>
    <w:rsid w:val="00F01D55"/>
    <w:rsid w:val="00F01FC5"/>
    <w:rsid w:val="00F02BC1"/>
    <w:rsid w:val="00F02DAF"/>
    <w:rsid w:val="00F037E9"/>
    <w:rsid w:val="00F0450C"/>
    <w:rsid w:val="00F06103"/>
    <w:rsid w:val="00F077B9"/>
    <w:rsid w:val="00F078FB"/>
    <w:rsid w:val="00F079A8"/>
    <w:rsid w:val="00F1020D"/>
    <w:rsid w:val="00F10505"/>
    <w:rsid w:val="00F105CA"/>
    <w:rsid w:val="00F10FB2"/>
    <w:rsid w:val="00F12990"/>
    <w:rsid w:val="00F12E2A"/>
    <w:rsid w:val="00F1475F"/>
    <w:rsid w:val="00F14B0D"/>
    <w:rsid w:val="00F14F31"/>
    <w:rsid w:val="00F155FE"/>
    <w:rsid w:val="00F17278"/>
    <w:rsid w:val="00F17B3B"/>
    <w:rsid w:val="00F20C9B"/>
    <w:rsid w:val="00F2224F"/>
    <w:rsid w:val="00F24AB7"/>
    <w:rsid w:val="00F24F27"/>
    <w:rsid w:val="00F2509E"/>
    <w:rsid w:val="00F25ABF"/>
    <w:rsid w:val="00F25C1A"/>
    <w:rsid w:val="00F25DA7"/>
    <w:rsid w:val="00F261D0"/>
    <w:rsid w:val="00F270AE"/>
    <w:rsid w:val="00F275D0"/>
    <w:rsid w:val="00F279B6"/>
    <w:rsid w:val="00F31B18"/>
    <w:rsid w:val="00F32286"/>
    <w:rsid w:val="00F32FCF"/>
    <w:rsid w:val="00F333BA"/>
    <w:rsid w:val="00F33C09"/>
    <w:rsid w:val="00F34B6A"/>
    <w:rsid w:val="00F34E78"/>
    <w:rsid w:val="00F35EE8"/>
    <w:rsid w:val="00F36852"/>
    <w:rsid w:val="00F3693C"/>
    <w:rsid w:val="00F4055F"/>
    <w:rsid w:val="00F42116"/>
    <w:rsid w:val="00F4318C"/>
    <w:rsid w:val="00F43BE3"/>
    <w:rsid w:val="00F4557F"/>
    <w:rsid w:val="00F45800"/>
    <w:rsid w:val="00F45ADA"/>
    <w:rsid w:val="00F462E9"/>
    <w:rsid w:val="00F463D4"/>
    <w:rsid w:val="00F47F62"/>
    <w:rsid w:val="00F503A0"/>
    <w:rsid w:val="00F5088C"/>
    <w:rsid w:val="00F511D6"/>
    <w:rsid w:val="00F52215"/>
    <w:rsid w:val="00F526DE"/>
    <w:rsid w:val="00F52C6E"/>
    <w:rsid w:val="00F537B4"/>
    <w:rsid w:val="00F53F87"/>
    <w:rsid w:val="00F5467F"/>
    <w:rsid w:val="00F54D5D"/>
    <w:rsid w:val="00F55103"/>
    <w:rsid w:val="00F5540B"/>
    <w:rsid w:val="00F55B3E"/>
    <w:rsid w:val="00F55F23"/>
    <w:rsid w:val="00F56501"/>
    <w:rsid w:val="00F573A2"/>
    <w:rsid w:val="00F57956"/>
    <w:rsid w:val="00F60056"/>
    <w:rsid w:val="00F60AF2"/>
    <w:rsid w:val="00F61DF9"/>
    <w:rsid w:val="00F63BD8"/>
    <w:rsid w:val="00F63D80"/>
    <w:rsid w:val="00F63EA2"/>
    <w:rsid w:val="00F64145"/>
    <w:rsid w:val="00F64959"/>
    <w:rsid w:val="00F6629C"/>
    <w:rsid w:val="00F70155"/>
    <w:rsid w:val="00F70C60"/>
    <w:rsid w:val="00F7101A"/>
    <w:rsid w:val="00F72F14"/>
    <w:rsid w:val="00F734BE"/>
    <w:rsid w:val="00F74D01"/>
    <w:rsid w:val="00F758EA"/>
    <w:rsid w:val="00F7788D"/>
    <w:rsid w:val="00F77BC9"/>
    <w:rsid w:val="00F77E0B"/>
    <w:rsid w:val="00F823A4"/>
    <w:rsid w:val="00F82639"/>
    <w:rsid w:val="00F84C9A"/>
    <w:rsid w:val="00F84E20"/>
    <w:rsid w:val="00F850D6"/>
    <w:rsid w:val="00F855A4"/>
    <w:rsid w:val="00F86376"/>
    <w:rsid w:val="00F86436"/>
    <w:rsid w:val="00F86E77"/>
    <w:rsid w:val="00F879F1"/>
    <w:rsid w:val="00F906A2"/>
    <w:rsid w:val="00F906AE"/>
    <w:rsid w:val="00F9192C"/>
    <w:rsid w:val="00F9285A"/>
    <w:rsid w:val="00F92974"/>
    <w:rsid w:val="00F92E30"/>
    <w:rsid w:val="00F92EA6"/>
    <w:rsid w:val="00F93306"/>
    <w:rsid w:val="00F93945"/>
    <w:rsid w:val="00F94946"/>
    <w:rsid w:val="00F94BAC"/>
    <w:rsid w:val="00F94E65"/>
    <w:rsid w:val="00F952BC"/>
    <w:rsid w:val="00F956E4"/>
    <w:rsid w:val="00F96180"/>
    <w:rsid w:val="00F96675"/>
    <w:rsid w:val="00F969AE"/>
    <w:rsid w:val="00F97527"/>
    <w:rsid w:val="00F975AB"/>
    <w:rsid w:val="00FA0564"/>
    <w:rsid w:val="00FA09B6"/>
    <w:rsid w:val="00FA15D5"/>
    <w:rsid w:val="00FA18CF"/>
    <w:rsid w:val="00FA22CC"/>
    <w:rsid w:val="00FA5428"/>
    <w:rsid w:val="00FA5514"/>
    <w:rsid w:val="00FA65FB"/>
    <w:rsid w:val="00FA6955"/>
    <w:rsid w:val="00FA7E51"/>
    <w:rsid w:val="00FB0106"/>
    <w:rsid w:val="00FB063E"/>
    <w:rsid w:val="00FB1C10"/>
    <w:rsid w:val="00FB21C3"/>
    <w:rsid w:val="00FB2A8E"/>
    <w:rsid w:val="00FB42A7"/>
    <w:rsid w:val="00FB4476"/>
    <w:rsid w:val="00FB47B5"/>
    <w:rsid w:val="00FB5423"/>
    <w:rsid w:val="00FB6269"/>
    <w:rsid w:val="00FC2AE3"/>
    <w:rsid w:val="00FC3287"/>
    <w:rsid w:val="00FC4258"/>
    <w:rsid w:val="00FC578E"/>
    <w:rsid w:val="00FC5A90"/>
    <w:rsid w:val="00FC60FE"/>
    <w:rsid w:val="00FC66A4"/>
    <w:rsid w:val="00FC67B1"/>
    <w:rsid w:val="00FC6810"/>
    <w:rsid w:val="00FC7072"/>
    <w:rsid w:val="00FC72ED"/>
    <w:rsid w:val="00FD0A14"/>
    <w:rsid w:val="00FD0DBA"/>
    <w:rsid w:val="00FD123D"/>
    <w:rsid w:val="00FD1571"/>
    <w:rsid w:val="00FD1612"/>
    <w:rsid w:val="00FD177C"/>
    <w:rsid w:val="00FD3257"/>
    <w:rsid w:val="00FD330D"/>
    <w:rsid w:val="00FD342C"/>
    <w:rsid w:val="00FD5D94"/>
    <w:rsid w:val="00FD6316"/>
    <w:rsid w:val="00FD6C0E"/>
    <w:rsid w:val="00FD74C5"/>
    <w:rsid w:val="00FD7F6D"/>
    <w:rsid w:val="00FE0226"/>
    <w:rsid w:val="00FE04A6"/>
    <w:rsid w:val="00FE0551"/>
    <w:rsid w:val="00FE0679"/>
    <w:rsid w:val="00FE072A"/>
    <w:rsid w:val="00FE0E2C"/>
    <w:rsid w:val="00FE132B"/>
    <w:rsid w:val="00FE1C9E"/>
    <w:rsid w:val="00FE2652"/>
    <w:rsid w:val="00FE2836"/>
    <w:rsid w:val="00FE3497"/>
    <w:rsid w:val="00FE4592"/>
    <w:rsid w:val="00FE565D"/>
    <w:rsid w:val="00FE6176"/>
    <w:rsid w:val="00FE64BB"/>
    <w:rsid w:val="00FE69BE"/>
    <w:rsid w:val="00FE6B72"/>
    <w:rsid w:val="00FF0DBC"/>
    <w:rsid w:val="00FF2671"/>
    <w:rsid w:val="00FF351A"/>
    <w:rsid w:val="00FF3DD5"/>
    <w:rsid w:val="00FF4DD7"/>
    <w:rsid w:val="00FF50A9"/>
    <w:rsid w:val="00FF535C"/>
    <w:rsid w:val="00FF6223"/>
    <w:rsid w:val="00FF6725"/>
    <w:rsid w:val="00FF7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6C51F"/>
  <w15:docId w15:val="{200CEE67-C028-497D-AFDF-3E111CE16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45D1E"/>
    <w:pPr>
      <w:spacing w:line="240" w:lineRule="auto"/>
    </w:pPr>
    <w:rPr>
      <w:sz w:val="20"/>
      <w:szCs w:val="20"/>
    </w:rPr>
  </w:style>
  <w:style w:type="character" w:customStyle="1" w:styleId="FootnoteTextChar">
    <w:name w:val="Footnote Text Char"/>
    <w:basedOn w:val="DefaultParagraphFont"/>
    <w:link w:val="FootnoteText"/>
    <w:uiPriority w:val="99"/>
    <w:semiHidden/>
    <w:rsid w:val="00245D1E"/>
    <w:rPr>
      <w:sz w:val="20"/>
      <w:szCs w:val="20"/>
    </w:rPr>
  </w:style>
  <w:style w:type="character" w:styleId="FootnoteReference">
    <w:name w:val="footnote reference"/>
    <w:basedOn w:val="DefaultParagraphFont"/>
    <w:uiPriority w:val="99"/>
    <w:semiHidden/>
    <w:unhideWhenUsed/>
    <w:rsid w:val="00245D1E"/>
    <w:rPr>
      <w:vertAlign w:val="superscript"/>
    </w:rPr>
  </w:style>
  <w:style w:type="character" w:styleId="Emphasis">
    <w:name w:val="Emphasis"/>
    <w:basedOn w:val="DefaultParagraphFont"/>
    <w:uiPriority w:val="20"/>
    <w:qFormat/>
    <w:rsid w:val="00007A5E"/>
    <w:rPr>
      <w:i/>
      <w:iCs/>
    </w:rPr>
  </w:style>
  <w:style w:type="character" w:styleId="CommentReference">
    <w:name w:val="annotation reference"/>
    <w:basedOn w:val="DefaultParagraphFont"/>
    <w:uiPriority w:val="99"/>
    <w:semiHidden/>
    <w:unhideWhenUsed/>
    <w:rsid w:val="00C20942"/>
    <w:rPr>
      <w:sz w:val="16"/>
      <w:szCs w:val="16"/>
    </w:rPr>
  </w:style>
  <w:style w:type="paragraph" w:styleId="CommentText">
    <w:name w:val="annotation text"/>
    <w:basedOn w:val="Normal"/>
    <w:link w:val="CommentTextChar"/>
    <w:uiPriority w:val="99"/>
    <w:unhideWhenUsed/>
    <w:rsid w:val="00C20942"/>
    <w:pPr>
      <w:spacing w:line="240" w:lineRule="auto"/>
    </w:pPr>
    <w:rPr>
      <w:sz w:val="20"/>
      <w:szCs w:val="20"/>
    </w:rPr>
  </w:style>
  <w:style w:type="character" w:customStyle="1" w:styleId="CommentTextChar">
    <w:name w:val="Comment Text Char"/>
    <w:basedOn w:val="DefaultParagraphFont"/>
    <w:link w:val="CommentText"/>
    <w:uiPriority w:val="99"/>
    <w:rsid w:val="00C20942"/>
    <w:rPr>
      <w:sz w:val="20"/>
      <w:szCs w:val="20"/>
    </w:rPr>
  </w:style>
  <w:style w:type="paragraph" w:styleId="CommentSubject">
    <w:name w:val="annotation subject"/>
    <w:basedOn w:val="CommentText"/>
    <w:next w:val="CommentText"/>
    <w:link w:val="CommentSubjectChar"/>
    <w:uiPriority w:val="99"/>
    <w:semiHidden/>
    <w:unhideWhenUsed/>
    <w:rsid w:val="00C20942"/>
    <w:rPr>
      <w:b/>
      <w:bCs/>
    </w:rPr>
  </w:style>
  <w:style w:type="character" w:customStyle="1" w:styleId="CommentSubjectChar">
    <w:name w:val="Comment Subject Char"/>
    <w:basedOn w:val="CommentTextChar"/>
    <w:link w:val="CommentSubject"/>
    <w:uiPriority w:val="99"/>
    <w:semiHidden/>
    <w:rsid w:val="00C20942"/>
    <w:rPr>
      <w:b/>
      <w:bCs/>
      <w:sz w:val="20"/>
      <w:szCs w:val="20"/>
    </w:rPr>
  </w:style>
  <w:style w:type="character" w:styleId="Hyperlink">
    <w:name w:val="Hyperlink"/>
    <w:basedOn w:val="DefaultParagraphFont"/>
    <w:uiPriority w:val="99"/>
    <w:unhideWhenUsed/>
    <w:rsid w:val="00E443EC"/>
    <w:rPr>
      <w:color w:val="0000FF"/>
      <w:u w:val="single"/>
    </w:rPr>
  </w:style>
  <w:style w:type="paragraph" w:styleId="Revision">
    <w:name w:val="Revision"/>
    <w:hidden/>
    <w:uiPriority w:val="99"/>
    <w:semiHidden/>
    <w:rsid w:val="0092009E"/>
    <w:pPr>
      <w:spacing w:line="240" w:lineRule="auto"/>
    </w:pPr>
  </w:style>
  <w:style w:type="character" w:styleId="UnresolvedMention">
    <w:name w:val="Unresolved Mention"/>
    <w:basedOn w:val="DefaultParagraphFont"/>
    <w:uiPriority w:val="99"/>
    <w:semiHidden/>
    <w:unhideWhenUsed/>
    <w:rsid w:val="004659E1"/>
    <w:rPr>
      <w:color w:val="605E5C"/>
      <w:shd w:val="clear" w:color="auto" w:fill="E1DFDD"/>
    </w:rPr>
  </w:style>
  <w:style w:type="paragraph" w:styleId="Header">
    <w:name w:val="header"/>
    <w:basedOn w:val="Normal"/>
    <w:link w:val="HeaderChar"/>
    <w:uiPriority w:val="99"/>
    <w:unhideWhenUsed/>
    <w:rsid w:val="00113F80"/>
    <w:pPr>
      <w:tabs>
        <w:tab w:val="center" w:pos="4680"/>
        <w:tab w:val="right" w:pos="9360"/>
      </w:tabs>
      <w:spacing w:line="240" w:lineRule="auto"/>
    </w:pPr>
  </w:style>
  <w:style w:type="character" w:customStyle="1" w:styleId="HeaderChar">
    <w:name w:val="Header Char"/>
    <w:basedOn w:val="DefaultParagraphFont"/>
    <w:link w:val="Header"/>
    <w:uiPriority w:val="99"/>
    <w:rsid w:val="00113F80"/>
  </w:style>
  <w:style w:type="paragraph" w:styleId="Footer">
    <w:name w:val="footer"/>
    <w:basedOn w:val="Normal"/>
    <w:link w:val="FooterChar"/>
    <w:uiPriority w:val="99"/>
    <w:unhideWhenUsed/>
    <w:rsid w:val="00113F80"/>
    <w:pPr>
      <w:tabs>
        <w:tab w:val="center" w:pos="4680"/>
        <w:tab w:val="right" w:pos="9360"/>
      </w:tabs>
      <w:spacing w:line="240" w:lineRule="auto"/>
    </w:pPr>
  </w:style>
  <w:style w:type="character" w:customStyle="1" w:styleId="FooterChar">
    <w:name w:val="Footer Char"/>
    <w:basedOn w:val="DefaultParagraphFont"/>
    <w:link w:val="Footer"/>
    <w:uiPriority w:val="99"/>
    <w:rsid w:val="00113F80"/>
  </w:style>
  <w:style w:type="paragraph" w:styleId="ListParagraph">
    <w:name w:val="List Paragraph"/>
    <w:basedOn w:val="Normal"/>
    <w:uiPriority w:val="34"/>
    <w:qFormat/>
    <w:rsid w:val="00E009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6231">
      <w:bodyDiv w:val="1"/>
      <w:marLeft w:val="0"/>
      <w:marRight w:val="0"/>
      <w:marTop w:val="0"/>
      <w:marBottom w:val="0"/>
      <w:divBdr>
        <w:top w:val="none" w:sz="0" w:space="0" w:color="auto"/>
        <w:left w:val="none" w:sz="0" w:space="0" w:color="auto"/>
        <w:bottom w:val="none" w:sz="0" w:space="0" w:color="auto"/>
        <w:right w:val="none" w:sz="0" w:space="0" w:color="auto"/>
      </w:divBdr>
      <w:divsChild>
        <w:div w:id="597099784">
          <w:marLeft w:val="0"/>
          <w:marRight w:val="0"/>
          <w:marTop w:val="0"/>
          <w:marBottom w:val="0"/>
          <w:divBdr>
            <w:top w:val="none" w:sz="0" w:space="0" w:color="auto"/>
            <w:left w:val="none" w:sz="0" w:space="0" w:color="auto"/>
            <w:bottom w:val="none" w:sz="0" w:space="0" w:color="auto"/>
            <w:right w:val="none" w:sz="0" w:space="0" w:color="auto"/>
          </w:divBdr>
        </w:div>
      </w:divsChild>
    </w:div>
    <w:div w:id="764421223">
      <w:bodyDiv w:val="1"/>
      <w:marLeft w:val="0"/>
      <w:marRight w:val="0"/>
      <w:marTop w:val="0"/>
      <w:marBottom w:val="0"/>
      <w:divBdr>
        <w:top w:val="none" w:sz="0" w:space="0" w:color="auto"/>
        <w:left w:val="none" w:sz="0" w:space="0" w:color="auto"/>
        <w:bottom w:val="none" w:sz="0" w:space="0" w:color="auto"/>
        <w:right w:val="none" w:sz="0" w:space="0" w:color="auto"/>
      </w:divBdr>
      <w:divsChild>
        <w:div w:id="2124416335">
          <w:marLeft w:val="360"/>
          <w:marRight w:val="0"/>
          <w:marTop w:val="200"/>
          <w:marBottom w:val="0"/>
          <w:divBdr>
            <w:top w:val="none" w:sz="0" w:space="0" w:color="auto"/>
            <w:left w:val="none" w:sz="0" w:space="0" w:color="auto"/>
            <w:bottom w:val="none" w:sz="0" w:space="0" w:color="auto"/>
            <w:right w:val="none" w:sz="0" w:space="0" w:color="auto"/>
          </w:divBdr>
        </w:div>
      </w:divsChild>
    </w:div>
    <w:div w:id="1068771235">
      <w:bodyDiv w:val="1"/>
      <w:marLeft w:val="0"/>
      <w:marRight w:val="0"/>
      <w:marTop w:val="0"/>
      <w:marBottom w:val="0"/>
      <w:divBdr>
        <w:top w:val="none" w:sz="0" w:space="0" w:color="auto"/>
        <w:left w:val="none" w:sz="0" w:space="0" w:color="auto"/>
        <w:bottom w:val="none" w:sz="0" w:space="0" w:color="auto"/>
        <w:right w:val="none" w:sz="0" w:space="0" w:color="auto"/>
      </w:divBdr>
      <w:divsChild>
        <w:div w:id="128206057">
          <w:marLeft w:val="0"/>
          <w:marRight w:val="0"/>
          <w:marTop w:val="0"/>
          <w:marBottom w:val="0"/>
          <w:divBdr>
            <w:top w:val="none" w:sz="0" w:space="0" w:color="auto"/>
            <w:left w:val="none" w:sz="0" w:space="0" w:color="auto"/>
            <w:bottom w:val="none" w:sz="0" w:space="0" w:color="auto"/>
            <w:right w:val="none" w:sz="0" w:space="0" w:color="auto"/>
          </w:divBdr>
        </w:div>
      </w:divsChild>
    </w:div>
    <w:div w:id="1087919723">
      <w:bodyDiv w:val="1"/>
      <w:marLeft w:val="0"/>
      <w:marRight w:val="0"/>
      <w:marTop w:val="0"/>
      <w:marBottom w:val="0"/>
      <w:divBdr>
        <w:top w:val="none" w:sz="0" w:space="0" w:color="auto"/>
        <w:left w:val="none" w:sz="0" w:space="0" w:color="auto"/>
        <w:bottom w:val="none" w:sz="0" w:space="0" w:color="auto"/>
        <w:right w:val="none" w:sz="0" w:space="0" w:color="auto"/>
      </w:divBdr>
      <w:divsChild>
        <w:div w:id="1626932282">
          <w:marLeft w:val="1080"/>
          <w:marRight w:val="0"/>
          <w:marTop w:val="100"/>
          <w:marBottom w:val="0"/>
          <w:divBdr>
            <w:top w:val="none" w:sz="0" w:space="0" w:color="auto"/>
            <w:left w:val="none" w:sz="0" w:space="0" w:color="auto"/>
            <w:bottom w:val="none" w:sz="0" w:space="0" w:color="auto"/>
            <w:right w:val="none" w:sz="0" w:space="0" w:color="auto"/>
          </w:divBdr>
        </w:div>
      </w:divsChild>
    </w:div>
    <w:div w:id="1202940747">
      <w:bodyDiv w:val="1"/>
      <w:marLeft w:val="0"/>
      <w:marRight w:val="0"/>
      <w:marTop w:val="0"/>
      <w:marBottom w:val="0"/>
      <w:divBdr>
        <w:top w:val="none" w:sz="0" w:space="0" w:color="auto"/>
        <w:left w:val="none" w:sz="0" w:space="0" w:color="auto"/>
        <w:bottom w:val="none" w:sz="0" w:space="0" w:color="auto"/>
        <w:right w:val="none" w:sz="0" w:space="0" w:color="auto"/>
      </w:divBdr>
      <w:divsChild>
        <w:div w:id="2044011855">
          <w:marLeft w:val="1080"/>
          <w:marRight w:val="0"/>
          <w:marTop w:val="100"/>
          <w:marBottom w:val="0"/>
          <w:divBdr>
            <w:top w:val="none" w:sz="0" w:space="0" w:color="auto"/>
            <w:left w:val="none" w:sz="0" w:space="0" w:color="auto"/>
            <w:bottom w:val="none" w:sz="0" w:space="0" w:color="auto"/>
            <w:right w:val="none" w:sz="0" w:space="0" w:color="auto"/>
          </w:divBdr>
        </w:div>
      </w:divsChild>
    </w:div>
    <w:div w:id="1394307282">
      <w:bodyDiv w:val="1"/>
      <w:marLeft w:val="0"/>
      <w:marRight w:val="0"/>
      <w:marTop w:val="0"/>
      <w:marBottom w:val="0"/>
      <w:divBdr>
        <w:top w:val="none" w:sz="0" w:space="0" w:color="auto"/>
        <w:left w:val="none" w:sz="0" w:space="0" w:color="auto"/>
        <w:bottom w:val="none" w:sz="0" w:space="0" w:color="auto"/>
        <w:right w:val="none" w:sz="0" w:space="0" w:color="auto"/>
      </w:divBdr>
      <w:divsChild>
        <w:div w:id="7215254">
          <w:marLeft w:val="1080"/>
          <w:marRight w:val="0"/>
          <w:marTop w:val="100"/>
          <w:marBottom w:val="0"/>
          <w:divBdr>
            <w:top w:val="none" w:sz="0" w:space="0" w:color="auto"/>
            <w:left w:val="none" w:sz="0" w:space="0" w:color="auto"/>
            <w:bottom w:val="none" w:sz="0" w:space="0" w:color="auto"/>
            <w:right w:val="none" w:sz="0" w:space="0" w:color="auto"/>
          </w:divBdr>
        </w:div>
      </w:divsChild>
    </w:div>
    <w:div w:id="1795443203">
      <w:bodyDiv w:val="1"/>
      <w:marLeft w:val="0"/>
      <w:marRight w:val="0"/>
      <w:marTop w:val="0"/>
      <w:marBottom w:val="0"/>
      <w:divBdr>
        <w:top w:val="none" w:sz="0" w:space="0" w:color="auto"/>
        <w:left w:val="none" w:sz="0" w:space="0" w:color="auto"/>
        <w:bottom w:val="none" w:sz="0" w:space="0" w:color="auto"/>
        <w:right w:val="none" w:sz="0" w:space="0" w:color="auto"/>
      </w:divBdr>
      <w:divsChild>
        <w:div w:id="1363096025">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F299C-35DB-4B50-A5ED-C3C83CA11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8957</Words>
  <Characters>51060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bollhagen</dc:creator>
  <cp:keywords/>
  <dc:description/>
  <cp:lastModifiedBy>Andrew A Bollhagen</cp:lastModifiedBy>
  <cp:revision>2</cp:revision>
  <dcterms:created xsi:type="dcterms:W3CDTF">2025-07-29T21:01:00Z</dcterms:created>
  <dcterms:modified xsi:type="dcterms:W3CDTF">2025-07-29T21:01:00Z</dcterms:modified>
</cp:coreProperties>
</file>