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499FC" w14:textId="0147878C" w:rsidR="00135D1C" w:rsidRPr="00135D1C" w:rsidRDefault="00135D1C" w:rsidP="00135D1C">
      <w:pPr>
        <w:rPr>
          <w:rFonts w:cstheme="minorHAnsi"/>
          <w:sz w:val="24"/>
          <w:szCs w:val="24"/>
        </w:rPr>
      </w:pPr>
      <w:r>
        <w:rPr>
          <w:rFonts w:cstheme="minorHAnsi"/>
          <w:sz w:val="24"/>
          <w:szCs w:val="24"/>
        </w:rPr>
        <w:t xml:space="preserve">Accepted version of a manuscript published in Studies in History and Philosophy of Science, </w:t>
      </w:r>
      <w:r w:rsidRPr="00135D1C">
        <w:rPr>
          <w:rFonts w:cstheme="minorHAnsi"/>
          <w:sz w:val="24"/>
          <w:szCs w:val="24"/>
        </w:rPr>
        <w:t>https://doi.org/10.1016/j.shpsa.2025.102069</w:t>
      </w:r>
    </w:p>
    <w:p w14:paraId="2338D302" w14:textId="78D21174" w:rsidR="00FD7948" w:rsidRPr="00DB64B7" w:rsidRDefault="00FD7948" w:rsidP="00FD7948">
      <w:pPr>
        <w:jc w:val="center"/>
        <w:rPr>
          <w:b/>
          <w:bCs/>
          <w:sz w:val="36"/>
          <w:szCs w:val="36"/>
        </w:rPr>
      </w:pPr>
      <w:r w:rsidRPr="00DB31B1">
        <w:rPr>
          <w:rFonts w:cstheme="minorHAnsi"/>
          <w:b/>
          <w:bCs/>
          <w:sz w:val="36"/>
          <w:szCs w:val="36"/>
        </w:rPr>
        <w:t>On Representation and Similarity: The Case of Mouse Models of Cancer</w:t>
      </w:r>
    </w:p>
    <w:p w14:paraId="5603C1E0" w14:textId="77777777" w:rsidR="00FD7948" w:rsidRPr="006C240D" w:rsidRDefault="00FD7948" w:rsidP="00FD7948">
      <w:pPr>
        <w:jc w:val="center"/>
        <w:rPr>
          <w:b/>
          <w:bCs/>
          <w:sz w:val="32"/>
          <w:szCs w:val="32"/>
        </w:rPr>
      </w:pPr>
      <w:r w:rsidRPr="006C240D">
        <w:rPr>
          <w:b/>
          <w:bCs/>
          <w:sz w:val="32"/>
          <w:szCs w:val="32"/>
        </w:rPr>
        <w:t>Martin Zach</w:t>
      </w:r>
    </w:p>
    <w:p w14:paraId="69319985" w14:textId="3AF52E9D" w:rsidR="00FD7948" w:rsidRDefault="00FD7948" w:rsidP="00FD7948">
      <w:pPr>
        <w:jc w:val="center"/>
      </w:pPr>
      <w:r>
        <w:t>Department of Analytic Philosophy, Institute of Philosophy</w:t>
      </w:r>
      <w:r>
        <w:t xml:space="preserve"> of the</w:t>
      </w:r>
      <w:r>
        <w:t xml:space="preserve"> Czech Academy of Sciences</w:t>
      </w:r>
    </w:p>
    <w:p w14:paraId="2EDB79C8" w14:textId="77777777" w:rsidR="00FD7948" w:rsidRPr="006C240D" w:rsidRDefault="00FD7948" w:rsidP="00FD7948">
      <w:pPr>
        <w:jc w:val="center"/>
      </w:pPr>
      <w:r>
        <w:t>Jilská 1, 110 00 Prague, Czech Republic</w:t>
      </w:r>
    </w:p>
    <w:p w14:paraId="34DBA7CD" w14:textId="77777777" w:rsidR="00FD7948" w:rsidRPr="006C240D" w:rsidRDefault="00FD7948" w:rsidP="00FD7948">
      <w:pPr>
        <w:spacing w:after="0"/>
        <w:jc w:val="center"/>
        <w:rPr>
          <w:rFonts w:cstheme="minorHAnsi"/>
        </w:rPr>
      </w:pPr>
      <w:hyperlink r:id="rId8" w:history="1">
        <w:r w:rsidRPr="006C240D">
          <w:rPr>
            <w:rStyle w:val="Hypertextovodkaz"/>
            <w:rFonts w:cstheme="minorHAnsi"/>
          </w:rPr>
          <w:t>zach@flu.cas.cz</w:t>
        </w:r>
      </w:hyperlink>
    </w:p>
    <w:p w14:paraId="69C13B83" w14:textId="77777777" w:rsidR="00FD7948" w:rsidRDefault="00FD7948" w:rsidP="00FD7948">
      <w:pPr>
        <w:jc w:val="center"/>
        <w:rPr>
          <w:rFonts w:cstheme="minorHAnsi"/>
          <w:sz w:val="20"/>
          <w:szCs w:val="20"/>
        </w:rPr>
      </w:pPr>
      <w:r w:rsidRPr="006C240D">
        <w:rPr>
          <w:rFonts w:cstheme="minorHAnsi"/>
          <w:sz w:val="20"/>
          <w:szCs w:val="20"/>
        </w:rPr>
        <w:t>ORCID: 0000-0001-7181-0391</w:t>
      </w:r>
    </w:p>
    <w:p w14:paraId="3514FAD7" w14:textId="77777777" w:rsidR="00FD7948" w:rsidRDefault="00FD7948" w:rsidP="00FD7948">
      <w:pPr>
        <w:rPr>
          <w:rFonts w:cstheme="minorHAnsi"/>
          <w:sz w:val="20"/>
          <w:szCs w:val="20"/>
        </w:rPr>
      </w:pPr>
    </w:p>
    <w:p w14:paraId="00E7D351" w14:textId="3DCEAEF7" w:rsidR="00FD7948" w:rsidRPr="006C240D" w:rsidRDefault="00FD7948" w:rsidP="00FD7948">
      <w:pPr>
        <w:rPr>
          <w:rFonts w:cstheme="minorHAnsi"/>
          <w:sz w:val="20"/>
          <w:szCs w:val="20"/>
        </w:rPr>
      </w:pPr>
      <w:r w:rsidRPr="005B6886">
        <w:rPr>
          <w:rFonts w:cstheme="minorHAnsi"/>
          <w:b/>
          <w:bCs/>
          <w:sz w:val="20"/>
          <w:szCs w:val="20"/>
        </w:rPr>
        <w:t>Keywords</w:t>
      </w:r>
      <w:r>
        <w:rPr>
          <w:rFonts w:cstheme="minorHAnsi"/>
          <w:sz w:val="20"/>
          <w:szCs w:val="20"/>
        </w:rPr>
        <w:t>: cancer, immunology, mouse models, representation, similarity</w:t>
      </w:r>
    </w:p>
    <w:p w14:paraId="58A2694C" w14:textId="77777777" w:rsidR="00FD7948" w:rsidRDefault="00FD7948" w:rsidP="00FD7948"/>
    <w:p w14:paraId="69AE5C27" w14:textId="77777777" w:rsidR="00FD7948" w:rsidRPr="00A26EB2" w:rsidRDefault="00FD7948" w:rsidP="00FD7948">
      <w:pPr>
        <w:rPr>
          <w:b/>
          <w:bCs/>
        </w:rPr>
      </w:pPr>
      <w:r w:rsidRPr="002911CD">
        <w:rPr>
          <w:b/>
          <w:bCs/>
        </w:rPr>
        <w:t>Acknowledgments</w:t>
      </w:r>
    </w:p>
    <w:p w14:paraId="61123DC6" w14:textId="6E8B015B" w:rsidR="00FD7948" w:rsidRDefault="00FD7948" w:rsidP="00FD7948">
      <w:r w:rsidRPr="00FD7948">
        <w:t xml:space="preserve">This paper was written as part of the research activities of the Department of Analytic Philosophy of the Institute of Philosophy of the Czech Academy of Sciences in Prague. </w:t>
      </w:r>
      <w:r>
        <w:t>I am grateful to Sara Green, Maël Lemoine, and Roman Frigg for reading through the first version of the manuscript and providing me with feedback. I also thank the reviewers for their valuable comments.</w:t>
      </w:r>
    </w:p>
    <w:p w14:paraId="19CF71F5" w14:textId="77777777" w:rsidR="00DB64B7" w:rsidRDefault="00DB64B7" w:rsidP="00792263"/>
    <w:p w14:paraId="419EEF86" w14:textId="33247CAB" w:rsidR="00A26EB2" w:rsidRPr="00F37696" w:rsidRDefault="00A26EB2" w:rsidP="00792263">
      <w:r w:rsidRPr="00F37696">
        <w:t>Abstract</w:t>
      </w:r>
    </w:p>
    <w:p w14:paraId="163C53F0" w14:textId="7C87D980" w:rsidR="00FB4E9B" w:rsidRDefault="00FB4E9B" w:rsidP="005E73DC">
      <w:pPr>
        <w:jc w:val="both"/>
      </w:pPr>
      <w:r w:rsidRPr="00F37696">
        <w:t xml:space="preserve">According </w:t>
      </w:r>
      <w:r w:rsidRPr="00FB4E9B">
        <w:t>to the similarity account, scientists</w:t>
      </w:r>
      <w:r w:rsidRPr="00F37696">
        <w:t xml:space="preserve"> use models to represent their targets by utilizing similarities in certain respects and to certain degrees between a model and its target</w:t>
      </w:r>
      <w:r>
        <w:t xml:space="preserve">. According to the critics, however, representation is </w:t>
      </w:r>
      <w:r w:rsidRPr="00F37696">
        <w:t>conceptually distinct from the notion of accurate</w:t>
      </w:r>
      <w:r>
        <w:t xml:space="preserve"> </w:t>
      </w:r>
      <w:r w:rsidRPr="00F37696">
        <w:t>representation</w:t>
      </w:r>
      <w:r>
        <w:t xml:space="preserve">, and </w:t>
      </w:r>
      <w:r w:rsidRPr="00915889">
        <w:t>rather than being the relation that grounds representation, similarity should be considered as setting a standard of accuracy</w:t>
      </w:r>
      <w:r>
        <w:t xml:space="preserve">. Based on the case study of research practices involved in using mouse models to study cancer, this paper argues that </w:t>
      </w:r>
      <w:r w:rsidR="00186F68">
        <w:t>w</w:t>
      </w:r>
      <w:r w:rsidR="00186F68" w:rsidRPr="00176911">
        <w:t>hile the overarching skepticism</w:t>
      </w:r>
      <w:r w:rsidR="00186F68">
        <w:t xml:space="preserve"> regarding the similarity account</w:t>
      </w:r>
      <w:r w:rsidR="00186F68" w:rsidRPr="00176911">
        <w:t xml:space="preserve"> may be justified, the role of similarity in specific contexts deserves attention.</w:t>
      </w:r>
      <w:r w:rsidR="00186F68">
        <w:t xml:space="preserve"> Indeed, </w:t>
      </w:r>
      <w:r w:rsidR="00D42265">
        <w:t>it will be</w:t>
      </w:r>
      <w:r w:rsidRPr="00176911">
        <w:t xml:space="preserve"> </w:t>
      </w:r>
      <w:r w:rsidR="00186F68">
        <w:t>shown</w:t>
      </w:r>
      <w:r w:rsidR="00D42265">
        <w:t xml:space="preserve"> that similarity</w:t>
      </w:r>
      <w:r w:rsidRPr="00176911">
        <w:t xml:space="preserve"> </w:t>
      </w:r>
      <w:r w:rsidR="00186F68">
        <w:t>play</w:t>
      </w:r>
      <w:r w:rsidR="00D42265">
        <w:t>s</w:t>
      </w:r>
      <w:r w:rsidR="00186F68">
        <w:t xml:space="preserve"> </w:t>
      </w:r>
      <w:r w:rsidRPr="00176911">
        <w:t xml:space="preserve">a significant role in determining whether a </w:t>
      </w:r>
      <w:r w:rsidR="00186F68">
        <w:t xml:space="preserve">mouse </w:t>
      </w:r>
      <w:r w:rsidRPr="00176911">
        <w:t>model represents a particular aspect of cancer.</w:t>
      </w:r>
      <w:r w:rsidR="00186F68">
        <w:t xml:space="preserve"> Thus,</w:t>
      </w:r>
      <w:r w:rsidR="00186F68" w:rsidRPr="00186F68">
        <w:t xml:space="preserve"> authors dismissive </w:t>
      </w:r>
      <w:r w:rsidR="00186F68">
        <w:t>of similarity</w:t>
      </w:r>
      <w:r w:rsidR="00186F68" w:rsidRPr="00186F68">
        <w:t xml:space="preserve"> </w:t>
      </w:r>
      <w:r w:rsidR="00186F68">
        <w:t>grounding representation</w:t>
      </w:r>
      <w:r w:rsidR="00186F68" w:rsidRPr="00186F68">
        <w:t>, while correct in the general picture, should take into consideration the role that similarity plays in deciding whether a model is or not a representation in concrete scientific practices.</w:t>
      </w:r>
    </w:p>
    <w:p w14:paraId="266311A3" w14:textId="77777777" w:rsidR="00C0736F" w:rsidRPr="00F37696" w:rsidRDefault="00C0736F" w:rsidP="005E73DC">
      <w:pPr>
        <w:jc w:val="both"/>
      </w:pPr>
    </w:p>
    <w:p w14:paraId="02B6E345" w14:textId="1F6F9FD6" w:rsidR="005E73DC" w:rsidRPr="00F37696" w:rsidRDefault="00CE3D1D" w:rsidP="00BF632E">
      <w:r w:rsidRPr="00F37696">
        <w:t xml:space="preserve">1 </w:t>
      </w:r>
      <w:r w:rsidR="00D222BC" w:rsidRPr="00F37696">
        <w:tab/>
      </w:r>
      <w:r w:rsidR="005E73DC" w:rsidRPr="00F37696">
        <w:t>Introduction</w:t>
      </w:r>
    </w:p>
    <w:p w14:paraId="0005C950" w14:textId="77777777" w:rsidR="00025609" w:rsidRPr="00915889" w:rsidRDefault="00025609" w:rsidP="00025609">
      <w:pPr>
        <w:jc w:val="both"/>
      </w:pPr>
      <w:r w:rsidRPr="00F37696">
        <w:t xml:space="preserve">Most generally, scientific representation has been characterized in terms of one thing standing for another. Thus, a scientific model is a representation of its target system because the model stands for its target. The question, then, concerns the nature of the standing-for relation. What makes a model </w:t>
      </w:r>
      <w:r w:rsidRPr="00F37696">
        <w:lastRenderedPageBreak/>
        <w:t>stand for its target?</w:t>
      </w:r>
      <w:r w:rsidRPr="00F37696">
        <w:rPr>
          <w:rStyle w:val="Znakapoznpodarou"/>
        </w:rPr>
        <w:footnoteReference w:id="1"/>
      </w:r>
      <w:r w:rsidRPr="00F37696">
        <w:t xml:space="preserve"> According to one account, </w:t>
      </w:r>
      <w:r w:rsidRPr="00F37696">
        <w:rPr>
          <w:i/>
          <w:iCs/>
        </w:rPr>
        <w:t>the similarity account</w:t>
      </w:r>
      <w:r w:rsidRPr="00F37696">
        <w:t xml:space="preserve">, scientists use models to represent their targets by utilizing similarities in certain respects and to certain degrees between a model and its target </w:t>
      </w:r>
      <w:r w:rsidRPr="00F37696">
        <w:fldChar w:fldCharType="begin" w:fldLock="1"/>
      </w:r>
      <w:r>
        <w:instrText>ADDIN CSL_CITATION {"citationItems":[{"id":"ITEM-1","itemData":{"DOI":"10.1086/425063","ISSN":"0031-8248","author":[{"dropping-particle":"","family":"Giere","given":"Ronald N.","non-dropping-particle":"","parse-names":false,"suffix":""}],"container-title":"Philosophy of Science","id":"ITEM-1","issue":"5","issued":{"date-parts":[["2004","12"]]},"page":"742-752","title":"How Models Are Used to Represent Reality","type":"article-journal","volume":"71"},"uris":["http://www.mendeley.com/documents/?uuid=6c5cefcd-08c2-3365-a29b-c76baf53ca30"]},{"id":"ITEM-2","itemData":{"DOI":"10.1007/s10539-006-9054-6","author":[{"dropping-particle":"","family":"Godfrey-Smith","given":"Peter","non-dropping-particle":"","parse-names":false,"suffix":""}],"container-title":"Biology &amp; Philosophy","id":"ITEM-2","issue":"5","issued":{"date-parts":[["2006","2","15"]]},"page":"725-740","title":"The strategy of model-based science","type":"article-journal","volume":"21"},"uris":["http://www.mendeley.com/documents/?uuid=922aa9ac-f01e-36ab-bbc4-d1bce4a36271"]},{"id":"ITEM-3","itemData":{"DOI":"10.1093/acprof:oso/9780199933662.001.0001","ISBN":"9780199933662","author":[{"dropping-particle":"","family":"Weisberg","given":"Michael","non-dropping-particle":"","parse-names":false,"suffix":""}],"id":"ITEM-3","issued":{"date-parts":[["2013","1","22"]]},"publisher":"Oxford University Press","publisher-place":"Oxford","title":"Simulation and Similarity","type":"book"},"uris":["http://www.mendeley.com/documents/?uuid=01501752-7dcb-30bf-8ba8-4dea6d530a49"]},{"id":"ITEM-4","itemData":{"DOI":"10.1080/13501780500086255","ISSN":"1350-178X","author":[{"dropping-particle":"","family":"Mäki","given":"Uskali","non-dropping-particle":"","parse-names":false,"suffix":""}],"container-title":"Journal of Economic Methodology","id":"ITEM-4","issue":"2","issued":{"date-parts":[["2005","6"]]},"page":"303-315","title":"Models are experiments, experiments are models","type":"article-journal","volume":"12"},"uris":["http://www.mendeley.com/documents/?uuid=367b24d0-4386-3b3b-b521-46ea75063356"]}],"mendeley":{"formattedCitation":"(Giere, 2004; Godfrey-Smith, 2006; Mäki, 2005; Weisberg, 2013)","plainTextFormattedCitation":"(Giere, 2004; Godfrey-Smith, 2006; Mäki, 2005; Weisberg, 2013)","previouslyFormattedCitation":"(Giere, 2004; Godfrey-Smith, 2006; Mäki, 2005; Weisberg, 2013)"},"properties":{"noteIndex":0},"schema":"https://github.com/citation-style-language/schema/raw/master/csl-citation.json"}</w:instrText>
      </w:r>
      <w:r w:rsidRPr="00F37696">
        <w:fldChar w:fldCharType="separate"/>
      </w:r>
      <w:r w:rsidRPr="00F90350">
        <w:rPr>
          <w:noProof/>
        </w:rPr>
        <w:t>(Giere, 2004; Godfrey-Smith, 2006; Mäki, 2005; Weisberg, 2013)</w:t>
      </w:r>
      <w:r w:rsidRPr="00F37696">
        <w:fldChar w:fldCharType="end"/>
      </w:r>
      <w:r w:rsidRPr="00F37696">
        <w:t xml:space="preserve">. Exploiting the relevant similarities is what enables us to learn about the phenomenon of interest by studying its model instead. Despite its popularity in certain quarters, a wide range of objections have been leveled against the account. According to the objection addressed herein, one must distinguish between the concepts of representation and accurate representation, the latter – but not the former – possibly being </w:t>
      </w:r>
      <w:r w:rsidRPr="00915889">
        <w:t>grounded in the notion of similarity.</w:t>
      </w:r>
    </w:p>
    <w:p w14:paraId="2C1D254F" w14:textId="1A6B6B44" w:rsidR="00025609" w:rsidRPr="00F37696" w:rsidRDefault="00025609" w:rsidP="00025609">
      <w:pPr>
        <w:jc w:val="both"/>
      </w:pPr>
      <w:r w:rsidRPr="00F37696">
        <w:t xml:space="preserve">The aim of this paper is to argue </w:t>
      </w:r>
      <w:r>
        <w:t>that c</w:t>
      </w:r>
      <w:r w:rsidRPr="00176911">
        <w:t xml:space="preserve">ertain </w:t>
      </w:r>
      <w:r>
        <w:t>use</w:t>
      </w:r>
      <w:r w:rsidRPr="00176911">
        <w:t xml:space="preserve"> of model organisms in cancer research</w:t>
      </w:r>
      <w:r>
        <w:t xml:space="preserve"> </w:t>
      </w:r>
      <w:r w:rsidRPr="00176911">
        <w:t xml:space="preserve">indicate that similarity plays a significant role in determining whether a model represents a particular aspect of cancer. This observation is valuable, as it implies that even authors who broadly critique the similarity-based account of representation should acknowledge its importance when </w:t>
      </w:r>
      <w:r w:rsidR="00D26346">
        <w:t>assessing</w:t>
      </w:r>
      <w:r w:rsidRPr="00176911">
        <w:t xml:space="preserve"> models within actual scientific practice. While their overarching skepticism may be justified, the role of similarity in specific contexts deserves attention. This holds true even though other factors—such as the researcher’s intentions or the practical accessibility </w:t>
      </w:r>
      <w:r>
        <w:t>of models</w:t>
      </w:r>
      <w:r w:rsidRPr="00176911">
        <w:t>—also shape whether a model serves as a representation.</w:t>
      </w:r>
    </w:p>
    <w:p w14:paraId="3161EAF0" w14:textId="77777777" w:rsidR="00025609" w:rsidRPr="00915889" w:rsidRDefault="00025609" w:rsidP="00025609">
      <w:pPr>
        <w:jc w:val="both"/>
      </w:pPr>
      <w:r>
        <w:t>In particular, I will argue two things</w:t>
      </w:r>
      <w:r w:rsidRPr="00915889">
        <w:t xml:space="preserve">. First, I will argue that similarity considerations in model selection and model creation figure in an important way in the practice of establishing and maintaining the representational relation between the model and its target phenomenon. Consequently, the role of similarity judgments should not be demoted to the evaluation of accuracy of representation. Second, this is different from defending a full-fledged similarity account of scientific representation since similarity considerations are merely one factor among others. Thus, this paper does not defend the position that representation should be cashed out purely in terms of similarity. </w:t>
      </w:r>
    </w:p>
    <w:p w14:paraId="335E3A16" w14:textId="31B5CF44" w:rsidR="00176911" w:rsidRDefault="00025609" w:rsidP="00820EE9">
      <w:pPr>
        <w:jc w:val="both"/>
      </w:pPr>
      <w:r w:rsidRPr="00915889">
        <w:t xml:space="preserve">The structure of the paper is as follows. </w:t>
      </w:r>
      <w:r>
        <w:t xml:space="preserve">Section 2 outlines the similarity account of scientific </w:t>
      </w:r>
      <w:r w:rsidRPr="00C655FF">
        <w:t>representation and its problems. Section 3 present a case study concerned with various kinds of mouse models in cancer research, providing the rudimentary understanding of what is going on in such research</w:t>
      </w:r>
      <w:r w:rsidR="00C655FF" w:rsidRPr="00C655FF">
        <w:t>. To understand how models are used, what motivates scientists to use one or the other, and how those models are used for representational purposes, requires providing the scientific details</w:t>
      </w:r>
      <w:r w:rsidRPr="00C655FF">
        <w:t xml:space="preserve">. Section </w:t>
      </w:r>
      <w:r w:rsidR="00C655FF" w:rsidRPr="00C655FF">
        <w:t xml:space="preserve">4 builds on the case study and </w:t>
      </w:r>
      <w:r w:rsidRPr="00C655FF">
        <w:t>address</w:t>
      </w:r>
      <w:r w:rsidR="00C655FF" w:rsidRPr="00C655FF">
        <w:t>es</w:t>
      </w:r>
      <w:r w:rsidRPr="00C655FF">
        <w:t xml:space="preserve"> the issue of</w:t>
      </w:r>
      <w:r w:rsidR="00C655FF" w:rsidRPr="00C655FF">
        <w:t xml:space="preserve"> what </w:t>
      </w:r>
      <w:r w:rsidR="003A0FD9" w:rsidRPr="00C655FF">
        <w:t>constitutes</w:t>
      </w:r>
      <w:r w:rsidRPr="00C655FF">
        <w:t xml:space="preserve"> scientific representation. Section 5 summarizes the debate.</w:t>
      </w:r>
    </w:p>
    <w:p w14:paraId="73331621" w14:textId="77777777" w:rsidR="00442340" w:rsidRPr="00F37696" w:rsidRDefault="00442340"/>
    <w:p w14:paraId="147F45EE" w14:textId="5DD2F6B0" w:rsidR="00BA517F" w:rsidRPr="00F37696" w:rsidRDefault="00956A09" w:rsidP="00BF632E">
      <w:r>
        <w:t>2</w:t>
      </w:r>
      <w:r>
        <w:tab/>
      </w:r>
      <w:r w:rsidR="009935F3">
        <w:t>The similarity account of scientific representation</w:t>
      </w:r>
    </w:p>
    <w:p w14:paraId="0692801D" w14:textId="5F3698D9" w:rsidR="007566C0" w:rsidRPr="00DB31B1" w:rsidRDefault="007566C0" w:rsidP="007566C0">
      <w:r w:rsidRPr="00DB31B1">
        <w:t xml:space="preserve">The concept of similarity has been discussed widely in the philosophical literature, with some authors defending some version of the similarity account of scientific representation </w:t>
      </w:r>
      <w:r w:rsidRPr="00DB31B1">
        <w:fldChar w:fldCharType="begin" w:fldLock="1"/>
      </w:r>
      <w:r w:rsidR="00F90350" w:rsidRPr="00DB31B1">
        <w:instrText>ADDIN CSL_CITATION {"citationItems":[{"id":"ITEM-1","itemData":{"ISBN":"9780226292069","abstract":"Pbk. ed. \"This volume presents an attempt to construct a unified cognitive theory of science in relatively short compass. It confronts the strong program in sociology of science and the positions of various postpositivist philosophers of science, developing significant alternatives to each in a readily comprehensible style. It draws loosely on recent developments in cognitive science, without burdening the argument with detailed results from that source. ... The book is thus a provocative one. Perhaps that is a measure of its value: it will lead scholars and serious student from a number of sci. List of Figures; Preface; Acknowledgments; 1. Toward a Unified Cognitive Theory of Science; 2. Theories of Science; 3. Models and Theories; 4. Constructive Realism; 5. Realism in the Laboratory; 6. Scientific Judgment; 7. Models and Experiments; 8. Explaining the Revolution in Geology; Epilogue: Reflexive Reflections; Notes; References; Index.","author":[{"dropping-particle":"","family":"Giere","given":"Ronald N.","non-dropping-particle":"","parse-names":false,"suffix":""}],"id":"ITEM-1","issued":{"date-parts":[["1988"]]},"number-of-pages":"344","publisher":"University of Chicago Press","publisher-place":"Chicago","title":"Explaining Science: A Cognitive Approach","type":"book"},"uris":["http://www.mendeley.com/documents/?uuid=5fd0877d-7063-3442-9579-cb172eeb1c84"]},{"id":"ITEM-2","itemData":{"DOI":"10.2307/20013097","author":[{"dropping-particle":"","family":"Teller","given":"Paul","non-dropping-particle":"","parse-names":false,"suffix":""}],"container-title":"Erkenntnis","id":"ITEM-2","issue":"3","issued":{"date-parts":[["2001"]]},"page":"393-415","title":"Twilight of the Perfect Model Model","type":"article-journal","volume":"55"},"uris":["http://www.mendeley.com/documents/?uuid=daf90083-240b-321b-9cde-8eb8e2945e07"]},{"id":"ITEM-3","itemData":{"DOI":"10.1080/13501780500086255","ISSN":"1350-178X","author":[{"dropping-particle":"","family":"Mäki","given":"Uskali","non-dropping-particle":"","parse-names":false,"suffix":""}],"container-title":"Journal of Economic Methodology","id":"ITEM-3","issue":"2","issued":{"date-parts":[["2005","6"]]},"page":"303-315","title":"Models are experiments, experiments are models","type":"article-journal","volume":"12"},"uris":["http://www.mendeley.com/documents/?uuid=367b24d0-4386-3b3b-b521-46ea75063356"]},{"id":"ITEM-4","itemData":{"DOI":"10.1007/s10539-006-9054-6","author":[{"dropping-particle":"","family":"Godfrey-Smith","given":"Peter","non-dropping-particle":"","parse-names":false,"suffix":""}],"container-title":"Biology &amp; Philosophy","id":"ITEM-4","issue":"5","issued":{"date-parts":[["2006","2","15"]]},"page":"725-740","title":"The strategy of model-based science","type":"article-journal","volume":"21"},"uris":["http://www.mendeley.com/documents/?uuid=922aa9ac-f01e-36ab-bbc4-d1bce4a36271"]},{"id":"ITEM-5","itemData":{"DOI":"10.1093/acprof:oso/9780199933662.001.0001","ISBN":"9780199933662","author":[{"dropping-particle":"","family":"Weisberg","given":"Michael","non-dropping-particle":"","parse-names":false,"suffix":""}],"id":"ITEM-5","issued":{"date-parts":[["2013","1","22"]]},"publisher":"Oxford University Press","publisher-place":"Oxford","title":"Simulation and Similarity","type":"book"},"uris":["http://www.mendeley.com/documents/?uuid=01501752-7dcb-30bf-8ba8-4dea6d530a49"]},{"id":"ITEM-6","itemData":{"author":[{"dropping-particle":"","family":"Glennan","given":"Stuart","non-dropping-particle":"","parse-names":false,"suffix":""}],"id":"ITEM-6","issued":{"date-parts":[["2017"]]},"number-of-pages":"266","publisher":"Oxford University Press","publisher-place":"Oxford","title":"The new mechanical philosophy","type":"book"},"uris":["http://www.mendeley.com/documents/?uuid=1ba7ded1-b770-4b18-a54f-843816b6db68"]},{"id":"ITEM-7","itemData":{"DOI":"10.1093/bjps/axy029","ISSN":"0007-0882","abstract":"AbstractIn Simulation and Similarity, Michael Weisberg offers a similarity-based account of the model–world relation, which is the relation in virtue of which successful models are successful. Weis...","author":[{"dropping-particle":"","family":"Khosrowi","given":"Donal","non-dropping-particle":"","parse-names":false,"suffix":""}],"container-title":"The British Journal for the Philosophy of Science","id":"ITEM-7","issue":"2","issued":{"date-parts":[["2020","6","1"]]},"page":"523-546","publisher":"The University of Chicago Press","title":"Getting Serious about Shared Features","type":"article-journal","volume":"71"},"uris":["http://www.mendeley.com/documents/?uuid=03425841-cad0-3a17-b514-fb13b479bff3"]}],"mendeley":{"formattedCitation":"(Giere, 1988; Glennan, 2017; Godfrey-Smith, 2006; Khosrowi, 2020; Mäki, 2005; Teller, 2001; Weisberg, 2013)","plainTextFormattedCitation":"(Giere, 1988; Glennan, 2017; Godfrey-Smith, 2006; Khosrowi, 2020; Mäki, 2005; Teller, 2001; Weisberg, 2013)","previouslyFormattedCitation":"(Giere, 1988; Glennan, 2017; Godfrey-Smith, 2006; Khosrowi, 2020; Mäki, 2005; Teller, 2001; Weisberg, 2013)"},"properties":{"noteIndex":0},"schema":"https://github.com/citation-style-language/schema/raw/master/csl-citation.json"}</w:instrText>
      </w:r>
      <w:r w:rsidRPr="00DB31B1">
        <w:fldChar w:fldCharType="separate"/>
      </w:r>
      <w:r w:rsidR="00F90350" w:rsidRPr="00DB31B1">
        <w:rPr>
          <w:noProof/>
        </w:rPr>
        <w:t>(Giere, 1988; Glennan, 2017; Godfrey-Smith, 2006; Khosrowi, 2020; Mäki, 2005; Teller, 2001; Weisberg, 2013)</w:t>
      </w:r>
      <w:r w:rsidRPr="00DB31B1">
        <w:fldChar w:fldCharType="end"/>
      </w:r>
      <w:r w:rsidRPr="00DB31B1">
        <w:t xml:space="preserve">, whereas others </w:t>
      </w:r>
      <w:r w:rsidR="00BE5415" w:rsidRPr="00DB31B1">
        <w:t xml:space="preserve">elaborate </w:t>
      </w:r>
      <w:r w:rsidRPr="00DB31B1">
        <w:t xml:space="preserve">the concept in a specific disciplinary context </w:t>
      </w:r>
      <w:r w:rsidRPr="00DB31B1">
        <w:fldChar w:fldCharType="begin" w:fldLock="1"/>
      </w:r>
      <w:r w:rsidR="00F90350" w:rsidRPr="00DB31B1">
        <w:instrText>ADDIN CSL_CITATION {"citationItems":[{"id":"ITEM-1","itemData":{"DOI":"10.1007/978-3-319-30526-4_18","author":[{"dropping-particle":"","family":"Sterrett","given":"Susan G.","non-dropping-particle":"","parse-names":false,"suffix":""}],"container-title":"Springer Handbook of Model-Based Science","editor":[{"dropping-particle":"","family":"Magnani","given":"Lorenzo","non-dropping-particle":"","parse-names":false,"suffix":""},{"dropping-particle":"","family":"Bertolotti","given":"Tommaso","non-dropping-particle":"","parse-names":false,"suffix":""}],"id":"ITEM-1","issued":{"date-parts":[["2017"]]},"page":"377-411","publisher":"Springer","publisher-place":"Dordrecht","title":"Physically Similar Systems - A History of the Concept","type":"chapter"},"prefix":"e.g.,","suffix":"who dicusses the concept of physically similar systems","uris":["http://www.mendeley.com/documents/?uuid=b48f577e-1a68-36dc-91ba-22d3e4bc18e0"]}],"mendeley":{"formattedCitation":"(e.g., Sterrett, 2017 who dicusses the concept of physically similar systems)","plainTextFormattedCitation":"(e.g., Sterrett, 2017 who dicusses the concept of physically similar systems)","previouslyFormattedCitation":"(e.g., Sterrett, 2017 who dicusses the concept of physically similar systems)"},"properties":{"noteIndex":0},"schema":"https://github.com/citation-style-language/schema/raw/master/csl-citation.json"}</w:instrText>
      </w:r>
      <w:r w:rsidRPr="00DB31B1">
        <w:fldChar w:fldCharType="separate"/>
      </w:r>
      <w:r w:rsidR="00F90350" w:rsidRPr="00DB31B1">
        <w:rPr>
          <w:noProof/>
        </w:rPr>
        <w:t>(e.g., Sterrett, 2017 who dicusses the concept of physically similar systems)</w:t>
      </w:r>
      <w:r w:rsidRPr="00DB31B1">
        <w:fldChar w:fldCharType="end"/>
      </w:r>
      <w:r w:rsidRPr="00DB31B1">
        <w:t xml:space="preserve">. </w:t>
      </w:r>
      <w:r w:rsidR="002D0A7A" w:rsidRPr="00DB31B1">
        <w:t>Ultimately, t</w:t>
      </w:r>
      <w:r w:rsidRPr="00DB31B1">
        <w:t xml:space="preserve">he analysis presented in this paper attempts to </w:t>
      </w:r>
      <w:r w:rsidR="00A24FEF" w:rsidRPr="00DB31B1">
        <w:t xml:space="preserve">shed some light on both the general discussion on representation and </w:t>
      </w:r>
      <w:r w:rsidR="00FF0F77" w:rsidRPr="00DB31B1">
        <w:t>a specific</w:t>
      </w:r>
      <w:r w:rsidR="00A24FEF" w:rsidRPr="00DB31B1">
        <w:t xml:space="preserve"> disciplinary context.</w:t>
      </w:r>
    </w:p>
    <w:p w14:paraId="3606957A" w14:textId="4055C5E9" w:rsidR="00BA517F" w:rsidRPr="00DB31B1" w:rsidRDefault="00BA517F" w:rsidP="00BA517F">
      <w:r w:rsidRPr="00DB31B1">
        <w:t xml:space="preserve">In one form or another, the idea that a resemblance or a similarity relation would ground representation stretches far back into the past. In the context of </w:t>
      </w:r>
      <w:r w:rsidR="00337DE4" w:rsidRPr="00DB31B1">
        <w:t xml:space="preserve">the </w:t>
      </w:r>
      <w:r w:rsidRPr="00DB31B1">
        <w:t xml:space="preserve">philosophy of science, </w:t>
      </w:r>
      <w:r w:rsidR="00337DE4" w:rsidRPr="00DB31B1">
        <w:t>the</w:t>
      </w:r>
      <w:r w:rsidRPr="00DB31B1">
        <w:t xml:space="preserve"> similarity account</w:t>
      </w:r>
      <w:r w:rsidR="00FD0981" w:rsidRPr="00DB31B1">
        <w:t xml:space="preserve"> is often attributed to</w:t>
      </w:r>
      <w:r w:rsidRPr="00DB31B1">
        <w:t xml:space="preserve"> Ronald Giere</w:t>
      </w:r>
      <w:r w:rsidR="00337DE4" w:rsidRPr="00DB31B1">
        <w:t>,</w:t>
      </w:r>
      <w:r w:rsidRPr="00DB31B1">
        <w:t xml:space="preserve"> whose seminal work </w:t>
      </w:r>
      <w:r w:rsidRPr="00DB31B1">
        <w:fldChar w:fldCharType="begin" w:fldLock="1"/>
      </w:r>
      <w:r w:rsidR="00F90350" w:rsidRPr="00DB31B1">
        <w:instrText>ADDIN CSL_CITATION {"citationItems":[{"id":"ITEM-1","itemData":{"ISBN":"9780226292069","abstract":"Pbk. ed. \"This volume presents an attempt to construct a unified cognitive theory of science in relatively short compass. It confronts the strong program in sociology of science and the positions of various postpositivist philosophers of science, developing significant alternatives to each in a readily comprehensible style. It draws loosely on recent developments in cognitive science, without burdening the argument with detailed results from that source. ... The book is thus a provocative one. Perhaps that is a measure of its value: it will lead scholars and serious student from a number of sci. List of Figures; Preface; Acknowledgments; 1. Toward a Unified Cognitive Theory of Science; 2. Theories of Science; 3. Models and Theories; 4. Constructive Realism; 5. Realism in the Laboratory; 6. Scientific Judgment; 7. Models and Experiments; 8. Explaining the Revolution in Geology; Epilogue: Reflexive Reflections; Notes; References; Index.","author":[{"dropping-particle":"","family":"Giere","given":"Ronald N.","non-dropping-particle":"","parse-names":false,"suffix":""}],"id":"ITEM-1","issued":{"date-parts":[["1988"]]},"number-of-pages":"344","publisher":"University of Chicago Press","publisher-place":"Chicago","title":"Explaining Science: A Cognitive Approach","type":"book"},"uris":["http://www.mendeley.com/documents/?uuid=5fd0877d-7063-3442-9579-cb172eeb1c84"]}],"mendeley":{"formattedCitation":"(Giere, 1988)","plainTextFormattedCitation":"(Giere, 1988)","previouslyFormattedCitation":"(Giere, 1988)"},"properties":{"noteIndex":0},"schema":"https://github.com/citation-style-language/schema/raw/master/csl-citation.json"}</w:instrText>
      </w:r>
      <w:r w:rsidRPr="00DB31B1">
        <w:fldChar w:fldCharType="separate"/>
      </w:r>
      <w:r w:rsidR="00F90350" w:rsidRPr="00DB31B1">
        <w:rPr>
          <w:noProof/>
        </w:rPr>
        <w:t>(Giere, 1988)</w:t>
      </w:r>
      <w:r w:rsidRPr="00DB31B1">
        <w:fldChar w:fldCharType="end"/>
      </w:r>
      <w:r w:rsidRPr="00DB31B1">
        <w:t xml:space="preserve"> has served </w:t>
      </w:r>
      <w:r w:rsidRPr="00DB31B1">
        <w:lastRenderedPageBreak/>
        <w:t>as a reference point</w:t>
      </w:r>
      <w:r w:rsidR="00FF0F77" w:rsidRPr="00DB31B1">
        <w:t xml:space="preserve"> since its publication</w:t>
      </w:r>
      <w:r w:rsidRPr="00DB31B1">
        <w:t>.</w:t>
      </w:r>
      <w:r w:rsidR="007566C0" w:rsidRPr="00DB31B1">
        <w:t xml:space="preserve"> </w:t>
      </w:r>
      <w:r w:rsidR="00337DE4" w:rsidRPr="00DB31B1">
        <w:t>I</w:t>
      </w:r>
      <w:r w:rsidR="007566C0" w:rsidRPr="00DB31B1">
        <w:t>n the</w:t>
      </w:r>
      <w:r w:rsidR="00337DE4" w:rsidRPr="00DB31B1">
        <w:t xml:space="preserve"> succinct</w:t>
      </w:r>
      <w:r w:rsidR="007566C0" w:rsidRPr="00DB31B1">
        <w:t xml:space="preserve"> words of Godfrey-Smith </w:t>
      </w:r>
      <w:r w:rsidR="007566C0" w:rsidRPr="00DB31B1">
        <w:fldChar w:fldCharType="begin" w:fldLock="1"/>
      </w:r>
      <w:r w:rsidR="0073708A" w:rsidRPr="00DB31B1">
        <w:instrText>ADDIN CSL_CITATION {"citationItems":[{"id":"ITEM-1","itemData":{"DOI":"10.1007/s10539-006-9054-6","author":[{"dropping-particle":"","family":"Godfrey-Smith","given":"Peter","non-dropping-particle":"","parse-names":false,"suffix":""}],"container-title":"Biology &amp; Philosophy","id":"ITEM-1","issue":"5","issued":{"date-parts":[["2006","2","15"]]},"page":"725-740","title":"The strategy of model-based science","type":"article-journal","volume":"21"},"locator":"726","suppress-author":1,"uris":["http://www.mendeley.com/documents/?uuid=922aa9ac-f01e-36ab-bbc4-d1bce4a36271"]}],"mendeley":{"formattedCitation":"(2006, p. 726)","plainTextFormattedCitation":"(2006, p. 726)","previouslyFormattedCitation":"(2006, p. 726)"},"properties":{"noteIndex":0},"schema":"https://github.com/citation-style-language/schema/raw/master/csl-citation.json"}</w:instrText>
      </w:r>
      <w:r w:rsidR="007566C0" w:rsidRPr="00DB31B1">
        <w:fldChar w:fldCharType="separate"/>
      </w:r>
      <w:r w:rsidR="0073708A" w:rsidRPr="00DB31B1">
        <w:rPr>
          <w:noProof/>
        </w:rPr>
        <w:t>(2006, p. 726)</w:t>
      </w:r>
      <w:r w:rsidR="007566C0" w:rsidRPr="00DB31B1">
        <w:fldChar w:fldCharType="end"/>
      </w:r>
      <w:r w:rsidR="007566C0" w:rsidRPr="00DB31B1">
        <w:t xml:space="preserve">, “models are used to represent the world, via resemblance relations between the model and real-world target systems.” However, resemblance or similarity </w:t>
      </w:r>
      <w:r w:rsidR="00F87416" w:rsidRPr="00DB31B1">
        <w:t xml:space="preserve">is said to </w:t>
      </w:r>
      <w:r w:rsidR="007566C0" w:rsidRPr="00DB31B1">
        <w:t xml:space="preserve">always come with “at least </w:t>
      </w:r>
      <w:r w:rsidRPr="00DB31B1">
        <w:t xml:space="preserve">an implicit specification of relevant </w:t>
      </w:r>
      <w:r w:rsidRPr="00DB31B1">
        <w:rPr>
          <w:i/>
          <w:iCs/>
        </w:rPr>
        <w:t xml:space="preserve">respects </w:t>
      </w:r>
      <w:r w:rsidRPr="00DB31B1">
        <w:t xml:space="preserve">and </w:t>
      </w:r>
      <w:r w:rsidRPr="00DB31B1">
        <w:rPr>
          <w:i/>
          <w:iCs/>
        </w:rPr>
        <w:t xml:space="preserve">degrees” </w:t>
      </w:r>
      <w:r w:rsidRPr="00DB31B1">
        <w:rPr>
          <w:i/>
          <w:iCs/>
        </w:rPr>
        <w:fldChar w:fldCharType="begin" w:fldLock="1"/>
      </w:r>
      <w:r w:rsidR="00F90350" w:rsidRPr="00DB31B1">
        <w:rPr>
          <w:i/>
          <w:iCs/>
        </w:rPr>
        <w:instrText>ADDIN CSL_CITATION {"citationItems":[{"id":"ITEM-1","itemData":{"ISBN":"9780226292069","abstract":"Pbk. ed. \"This volume presents an attempt to construct a unified cognitive theory of science in relatively short compass. It confronts the strong program in sociology of science and the positions of various postpositivist philosophers of science, developing significant alternatives to each in a readily comprehensible style. It draws loosely on recent developments in cognitive science, without burdening the argument with detailed results from that source. ... The book is thus a provocative one. Perhaps that is a measure of its value: it will lead scholars and serious student from a number of sci. List of Figures; Preface; Acknowledgments; 1. Toward a Unified Cognitive Theory of Science; 2. Theories of Science; 3. Models and Theories; 4. Constructive Realism; 5. Realism in the Laboratory; 6. Scientific Judgment; 7. Models and Experiments; 8. Explaining the Revolution in Geology; Epilogue: Reflexive Reflections; Notes; References; Index.","author":[{"dropping-particle":"","family":"Giere","given":"Ronald N.","non-dropping-particle":"","parse-names":false,"suffix":""}],"id":"ITEM-1","issued":{"date-parts":[["1988"]]},"number-of-pages":"344","publisher":"University of Chicago Press","publisher-place":"Chicago","title":"Explaining Science: A Cognitive Approach","type":"book"},"locator":"81","uris":["http://www.mendeley.com/documents/?uuid=5fd0877d-7063-3442-9579-cb172eeb1c84"]}],"mendeley":{"formattedCitation":"(Giere, 1988, p. 81)","plainTextFormattedCitation":"(Giere, 1988, p. 81)","previouslyFormattedCitation":"(Giere, 1988, p. 81)"},"properties":{"noteIndex":0},"schema":"https://github.com/citation-style-language/schema/raw/master/csl-citation.json"}</w:instrText>
      </w:r>
      <w:r w:rsidRPr="00DB31B1">
        <w:rPr>
          <w:i/>
          <w:iCs/>
        </w:rPr>
        <w:fldChar w:fldCharType="separate"/>
      </w:r>
      <w:r w:rsidR="00F90350" w:rsidRPr="00DB31B1">
        <w:rPr>
          <w:iCs/>
          <w:noProof/>
        </w:rPr>
        <w:t>(Giere, 1988, p. 81)</w:t>
      </w:r>
      <w:r w:rsidRPr="00DB31B1">
        <w:rPr>
          <w:i/>
          <w:iCs/>
        </w:rPr>
        <w:fldChar w:fldCharType="end"/>
      </w:r>
      <w:r w:rsidRPr="00DB31B1">
        <w:t xml:space="preserve">. </w:t>
      </w:r>
    </w:p>
    <w:p w14:paraId="67954DF5" w14:textId="77777777" w:rsidR="00586D93" w:rsidRPr="00DB31B1" w:rsidRDefault="00F376D4" w:rsidP="00D51673">
      <w:r w:rsidRPr="00DB31B1">
        <w:t>Despite its general acceptance and intuitive appeal, many philosophers working on scientific representation have challenged the account.</w:t>
      </w:r>
      <w:r w:rsidRPr="00DB31B1">
        <w:rPr>
          <w:rStyle w:val="Znakapoznpodarou"/>
        </w:rPr>
        <w:footnoteReference w:id="2"/>
      </w:r>
      <w:r w:rsidRPr="00DB31B1">
        <w:t xml:space="preserve"> </w:t>
      </w:r>
      <w:r w:rsidR="006E2B69" w:rsidRPr="00DB31B1">
        <w:t>Arguably, one of the strongest argu</w:t>
      </w:r>
      <w:r w:rsidR="00B6158A" w:rsidRPr="00DB31B1">
        <w:t>ment</w:t>
      </w:r>
      <w:r w:rsidR="006E2B69" w:rsidRPr="00DB31B1">
        <w:t>s</w:t>
      </w:r>
      <w:r w:rsidR="0003745A" w:rsidRPr="00DB31B1">
        <w:t xml:space="preserve"> against</w:t>
      </w:r>
      <w:r w:rsidR="00B6158A" w:rsidRPr="00DB31B1">
        <w:t xml:space="preserve"> the similarity account </w:t>
      </w:r>
      <w:r w:rsidR="0003745A" w:rsidRPr="00DB31B1">
        <w:t xml:space="preserve">– and the only one that I address herein – </w:t>
      </w:r>
      <w:r w:rsidR="00265CF1" w:rsidRPr="00DB31B1">
        <w:t>is based on the claim</w:t>
      </w:r>
      <w:r w:rsidR="00B6158A" w:rsidRPr="00DB31B1">
        <w:t xml:space="preserve"> that</w:t>
      </w:r>
      <w:r w:rsidR="00265CF1" w:rsidRPr="00DB31B1">
        <w:t xml:space="preserve"> </w:t>
      </w:r>
      <w:r w:rsidR="00591EB4" w:rsidRPr="00DB31B1">
        <w:t xml:space="preserve">similarity cannot ground representation. To understand why, let’s look at the debate more closely. There are two parts to the argument. </w:t>
      </w:r>
    </w:p>
    <w:p w14:paraId="7B7492A6" w14:textId="0B12DCFF" w:rsidR="0036375A" w:rsidRPr="00DB31B1" w:rsidRDefault="00591EB4" w:rsidP="00D51673">
      <w:r w:rsidRPr="00DB31B1">
        <w:t>First</w:t>
      </w:r>
      <w:r w:rsidR="00746D70" w:rsidRPr="00DB31B1">
        <w:t>ly</w:t>
      </w:r>
      <w:r w:rsidRPr="00DB31B1">
        <w:t xml:space="preserve">, representation is thought to be conceptually distinct from the notion of accurate, successful, or otherwise faithful representation. Indeed, Suárez emphasizes that nowadays </w:t>
      </w:r>
      <w:r w:rsidR="00265CF1" w:rsidRPr="00DB31B1">
        <w:t xml:space="preserve">“representation is carefully distinguished from truth, accuracy or faithfulness” </w:t>
      </w:r>
      <w:r w:rsidR="00265CF1" w:rsidRPr="00DB31B1">
        <w:fldChar w:fldCharType="begin" w:fldLock="1"/>
      </w:r>
      <w:r w:rsidR="00F90350" w:rsidRPr="00DB31B1">
        <w:instrText>ADDIN CSL_CITATION {"citationItems":[{"id":"ITEM-1","itemData":{"DOI":"10.1111/j.1747-9991.2009.00261.x","ISSN":"17479991","author":[{"dropping-particle":"","family":"Suárez","given":"Mauricio","non-dropping-particle":"","parse-names":false,"suffix":""}],"container-title":"Philosophy Compass","id":"ITEM-1","issue":"1","issued":{"date-parts":[["2010","1","1"]]},"page":"91-101","publisher":"John Wiley &amp; Sons, Ltd","title":"Scientific Representation","type":"article-journal","volume":"5"},"locator":"93","uris":["http://www.mendeley.com/documents/?uuid=1f1342bf-e929-3287-be50-df23023c7b06"]}],"mendeley":{"formattedCitation":"(Suárez, 2010, p. 93)","plainTextFormattedCitation":"(Suárez, 2010, p. 93)","previouslyFormattedCitation":"(Suárez, 2010, p. 93)"},"properties":{"noteIndex":0},"schema":"https://github.com/citation-style-language/schema/raw/master/csl-citation.json"}</w:instrText>
      </w:r>
      <w:r w:rsidR="00265CF1" w:rsidRPr="00DB31B1">
        <w:fldChar w:fldCharType="separate"/>
      </w:r>
      <w:r w:rsidR="00F90350" w:rsidRPr="00DB31B1">
        <w:rPr>
          <w:noProof/>
        </w:rPr>
        <w:t>(Suárez, 2010, p. 93)</w:t>
      </w:r>
      <w:r w:rsidR="00265CF1" w:rsidRPr="00DB31B1">
        <w:fldChar w:fldCharType="end"/>
      </w:r>
      <w:r w:rsidRPr="00DB31B1">
        <w:t xml:space="preserve"> and that “the puzzles regarding the notion of representation are prior to and independent of the issue of accuracy“ </w:t>
      </w:r>
      <w:r w:rsidRPr="00DB31B1">
        <w:fldChar w:fldCharType="begin" w:fldLock="1"/>
      </w:r>
      <w:r w:rsidR="00F90350" w:rsidRPr="00DB31B1">
        <w:instrText>ADDIN CSL_CITATION {"citationItems":[{"id":"ITEM-1","itemData":{"DOI":"10.1111/j.1747-9991.2009.00261.x","ISSN":"17479991","author":[{"dropping-particle":"","family":"Suárez","given":"Mauricio","non-dropping-particle":"","parse-names":false,"suffix":""}],"container-title":"Philosophy Compass","id":"ITEM-1","issue":"1","issued":{"date-parts":[["2010","1","1"]]},"page":"91-101","publisher":"John Wiley &amp; Sons, Ltd","title":"Scientific Representation","type":"article-journal","volume":"5"},"locator":"93","uris":["http://www.mendeley.com/documents/?uuid=1f1342bf-e929-3287-be50-df23023c7b06"]}],"mendeley":{"formattedCitation":"(Suárez, 2010, p. 93)","plainTextFormattedCitation":"(Suárez, 2010, p. 93)","previouslyFormattedCitation":"(Suárez, 2010, p. 93)"},"properties":{"noteIndex":0},"schema":"https://github.com/citation-style-language/schema/raw/master/csl-citation.json"}</w:instrText>
      </w:r>
      <w:r w:rsidRPr="00DB31B1">
        <w:fldChar w:fldCharType="separate"/>
      </w:r>
      <w:r w:rsidR="00F90350" w:rsidRPr="00DB31B1">
        <w:rPr>
          <w:noProof/>
        </w:rPr>
        <w:t>(Suárez, 2010, p. 93)</w:t>
      </w:r>
      <w:r w:rsidRPr="00DB31B1">
        <w:fldChar w:fldCharType="end"/>
      </w:r>
      <w:r w:rsidRPr="00DB31B1">
        <w:t>.</w:t>
      </w:r>
      <w:r w:rsidR="00B6158A" w:rsidRPr="00DB31B1">
        <w:t xml:space="preserve"> </w:t>
      </w:r>
      <w:r w:rsidR="00265CF1" w:rsidRPr="00DB31B1">
        <w:t>This issue has also been brought up b</w:t>
      </w:r>
      <w:r w:rsidR="00CF056B" w:rsidRPr="00DB31B1">
        <w:t xml:space="preserve">y others </w:t>
      </w:r>
      <w:r w:rsidR="00CF056B" w:rsidRPr="00DB31B1">
        <w:fldChar w:fldCharType="begin" w:fldLock="1"/>
      </w:r>
      <w:r w:rsidR="00F90350" w:rsidRPr="00DB31B1">
        <w:instrText>ADDIN CSL_CITATION {"citationItems":[{"id":"ITEM-1","itemData":{"DOI":"10.1086/519478","ISSN":"0031-8248","author":[{"dropping-particle":"","family":"Contessa","given":"Gabriele","non-dropping-particle":"","parse-names":false,"suffix":""}],"container-title":"Philosophy of Science","id":"ITEM-1","issue":"1","issued":{"date-parts":[["2007","1"]]},"page":"48-68","title":"Scientific Representation, Interpretation, and Surrogative Reasoning","type":"article-journal","volume":"74"},"locator":"55 and 62","prefix":"see especially","uris":["http://www.mendeley.com/documents/?uuid=0ae4265e-1da5-3794-8808-563c193f7dd3"]},{"id":"ITEM-2","itemData":{"DOI":"10.1016/J.SHPSA.2011.12.029","ISSN":"0039-3681","abstract":"In this paper, I examine two idealized models in astrophysics, with the aim of showing that the idealizations in these models play an important explanatory role. I argue, against many representationalists, that it is because of the idealizations in these models, rather than in spite of them, that the models turn out to have explanatory power. In many cases, this claim can be extended to the use of idealized models in the sciences more generally, and thus it gives important insight into the nature of model explanation.","author":[{"dropping-particle":"","family":"Kennedy","given":"Ashley Graham","non-dropping-particle":"","parse-names":false,"suffix":""}],"container-title":"Studies in History and Philosophy of Science Part A","id":"ITEM-2","issue":"2","issued":{"date-parts":[["2012","6","1"]]},"page":"326-332","publisher":"Pergamon","title":"A non representationalist view of model explanation","type":"article-journal","volume":"43"},"locator":"326","uris":["http://www.mendeley.com/documents/?uuid=536e70d0-305e-3fc6-9d8c-86dd5c345363"]},{"id":"ITEM-3","itemData":{"author":[{"dropping-particle":"","family":"Fraassen","given":"Bas. C.","non-dropping-particle":"van","parse-names":false,"suffix":""}],"id":"ITEM-3","issued":{"date-parts":[["2008"]]},"publisher":"Oxford University Press","publisher-place":"Oxford","title":"Scientific Representation: Paradoxes of Perspective","type":"book"},"locator":"13-15","uris":["http://www.mendeley.com/documents/?uuid=ac6586b9-fbd8-40a5-a5b9-1baa4742206b"]}],"mendeley":{"formattedCitation":"(see especially Contessa, 2007, p. 55 and 62; Kennedy, 2012, p. 326; van Fraassen, 2008, pp. 13–15)","plainTextFormattedCitation":"(see especially Contessa, 2007, p. 55 and 62; Kennedy, 2012, p. 326; van Fraassen, 2008, pp. 13–15)","previouslyFormattedCitation":"(see especially Contessa, 2007, p. 55 and 62; Kennedy, 2012, p. 326; van Fraassen, 2008, pp. 13–15)"},"properties":{"noteIndex":0},"schema":"https://github.com/citation-style-language/schema/raw/master/csl-citation.json"}</w:instrText>
      </w:r>
      <w:r w:rsidR="00CF056B" w:rsidRPr="00DB31B1">
        <w:fldChar w:fldCharType="separate"/>
      </w:r>
      <w:r w:rsidR="00F90350" w:rsidRPr="00DB31B1">
        <w:rPr>
          <w:noProof/>
        </w:rPr>
        <w:t>(see especially Contessa, 2007, p. 55 and 62; Kennedy, 2012, p. 326; van Fraassen, 2008, pp. 13–15)</w:t>
      </w:r>
      <w:r w:rsidR="00CF056B" w:rsidRPr="00DB31B1">
        <w:fldChar w:fldCharType="end"/>
      </w:r>
      <w:r w:rsidR="00CF056B" w:rsidRPr="00DB31B1">
        <w:t>. Along the same lines,</w:t>
      </w:r>
      <w:r w:rsidR="00265CF1" w:rsidRPr="00DB31B1">
        <w:t xml:space="preserve"> </w:t>
      </w:r>
      <w:r w:rsidR="00B6158A" w:rsidRPr="00DB31B1">
        <w:t>Frigg and Nguyen</w:t>
      </w:r>
      <w:r w:rsidR="00265CF1" w:rsidRPr="00DB31B1">
        <w:t xml:space="preserve"> </w:t>
      </w:r>
      <w:r w:rsidR="00B6158A" w:rsidRPr="00DB31B1">
        <w:t xml:space="preserve">have argued that “representation is a wider concept than accurate representation and that representation cannot be analyzed in terms of accurate representation” </w:t>
      </w:r>
      <w:r w:rsidR="00B6158A" w:rsidRPr="00DB31B1">
        <w:fldChar w:fldCharType="begin" w:fldLock="1"/>
      </w:r>
      <w:r w:rsidR="00F90350" w:rsidRPr="00DB31B1">
        <w:instrText>ADDIN CSL_CITATION {"citationItems":[{"id":"ITEM-1","itemData":{"DOI":"10.1007/978-3-319-30526-4_3","author":[{"dropping-particle":"","family":"Frigg","given":"Roman","non-dropping-particle":"","parse-names":false,"suffix":""},{"dropping-particle":"","family":"Nguyen","given":"James","non-dropping-particle":"","parse-names":false,"suffix":""}],"container-title":"Springer Handbook of Model-Based Science","editor":[{"dropping-particle":"","family":"Magnani","given":"Lorenzo","non-dropping-particle":"","parse-names":false,"suffix":""},{"dropping-particle":"","family":"Bertolotti","given":"Tommaso","non-dropping-particle":"","parse-names":false,"suffix":""}],"id":"ITEM-1","issued":{"date-parts":[["2017"]]},"page":"49-102","publisher":"Springer","publisher-place":"Dordrecht","title":"Models and Representation","type":"chapter"},"locator":"54","uris":["http://www.mendeley.com/documents/?uuid=58ab896d-3911-3eb0-ad0c-3351c7f8f773"]}],"mendeley":{"formattedCitation":"(Frigg &amp; Nguyen, 2017, p. 54)","plainTextFormattedCitation":"(Frigg &amp; Nguyen, 2017, p. 54)","previouslyFormattedCitation":"(Frigg &amp; Nguyen, 2017, p. 54)"},"properties":{"noteIndex":0},"schema":"https://github.com/citation-style-language/schema/raw/master/csl-citation.json"}</w:instrText>
      </w:r>
      <w:r w:rsidR="00B6158A" w:rsidRPr="00DB31B1">
        <w:fldChar w:fldCharType="separate"/>
      </w:r>
      <w:r w:rsidR="00F90350" w:rsidRPr="00DB31B1">
        <w:rPr>
          <w:noProof/>
        </w:rPr>
        <w:t>(Frigg &amp; Nguyen, 2017, p. 54)</w:t>
      </w:r>
      <w:r w:rsidR="00B6158A" w:rsidRPr="00DB31B1">
        <w:fldChar w:fldCharType="end"/>
      </w:r>
      <w:r w:rsidR="00265CF1" w:rsidRPr="00DB31B1">
        <w:t xml:space="preserve">. </w:t>
      </w:r>
      <w:r w:rsidR="0036375A" w:rsidRPr="00DB31B1">
        <w:t>This is because the notion of accurate representation, which comes in degrees and is context-dependent, already presupposes a notion of representation.</w:t>
      </w:r>
      <w:r w:rsidR="00C33147" w:rsidRPr="00DB31B1">
        <w:t xml:space="preserve"> </w:t>
      </w:r>
      <w:r w:rsidR="00265CF1" w:rsidRPr="00DB31B1">
        <w:t xml:space="preserve">Following </w:t>
      </w:r>
      <w:r w:rsidR="00CF056B" w:rsidRPr="00DB31B1">
        <w:t xml:space="preserve">Contessa and </w:t>
      </w:r>
      <w:r w:rsidR="00265CF1" w:rsidRPr="00DB31B1">
        <w:t>Suárez, Frigg and Nguyen</w:t>
      </w:r>
      <w:r w:rsidR="0036375A" w:rsidRPr="00DB31B1">
        <w:t xml:space="preserve"> further</w:t>
      </w:r>
      <w:r w:rsidR="00265CF1" w:rsidRPr="00DB31B1">
        <w:t xml:space="preserve"> maintain that any account of representation must make room for </w:t>
      </w:r>
      <w:r w:rsidR="00265CF1" w:rsidRPr="00DB31B1">
        <w:rPr>
          <w:i/>
          <w:iCs/>
        </w:rPr>
        <w:t>misrepresentation</w:t>
      </w:r>
      <w:r w:rsidR="00CF056B" w:rsidRPr="00DB31B1">
        <w:t>:</w:t>
      </w:r>
      <w:r w:rsidR="00746D70" w:rsidRPr="00DB31B1">
        <w:t xml:space="preserve"> </w:t>
      </w:r>
      <w:r w:rsidR="00CF056B" w:rsidRPr="00DB31B1">
        <w:t>a</w:t>
      </w:r>
      <w:r w:rsidR="00C33147" w:rsidRPr="00DB31B1">
        <w:t>n inaccurate representation is still a representation, not a nonrepresentation.</w:t>
      </w:r>
    </w:p>
    <w:p w14:paraId="02A87F4A" w14:textId="6B3E5222" w:rsidR="00655279" w:rsidRPr="00DB31B1" w:rsidRDefault="00746D70" w:rsidP="00D51673">
      <w:r w:rsidRPr="00DB31B1">
        <w:t xml:space="preserve">Secondly, </w:t>
      </w:r>
      <w:r w:rsidR="00ED4562" w:rsidRPr="00DB31B1">
        <w:t>similarity is thought to be a criterion of accuracy of representation</w:t>
      </w:r>
      <w:r w:rsidR="00C84925" w:rsidRPr="00DB31B1">
        <w:t xml:space="preserve"> and as such it </w:t>
      </w:r>
      <w:r w:rsidR="00784517" w:rsidRPr="00DB31B1">
        <w:t>follows (from the first reason) that similarity is</w:t>
      </w:r>
      <w:r w:rsidR="00C84925" w:rsidRPr="00DB31B1">
        <w:t xml:space="preserve"> distinct from representation.</w:t>
      </w:r>
      <w:r w:rsidR="00ED4562" w:rsidRPr="00DB31B1">
        <w:t xml:space="preserve"> In the words of</w:t>
      </w:r>
      <w:r w:rsidR="00D51673" w:rsidRPr="00DB31B1">
        <w:t xml:space="preserve"> Frigg and Nguyen, “rather than being the relation that grounds representation, similarity should be considered as setting a standard of accuracy</w:t>
      </w:r>
      <w:r w:rsidR="00ED4562" w:rsidRPr="00DB31B1">
        <w:t xml:space="preserve">” </w:t>
      </w:r>
      <w:r w:rsidR="00E21D7E" w:rsidRPr="00DB31B1">
        <w:fldChar w:fldCharType="begin" w:fldLock="1"/>
      </w:r>
      <w:r w:rsidR="00A37C46" w:rsidRPr="00DB31B1">
        <w:instrText>ADDIN CSL_CITATION {"citationItems":[{"id":"ITEM-1","itemData":{"DOI":"10.1007/978-3-319-30526-4_3","author":[{"dropping-particle":"","family":"Frigg","given":"Roman","non-dropping-particle":"","parse-names":false,"suffix":""},{"dropping-particle":"","family":"Nguyen","given":"James","non-dropping-particle":"","parse-names":false,"suffix":""}],"container-title":"Springer Handbook of Model-Based Science","editor":[{"dropping-particle":"","family":"Magnani","given":"Lorenzo","non-dropping-particle":"","parse-names":false,"suffix":""},{"dropping-particle":"","family":"Bertolotti","given":"Tommaso","non-dropping-particle":"","parse-names":false,"suffix":""}],"id":"ITEM-1","issued":{"date-parts":[["2017"]]},"page":"49-102","publisher":"Springer","publisher-place":"Dordrecht","title":"Models and Representation","type":"chapter"},"locator":"62","suppress-author":1,"uris":["http://www.mendeley.com/documents/?uuid=58ab896d-3911-3eb0-ad0c-3351c7f8f773"]}],"mendeley":{"formattedCitation":"(2017, p. 62)","plainTextFormattedCitation":"(2017, p. 62)","previouslyFormattedCitation":"(2017, p. 62)"},"properties":{"noteIndex":0},"schema":"https://github.com/citation-style-language/schema/raw/master/csl-citation.json"}</w:instrText>
      </w:r>
      <w:r w:rsidR="00E21D7E" w:rsidRPr="00DB31B1">
        <w:fldChar w:fldCharType="separate"/>
      </w:r>
      <w:r w:rsidR="00E21D7E" w:rsidRPr="00DB31B1">
        <w:rPr>
          <w:noProof/>
        </w:rPr>
        <w:t>(2017, p. 62)</w:t>
      </w:r>
      <w:r w:rsidR="00E21D7E" w:rsidRPr="00DB31B1">
        <w:fldChar w:fldCharType="end"/>
      </w:r>
      <w:r w:rsidR="00D51673" w:rsidRPr="00DB31B1">
        <w:t>.</w:t>
      </w:r>
      <w:r w:rsidR="00E81908" w:rsidRPr="00DB31B1">
        <w:t xml:space="preserve"> Hence the claim that similarity cannot ground representation.</w:t>
      </w:r>
    </w:p>
    <w:p w14:paraId="50CB7701" w14:textId="28A1356F" w:rsidR="0033780F" w:rsidRPr="00DB31B1" w:rsidRDefault="009935F3" w:rsidP="0033780F">
      <w:bookmarkStart w:id="0" w:name="_Hlk185249575"/>
      <w:r w:rsidRPr="00DB31B1">
        <w:t xml:space="preserve">While I concur that this presents a valid objection against the similarity account, which posits similarity as the sole arbiter of what counts as representation, I </w:t>
      </w:r>
      <w:r w:rsidR="003D7908" w:rsidRPr="00DB31B1">
        <w:t xml:space="preserve">ultimately </w:t>
      </w:r>
      <w:r w:rsidRPr="00DB31B1">
        <w:t xml:space="preserve">argue that the critics have been too quick to relegate the role of similarity judgments to the accurate representation. </w:t>
      </w:r>
      <w:bookmarkEnd w:id="0"/>
      <w:r w:rsidR="006566E7" w:rsidRPr="00DB31B1">
        <w:t xml:space="preserve">By providing some insight into the scientific practices concerning the research on mouse models of cancer, </w:t>
      </w:r>
      <w:r w:rsidR="001417F3" w:rsidRPr="00DB31B1">
        <w:t xml:space="preserve">the </w:t>
      </w:r>
      <w:r w:rsidR="006566E7" w:rsidRPr="00DB31B1">
        <w:t>rest of the paper will</w:t>
      </w:r>
      <w:r w:rsidR="001417F3" w:rsidRPr="00DB31B1">
        <w:t xml:space="preserve"> address </w:t>
      </w:r>
      <w:r w:rsidR="00557F50" w:rsidRPr="00DB31B1">
        <w:t xml:space="preserve">the question </w:t>
      </w:r>
      <w:r w:rsidR="001417F3" w:rsidRPr="00DB31B1">
        <w:t>which factors feature in scientific representation</w:t>
      </w:r>
      <w:r w:rsidR="006566E7" w:rsidRPr="00DB31B1">
        <w:t>. Specifically, I will</w:t>
      </w:r>
      <w:r w:rsidR="001417F3" w:rsidRPr="00DB31B1">
        <w:t xml:space="preserve"> evaluate the claim against similarity playing any grounding role in scientific representation</w:t>
      </w:r>
      <w:r w:rsidR="00557F50" w:rsidRPr="00DB31B1">
        <w:t xml:space="preserve">. </w:t>
      </w:r>
      <w:r w:rsidR="006566E7" w:rsidRPr="00DB31B1">
        <w:t>Before providing such evaluation, let us first outline the research on mouse models of cancer.</w:t>
      </w:r>
    </w:p>
    <w:p w14:paraId="6F612971" w14:textId="77777777" w:rsidR="00221167" w:rsidRPr="00DB31B1" w:rsidRDefault="00221167" w:rsidP="0033780F"/>
    <w:p w14:paraId="2124B21B" w14:textId="2241C912" w:rsidR="00956A09" w:rsidRPr="00DB31B1" w:rsidRDefault="00956A09" w:rsidP="00BF632E">
      <w:r w:rsidRPr="00DB31B1">
        <w:lastRenderedPageBreak/>
        <w:t>3</w:t>
      </w:r>
      <w:r w:rsidRPr="00DB31B1">
        <w:tab/>
        <w:t>Mouse models in cancer immunology</w:t>
      </w:r>
    </w:p>
    <w:p w14:paraId="17D18755" w14:textId="0BCC4845" w:rsidR="00956A09" w:rsidRPr="00DB31B1" w:rsidRDefault="00956A09" w:rsidP="00956A09">
      <w:pPr>
        <w:jc w:val="both"/>
      </w:pPr>
      <w:r w:rsidRPr="00DB31B1">
        <w:t>Much has already been written about various aspects of the research that is distinguished by its use of model organisms.</w:t>
      </w:r>
      <w:r w:rsidRPr="00DB31B1">
        <w:rPr>
          <w:rStyle w:val="Znakapoznpodarou"/>
        </w:rPr>
        <w:footnoteReference w:id="3"/>
      </w:r>
      <w:r w:rsidRPr="00DB31B1">
        <w:t xml:space="preserve"> Some have gone to great length to distinguish model organisms from experimental organisms, the latter being a broader category and much less constrained by factors such as the institutionalization and standardization of the research characteristic of the former </w:t>
      </w:r>
      <w:r w:rsidRPr="00DB31B1">
        <w:fldChar w:fldCharType="begin" w:fldLock="1"/>
      </w:r>
      <w:r w:rsidRPr="00DB31B1">
        <w:instrText>ADDIN CSL_CITATION {"citationItems":[{"id":"ITEM-1","itemData":{"DOI":"10.1016/J.SHPSA.2010.11.039","ISSN":"0039-3681","abstract":"This paper aims to identify the key characteristics of model organisms that make them a specific type of model within the contemporary life sciences: in particular, we argue that the term “model organism” does not apply to all organisms used for the purposes of experimental research. We explore the differences between experimental and model organisms in terms of their material and epistemic features, and argue that it is essential to distinguish between their representational scope and representational target. We also examine the characteristics of the communities who use these two types of models, including their research goals, disciplinary affiliations, and preferred practices to show how these have contributed to the conceptualization of a model organism. We conclude that model organisms are a specific subgroup of organisms that have been standardized to fit an integrative and comparative mode of research, and that it must be clearly distinguished from the broader class of experimental organisms. In addition, we argue that model organisms are the key components of a unique and distinctively biological way of doing research using models.","author":[{"dropping-particle":"","family":"Ankeny","given":"Rachel A.","non-dropping-particle":"","parse-names":false,"suffix":""},{"dropping-particle":"","family":"Leonelli","given":"Sabina","non-dropping-particle":"","parse-names":false,"suffix":""}],"container-title":"Studies in History and Philosophy of Science Part A","id":"ITEM-1","issue":"2","issued":{"date-parts":[["2011","6","1"]]},"page":"313-323","publisher":"Pergamon","title":"What’s so special about model organisms?","type":"article-journal","volume":"42"},"uris":["http://www.mendeley.com/documents/?uuid=f38ff864-010a-3e6f-8a08-4a705405cf4f"]},{"id":"ITEM-2","itemData":{"author":[{"dropping-particle":"","family":"Ankeny","given":"Rachel A.","non-dropping-particle":"","parse-names":false,"suffix":""},{"dropping-particle":"","family":"Leonelli","given":"Sabina","non-dropping-particle":"","parse-names":false,"suffix":""}],"id":"ITEM-2","issued":{"date-parts":[["2020"]]},"publisher":"Cambridge University Press","publisher-place":"Cambridge","title":"Model Organisms","type":"book"},"uris":["http://www.mendeley.com/documents/?uuid=36e1c615-c492-4dc5-b646-b3a383481fb7"]}],"mendeley":{"formattedCitation":"(Ankeny &amp; Leonelli, 2011, 2020)","plainTextFormattedCitation":"(Ankeny &amp; Leonelli, 2011, 2020)","previouslyFormattedCitation":"(Ankeny &amp; Leonelli, 2011, 2020)"},"properties":{"noteIndex":0},"schema":"https://github.com/citation-style-language/schema/raw/master/csl-citation.json"}</w:instrText>
      </w:r>
      <w:r w:rsidRPr="00DB31B1">
        <w:fldChar w:fldCharType="separate"/>
      </w:r>
      <w:r w:rsidRPr="00DB31B1">
        <w:rPr>
          <w:noProof/>
        </w:rPr>
        <w:t>(Ankeny &amp; Leonelli, 2011, 2020)</w:t>
      </w:r>
      <w:r w:rsidRPr="00DB31B1">
        <w:fldChar w:fldCharType="end"/>
      </w:r>
      <w:r w:rsidRPr="00DB31B1">
        <w:t>. In what follows, the notion of mouse models will be used to refer to mice that are used to study disease mechanisms and for testing drugs.</w:t>
      </w:r>
      <w:bookmarkStart w:id="1" w:name="_Hlk62933997"/>
      <w:r w:rsidRPr="00DB31B1">
        <w:t xml:space="preserve"> Much of our current knowledge of cancer biology, cancer immunology, and of immunotherapies both in development and in clinical practice, has been gleaned from research conducted on cell cultures and laboratory mice (</w:t>
      </w:r>
      <w:r w:rsidRPr="00DB31B1">
        <w:rPr>
          <w:i/>
          <w:iCs/>
        </w:rPr>
        <w:t>Mus musculus</w:t>
      </w:r>
      <w:r w:rsidRPr="00DB31B1">
        <w:t xml:space="preserve">), which allow for </w:t>
      </w:r>
      <w:r w:rsidRPr="00DB31B1">
        <w:rPr>
          <w:i/>
          <w:iCs/>
        </w:rPr>
        <w:t>in vitro</w:t>
      </w:r>
      <w:r w:rsidRPr="00DB31B1">
        <w:t xml:space="preserve"> and </w:t>
      </w:r>
      <w:r w:rsidRPr="00DB31B1">
        <w:rPr>
          <w:i/>
          <w:iCs/>
        </w:rPr>
        <w:t>in vivo</w:t>
      </w:r>
      <w:r w:rsidRPr="00DB31B1">
        <w:t xml:space="preserve"> exploratory and hypothesis-driven experiments.</w:t>
      </w:r>
      <w:bookmarkEnd w:id="1"/>
      <w:r w:rsidRPr="00DB31B1">
        <w:t xml:space="preserve"> As technology has advanced, so too have the mouse models. The mouse models are all said to be standardized, i.e., they consist of inbred strains of mice,</w:t>
      </w:r>
      <w:r w:rsidRPr="00DB31B1">
        <w:rPr>
          <w:rStyle w:val="Znakapoznpodarou"/>
        </w:rPr>
        <w:footnoteReference w:id="4"/>
      </w:r>
      <w:r w:rsidRPr="00DB31B1">
        <w:t xml:space="preserve"> and there are protocols about how to manipulate them. Different models have their own advantages and disadvantages which have a major impact upon our understanding of the basic mechanisms and evaluations of therapies. Such nuances of scientific practice concerning the kinds of models and the specific situations in which they are used and improved upon, what their various limitations as well as trade-off are, also guide philosophical thinking. More specifically, the scientific details provide grounds for considering a variety of epistemic and pragmatic factors as well as the respects and degrees of similarities influencing representational practice (see Section 4).</w:t>
      </w:r>
    </w:p>
    <w:p w14:paraId="5C419355" w14:textId="77777777" w:rsidR="00956A09" w:rsidRPr="00DB31B1" w:rsidRDefault="00956A09" w:rsidP="00956A09">
      <w:r w:rsidRPr="00DB31B1">
        <w:t xml:space="preserve">Several kinds of mouse models are commonly used. </w:t>
      </w:r>
      <w:r w:rsidRPr="00DB31B1">
        <w:rPr>
          <w:i/>
          <w:iCs/>
        </w:rPr>
        <w:t>Transplantable mouse models</w:t>
      </w:r>
      <w:r w:rsidRPr="00DB31B1">
        <w:t xml:space="preserve"> come in two types. First, there are immunocompetent mouse models which can be transplanted with tissues including tumors from other histocompatible mice, i.e., mice of the same strain, without such grafts being rejected </w:t>
      </w:r>
      <w:r w:rsidRPr="00DB31B1">
        <w:fldChar w:fldCharType="begin" w:fldLock="1"/>
      </w:r>
      <w:r w:rsidRPr="00DB31B1">
        <w:instrText>ADDIN CSL_CITATION {"citationItems":[{"id":"ITEM-1","itemData":{"DOI":"10.1016/J.GDE.2013.11.008","ISSN":"0959-437X","abstract":"The clinical success and US FDA approval of two immunotherapies (sipuleucel-T and ipilimumab) have brought tumor immunology to the forefront of cancer research. It has been long recognized that the immune system can infiltrate and survey the tumor microenvironment. The field of tumor immunology has been actively examining this phenomenon since the 1890s when William Coley first treated patients with live pathogenic bacteria and observed occasional regressions leading to long term survival. Recent progress in understanding mechanisms of immune activation and tolerance has led to the development of novel therapies that aim to either overcome inhibitory pathways (i.e. checkpoint blockade such as anti-CTLA-4 and anti-PD-1) or stimulate immune cell activation (i.e. co-stimulation such as anti-GITR and anti-OX40). A major part of the success of immunotherapy has been the development of appropriate mouse models. This review will outline the history and the major findings leading to the accomplishments of modern day immunology with specific attention to the usefulness of animal models.","author":[{"dropping-particle":"","family":"Budhu","given":"Sadna","non-dropping-particle":"","parse-names":false,"suffix":""},{"dropping-particle":"","family":"Wolchok","given":"Jedd","non-dropping-particle":"","parse-names":false,"suffix":""},{"dropping-particle":"","family":"Merghoub","given":"Taha","non-dropping-particle":"","parse-names":false,"suffix":""}],"container-title":"Current Opinion in Genetics &amp; Development","id":"ITEM-1","issued":{"date-parts":[["2014","2","1"]]},"page":"46-51","publisher":"Elsevier Current Trends","title":"The importance of animal models in tumor immunity and immunotherapy","type":"article-journal","volume":"24"},"uris":["http://www.mendeley.com/documents/?uuid=10c6a7d2-7188-3bec-9cdd-abf1f594d40b"]},{"id":"ITEM-2","itemData":{"DOI":"10.1038/nrc.2016.91","ISSN":"1474-175X","author":[{"dropping-particle":"","family":"Zitvogel","given":"Laurence","non-dropping-particle":"","parse-names":false,"suffix":""},{"dropping-particle":"","family":"Pitt","given":"Jonathan M.","non-dropping-particle":"","parse-names":false,"suffix":""},{"dropping-particle":"","family":"Daillère","given":"Romain","non-dropping-particle":"","parse-names":false,"suffix":""},{"dropping-particle":"","family":"Smyth","given":"Mark J.","non-dropping-particle":"","parse-names":false,"suffix":""},{"dropping-particle":"","family":"Kroemer","given":"Guido","non-dropping-particle":"","parse-names":false,"suffix":""}],"container-title":"Nature Reviews Cancer","id":"ITEM-2","issue":"12","issued":{"date-parts":[["2016","12","30"]]},"page":"759-773","title":"Mouse models in oncoimmunology","type":"article-journal","volume":"16"},"uris":["http://www.mendeley.com/documents/?uuid=328e0487-511b-3968-9e55-d5dc9a5f849a"]}],"mendeley":{"formattedCitation":"(Budhu et al., 2014; Zitvogel et al., 2016)","plainTextFormattedCitation":"(Budhu et al., 2014; Zitvogel et al., 2016)","previouslyFormattedCitation":"(Budhu et al., 2014; Zitvogel et al., 2016)"},"properties":{"noteIndex":0},"schema":"https://github.com/citation-style-language/schema/raw/master/csl-citation.json"}</w:instrText>
      </w:r>
      <w:r w:rsidRPr="00DB31B1">
        <w:fldChar w:fldCharType="separate"/>
      </w:r>
      <w:r w:rsidRPr="00DB31B1">
        <w:rPr>
          <w:noProof/>
        </w:rPr>
        <w:t>(Budhu et al., 2014; Zitvogel et al., 2016)</w:t>
      </w:r>
      <w:r w:rsidRPr="00DB31B1">
        <w:fldChar w:fldCharType="end"/>
      </w:r>
      <w:r w:rsidRPr="00DB31B1">
        <w:t xml:space="preserve">. Although primary tumor samples can be transplanted, cancer research most commonly relies on injecting mice with cancer cell lines. These are standardized cell lines that originate from tumors derived from a specific background (i.e., a specific strain), and that, over the course of passaging under </w:t>
      </w:r>
      <w:r w:rsidRPr="00DB31B1">
        <w:rPr>
          <w:i/>
          <w:iCs/>
        </w:rPr>
        <w:t>in vitro</w:t>
      </w:r>
      <w:r w:rsidRPr="00DB31B1">
        <w:t xml:space="preserve"> conditions, have acquired features that make them well adapted to cell cultures and that set them apart from their ancestors. </w:t>
      </w:r>
    </w:p>
    <w:p w14:paraId="5ABDFA58" w14:textId="77777777" w:rsidR="00956A09" w:rsidRPr="00DB31B1" w:rsidRDefault="00956A09" w:rsidP="00956A09">
      <w:r w:rsidRPr="00DB31B1">
        <w:t xml:space="preserve">Second, cancer research has also relied upon immunodeficient mouse models. Much like the immunocompetent mouse, cancer research using immunodeficient mice mostly relies on cancer cell lines. In contrast to immunocompetent mice, immunodeficient mice can be engrafted with tumors from other mouse strains (allografts) or from other species such as humans (xenografts). As such, they can be used to study human tumors </w:t>
      </w:r>
      <w:r w:rsidRPr="00DB31B1">
        <w:rPr>
          <w:i/>
          <w:iCs/>
        </w:rPr>
        <w:t>in vivo</w:t>
      </w:r>
      <w:r w:rsidRPr="00DB31B1">
        <w:t>. However, the human tumor cells grow in an environment consisting of mouse stroma cells, which poses problems for translating the results to humans due to improper heterotypic signaling. Another problem concerns the common use of human cancer cell lines, which, much like the mouse cancer cell lines, do not recapitulate the phenotype of human tumors.</w:t>
      </w:r>
    </w:p>
    <w:p w14:paraId="4539F356" w14:textId="77777777" w:rsidR="00956A09" w:rsidRPr="00DB31B1" w:rsidRDefault="00956A09" w:rsidP="00956A09">
      <w:r w:rsidRPr="00DB31B1">
        <w:t xml:space="preserve">Another kind of models are </w:t>
      </w:r>
      <w:r w:rsidRPr="00DB31B1">
        <w:rPr>
          <w:i/>
          <w:iCs/>
        </w:rPr>
        <w:t>genetically engineered mouse models</w:t>
      </w:r>
      <w:r w:rsidRPr="00DB31B1">
        <w:t xml:space="preserve"> (GEMMs). Acquired knowledge of some of the tenets of oncogenesis and advances in genetic engineering have made it possible to </w:t>
      </w:r>
      <w:r w:rsidRPr="00DB31B1">
        <w:lastRenderedPageBreak/>
        <w:t xml:space="preserve">create mouse models with the transgenic expression of oncogenes and inactivated tumor suppressor genes that give rise to spontaneous tumors. Thus, these genetically engineered mouse models (GEMMs) are not reliant upon cancer cell lines. The use of GEMMs also exhibit various advantages, while facing some disadvantages. The fact that these are spontaneous models means that, in contrast with models reliant upon cancer cell lines, they maintain some of the features of tumorigenesis, plus a tumor microenvironment. However, GEMMs encounter major challenges owing to the specific ways in which these models are created. </w:t>
      </w:r>
      <w:bookmarkStart w:id="2" w:name="_Hlk185668521"/>
      <w:r w:rsidRPr="00DB31B1">
        <w:t xml:space="preserve">There is an array of technologies available for creating transgenic mice, impacting </w:t>
      </w:r>
      <w:r w:rsidRPr="00DB31B1">
        <w:rPr>
          <w:i/>
          <w:iCs/>
        </w:rPr>
        <w:t>how</w:t>
      </w:r>
      <w:r w:rsidRPr="00DB31B1">
        <w:t xml:space="preserve"> the mouse is modified, </w:t>
      </w:r>
      <w:r w:rsidRPr="00DB31B1">
        <w:rPr>
          <w:i/>
          <w:iCs/>
        </w:rPr>
        <w:t>where</w:t>
      </w:r>
      <w:r w:rsidRPr="00DB31B1">
        <w:t xml:space="preserve"> it is modified, and </w:t>
      </w:r>
      <w:r w:rsidRPr="00DB31B1">
        <w:rPr>
          <w:i/>
          <w:iCs/>
        </w:rPr>
        <w:t>when</w:t>
      </w:r>
      <w:r w:rsidRPr="00DB31B1">
        <w:t xml:space="preserve"> it is modified.</w:t>
      </w:r>
      <w:bookmarkEnd w:id="2"/>
      <w:r w:rsidRPr="00DB31B1">
        <w:rPr>
          <w:rStyle w:val="Znakapoznpodarou"/>
        </w:rPr>
        <w:footnoteReference w:id="5"/>
      </w:r>
    </w:p>
    <w:p w14:paraId="5B38FD43" w14:textId="77777777" w:rsidR="00956A09" w:rsidRPr="00DB31B1" w:rsidRDefault="00956A09" w:rsidP="00956A09">
      <w:pPr>
        <w:rPr>
          <w:rFonts w:cstheme="minorHAnsi"/>
        </w:rPr>
      </w:pPr>
      <w:r w:rsidRPr="00DB31B1">
        <w:t xml:space="preserve">While both transplantable and genetically engineered mouse models have proven useful in both basic and preclinical research, many of these models exhibit an environment which is only poorly representative of the condition in humans. Given that there is a growing need for animal models to serve as systems which could overcome some of the limits of the previously discussed models, and upon which </w:t>
      </w:r>
      <w:r w:rsidRPr="00DB31B1">
        <w:rPr>
          <w:i/>
          <w:iCs/>
        </w:rPr>
        <w:t>in vivo</w:t>
      </w:r>
      <w:r w:rsidRPr="00DB31B1">
        <w:t xml:space="preserve"> studies of human cells and tissues could be conducted, some researchers are now investing in developing mouse-human chimeras, so-called </w:t>
      </w:r>
      <w:r w:rsidRPr="00DB31B1">
        <w:rPr>
          <w:i/>
          <w:iCs/>
        </w:rPr>
        <w:t>humanized mouse models</w:t>
      </w:r>
      <w:bookmarkStart w:id="5" w:name="_Hlk62985200"/>
      <w:bookmarkStart w:id="6" w:name="_Hlk62477438"/>
      <w:r w:rsidRPr="00DB31B1">
        <w:t xml:space="preserve">, </w:t>
      </w:r>
      <w:r w:rsidRPr="00DB31B1">
        <w:rPr>
          <w:rFonts w:cstheme="minorHAnsi"/>
        </w:rPr>
        <w:t xml:space="preserve">defined as “immunodeficient mice engrafted with haematopoietic cells or tissues, or mice that transgenically express human genes” </w:t>
      </w:r>
      <w:bookmarkEnd w:id="5"/>
      <w:r w:rsidRPr="00DB31B1">
        <w:rPr>
          <w:rFonts w:cstheme="minorHAnsi"/>
        </w:rPr>
        <w:fldChar w:fldCharType="begin" w:fldLock="1"/>
      </w:r>
      <w:r w:rsidRPr="00DB31B1">
        <w:rPr>
          <w:rFonts w:cstheme="minorHAnsi"/>
        </w:rPr>
        <w:instrText>ADDIN CSL_CITATION {"citationItems":[{"id":"ITEM-1","itemData":{"DOI":"10.1038/nri2017","ISSN":"1474-1733","abstract":"The development of humanized mice over the past few decades has enabled the examination of human haematopoiesis, immunity to infectious diseases, cancer and autoantibodies in mice. But are these mice the key to translational research or is more work required? 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Immunology","id":"ITEM-1","issue":"2","issued":{"date-parts":[["2007","2"]]},"page":"118-130","publisher":"Nature Publishing Group","title":"Humanized mice in translational biomedical research","type":"article-journal","volume":"7"},"locator":"118","uris":["http://www.mendeley.com/documents/?uuid=53a824a6-0728-32f0-8ca5-5a1072e59537"]}],"mendeley":{"formattedCitation":"(Shultz et al., 2007, p. 118)","plainTextFormattedCitation":"(Shultz et al., 2007, p. 118)","previouslyFormattedCitation":"(Shultz et al., 2007, p. 118)"},"properties":{"noteIndex":0},"schema":"https://github.com/citation-style-language/schema/raw/master/csl-citation.json"}</w:instrText>
      </w:r>
      <w:r w:rsidRPr="00DB31B1">
        <w:rPr>
          <w:rFonts w:cstheme="minorHAnsi"/>
        </w:rPr>
        <w:fldChar w:fldCharType="separate"/>
      </w:r>
      <w:r w:rsidRPr="00DB31B1">
        <w:rPr>
          <w:rFonts w:cstheme="minorHAnsi"/>
          <w:noProof/>
        </w:rPr>
        <w:t>(Shultz et al., 2007, p. 118)</w:t>
      </w:r>
      <w:r w:rsidRPr="00DB31B1">
        <w:rPr>
          <w:rFonts w:cstheme="minorHAnsi"/>
        </w:rPr>
        <w:fldChar w:fldCharType="end"/>
      </w:r>
      <w:r w:rsidRPr="00DB31B1">
        <w:rPr>
          <w:rFonts w:cstheme="minorHAnsi"/>
        </w:rPr>
        <w:t xml:space="preserve">. </w:t>
      </w:r>
      <w:bookmarkEnd w:id="6"/>
      <w:r w:rsidRPr="00DB31B1">
        <w:rPr>
          <w:rFonts w:cstheme="minorHAnsi"/>
        </w:rPr>
        <w:t>Thus, humanized mice are a specific kind of transplantable model, and some such models also make use of the transgenic approach.</w:t>
      </w:r>
    </w:p>
    <w:p w14:paraId="3458D712" w14:textId="77777777" w:rsidR="00956A09" w:rsidRPr="00DB31B1" w:rsidRDefault="00956A09" w:rsidP="00956A09">
      <w:pPr>
        <w:rPr>
          <w:lang w:eastAsia="cs-CZ"/>
        </w:rPr>
      </w:pPr>
      <w:r w:rsidRPr="00DB31B1">
        <w:rPr>
          <w:rFonts w:cstheme="minorHAnsi"/>
        </w:rPr>
        <w:t xml:space="preserve">Together with advances in engraftment techniques, several breakthroughs have made the development of humanized mice possible </w:t>
      </w:r>
      <w:r w:rsidRPr="00DB31B1">
        <w:rPr>
          <w:rFonts w:cstheme="minorHAnsi"/>
        </w:rPr>
        <w:fldChar w:fldCharType="begin" w:fldLock="1"/>
      </w:r>
      <w:r w:rsidRPr="00DB31B1">
        <w:rPr>
          <w:rFonts w:cstheme="minorHAnsi"/>
        </w:rPr>
        <w:instrText>ADDIN CSL_CITATION {"citationItems":[{"id":"ITEM-1","itemData":{"DOI":"10.1038/nri2017","ISSN":"1474-1733","abstract":"The development of humanized mice over the past few decades has enabled the examination of human haematopoiesis, immunity to infectious diseases, cancer and autoantibodies in mice. But are these mice the key to translational research or is more work required? 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Immunology","id":"ITEM-1","issue":"2","issued":{"date-parts":[["2007","2"]]},"page":"118-130","publisher":"Nature Publishing Group","title":"Humanized mice in translational biomedical research","type":"article-journal","volume":"7"},"uris":["http://www.mendeley.com/documents/?uuid=53a824a6-0728-32f0-8ca5-5a1072e59537"]}],"mendeley":{"formattedCitation":"(Shultz et al., 2007)","plainTextFormattedCitation":"(Shultz et al., 2007)","previouslyFormattedCitation":"(Shultz et al., 2007)"},"properties":{"noteIndex":0},"schema":"https://github.com/citation-style-language/schema/raw/master/csl-citation.json"}</w:instrText>
      </w:r>
      <w:r w:rsidRPr="00DB31B1">
        <w:rPr>
          <w:rFonts w:cstheme="minorHAnsi"/>
        </w:rPr>
        <w:fldChar w:fldCharType="separate"/>
      </w:r>
      <w:r w:rsidRPr="00DB31B1">
        <w:rPr>
          <w:rFonts w:cstheme="minorHAnsi"/>
          <w:noProof/>
        </w:rPr>
        <w:t>(Shultz et al., 2007)</w:t>
      </w:r>
      <w:r w:rsidRPr="00DB31B1">
        <w:rPr>
          <w:rFonts w:cstheme="minorHAnsi"/>
        </w:rPr>
        <w:fldChar w:fldCharType="end"/>
      </w:r>
      <w:r w:rsidRPr="00DB31B1">
        <w:rPr>
          <w:rFonts w:cstheme="minorHAnsi"/>
        </w:rPr>
        <w:t xml:space="preserve">. The simplest approach is to engraft into an immunodeficient mouse both human peripheral blood lymphocytes (PBMCs) and tumors, ideally from the same donor, thereby creating an </w:t>
      </w:r>
      <w:r w:rsidRPr="00DB31B1">
        <w:rPr>
          <w:rFonts w:cstheme="minorHAnsi"/>
          <w:i/>
          <w:iCs/>
        </w:rPr>
        <w:t xml:space="preserve">immuno-avatar </w:t>
      </w:r>
      <w:r w:rsidRPr="00DB31B1">
        <w:rPr>
          <w:rFonts w:cstheme="minorHAnsi"/>
        </w:rPr>
        <w:fldChar w:fldCharType="begin" w:fldLock="1"/>
      </w:r>
      <w:r w:rsidRPr="00DB31B1">
        <w:rPr>
          <w:rFonts w:cstheme="minorHAnsi"/>
        </w:rPr>
        <w:instrText>ADDIN CSL_CITATION {"citationItems":[{"id":"ITEM-1","itemData":{"DOI":"10.1038/nrc.2016.91","ISSN":"1474-175X","author":[{"dropping-particle":"","family":"Zitvogel","given":"Laurence","non-dropping-particle":"","parse-names":false,"suffix":""},{"dropping-particle":"","family":"Pitt","given":"Jonathan M.","non-dropping-particle":"","parse-names":false,"suffix":""},{"dropping-particle":"","family":"Daillère","given":"Romain","non-dropping-particle":"","parse-names":false,"suffix":""},{"dropping-particle":"","family":"Smyth","given":"Mark J.","non-dropping-particle":"","parse-names":false,"suffix":""},{"dropping-particle":"","family":"Kroemer","given":"Guido","non-dropping-particle":"","parse-names":false,"suffix":""}],"container-title":"Nature Reviews Cancer","id":"ITEM-1","issue":"12","issued":{"date-parts":[["2016","12","30"]]},"page":"759-773","title":"Mouse models in oncoimmunology","type":"article-journal","volume":"16"},"uris":["http://www.mendeley.com/documents/?uuid=328e0487-511b-3968-9e55-d5dc9a5f849a"]},{"id":"ITEM-2","itemData":{"DOI":"10.1093/ANNONC/MDW041","ISSN":"0923-7534","abstract":"The recent success of checkpoint blockers to treat cancer has demonstrated that the immune system is a critical player in the war against cancer. Historically, anticancer therapeutics have been tested in syngeneic mouse models (with a fully murine immune system) or in immunodeficient mice that allow the engraftment of human xenografts. Animal models with functioning human immune systems are critically needed to more accurately recapitulate the complexity of the human tumor microenvironment. Such models are integral to better predict tumor responses to both immunomodulatory agents and directly antineoplastic therapies. In this regard, the development of humanized models is a promising, novel strategy that offers the possibility of testing checkpoint blockers' capacity and their combination with other antitumor drugs. In this review, we discuss the strengths and weaknesses of the available animal models regarding their capacity to evaluate checkpoint blockers and checkpoint blocker-based combination immunotherapy.","author":[{"dropping-particle":"","family":"Sanmamed","given":"M.F.","non-dropping-particle":"","parse-names":false,"suffix":""},{"dropping-particle":"","family":"Chester","given":"C.","non-dropping-particle":"","parse-names":false,"suffix":""},{"dropping-particle":"","family":"Melero","given":"I.","non-dropping-particle":"","parse-names":false,"suffix":""},{"dropping-particle":"","family":"Kohrt","given":"H.","non-dropping-particle":"","parse-names":false,"suffix":""}],"container-title":"Annals of Oncology","id":"ITEM-2","issue":"7","issued":{"date-parts":[["2016","7","1"]]},"page":"1190-1198","publisher":"Elsevier","title":"Defining the optimal murine models to investigate immune checkpoint blockers and their combination with other immunotherapies","type":"article-journal","volume":"27"},"uris":["http://www.mendeley.com/documents/?uuid=b5c501e6-576c-37a5-9e3a-de976ed535d5"]}],"mendeley":{"formattedCitation":"(Sanmamed et al., 2016; Zitvogel et al., 2016)","plainTextFormattedCitation":"(Sanmamed et al., 2016; Zitvogel et al., 2016)","previouslyFormattedCitation":"(Sanmamed et al., 2016; Zitvogel et al., 2016)"},"properties":{"noteIndex":0},"schema":"https://github.com/citation-style-language/schema/raw/master/csl-citation.json"}</w:instrText>
      </w:r>
      <w:r w:rsidRPr="00DB31B1">
        <w:rPr>
          <w:rFonts w:cstheme="minorHAnsi"/>
        </w:rPr>
        <w:fldChar w:fldCharType="separate"/>
      </w:r>
      <w:r w:rsidRPr="00DB31B1">
        <w:rPr>
          <w:rFonts w:cstheme="minorHAnsi"/>
          <w:noProof/>
        </w:rPr>
        <w:t>(Sanmamed et al., 2016; Zitvogel et al., 2016)</w:t>
      </w:r>
      <w:r w:rsidRPr="00DB31B1">
        <w:rPr>
          <w:rFonts w:cstheme="minorHAnsi"/>
        </w:rPr>
        <w:fldChar w:fldCharType="end"/>
      </w:r>
      <w:r w:rsidRPr="00DB31B1">
        <w:rPr>
          <w:rFonts w:cstheme="minorHAnsi"/>
        </w:rPr>
        <w:t xml:space="preserve">. </w:t>
      </w:r>
      <w:r w:rsidRPr="00DB31B1">
        <w:rPr>
          <w:lang w:eastAsia="cs-CZ"/>
        </w:rPr>
        <w:t>Another way to create humanized mice is to engraft human hematopoietic stem (and progenitor) cells (HSPCs). One can also use transgenic technology to create humanized mice. Each approach has its own limitations.</w:t>
      </w:r>
    </w:p>
    <w:p w14:paraId="4F3F9E50" w14:textId="77777777" w:rsidR="00956A09" w:rsidRPr="00DB31B1" w:rsidRDefault="00956A09" w:rsidP="00956A09">
      <w:pPr>
        <w:rPr>
          <w:lang w:eastAsia="cs-CZ"/>
        </w:rPr>
      </w:pPr>
      <w:r w:rsidRPr="00DB31B1">
        <w:rPr>
          <w:lang w:eastAsia="cs-CZ"/>
        </w:rPr>
        <w:t xml:space="preserve">An interesting option is also provided by the </w:t>
      </w:r>
      <w:r w:rsidRPr="00DB31B1">
        <w:rPr>
          <w:i/>
          <w:iCs/>
          <w:lang w:eastAsia="cs-CZ"/>
        </w:rPr>
        <w:t>patient-derived xenograft mouse model</w:t>
      </w:r>
      <w:r w:rsidRPr="00DB31B1">
        <w:rPr>
          <w:lang w:eastAsia="cs-CZ"/>
        </w:rPr>
        <w:t xml:space="preserve"> (PDX) and its humanized version. While the model improves on some of the limits of other models, some challenges remain, and novel ones arise. In contrast with other xenograft models which most commonly rely on working with cancer cell lines, PDX models</w:t>
      </w:r>
      <w:r w:rsidRPr="00DB31B1">
        <w:rPr>
          <w:rStyle w:val="Znakapoznpodarou"/>
          <w:lang w:eastAsia="cs-CZ"/>
        </w:rPr>
        <w:footnoteReference w:id="6"/>
      </w:r>
      <w:r w:rsidRPr="00DB31B1">
        <w:rPr>
          <w:lang w:eastAsia="cs-CZ"/>
        </w:rPr>
        <w:t xml:space="preserve"> are immunodeficient mice that </w:t>
      </w:r>
      <w:r w:rsidRPr="00DB31B1">
        <w:rPr>
          <w:lang w:eastAsia="cs-CZ"/>
        </w:rPr>
        <w:lastRenderedPageBreak/>
        <w:t xml:space="preserve">become host to freshly resected tumor samples obtained from patients </w:t>
      </w:r>
      <w:r w:rsidRPr="00DB31B1">
        <w:rPr>
          <w:lang w:eastAsia="cs-CZ"/>
        </w:rPr>
        <w:fldChar w:fldCharType="begin" w:fldLock="1"/>
      </w:r>
      <w:r w:rsidRPr="00DB31B1">
        <w:rPr>
          <w:lang w:eastAsia="cs-CZ"/>
        </w:rPr>
        <w:instrText>ADDIN CSL_CITATION {"citationItems":[{"id":"ITEM-1","itemData":{"DOI":"10.1093/ANNONC/MDW041","ISSN":"0923-7534","abstract":"The recent success of checkpoint blockers to treat cancer has demonstrated that the immune system is a critical player in the war against cancer. Historically, anticancer therapeutics have been tested in syngeneic mouse models (with a fully murine immune system) or in immunodeficient mice that allow the engraftment of human xenografts. Animal models with functioning human immune systems are critically needed to more accurately recapitulate the complexity of the human tumor microenvironment. Such models are integral to better predict tumor responses to both immunomodulatory agents and directly antineoplastic therapies. In this regard, the development of humanized models is a promising, novel strategy that offers the possibility of testing checkpoint blockers' capacity and their combination with other antitumor drugs. In this review, we discuss the strengths and weaknesses of the available animal models regarding their capacity to evaluate checkpoint blockers and checkpoint blocker-based combination immunotherapy.","author":[{"dropping-particle":"","family":"Sanmamed","given":"M.F.","non-dropping-particle":"","parse-names":false,"suffix":""},{"dropping-particle":"","family":"Chester","given":"C.","non-dropping-particle":"","parse-names":false,"suffix":""},{"dropping-particle":"","family":"Melero","given":"I.","non-dropping-particle":"","parse-names":false,"suffix":""},{"dropping-particle":"","family":"Kohrt","given":"H.","non-dropping-particle":"","parse-names":false,"suffix":""}],"container-title":"Annals of Oncology","id":"ITEM-1","issue":"7","issued":{"date-parts":[["2016","7","1"]]},"page":"1190-1198","publisher":"Elsevier","title":"Defining the optimal murine models to investigate immune checkpoint blockers and their combination with other immunotherapies","type":"article-journal","volume":"27"},"uris":["http://www.mendeley.com/documents/?uuid=b5c501e6-576c-37a5-9e3a-de976ed535d5"]},{"id":"ITEM-2","itemData":{"DOI":"10.3389/fimmu.2017.00829","ISSN":"1664-3224","abstract":"At the turn of the last century, the emerging field of medical oncology chose a cytotoxic ap-proach to cancer therapy over an immune-centered approach at a time when evidence in support of either paradigm did not yet exist. Today, nearly 120 years of data have established that a) even the best cytotoxic regimens only infrequently cure late-stage malignancy and b) strategies, which supplement and augment existing antitumor immune responses offer the greatest opportunities to potentiate durable remission in cancer. Despite widespread acceptance of these paradigms today, the ability of the immune system to recognize and fight cancer was a highly controversial topic for much of the 20th century. Why this modern paradigmatic mainstay should have been both du-bious and controversial for such an extended period is a topic of considerable interest that merits candid discussion. Herein we review the literature to identify and describe the watershed events that ultimately led to the acceptance of immunotherapy as a viable regimen for the treatment of neoplastic malignancy. In addition to noting important clinical discoveries, we also focus on research milestones and the development of critical model systems in rodents and dogs including the advanced modeling techniques that allowed development of patient-derived xenografts. Together, their use will further our understanding of cancer biology and anti-tumor immunology, allow for a speedier assessment of the efficacy and safety of novel approaches, and ultimately provide a faster bench to beside transition.","author":[{"dropping-particle":"","family":"Decker","given":"William K.","non-dropping-particle":"","parse-names":false,"suffix":""},{"dropping-particle":"","family":"Silva","given":"Rodrigo F.","non-dropping-particle":"da","parse-names":false,"suffix":""},{"dropping-particle":"","family":"Sanabria","given":"Mayra H.","non-dropping-particle":"","parse-names":false,"suffix":""},{"dropping-particle":"","family":"Angelo","given":"Laura S.","non-dropping-particle":"","parse-names":false,"suffix":""},{"dropping-particle":"","family":"Guimarães","given":"Fernando","non-dropping-particle":"","parse-names":false,"suffix":""},{"dropping-particle":"","family":"Burt","given":"Bryan M.","non-dropping-particle":"","parse-names":false,"suffix":""},{"dropping-particle":"","family":"Kheradmand","given":"Farrah","non-dropping-particle":"","parse-names":false,"suffix":""},{"dropping-particle":"","family":"Paust","given":"Silke","non-dropping-particle":"","parse-names":false,"suffix":""}],"container-title":"Frontiers in Immunology","id":"ITEM-2","issued":{"date-parts":[["2017","8","2"]]},"page":"829","publisher":"Frontiers","title":"Cancer Immunotherapy: Historical Perspective of a Clinical Revolution and Emerging Preclinical Animal Models","type":"article-journal","volume":"8"},"uris":["http://www.mendeley.com/documents/?uuid=71ca0404-bca3-31aa-881d-42a1be5f90e7"]}],"mendeley":{"formattedCitation":"(Decker et al., 2017; Sanmamed et al., 2016)","plainTextFormattedCitation":"(Decker et al., 2017; Sanmamed et al., 2016)","previouslyFormattedCitation":"(Decker et al., 2017; Sanmamed et al., 2016)"},"properties":{"noteIndex":0},"schema":"https://github.com/citation-style-language/schema/raw/master/csl-citation.json"}</w:instrText>
      </w:r>
      <w:r w:rsidRPr="00DB31B1">
        <w:rPr>
          <w:lang w:eastAsia="cs-CZ"/>
        </w:rPr>
        <w:fldChar w:fldCharType="separate"/>
      </w:r>
      <w:r w:rsidRPr="00DB31B1">
        <w:rPr>
          <w:noProof/>
          <w:lang w:eastAsia="cs-CZ"/>
        </w:rPr>
        <w:t>(Decker et al., 2017; Sanmamed et al., 2016)</w:t>
      </w:r>
      <w:r w:rsidRPr="00DB31B1">
        <w:rPr>
          <w:lang w:eastAsia="cs-CZ"/>
        </w:rPr>
        <w:fldChar w:fldCharType="end"/>
      </w:r>
      <w:r w:rsidRPr="00DB31B1">
        <w:rPr>
          <w:lang w:eastAsia="cs-CZ"/>
        </w:rPr>
        <w:t xml:space="preserve">. Efforts have been made to create humanized PDX models – also called immune-PDX models, or iPDX for short </w:t>
      </w:r>
      <w:r w:rsidRPr="00DB31B1">
        <w:rPr>
          <w:lang w:eastAsia="cs-CZ"/>
        </w:rPr>
        <w:fldChar w:fldCharType="begin" w:fldLock="1"/>
      </w:r>
      <w:r w:rsidRPr="00DB31B1">
        <w:rPr>
          <w:lang w:eastAsia="cs-CZ"/>
        </w:rPr>
        <w:instrText>ADDIN CSL_CITATION {"citationItems":[{"id":"ITEM-1","itemData":{"DOI":"10.1093/ANNONC/MDW041","ISSN":"0923-7534","abstract":"The recent success of checkpoint blockers to treat cancer has demonstrated that the immune system is a critical player in the war against cancer. Historically, anticancer therapeutics have been tested in syngeneic mouse models (with a fully murine immune system) or in immunodeficient mice that allow the engraftment of human xenografts. Animal models with functioning human immune systems are critically needed to more accurately recapitulate the complexity of the human tumor microenvironment. Such models are integral to better predict tumor responses to both immunomodulatory agents and directly antineoplastic therapies. In this regard, the development of humanized models is a promising, novel strategy that offers the possibility of testing checkpoint blockers' capacity and their combination with other antitumor drugs. In this review, we discuss the strengths and weaknesses of the available animal models regarding their capacity to evaluate checkpoint blockers and checkpoint blocker-based combination immunotherapy.","author":[{"dropping-particle":"","family":"Sanmamed","given":"M.F.","non-dropping-particle":"","parse-names":false,"suffix":""},{"dropping-particle":"","family":"Chester","given":"C.","non-dropping-particle":"","parse-names":false,"suffix":""},{"dropping-particle":"","family":"Melero","given":"I.","non-dropping-particle":"","parse-names":false,"suffix":""},{"dropping-particle":"","family":"Kohrt","given":"H.","non-dropping-particle":"","parse-names":false,"suffix":""}],"container-title":"Annals of Oncology","id":"ITEM-1","issue":"7","issued":{"date-parts":[["2016","7","1"]]},"page":"1190-1198","publisher":"Elsevier","title":"Defining the optimal murine models to investigate immune checkpoint blockers and their combination with other immunotherapies","type":"article-journal","volume":"27"},"uris":["http://www.mendeley.com/documents/?uuid=b5c501e6-576c-37a5-9e3a-de976ed535d5"]}],"mendeley":{"formattedCitation":"(Sanmamed et al., 2016)","plainTextFormattedCitation":"(Sanmamed et al., 2016)","previouslyFormattedCitation":"(Sanmamed et al., 2016)"},"properties":{"noteIndex":0},"schema":"https://github.com/citation-style-language/schema/raw/master/csl-citation.json"}</w:instrText>
      </w:r>
      <w:r w:rsidRPr="00DB31B1">
        <w:rPr>
          <w:lang w:eastAsia="cs-CZ"/>
        </w:rPr>
        <w:fldChar w:fldCharType="separate"/>
      </w:r>
      <w:r w:rsidRPr="00DB31B1">
        <w:rPr>
          <w:noProof/>
          <w:lang w:eastAsia="cs-CZ"/>
        </w:rPr>
        <w:t>(Sanmamed et al., 2016)</w:t>
      </w:r>
      <w:r w:rsidRPr="00DB31B1">
        <w:rPr>
          <w:lang w:eastAsia="cs-CZ"/>
        </w:rPr>
        <w:fldChar w:fldCharType="end"/>
      </w:r>
      <w:r w:rsidRPr="00DB31B1">
        <w:rPr>
          <w:lang w:eastAsia="cs-CZ"/>
        </w:rPr>
        <w:t xml:space="preserve">, particularly by transplanting the HSPCs and tumor sample from the same donor in order to limit the confounding resulting from the tumor being rejected due to the tumor-HPSCs histological incompatibility </w:t>
      </w:r>
      <w:r w:rsidRPr="00DB31B1">
        <w:rPr>
          <w:lang w:eastAsia="cs-CZ"/>
        </w:rPr>
        <w:fldChar w:fldCharType="begin" w:fldLock="1"/>
      </w:r>
      <w:r w:rsidRPr="00DB31B1">
        <w:rPr>
          <w:lang w:eastAsia="cs-CZ"/>
        </w:rPr>
        <w:instrText>ADDIN CSL_CITATION {"citationItems":[{"id":"ITEM-1","itemData":{"DOI":"10.1158/0008-5472.CAN-16-1260","ISSN":"1538-7445","PMID":"27587540","abstract":"Cancer research has long been hampered by the limitations of the current model systems. Both cultured cells and mouse xenografts grow in an environment highly dissimilar to that of their originating tumor, frequently resulting in promising treatments that are ultimately clinically ineffective. The development of highly immunodeficient mouse strains into which human immune systems can be engrafted can help bridge this gap. Humanized mice (HM) allow researchers to examine xenograft growth in the context of a human immune system and resultant tumor microenvironment, and recent studies have highlighted the increased similarities in attendant tumor structure, metastasis, and signaling to those features in cancer patients. This setting also facilitates the examination of investigational cancer therapies, including new immunotherapies. This review discusses recent advancements in the generation and application of HM models, their promise in cancer research, and their potential in generating clinically relevant treatments. This review also focuses on current efforts to improve HM models by engineering mouse strains expressing human cytokines or HLA proteins and implanting human bone, liver, and thymus tissue to facilitate immune cell maturation and trafficking. Finally, we discuss how these improvements may help direct future HM model cancer studies. Cancer Res; 76(21); 6153-8. ©2016 AACR.","author":[{"dropping-particle":"","family":"Morton","given":"J Jason","non-dropping-particle":"","parse-names":false,"suffix":""},{"dropping-particle":"","family":"Bird","given":"Gregory","non-dropping-particle":"","parse-names":false,"suffix":""},{"dropping-particle":"","family":"Refaeli","given":"Yosef","non-dropping-particle":"","parse-names":false,"suffix":""},{"dropping-particle":"","family":"Jimeno","given":"Antonio","non-dropping-particle":"","parse-names":false,"suffix":""}],"container-title":"Cancer research","id":"ITEM-1","issue":"21","issued":{"date-parts":[["2016","11","1"]]},"page":"6153-6158","publisher":"American Association for Cancer Research","title":"Humanized Mouse Xenograft Models: Narrowing the Tumor-Microenvironment Gap.","type":"article-journal","volume":"76"},"uris":["http://www.mendeley.com/documents/?uuid=89453e18-9ac8-3dce-bf7d-120d20fe5125"]}],"mendeley":{"formattedCitation":"(Morton et al., 2016)","plainTextFormattedCitation":"(Morton et al., 2016)","previouslyFormattedCitation":"(Morton et al., 2016)"},"properties":{"noteIndex":0},"schema":"https://github.com/citation-style-language/schema/raw/master/csl-citation.json"}</w:instrText>
      </w:r>
      <w:r w:rsidRPr="00DB31B1">
        <w:rPr>
          <w:lang w:eastAsia="cs-CZ"/>
        </w:rPr>
        <w:fldChar w:fldCharType="separate"/>
      </w:r>
      <w:r w:rsidRPr="00DB31B1">
        <w:rPr>
          <w:noProof/>
          <w:lang w:eastAsia="cs-CZ"/>
        </w:rPr>
        <w:t>(Morton et al., 2016)</w:t>
      </w:r>
      <w:r w:rsidRPr="00DB31B1">
        <w:rPr>
          <w:lang w:eastAsia="cs-CZ"/>
        </w:rPr>
        <w:fldChar w:fldCharType="end"/>
      </w:r>
      <w:r w:rsidRPr="00DB31B1">
        <w:rPr>
          <w:lang w:eastAsia="cs-CZ"/>
        </w:rPr>
        <w:t>.</w:t>
      </w:r>
    </w:p>
    <w:p w14:paraId="56A9358F" w14:textId="77777777" w:rsidR="00956A09" w:rsidRPr="00DB31B1" w:rsidRDefault="00956A09" w:rsidP="00956A09">
      <w:r w:rsidRPr="00DB31B1">
        <w:t xml:space="preserve">Putting all these things together also highlights the fact that the research using mouse models is not limited merely to working with an animal. Rather, the work includes the animal, i.e. the mouse, as well as other components, an example being tumor samples or cancer cell lines which are also considered to be models </w:t>
      </w:r>
      <w:r w:rsidRPr="00DB31B1">
        <w:fldChar w:fldCharType="begin" w:fldLock="1"/>
      </w:r>
      <w:r w:rsidRPr="00DB31B1">
        <w:instrText>ADDIN CSL_CITATION {"citationItems":[{"id":"ITEM-1","itemData":{"DOI":"10.1016/j.shpsa.2015.10.003","ISSN":"18792510","PMID":"27083092","abstract":"Model organisms are at once scientific models and concrete living things. It is widely assumed by philosophers of science that (1) model organisms function much like other kinds of models, and (2) that insofar as their scientific role is distinctive, it is in virtue of representing a wide range of biological species and providing a basis for generalizations about those targets. This paper uses the case of human embryonic stem cells (hESC) to challenge both assumptions. I first argue that hESC can be considered model organisms, analogous to classic examples such as Escherichia coli and Drosophila melanogaster. I then discuss four contrasts between the epistemic role of hESC in practice, and the assumptions about model organisms noted above. These contrasts motivate an alternative view of model organisms as a network of systems related constructively and developmentally to one another. I conclude by relating this result to other accounts of model organisms in recent philosophy of science.","author":[{"dropping-particle":"","family":"Fagan","given":"Melinda Bonnie","non-dropping-particle":"","parse-names":false,"suffix":""}],"container-title":"Studies in History and Philosophy of Science Part A","id":"ITEM-1","issued":{"date-parts":[["2016","4","1"]]},"page":"122-134","publisher":"Elsevier Ltd","title":"Generative models: Human embryonic stem cells and multiple modeling relations","type":"article-journal","volume":"56"},"uris":["http://www.mendeley.com/documents/?uuid=38d7f288-9b4c-3c48-8ac9-c8c33c468bbc"]},{"id":"ITEM-2","itemData":{"DOI":"10.1086/721530","ISSN":"0007-0882","author":[{"dropping-particle":"","family":"Zach","given":"Martin","non-dropping-particle":"","parse-names":false,"suffix":""}],"container-title":"The British Journal for the Philosophy of Science","id":"ITEM-2","issued":{"date-parts":[["2022","6","24"]]},"publisher":"University of Chicago Press","title":"A Complementary Account of Scientific Modelling: Modelling Mechanisms in Cancer Immunology","type":"article-journal"},"uris":["http://www.mendeley.com/documents/?uuid=a9acebb0-f493-329f-b812-8af75b42efda"]}],"mendeley":{"formattedCitation":"(Fagan, 2016; Zach, 2022)","plainTextFormattedCitation":"(Fagan, 2016; Zach, 2022)","previouslyFormattedCitation":"(Fagan, 2016; Zach, 2022)"},"properties":{"noteIndex":0},"schema":"https://github.com/citation-style-language/schema/raw/master/csl-citation.json"}</w:instrText>
      </w:r>
      <w:r w:rsidRPr="00DB31B1">
        <w:fldChar w:fldCharType="separate"/>
      </w:r>
      <w:r w:rsidRPr="00DB31B1">
        <w:rPr>
          <w:noProof/>
        </w:rPr>
        <w:t>(Fagan, 2016; Zach, 2022)</w:t>
      </w:r>
      <w:r w:rsidRPr="00DB31B1">
        <w:fldChar w:fldCharType="end"/>
      </w:r>
      <w:r w:rsidRPr="00DB31B1">
        <w:t xml:space="preserve">. Some authors go further, suggesting that at least in certain cases the whole experimental set-up is considered as a model </w:t>
      </w:r>
      <w:r w:rsidRPr="00DB31B1">
        <w:fldChar w:fldCharType="begin" w:fldLock="1"/>
      </w:r>
      <w:r w:rsidRPr="00DB31B1">
        <w:instrText>ADDIN CSL_CITATION {"citationItems":[{"id":"ITEM-1","itemData":{"DOI":"10.1017/S0269889714000155","ISSN":"0269-8897","abstract":"&lt;div class=\"abstract\" data-abstract-type=\"normal\"&gt;&lt;p&gt;We examine the criteria used to validate the use of nonhuman organisms in North-American alcohol addiction research from the 1950s to the present day. We argue that this field, where the similarities between behaviors in humans and non-humans are particularly difficult to assess, has addressed questions of model validity by transforming the situatedness of non-human organisms into an experimental tool. We demonstrate that model validity does not hinge on the standardization of one type of organism in isolation, as often the case with genetic model organisms. Rather, organisms are viewed as necessarily situated: they cannot be understood as a model for human behavior in isolation from their environmental conditions. Hence the environment itself is standardized as part of the modeling process; and model validity is assessed with reference to the environmental conditions under which organisms are studied.&lt;/p&gt;&lt;/div&gt;","author":[{"dropping-particle":"","family":"Ankeny","given":"Rachel A.","non-dropping-particle":"","parse-names":false,"suffix":""},{"dropping-particle":"","family":"Leonelli","given":"Sabina","non-dropping-particle":"","parse-names":false,"suffix":""},{"dropping-particle":"","family":"Nelson","given":"Nicole C.","non-dropping-particle":"","parse-names":false,"suffix":""},{"dropping-particle":"","family":"Ramsden","given":"Edmund","non-dropping-particle":"","parse-names":false,"suffix":""}],"container-title":"Science in Context","id":"ITEM-1","issue":"03","issued":{"date-parts":[["2014","9","28"]]},"page":"485-509","publisher":"Cambridge University Press","title":"Making Organisms Model Human Behavior: Situated Models in North-American Alcohol Research, since 1950","type":"article-journal","volume":"27"},"uris":["http://www.mendeley.com/documents/?uuid=756ec81e-3666-3829-a2e4-3f451d321d17"]},{"id":"ITEM-2","itemData":{"DOI":"10.1177/0306312712463815","ISSN":"03063127","abstract":"Animal models of human disorders are a ubiquitous feature of contemporary biomedical research, but how is their value and role in understanding human disorders established? This article examines th...","author":[{"dropping-particle":"","family":"Nelson","given":"Nicole C.","non-dropping-particle":"","parse-names":false,"suffix":""}],"container-title":"Social Studies of Science","id":"ITEM-2","issue":"1","issued":{"date-parts":[["2012","11","20"]]},"page":"3-29","publisher":"SAGE PublicationsSage UK: London, England","title":"Modeling mouse, human, and discipline: Epistemic scaffolds in animal behavior genetics","type":"article-journal","volume":"43"},"uris":["http://www.mendeley.com/documents/?uuid=05f9574b-660f-3eb1-8235-cc741216d18c"]}],"mendeley":{"formattedCitation":"(Ankeny et al., 2014; Nelson, 2012)","plainTextFormattedCitation":"(Ankeny et al., 2014; Nelson, 2012)","previouslyFormattedCitation":"(Ankeny et al., 2014; Nelson, 2012)"},"properties":{"noteIndex":0},"schema":"https://github.com/citation-style-language/schema/raw/master/csl-citation.json"}</w:instrText>
      </w:r>
      <w:r w:rsidRPr="00DB31B1">
        <w:fldChar w:fldCharType="separate"/>
      </w:r>
      <w:r w:rsidRPr="00DB31B1">
        <w:rPr>
          <w:noProof/>
        </w:rPr>
        <w:t>(Ankeny et al., 2014; Nelson, 2012)</w:t>
      </w:r>
      <w:r w:rsidRPr="00DB31B1">
        <w:fldChar w:fldCharType="end"/>
      </w:r>
      <w:r w:rsidRPr="00DB31B1">
        <w:t xml:space="preserve">. Indeed, much of tinkering, refining and deliberation goes into assembling the experimental set-up and pondering how it relates to the target phenomenon </w:t>
      </w:r>
      <w:r w:rsidRPr="00DB31B1">
        <w:fldChar w:fldCharType="begin" w:fldLock="1"/>
      </w:r>
      <w:r w:rsidRPr="00DB31B1">
        <w:instrText>ADDIN CSL_CITATION {"citationItems":[{"id":"ITEM-1","itemData":{"DOI":"10.1177/0306312712463815","ISSN":"03063127","abstract":"Animal models of human disorders are a ubiquitous feature of contemporary biomedical research, but how is their value and role in understanding human disorders established? This article examines th...","author":[{"dropping-particle":"","family":"Nelson","given":"Nicole C.","non-dropping-particle":"","parse-names":false,"suffix":""}],"container-title":"Social Studies of Science","id":"ITEM-1","issue":"1","issued":{"date-parts":[["2012","11","20"]]},"page":"3-29","publisher":"SAGE PublicationsSage UK: London, England","title":"Modeling mouse, human, and discipline: Epistemic scaffolds in animal behavior genetics","type":"article-journal","volume":"43"},"uris":["http://www.mendeley.com/documents/?uuid=05f9574b-660f-3eb1-8235-cc741216d18c"]}],"mendeley":{"formattedCitation":"(Nelson, 2012)","plainTextFormattedCitation":"(Nelson, 2012)","previouslyFormattedCitation":"(Nelson, 2012)"},"properties":{"noteIndex":0},"schema":"https://github.com/citation-style-language/schema/raw/master/csl-citation.json"}</w:instrText>
      </w:r>
      <w:r w:rsidRPr="00DB31B1">
        <w:fldChar w:fldCharType="separate"/>
      </w:r>
      <w:r w:rsidRPr="00DB31B1">
        <w:rPr>
          <w:noProof/>
        </w:rPr>
        <w:t>(Nelson, 2012)</w:t>
      </w:r>
      <w:r w:rsidRPr="00DB31B1">
        <w:fldChar w:fldCharType="end"/>
      </w:r>
      <w:r w:rsidRPr="00DB31B1">
        <w:t>.</w:t>
      </w:r>
    </w:p>
    <w:p w14:paraId="34788844" w14:textId="77777777" w:rsidR="00956A09" w:rsidRPr="00DB31B1" w:rsidRDefault="00956A09" w:rsidP="00956A09"/>
    <w:p w14:paraId="78CEC135" w14:textId="0E1A2DCB" w:rsidR="009935F3" w:rsidRPr="00DB31B1" w:rsidRDefault="00956A09" w:rsidP="00BF632E">
      <w:r w:rsidRPr="00DB31B1">
        <w:t>4</w:t>
      </w:r>
      <w:r w:rsidR="009935F3" w:rsidRPr="00DB31B1">
        <w:tab/>
      </w:r>
      <w:r w:rsidRPr="00DB31B1">
        <w:t xml:space="preserve">Similarity </w:t>
      </w:r>
      <w:r w:rsidR="008852F2" w:rsidRPr="00DB31B1">
        <w:t xml:space="preserve">and other </w:t>
      </w:r>
      <w:r w:rsidRPr="00DB31B1">
        <w:t>considerations in selecting and creating mouse models</w:t>
      </w:r>
    </w:p>
    <w:p w14:paraId="1C69C328" w14:textId="5EA24D14" w:rsidR="009E222D" w:rsidRPr="00DB31B1" w:rsidRDefault="009935F3" w:rsidP="009E222D">
      <w:r w:rsidRPr="00DB31B1">
        <w:t xml:space="preserve">Having provided some exposition of the mouse models in cancer biology and cancer immunology, we are now in a good position to consider the role that similarity judgments play in working with these models. </w:t>
      </w:r>
      <w:r w:rsidR="009E222D" w:rsidRPr="00DB31B1">
        <w:t xml:space="preserve">When posing the question of what constitutes a scientific representation, Frigg and Nguyen </w:t>
      </w:r>
      <w:r w:rsidR="009E222D" w:rsidRPr="00DB31B1">
        <w:fldChar w:fldCharType="begin" w:fldLock="1"/>
      </w:r>
      <w:r w:rsidR="009E222D" w:rsidRPr="00DB31B1">
        <w:instrText>ADDIN CSL_CITATION {"citationItems":[{"id":"ITEM-1","itemData":{"author":[{"dropping-particle":"","family":"Frigg","given":"Roman","non-dropping-particle":"","parse-names":false,"suffix":""},{"dropping-particle":"","family":"Nguyen","given":"James","non-dropping-particle":"","parse-names":false,"suffix":""}],"id":"ITEM-1","issued":{"date-parts":[["2020"]]},"publisher":"Springer","title":"Modelling Nature: An Opinionated Introduction to the Scientific Representation","type":"book"},"suppress-author":1,"uris":["http://www.mendeley.com/documents/?uuid=022f1f1d-d2ac-4988-8420-49620543fc24"]}],"mendeley":{"formattedCitation":"(2020)","plainTextFormattedCitation":"(2020)","previouslyFormattedCitation":"(2020)"},"properties":{"noteIndex":0},"schema":"https://github.com/citation-style-language/schema/raw/master/csl-citation.json"}</w:instrText>
      </w:r>
      <w:r w:rsidR="009E222D" w:rsidRPr="00DB31B1">
        <w:fldChar w:fldCharType="separate"/>
      </w:r>
      <w:r w:rsidR="009E222D" w:rsidRPr="00DB31B1">
        <w:rPr>
          <w:noProof/>
        </w:rPr>
        <w:t>(2020)</w:t>
      </w:r>
      <w:r w:rsidR="009E222D" w:rsidRPr="00DB31B1">
        <w:fldChar w:fldCharType="end"/>
      </w:r>
      <w:r w:rsidR="009E222D" w:rsidRPr="00DB31B1">
        <w:t xml:space="preserve"> offer an analysis in terms of filling a biconditional of the form ‘X is a scientific representation iff __’. Presenting the problem as one to be cashed out in terms of necessary and sufficient conditions may be questionable. However, if nothing else, what such a biconditional helps us to see is that for something to be used as a representation, some set of conditions must be satisfied. In what follows, I will address what drives the selection of mouse models (section 4.1), and what drives the creation of new mouse models (section 4.2). Ultimately, it will be shown that similarity considerations play a crucial role in influencing the representational status of mouse models. In other words, similarity is one of the factors that grounds scientific representation, at least in some domains of scientific research. This seems to be in stark contrast to the authors who broadly critique the idea of similarity grounding representation: r</w:t>
      </w:r>
      <w:r w:rsidR="008852F2" w:rsidRPr="00DB31B1">
        <w:t>ecall</w:t>
      </w:r>
      <w:r w:rsidR="009D604E" w:rsidRPr="00DB31B1">
        <w:t xml:space="preserve"> that what is at stake is the claim that representation is conceptually distinct from the notion of accurate representation and that similarity sets a standard of accuracy rather than being the relation that grounds representation.</w:t>
      </w:r>
      <w:r w:rsidR="009E222D" w:rsidRPr="00DB31B1">
        <w:t xml:space="preserve"> </w:t>
      </w:r>
    </w:p>
    <w:p w14:paraId="261BECB8" w14:textId="4CF79E11" w:rsidR="008852F2" w:rsidRPr="00DB31B1" w:rsidRDefault="008852F2" w:rsidP="009935F3"/>
    <w:p w14:paraId="1EADABA4" w14:textId="5F32DACE" w:rsidR="009935F3" w:rsidRPr="00DB31B1" w:rsidRDefault="008852F2" w:rsidP="00BF632E">
      <w:r w:rsidRPr="00DB31B1">
        <w:t>4</w:t>
      </w:r>
      <w:r w:rsidR="009935F3" w:rsidRPr="00DB31B1">
        <w:t>.1</w:t>
      </w:r>
      <w:r w:rsidR="009935F3" w:rsidRPr="00DB31B1">
        <w:tab/>
        <w:t>Model selection</w:t>
      </w:r>
    </w:p>
    <w:p w14:paraId="079E68E8" w14:textId="0FED014B" w:rsidR="009935F3" w:rsidRPr="00DB31B1" w:rsidRDefault="009935F3" w:rsidP="009935F3">
      <w:r w:rsidRPr="00DB31B1">
        <w:t>The selection of mouse models is driven by several considerations: (i) the research question at hand, or what I term ‘adequacy-to-research-question’,</w:t>
      </w:r>
      <w:r w:rsidRPr="00DB31B1">
        <w:rPr>
          <w:rStyle w:val="Znakapoznpodarou"/>
        </w:rPr>
        <w:footnoteReference w:id="7"/>
      </w:r>
      <w:r w:rsidRPr="00DB31B1">
        <w:t xml:space="preserve"> (ii) the pragmatic and situational constraints, and (iii) the relevant similarity considerations.</w:t>
      </w:r>
      <w:r w:rsidRPr="00DB31B1">
        <w:rPr>
          <w:rStyle w:val="Znakapoznpodarou"/>
        </w:rPr>
        <w:footnoteReference w:id="8"/>
      </w:r>
      <w:r w:rsidRPr="00DB31B1">
        <w:t xml:space="preserve"> Depending on the question, scientists may use one model over another, since different models have both different benefits and limitations, and allow the investigation of different aspects (see Section </w:t>
      </w:r>
      <w:r w:rsidR="00D86E16" w:rsidRPr="00DB31B1">
        <w:t>3</w:t>
      </w:r>
      <w:r w:rsidRPr="00DB31B1">
        <w:t xml:space="preserve">). </w:t>
      </w:r>
    </w:p>
    <w:p w14:paraId="632B33D7" w14:textId="77777777" w:rsidR="009935F3" w:rsidRPr="00DB31B1" w:rsidRDefault="009935F3" w:rsidP="009935F3">
      <w:r w:rsidRPr="00DB31B1">
        <w:lastRenderedPageBreak/>
        <w:t xml:space="preserve">Recently, Dietrich </w:t>
      </w:r>
      <w:r w:rsidRPr="00DB31B1">
        <w:rPr>
          <w:i/>
          <w:iCs/>
        </w:rPr>
        <w:t xml:space="preserve">et al. </w:t>
      </w:r>
      <w:r w:rsidRPr="00DB31B1">
        <w:rPr>
          <w:i/>
          <w:iCs/>
        </w:rPr>
        <w:fldChar w:fldCharType="begin" w:fldLock="1"/>
      </w:r>
      <w:r w:rsidRPr="00DB31B1">
        <w:rPr>
          <w:i/>
          <w:iCs/>
        </w:rPr>
        <w:instrText>ADDIN CSL_CITATION {"citationItems":[{"id":"ITEM-1","itemData":{"DOI":"10.1016/J.SHPSC.2019.101227","ISSN":"1369-8486","abstract":"Despite August Krogh's famous admonition that a ‘convenient’ organism exists for every biological problem, we argue that appeals to ‘convenience’ are not sufficient to capture reasoning about organism choice. Instead, we offer a detailed analysis based on empirical data and philosophical arguments for a working set of twenty criteria that interact with each other in the highly contextualized judgements that biologists make about organism choice. We propose to think of these decisions as a form of ‘differential analysis’ where researchers weigh multiple criteria for organismal choice against each other, and often utilize multidimensional refinement processes to finalize their choices. The specific details of any one case make it difficult to draw generalizations or to abstract away from specific research situations. However, this analysis of criteria for organismal choice and how these are related in practice allows us to reflect more generally on what makes a particular organism useful or ‘good.’","author":[{"dropping-particle":"","family":"Dietrich","given":"Michael R.","non-dropping-particle":"","parse-names":false,"suffix":""},{"dropping-particle":"","family":"Ankeny","given":"Rachel A.","non-dropping-particle":"","parse-names":false,"suffix":""},{"dropping-particle":"","family":"Crowe","given":"Nathan","non-dropping-particle":"","parse-names":false,"suffix":""},{"dropping-particle":"","family":"Green","given":"Sara","non-dropping-particle":"","parse-names":false,"suffix":""},{"dropping-particle":"","family":"Leonelli","given":"Sabina","non-dropping-particle":"","parse-names":false,"suffix":""}],"container-title":"Studies in History and Philosophy of Science Part C: Studies in History and Philosophy of Biological and Biomedical Sciences","id":"ITEM-1","issued":{"date-parts":[["2020","4","1"]]},"page":"101227","publisher":"Pergamon","title":"How to choose your research organism","type":"article-journal","volume":"80"},"suppress-author":1,"uris":["http://www.mendeley.com/documents/?uuid=77abd132-8f5e-34cc-b55b-881cf3eb7c64"]}],"mendeley":{"formattedCitation":"(2020)","plainTextFormattedCitation":"(2020)","previouslyFormattedCitation":"(2020)"},"properties":{"noteIndex":0},"schema":"https://github.com/citation-style-language/schema/raw/master/csl-citation.json"}</w:instrText>
      </w:r>
      <w:r w:rsidRPr="00DB31B1">
        <w:rPr>
          <w:i/>
          <w:iCs/>
        </w:rPr>
        <w:fldChar w:fldCharType="separate"/>
      </w:r>
      <w:r w:rsidRPr="00DB31B1">
        <w:rPr>
          <w:iCs/>
          <w:noProof/>
        </w:rPr>
        <w:t>(2020)</w:t>
      </w:r>
      <w:r w:rsidRPr="00DB31B1">
        <w:rPr>
          <w:i/>
          <w:iCs/>
        </w:rPr>
        <w:fldChar w:fldCharType="end"/>
      </w:r>
      <w:r w:rsidRPr="00DB31B1">
        <w:t xml:space="preserve"> have provided an extensive discussion of what characterizes a good or useful organism for a given research interest, identifying over 20 criteria clustered into several categories, often interrelated but also in tension and traded off against one another (see Table 1).</w:t>
      </w:r>
    </w:p>
    <w:p w14:paraId="0B70BBB7" w14:textId="77777777" w:rsidR="009935F3" w:rsidRPr="00DB31B1" w:rsidRDefault="009935F3" w:rsidP="009935F3">
      <w:pPr>
        <w:jc w:val="both"/>
      </w:pPr>
      <w:r w:rsidRPr="00DB31B1">
        <w:t xml:space="preserve">Table 1. Criteria for organismal choice. Adopted from Dietrich </w:t>
      </w:r>
      <w:r w:rsidRPr="00DB31B1">
        <w:rPr>
          <w:i/>
          <w:iCs/>
        </w:rPr>
        <w:t>et al.</w:t>
      </w:r>
      <w:r w:rsidRPr="00DB31B1">
        <w:t xml:space="preserve"> </w:t>
      </w:r>
      <w:r w:rsidRPr="00DB31B1">
        <w:fldChar w:fldCharType="begin" w:fldLock="1"/>
      </w:r>
      <w:r w:rsidRPr="00DB31B1">
        <w:instrText>ADDIN CSL_CITATION {"citationItems":[{"id":"ITEM-1","itemData":{"DOI":"10.1016/J.SHPSC.2019.101227","ISSN":"1369-8486","abstract":"Despite August Krogh's famous admonition that a ‘convenient’ organism exists for every biological problem, we argue that appeals to ‘convenience’ are not sufficient to capture reasoning about organism choice. Instead, we offer a detailed analysis based on empirical data and philosophical arguments for a working set of twenty criteria that interact with each other in the highly contextualized judgements that biologists make about organism choice. We propose to think of these decisions as a form of ‘differential analysis’ where researchers weigh multiple criteria for organismal choice against each other, and often utilize multidimensional refinement processes to finalize their choices. The specific details of any one case make it difficult to draw generalizations or to abstract away from specific research situations. However, this analysis of criteria for organismal choice and how these are related in practice allows us to reflect more generally on what makes a particular organism useful or ‘good.’","author":[{"dropping-particle":"","family":"Dietrich","given":"Michael R.","non-dropping-particle":"","parse-names":false,"suffix":""},{"dropping-particle":"","family":"Ankeny","given":"Rachel A.","non-dropping-particle":"","parse-names":false,"suffix":""},{"dropping-particle":"","family":"Crowe","given":"Nathan","non-dropping-particle":"","parse-names":false,"suffix":""},{"dropping-particle":"","family":"Green","given":"Sara","non-dropping-particle":"","parse-names":false,"suffix":""},{"dropping-particle":"","family":"Leonelli","given":"Sabina","non-dropping-particle":"","parse-names":false,"suffix":""}],"container-title":"Studies in History and Philosophy of Science Part C: Studies in History and Philosophy of Biological and Biomedical Sciences","id":"ITEM-1","issued":{"date-parts":[["2020","4","1"]]},"page":"101227","publisher":"Pergamon","title":"How to choose your research organism","type":"article-journal","volume":"80"},"suppress-author":1,"uris":["http://www.mendeley.com/documents/?uuid=77abd132-8f5e-34cc-b55b-881cf3eb7c64"]}],"mendeley":{"formattedCitation":"(2020)","plainTextFormattedCitation":"(2020)","previouslyFormattedCitation":"(2020)"},"properties":{"noteIndex":0},"schema":"https://github.com/citation-style-language/schema/raw/master/csl-citation.json"}</w:instrText>
      </w:r>
      <w:r w:rsidRPr="00DB31B1">
        <w:fldChar w:fldCharType="separate"/>
      </w:r>
      <w:r w:rsidRPr="00DB31B1">
        <w:rPr>
          <w:noProof/>
        </w:rPr>
        <w:t>(2020)</w:t>
      </w:r>
      <w:r w:rsidRPr="00DB31B1">
        <w:fldChar w:fldCharType="end"/>
      </w:r>
      <w:r w:rsidRPr="00DB31B1">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935F3" w:rsidRPr="00DB31B1" w14:paraId="68A4A67C" w14:textId="77777777">
        <w:tc>
          <w:tcPr>
            <w:tcW w:w="4531" w:type="dxa"/>
            <w:tcBorders>
              <w:top w:val="single" w:sz="4" w:space="0" w:color="auto"/>
              <w:bottom w:val="single" w:sz="4" w:space="0" w:color="auto"/>
            </w:tcBorders>
          </w:tcPr>
          <w:p w14:paraId="7EDE1193" w14:textId="77777777" w:rsidR="009935F3" w:rsidRPr="00DB31B1" w:rsidRDefault="009935F3">
            <w:pPr>
              <w:pStyle w:val="Odstavecseseznamem"/>
              <w:jc w:val="both"/>
            </w:pPr>
            <w:r w:rsidRPr="00DB31B1">
              <w:t>Cluster</w:t>
            </w:r>
          </w:p>
        </w:tc>
        <w:tc>
          <w:tcPr>
            <w:tcW w:w="4531" w:type="dxa"/>
            <w:tcBorders>
              <w:top w:val="single" w:sz="4" w:space="0" w:color="auto"/>
              <w:bottom w:val="single" w:sz="4" w:space="0" w:color="auto"/>
            </w:tcBorders>
          </w:tcPr>
          <w:p w14:paraId="28553A27" w14:textId="77777777" w:rsidR="009935F3" w:rsidRPr="00DB31B1" w:rsidRDefault="009935F3">
            <w:pPr>
              <w:pStyle w:val="Odstavecseseznamem"/>
              <w:jc w:val="both"/>
            </w:pPr>
            <w:r w:rsidRPr="00DB31B1">
              <w:t>Criteria</w:t>
            </w:r>
          </w:p>
        </w:tc>
      </w:tr>
      <w:tr w:rsidR="009935F3" w:rsidRPr="00DB31B1" w14:paraId="2CB92FC0" w14:textId="77777777">
        <w:tc>
          <w:tcPr>
            <w:tcW w:w="4531" w:type="dxa"/>
            <w:tcBorders>
              <w:top w:val="single" w:sz="4" w:space="0" w:color="auto"/>
            </w:tcBorders>
          </w:tcPr>
          <w:p w14:paraId="0F93C55B" w14:textId="77777777" w:rsidR="009935F3" w:rsidRPr="00DB31B1" w:rsidRDefault="009935F3">
            <w:pPr>
              <w:pStyle w:val="Odstavecseseznamem"/>
              <w:numPr>
                <w:ilvl w:val="0"/>
                <w:numId w:val="32"/>
              </w:numPr>
              <w:jc w:val="both"/>
            </w:pPr>
            <w:r w:rsidRPr="00DB31B1">
              <w:t>Access</w:t>
            </w:r>
          </w:p>
        </w:tc>
        <w:tc>
          <w:tcPr>
            <w:tcW w:w="4531" w:type="dxa"/>
            <w:tcBorders>
              <w:top w:val="single" w:sz="4" w:space="0" w:color="auto"/>
            </w:tcBorders>
          </w:tcPr>
          <w:p w14:paraId="3306F386" w14:textId="77777777" w:rsidR="009935F3" w:rsidRPr="00DB31B1" w:rsidRDefault="009935F3">
            <w:pPr>
              <w:pStyle w:val="Odstavecseseznamem"/>
              <w:numPr>
                <w:ilvl w:val="0"/>
                <w:numId w:val="33"/>
              </w:numPr>
              <w:jc w:val="both"/>
            </w:pPr>
            <w:r w:rsidRPr="00DB31B1">
              <w:t xml:space="preserve"> Ease of Supply</w:t>
            </w:r>
          </w:p>
        </w:tc>
      </w:tr>
      <w:tr w:rsidR="009935F3" w:rsidRPr="00DB31B1" w14:paraId="42460F96" w14:textId="77777777">
        <w:tc>
          <w:tcPr>
            <w:tcW w:w="4531" w:type="dxa"/>
          </w:tcPr>
          <w:p w14:paraId="5769AAF2" w14:textId="77777777" w:rsidR="009935F3" w:rsidRPr="00DB31B1" w:rsidRDefault="009935F3">
            <w:pPr>
              <w:jc w:val="both"/>
            </w:pPr>
          </w:p>
        </w:tc>
        <w:tc>
          <w:tcPr>
            <w:tcW w:w="4531" w:type="dxa"/>
          </w:tcPr>
          <w:p w14:paraId="0BCFE9B9" w14:textId="77777777" w:rsidR="009935F3" w:rsidRPr="00DB31B1" w:rsidRDefault="009935F3">
            <w:pPr>
              <w:pStyle w:val="Odstavecseseznamem"/>
              <w:numPr>
                <w:ilvl w:val="0"/>
                <w:numId w:val="33"/>
              </w:numPr>
              <w:jc w:val="both"/>
            </w:pPr>
            <w:r w:rsidRPr="00DB31B1">
              <w:t xml:space="preserve"> Phenomenal Access</w:t>
            </w:r>
          </w:p>
        </w:tc>
      </w:tr>
      <w:tr w:rsidR="009935F3" w:rsidRPr="00DB31B1" w14:paraId="4A408657" w14:textId="77777777">
        <w:tc>
          <w:tcPr>
            <w:tcW w:w="4531" w:type="dxa"/>
          </w:tcPr>
          <w:p w14:paraId="14D0BBDF" w14:textId="77777777" w:rsidR="009935F3" w:rsidRPr="00DB31B1" w:rsidRDefault="009935F3">
            <w:pPr>
              <w:jc w:val="both"/>
            </w:pPr>
          </w:p>
        </w:tc>
        <w:tc>
          <w:tcPr>
            <w:tcW w:w="4531" w:type="dxa"/>
          </w:tcPr>
          <w:p w14:paraId="26C40D57" w14:textId="77777777" w:rsidR="009935F3" w:rsidRPr="00DB31B1" w:rsidRDefault="009935F3">
            <w:pPr>
              <w:pStyle w:val="Odstavecseseznamem"/>
              <w:numPr>
                <w:ilvl w:val="0"/>
                <w:numId w:val="33"/>
              </w:numPr>
              <w:jc w:val="both"/>
            </w:pPr>
            <w:r w:rsidRPr="00DB31B1">
              <w:t xml:space="preserve"> Ethical Considerations</w:t>
            </w:r>
          </w:p>
        </w:tc>
      </w:tr>
      <w:tr w:rsidR="009935F3" w:rsidRPr="00DB31B1" w14:paraId="40AEEE03" w14:textId="77777777">
        <w:tc>
          <w:tcPr>
            <w:tcW w:w="4531" w:type="dxa"/>
          </w:tcPr>
          <w:p w14:paraId="286E993D" w14:textId="77777777" w:rsidR="009935F3" w:rsidRPr="00DB31B1" w:rsidRDefault="009935F3">
            <w:pPr>
              <w:pStyle w:val="Odstavecseseznamem"/>
              <w:numPr>
                <w:ilvl w:val="0"/>
                <w:numId w:val="32"/>
              </w:numPr>
              <w:jc w:val="both"/>
            </w:pPr>
            <w:r w:rsidRPr="00DB31B1">
              <w:t>Tractability</w:t>
            </w:r>
          </w:p>
        </w:tc>
        <w:tc>
          <w:tcPr>
            <w:tcW w:w="4531" w:type="dxa"/>
          </w:tcPr>
          <w:p w14:paraId="35F986A3" w14:textId="77777777" w:rsidR="009935F3" w:rsidRPr="00DB31B1" w:rsidRDefault="009935F3">
            <w:pPr>
              <w:pStyle w:val="Odstavecseseznamem"/>
              <w:numPr>
                <w:ilvl w:val="0"/>
                <w:numId w:val="33"/>
              </w:numPr>
              <w:jc w:val="both"/>
            </w:pPr>
            <w:r w:rsidRPr="00DB31B1">
              <w:t xml:space="preserve"> Standardization</w:t>
            </w:r>
          </w:p>
        </w:tc>
      </w:tr>
      <w:tr w:rsidR="009935F3" w:rsidRPr="00DB31B1" w14:paraId="358F81D1" w14:textId="77777777">
        <w:tc>
          <w:tcPr>
            <w:tcW w:w="4531" w:type="dxa"/>
          </w:tcPr>
          <w:p w14:paraId="11EDB7EB" w14:textId="77777777" w:rsidR="009935F3" w:rsidRPr="00DB31B1" w:rsidRDefault="009935F3">
            <w:pPr>
              <w:jc w:val="both"/>
            </w:pPr>
          </w:p>
        </w:tc>
        <w:tc>
          <w:tcPr>
            <w:tcW w:w="4531" w:type="dxa"/>
          </w:tcPr>
          <w:p w14:paraId="67B56924" w14:textId="77777777" w:rsidR="009935F3" w:rsidRPr="00DB31B1" w:rsidRDefault="009935F3">
            <w:pPr>
              <w:pStyle w:val="Odstavecseseznamem"/>
              <w:numPr>
                <w:ilvl w:val="0"/>
                <w:numId w:val="33"/>
              </w:numPr>
              <w:jc w:val="both"/>
            </w:pPr>
            <w:r w:rsidRPr="00DB31B1">
              <w:t xml:space="preserve"> Viability and Durability</w:t>
            </w:r>
          </w:p>
        </w:tc>
      </w:tr>
      <w:tr w:rsidR="009935F3" w:rsidRPr="00DB31B1" w14:paraId="6AABC817" w14:textId="77777777">
        <w:tc>
          <w:tcPr>
            <w:tcW w:w="4531" w:type="dxa"/>
          </w:tcPr>
          <w:p w14:paraId="5D73EC71" w14:textId="77777777" w:rsidR="009935F3" w:rsidRPr="00DB31B1" w:rsidRDefault="009935F3">
            <w:pPr>
              <w:jc w:val="both"/>
            </w:pPr>
          </w:p>
        </w:tc>
        <w:tc>
          <w:tcPr>
            <w:tcW w:w="4531" w:type="dxa"/>
          </w:tcPr>
          <w:p w14:paraId="434289C3" w14:textId="77777777" w:rsidR="009935F3" w:rsidRPr="00DB31B1" w:rsidRDefault="009935F3">
            <w:pPr>
              <w:pStyle w:val="Odstavecseseznamem"/>
              <w:numPr>
                <w:ilvl w:val="0"/>
                <w:numId w:val="33"/>
              </w:numPr>
              <w:jc w:val="both"/>
            </w:pPr>
            <w:r w:rsidRPr="00DB31B1">
              <w:t xml:space="preserve"> Responsiveness</w:t>
            </w:r>
          </w:p>
        </w:tc>
      </w:tr>
      <w:tr w:rsidR="009935F3" w:rsidRPr="00DB31B1" w14:paraId="6A7137D2" w14:textId="77777777">
        <w:tc>
          <w:tcPr>
            <w:tcW w:w="4531" w:type="dxa"/>
          </w:tcPr>
          <w:p w14:paraId="5B281AC8" w14:textId="77777777" w:rsidR="009935F3" w:rsidRPr="00DB31B1" w:rsidRDefault="009935F3">
            <w:pPr>
              <w:jc w:val="both"/>
            </w:pPr>
          </w:p>
        </w:tc>
        <w:tc>
          <w:tcPr>
            <w:tcW w:w="4531" w:type="dxa"/>
          </w:tcPr>
          <w:p w14:paraId="2C98513C" w14:textId="77777777" w:rsidR="009935F3" w:rsidRPr="00DB31B1" w:rsidRDefault="009935F3">
            <w:pPr>
              <w:pStyle w:val="Odstavecseseznamem"/>
              <w:numPr>
                <w:ilvl w:val="0"/>
                <w:numId w:val="33"/>
              </w:numPr>
              <w:jc w:val="both"/>
            </w:pPr>
            <w:r w:rsidRPr="00DB31B1">
              <w:t xml:space="preserve"> Availability of Methods and Techniques</w:t>
            </w:r>
          </w:p>
        </w:tc>
      </w:tr>
      <w:tr w:rsidR="009935F3" w:rsidRPr="00DB31B1" w14:paraId="6A62581C" w14:textId="77777777">
        <w:tc>
          <w:tcPr>
            <w:tcW w:w="4531" w:type="dxa"/>
          </w:tcPr>
          <w:p w14:paraId="14776901" w14:textId="77777777" w:rsidR="009935F3" w:rsidRPr="00DB31B1" w:rsidRDefault="009935F3">
            <w:pPr>
              <w:jc w:val="both"/>
            </w:pPr>
          </w:p>
        </w:tc>
        <w:tc>
          <w:tcPr>
            <w:tcW w:w="4531" w:type="dxa"/>
          </w:tcPr>
          <w:p w14:paraId="44040C8D" w14:textId="77777777" w:rsidR="009935F3" w:rsidRPr="00DB31B1" w:rsidRDefault="009935F3">
            <w:pPr>
              <w:pStyle w:val="Odstavecseseznamem"/>
              <w:numPr>
                <w:ilvl w:val="0"/>
                <w:numId w:val="33"/>
              </w:numPr>
              <w:jc w:val="both"/>
            </w:pPr>
            <w:r w:rsidRPr="00DB31B1">
              <w:t xml:space="preserve"> Researcher Risks</w:t>
            </w:r>
          </w:p>
        </w:tc>
      </w:tr>
      <w:tr w:rsidR="009935F3" w:rsidRPr="00DB31B1" w14:paraId="6E79D1C0" w14:textId="77777777">
        <w:tc>
          <w:tcPr>
            <w:tcW w:w="4531" w:type="dxa"/>
          </w:tcPr>
          <w:p w14:paraId="59DB10AC" w14:textId="77777777" w:rsidR="009935F3" w:rsidRPr="00DB31B1" w:rsidRDefault="009935F3">
            <w:pPr>
              <w:pStyle w:val="Odstavecseseznamem"/>
              <w:numPr>
                <w:ilvl w:val="0"/>
                <w:numId w:val="32"/>
              </w:numPr>
              <w:jc w:val="both"/>
            </w:pPr>
            <w:r w:rsidRPr="00DB31B1">
              <w:t>Resourcing</w:t>
            </w:r>
          </w:p>
        </w:tc>
        <w:tc>
          <w:tcPr>
            <w:tcW w:w="4531" w:type="dxa"/>
          </w:tcPr>
          <w:p w14:paraId="441B82E8" w14:textId="77777777" w:rsidR="009935F3" w:rsidRPr="00DB31B1" w:rsidRDefault="009935F3">
            <w:pPr>
              <w:pStyle w:val="Odstavecseseznamem"/>
              <w:numPr>
                <w:ilvl w:val="0"/>
                <w:numId w:val="33"/>
              </w:numPr>
              <w:jc w:val="both"/>
            </w:pPr>
            <w:r w:rsidRPr="00DB31B1">
              <w:t xml:space="preserve"> Previous use</w:t>
            </w:r>
          </w:p>
        </w:tc>
      </w:tr>
      <w:tr w:rsidR="009935F3" w:rsidRPr="00DB31B1" w14:paraId="2C9FEAD8" w14:textId="77777777">
        <w:tc>
          <w:tcPr>
            <w:tcW w:w="4531" w:type="dxa"/>
          </w:tcPr>
          <w:p w14:paraId="527099ED" w14:textId="77777777" w:rsidR="009935F3" w:rsidRPr="00DB31B1" w:rsidRDefault="009935F3">
            <w:pPr>
              <w:jc w:val="both"/>
            </w:pPr>
          </w:p>
        </w:tc>
        <w:tc>
          <w:tcPr>
            <w:tcW w:w="4531" w:type="dxa"/>
          </w:tcPr>
          <w:p w14:paraId="44CDF795" w14:textId="77777777" w:rsidR="009935F3" w:rsidRPr="00DB31B1" w:rsidRDefault="009935F3">
            <w:pPr>
              <w:pStyle w:val="Odstavecseseznamem"/>
              <w:numPr>
                <w:ilvl w:val="0"/>
                <w:numId w:val="33"/>
              </w:numPr>
              <w:jc w:val="both"/>
            </w:pPr>
            <w:r w:rsidRPr="00DB31B1">
              <w:t xml:space="preserve"> Epistemic Resources</w:t>
            </w:r>
          </w:p>
        </w:tc>
      </w:tr>
      <w:tr w:rsidR="009935F3" w:rsidRPr="00DB31B1" w14:paraId="1A2A5D84" w14:textId="77777777">
        <w:tc>
          <w:tcPr>
            <w:tcW w:w="4531" w:type="dxa"/>
          </w:tcPr>
          <w:p w14:paraId="0E012089" w14:textId="77777777" w:rsidR="009935F3" w:rsidRPr="00DB31B1" w:rsidRDefault="009935F3">
            <w:pPr>
              <w:jc w:val="both"/>
            </w:pPr>
          </w:p>
        </w:tc>
        <w:tc>
          <w:tcPr>
            <w:tcW w:w="4531" w:type="dxa"/>
          </w:tcPr>
          <w:p w14:paraId="5C49E6DC" w14:textId="77777777" w:rsidR="009935F3" w:rsidRPr="00DB31B1" w:rsidRDefault="009935F3">
            <w:pPr>
              <w:pStyle w:val="Odstavecseseznamem"/>
              <w:numPr>
                <w:ilvl w:val="0"/>
                <w:numId w:val="33"/>
              </w:numPr>
              <w:jc w:val="both"/>
            </w:pPr>
            <w:r w:rsidRPr="00DB31B1">
              <w:t xml:space="preserve"> Training Requirements</w:t>
            </w:r>
          </w:p>
        </w:tc>
      </w:tr>
      <w:tr w:rsidR="009935F3" w:rsidRPr="00DB31B1" w14:paraId="22990C54" w14:textId="77777777">
        <w:tc>
          <w:tcPr>
            <w:tcW w:w="4531" w:type="dxa"/>
          </w:tcPr>
          <w:p w14:paraId="66525164" w14:textId="77777777" w:rsidR="009935F3" w:rsidRPr="00DB31B1" w:rsidRDefault="009935F3">
            <w:pPr>
              <w:jc w:val="both"/>
            </w:pPr>
          </w:p>
        </w:tc>
        <w:tc>
          <w:tcPr>
            <w:tcW w:w="4531" w:type="dxa"/>
          </w:tcPr>
          <w:p w14:paraId="7F094B42" w14:textId="77777777" w:rsidR="009935F3" w:rsidRPr="00DB31B1" w:rsidRDefault="009935F3">
            <w:pPr>
              <w:pStyle w:val="Odstavecseseznamem"/>
              <w:numPr>
                <w:ilvl w:val="0"/>
                <w:numId w:val="33"/>
              </w:numPr>
              <w:jc w:val="both"/>
            </w:pPr>
            <w:r w:rsidRPr="00DB31B1">
              <w:t xml:space="preserve"> Informational Resources</w:t>
            </w:r>
          </w:p>
        </w:tc>
      </w:tr>
      <w:tr w:rsidR="009935F3" w:rsidRPr="00DB31B1" w14:paraId="3C322170" w14:textId="77777777">
        <w:tc>
          <w:tcPr>
            <w:tcW w:w="4531" w:type="dxa"/>
          </w:tcPr>
          <w:p w14:paraId="647AB4FA" w14:textId="77777777" w:rsidR="009935F3" w:rsidRPr="00DB31B1" w:rsidRDefault="009935F3">
            <w:pPr>
              <w:pStyle w:val="Odstavecseseznamem"/>
              <w:numPr>
                <w:ilvl w:val="0"/>
                <w:numId w:val="32"/>
              </w:numPr>
              <w:jc w:val="both"/>
            </w:pPr>
            <w:r w:rsidRPr="00DB31B1">
              <w:t>Economies</w:t>
            </w:r>
          </w:p>
        </w:tc>
        <w:tc>
          <w:tcPr>
            <w:tcW w:w="4531" w:type="dxa"/>
          </w:tcPr>
          <w:p w14:paraId="527DB914" w14:textId="77777777" w:rsidR="009935F3" w:rsidRPr="00DB31B1" w:rsidRDefault="009935F3">
            <w:pPr>
              <w:pStyle w:val="Odstavecseseznamem"/>
              <w:numPr>
                <w:ilvl w:val="0"/>
                <w:numId w:val="33"/>
              </w:numPr>
              <w:jc w:val="both"/>
            </w:pPr>
            <w:r w:rsidRPr="00DB31B1">
              <w:t xml:space="preserve"> Institutional Support</w:t>
            </w:r>
          </w:p>
        </w:tc>
      </w:tr>
      <w:tr w:rsidR="009935F3" w:rsidRPr="00DB31B1" w14:paraId="55566E71" w14:textId="77777777">
        <w:tc>
          <w:tcPr>
            <w:tcW w:w="4531" w:type="dxa"/>
          </w:tcPr>
          <w:p w14:paraId="6A39921D" w14:textId="77777777" w:rsidR="009935F3" w:rsidRPr="00DB31B1" w:rsidRDefault="009935F3">
            <w:pPr>
              <w:jc w:val="both"/>
            </w:pPr>
          </w:p>
        </w:tc>
        <w:tc>
          <w:tcPr>
            <w:tcW w:w="4531" w:type="dxa"/>
          </w:tcPr>
          <w:p w14:paraId="3DA746DD" w14:textId="77777777" w:rsidR="009935F3" w:rsidRPr="00DB31B1" w:rsidRDefault="009935F3">
            <w:pPr>
              <w:pStyle w:val="Odstavecseseznamem"/>
              <w:numPr>
                <w:ilvl w:val="0"/>
                <w:numId w:val="33"/>
              </w:numPr>
              <w:jc w:val="both"/>
            </w:pPr>
            <w:r w:rsidRPr="00DB31B1">
              <w:t xml:space="preserve"> Financial Considerations</w:t>
            </w:r>
          </w:p>
        </w:tc>
      </w:tr>
      <w:tr w:rsidR="009935F3" w:rsidRPr="00DB31B1" w14:paraId="1B1D00BC" w14:textId="77777777">
        <w:tc>
          <w:tcPr>
            <w:tcW w:w="4531" w:type="dxa"/>
          </w:tcPr>
          <w:p w14:paraId="6FD7BCF0" w14:textId="77777777" w:rsidR="009935F3" w:rsidRPr="00DB31B1" w:rsidRDefault="009935F3">
            <w:pPr>
              <w:jc w:val="both"/>
            </w:pPr>
          </w:p>
        </w:tc>
        <w:tc>
          <w:tcPr>
            <w:tcW w:w="4531" w:type="dxa"/>
          </w:tcPr>
          <w:p w14:paraId="427845DD" w14:textId="77777777" w:rsidR="009935F3" w:rsidRPr="00DB31B1" w:rsidRDefault="009935F3">
            <w:pPr>
              <w:pStyle w:val="Odstavecseseznamem"/>
              <w:numPr>
                <w:ilvl w:val="0"/>
                <w:numId w:val="33"/>
              </w:numPr>
              <w:jc w:val="both"/>
            </w:pPr>
            <w:r w:rsidRPr="00DB31B1">
              <w:t xml:space="preserve"> Community Support</w:t>
            </w:r>
          </w:p>
        </w:tc>
      </w:tr>
      <w:tr w:rsidR="009935F3" w:rsidRPr="00DB31B1" w14:paraId="20DC5284" w14:textId="77777777">
        <w:tc>
          <w:tcPr>
            <w:tcW w:w="4531" w:type="dxa"/>
          </w:tcPr>
          <w:p w14:paraId="42B1F0C8" w14:textId="77777777" w:rsidR="009935F3" w:rsidRPr="00DB31B1" w:rsidRDefault="009935F3">
            <w:pPr>
              <w:jc w:val="both"/>
            </w:pPr>
          </w:p>
        </w:tc>
        <w:tc>
          <w:tcPr>
            <w:tcW w:w="4531" w:type="dxa"/>
          </w:tcPr>
          <w:p w14:paraId="3F6F033F" w14:textId="77777777" w:rsidR="009935F3" w:rsidRPr="00DB31B1" w:rsidRDefault="009935F3">
            <w:pPr>
              <w:pStyle w:val="Odstavecseseznamem"/>
              <w:numPr>
                <w:ilvl w:val="0"/>
                <w:numId w:val="33"/>
              </w:numPr>
              <w:jc w:val="both"/>
            </w:pPr>
            <w:r w:rsidRPr="00DB31B1">
              <w:t xml:space="preserve"> Affective and Cultural Attributes</w:t>
            </w:r>
          </w:p>
        </w:tc>
      </w:tr>
      <w:tr w:rsidR="009935F3" w:rsidRPr="00DB31B1" w14:paraId="4D9EDB12" w14:textId="77777777">
        <w:tc>
          <w:tcPr>
            <w:tcW w:w="4531" w:type="dxa"/>
          </w:tcPr>
          <w:p w14:paraId="3F56687F" w14:textId="77777777" w:rsidR="009935F3" w:rsidRPr="00DB31B1" w:rsidRDefault="009935F3">
            <w:pPr>
              <w:pStyle w:val="Odstavecseseznamem"/>
              <w:numPr>
                <w:ilvl w:val="0"/>
                <w:numId w:val="32"/>
              </w:numPr>
              <w:jc w:val="both"/>
            </w:pPr>
            <w:r w:rsidRPr="00DB31B1">
              <w:t>Promise</w:t>
            </w:r>
          </w:p>
        </w:tc>
        <w:tc>
          <w:tcPr>
            <w:tcW w:w="4531" w:type="dxa"/>
          </w:tcPr>
          <w:p w14:paraId="70F3A21B" w14:textId="77777777" w:rsidR="009935F3" w:rsidRPr="00DB31B1" w:rsidRDefault="009935F3">
            <w:pPr>
              <w:pStyle w:val="Odstavecseseznamem"/>
              <w:numPr>
                <w:ilvl w:val="0"/>
                <w:numId w:val="33"/>
              </w:numPr>
              <w:jc w:val="both"/>
            </w:pPr>
            <w:r w:rsidRPr="00DB31B1">
              <w:t xml:space="preserve"> Commercial and Other Applications</w:t>
            </w:r>
          </w:p>
        </w:tc>
      </w:tr>
      <w:tr w:rsidR="009935F3" w:rsidRPr="00DB31B1" w14:paraId="4333BDF2" w14:textId="77777777">
        <w:tc>
          <w:tcPr>
            <w:tcW w:w="4531" w:type="dxa"/>
          </w:tcPr>
          <w:p w14:paraId="624725B7" w14:textId="77777777" w:rsidR="009935F3" w:rsidRPr="00DB31B1" w:rsidRDefault="009935F3">
            <w:pPr>
              <w:jc w:val="both"/>
            </w:pPr>
          </w:p>
        </w:tc>
        <w:tc>
          <w:tcPr>
            <w:tcW w:w="4531" w:type="dxa"/>
          </w:tcPr>
          <w:p w14:paraId="5E7ED810" w14:textId="77777777" w:rsidR="009935F3" w:rsidRPr="00DB31B1" w:rsidRDefault="009935F3">
            <w:pPr>
              <w:pStyle w:val="Odstavecseseznamem"/>
              <w:numPr>
                <w:ilvl w:val="0"/>
                <w:numId w:val="33"/>
              </w:numPr>
              <w:jc w:val="both"/>
            </w:pPr>
            <w:r w:rsidRPr="00DB31B1">
              <w:t xml:space="preserve"> Comparative Potential</w:t>
            </w:r>
          </w:p>
        </w:tc>
      </w:tr>
      <w:tr w:rsidR="009935F3" w:rsidRPr="00DB31B1" w14:paraId="55599AE5" w14:textId="77777777">
        <w:tc>
          <w:tcPr>
            <w:tcW w:w="4531" w:type="dxa"/>
          </w:tcPr>
          <w:p w14:paraId="330AC87A" w14:textId="77777777" w:rsidR="009935F3" w:rsidRPr="00DB31B1" w:rsidRDefault="009935F3">
            <w:pPr>
              <w:jc w:val="both"/>
            </w:pPr>
          </w:p>
        </w:tc>
        <w:tc>
          <w:tcPr>
            <w:tcW w:w="4531" w:type="dxa"/>
          </w:tcPr>
          <w:p w14:paraId="3FB9C8D0" w14:textId="77777777" w:rsidR="009935F3" w:rsidRPr="00DB31B1" w:rsidRDefault="009935F3">
            <w:pPr>
              <w:pStyle w:val="Odstavecseseznamem"/>
              <w:numPr>
                <w:ilvl w:val="0"/>
                <w:numId w:val="33"/>
              </w:numPr>
              <w:jc w:val="both"/>
            </w:pPr>
            <w:r w:rsidRPr="00DB31B1">
              <w:t xml:space="preserve"> Translational Potential</w:t>
            </w:r>
          </w:p>
        </w:tc>
      </w:tr>
      <w:tr w:rsidR="009935F3" w:rsidRPr="00DB31B1" w14:paraId="21A9B488" w14:textId="77777777">
        <w:tc>
          <w:tcPr>
            <w:tcW w:w="4531" w:type="dxa"/>
            <w:tcBorders>
              <w:bottom w:val="single" w:sz="4" w:space="0" w:color="auto"/>
            </w:tcBorders>
          </w:tcPr>
          <w:p w14:paraId="69981A08" w14:textId="77777777" w:rsidR="009935F3" w:rsidRPr="00DB31B1" w:rsidRDefault="009935F3">
            <w:pPr>
              <w:jc w:val="both"/>
            </w:pPr>
          </w:p>
        </w:tc>
        <w:tc>
          <w:tcPr>
            <w:tcW w:w="4531" w:type="dxa"/>
            <w:tcBorders>
              <w:bottom w:val="single" w:sz="4" w:space="0" w:color="auto"/>
            </w:tcBorders>
          </w:tcPr>
          <w:p w14:paraId="0B2B92C1" w14:textId="77777777" w:rsidR="009935F3" w:rsidRPr="00DB31B1" w:rsidRDefault="009935F3">
            <w:pPr>
              <w:pStyle w:val="Odstavecseseznamem"/>
              <w:numPr>
                <w:ilvl w:val="0"/>
                <w:numId w:val="33"/>
              </w:numPr>
              <w:jc w:val="both"/>
            </w:pPr>
            <w:r w:rsidRPr="00DB31B1">
              <w:t xml:space="preserve"> Novelty</w:t>
            </w:r>
          </w:p>
        </w:tc>
      </w:tr>
    </w:tbl>
    <w:p w14:paraId="067F84A6" w14:textId="77777777" w:rsidR="009935F3" w:rsidRPr="00DB31B1" w:rsidRDefault="009935F3" w:rsidP="009935F3">
      <w:pPr>
        <w:jc w:val="both"/>
      </w:pPr>
    </w:p>
    <w:p w14:paraId="65109378" w14:textId="77777777" w:rsidR="009935F3" w:rsidRPr="00DB31B1" w:rsidRDefault="009935F3" w:rsidP="009935F3">
      <w:r w:rsidRPr="00DB31B1">
        <w:t xml:space="preserve">Most, if not all of these criteria, are also applicable to the specific context of mouse models in cancer biology and immunology. Thus, these criteria guide not only the choice of model organism in general (e.g., the choice between zebrafish and rodents), but also the very particular selection of mouse models (e.g., between transplantable and genetically engineered). </w:t>
      </w:r>
    </w:p>
    <w:p w14:paraId="47F64127" w14:textId="77777777" w:rsidR="009935F3" w:rsidRPr="00DB31B1" w:rsidRDefault="009935F3" w:rsidP="009935F3">
      <w:r w:rsidRPr="00DB31B1">
        <w:t xml:space="preserve">For example, consider the criterion of </w:t>
      </w:r>
      <w:r w:rsidRPr="00DB31B1">
        <w:rPr>
          <w:i/>
          <w:iCs/>
        </w:rPr>
        <w:t>phenomenal access</w:t>
      </w:r>
      <w:r w:rsidRPr="00DB31B1">
        <w:t xml:space="preserve">: transplantable immunodeficient mouse models allow neither for the investigation of the role of the immune system in surveilling tumors, nor for testing immunomodulatory drugs such as checkpoint inhibitors. Thus, if the aim is to test immunotherapies, immunodeficient transplantable models using cancer cell lines would be an inappropriate choice for that particular task. Likewise, the fact that engrafting PBMCs brings about the onset of </w:t>
      </w:r>
      <w:r w:rsidRPr="00DB31B1">
        <w:rPr>
          <w:rFonts w:cstheme="minorHAnsi"/>
        </w:rPr>
        <w:t>severe human xenograft versus host disease (xGVHD)</w:t>
      </w:r>
      <w:r w:rsidRPr="00DB31B1">
        <w:t xml:space="preserve"> within a few weeks, thus limiting the time window for testing checkpoint blockers </w:t>
      </w:r>
      <w:r w:rsidRPr="00DB31B1">
        <w:rPr>
          <w:rFonts w:cstheme="minorHAnsi"/>
        </w:rPr>
        <w:fldChar w:fldCharType="begin" w:fldLock="1"/>
      </w:r>
      <w:r w:rsidRPr="00DB31B1">
        <w:rPr>
          <w:rFonts w:cstheme="minorHAnsi"/>
        </w:rPr>
        <w:instrText>ADDIN CSL_CITATION {"citationItems":[{"id":"ITEM-1","itemData":{"DOI":"10.1093/ANNONC/MDW041","ISSN":"0923-7534","abstract":"The recent success of checkpoint blockers to treat cancer has demonstrated that the immune system is a critical player in the war against cancer. Historically, anticancer therapeutics have been tested in syngeneic mouse models (with a fully murine immune system) or in immunodeficient mice that allow the engraftment of human xenografts. Animal models with functioning human immune systems are critically needed to more accurately recapitulate the complexity of the human tumor microenvironment. Such models are integral to better predict tumor responses to both immunomodulatory agents and directly antineoplastic therapies. In this regard, the development of humanized models is a promising, novel strategy that offers the possibility of testing checkpoint blockers' capacity and their combination with other antitumor drugs. In this review, we discuss the strengths and weaknesses of the available animal models regarding their capacity to evaluate checkpoint blockers and checkpoint blocker-based combination immunotherapy.","author":[{"dropping-particle":"","family":"Sanmamed","given":"M.F.","non-dropping-particle":"","parse-names":false,"suffix":""},{"dropping-particle":"","family":"Chester","given":"C.","non-dropping-particle":"","parse-names":false,"suffix":""},{"dropping-particle":"","family":"Melero","given":"I.","non-dropping-particle":"","parse-names":false,"suffix":""},{"dropping-particle":"","family":"Kohrt","given":"H.","non-dropping-particle":"","parse-names":false,"suffix":""}],"container-title":"Annals of Oncology","id":"ITEM-1","issue":"7","issued":{"date-parts":[["2016","7","1"]]},"page":"1190-1198","publisher":"Elsevier","title":"Defining the optimal murine models to investigate immune checkpoint blockers and their combination with other immunotherapies","type":"article-journal","volume":"27"},"uris":["http://www.mendeley.com/documents/?uuid=b5c501e6-576c-37a5-9e3a-de976ed535d5"]}],"mendeley":{"formattedCitation":"(Sanmamed et al., 2016)","plainTextFormattedCitation":"(Sanmamed et al., 2016)","previouslyFormattedCitation":"(Sanmamed et al., 2016)"},"properties":{"noteIndex":0},"schema":"https://github.com/citation-style-language/schema/raw/master/csl-citation.json"}</w:instrText>
      </w:r>
      <w:r w:rsidRPr="00DB31B1">
        <w:rPr>
          <w:rFonts w:cstheme="minorHAnsi"/>
        </w:rPr>
        <w:fldChar w:fldCharType="separate"/>
      </w:r>
      <w:r w:rsidRPr="00DB31B1">
        <w:rPr>
          <w:rFonts w:cstheme="minorHAnsi"/>
          <w:noProof/>
        </w:rPr>
        <w:t>(Sanmamed et al., 2016)</w:t>
      </w:r>
      <w:r w:rsidRPr="00DB31B1">
        <w:rPr>
          <w:rFonts w:cstheme="minorHAnsi"/>
        </w:rPr>
        <w:fldChar w:fldCharType="end"/>
      </w:r>
      <w:r w:rsidRPr="00DB31B1">
        <w:t xml:space="preserve">, showcases other practical and epistemic constraints captured by the </w:t>
      </w:r>
      <w:r w:rsidRPr="00DB31B1">
        <w:rPr>
          <w:i/>
          <w:iCs/>
        </w:rPr>
        <w:t>phenomenal access</w:t>
      </w:r>
      <w:r w:rsidRPr="00DB31B1">
        <w:t xml:space="preserve"> and </w:t>
      </w:r>
      <w:r w:rsidRPr="00DB31B1">
        <w:rPr>
          <w:i/>
          <w:iCs/>
        </w:rPr>
        <w:t>viability and durability</w:t>
      </w:r>
      <w:r w:rsidRPr="00DB31B1">
        <w:t xml:space="preserve"> criteria. Similarly, in contrast to transplantable models, GEMMs typically require longer follow up as tumors appear after several months and experiments take many additional months. In fact, immunocompetent transplantable models have several advantages: they are cheap, they have a fully functional immune system, they allow for the rapid screening of drugs and for experiments to be conducted in a timely manner, and they lead to extremely predictable tumor growths. Additionally, there is an </w:t>
      </w:r>
      <w:r w:rsidRPr="00DB31B1">
        <w:rPr>
          <w:i/>
          <w:iCs/>
        </w:rPr>
        <w:t>ease of supply</w:t>
      </w:r>
      <w:r w:rsidRPr="00DB31B1">
        <w:t xml:space="preserve"> of these standard mice. However, there are also several disadvantages that make them poorly realistic models in certain respects: the genetic homogeneity of cancer cell lines does not mirror the genetic heterogeneity found in spontaneous tumors, the tumors grow rapidly, lacking the features of multi-step tumorigenesis and the chronic inflammatory environment so </w:t>
      </w:r>
      <w:r w:rsidRPr="00DB31B1">
        <w:lastRenderedPageBreak/>
        <w:t xml:space="preserve">characteristic of spontaneous tumors, and they do not recapitulate the tumor microenvironment. Furthermore, owing to their immunocompetence, they cannot be used to directly study human tumors as these would be rejected by the mouse model. </w:t>
      </w:r>
    </w:p>
    <w:p w14:paraId="4D2E57D9" w14:textId="77777777" w:rsidR="009935F3" w:rsidRPr="00DB31B1" w:rsidRDefault="009935F3" w:rsidP="009935F3">
      <w:r w:rsidRPr="00DB31B1">
        <w:t xml:space="preserve">The </w:t>
      </w:r>
      <w:r w:rsidRPr="00DB31B1">
        <w:rPr>
          <w:i/>
          <w:iCs/>
        </w:rPr>
        <w:t>ease of supply</w:t>
      </w:r>
      <w:r w:rsidRPr="00DB31B1">
        <w:t xml:space="preserve"> generally presents more difficulties to various kinds of humanized models which are much more difficult to obtain. Similarly, </w:t>
      </w:r>
      <w:r w:rsidRPr="00DB31B1">
        <w:rPr>
          <w:lang w:eastAsia="cs-CZ"/>
        </w:rPr>
        <w:t xml:space="preserve">the fact that PDX models depend on tumor samples rather than on the easily obtainable and maintained repertoires of cancer cell lines presents an obstacle due to the relative scarcity of tumor material, resulting in fewer mouse cohorts.  Furthermore, some tumor samples are difficult – even impossible – to obtain owing to the extremely invasive surgical procedure required for accessing the tumor. The case of the iPDX models is also telling: their greatest advantage is also their greatest disadvantage, for the tissue available for conducting studies is scarce. A related issue concerns the use of these models in the context of personalized and precision oncology: they should allow for patient-specific drug testing in real-time but since creating models, followed by the research, takes time which the patients may not have, temporal challenges arise </w:t>
      </w:r>
      <w:r w:rsidRPr="00DB31B1">
        <w:rPr>
          <w:lang w:eastAsia="cs-CZ"/>
        </w:rPr>
        <w:fldChar w:fldCharType="begin" w:fldLock="1"/>
      </w:r>
      <w:r w:rsidRPr="00DB31B1">
        <w:rPr>
          <w:lang w:eastAsia="cs-CZ"/>
        </w:rPr>
        <w:instrText>ADDIN CSL_CITATION {"citationItems":[{"id":"ITEM-1","itemData":{"DOI":"10.1007/s40656-021-00383-w","ISSN":"17426316","PMID":"33620596","abstract":"Patient-derived xenografts (PDXs) are currently promoted as new translational models in precision oncology. PDXs are immunodeficient mice with human tumors that are used as surrogate models to represent specific types of cancer. By accounting for the genetic heterogeneity of cancer tumors, PDXs are hoped to provide more clinically relevant results in preclinical research. Further, in the function of so-called “mouse avatars”, PDXs are hoped to allow for patient-specific drug testing in real-time (in parallel to treatment of the corresponding cancer patient). This paper examines the circulation of knowledge and bodily material across the species boundary of human and personalized mouse model, historically as well as in contemporary practices. PDXs raise interesting questions about the relation between animal model and human patient, and about the capacity of hybrid or interspecies models to close existing translational gaps. We highlight that the translational potential of PDXs not only depends on representational matching of model and target, but also on temporal alignment between model development and practical uses. Aside from the importance of ensuring temporal stability of human tumors in a murine body, the mouse avatar concept rests on the possibility of aligning the temporal horizons of the clinic and the lab. We examine strategies to address temporal challenges, including cryopreservation and biobanking, as well as attempts to speed up translation through modification and use of faster developing organisms. We discuss how featured model virtues change with precision oncology, and contend that temporality is a model feature that deserves more philosophical attention.","author":[{"dropping-particle":"","family":"Green","given":"Sara","non-dropping-particle":"","parse-names":false,"suffix":""},{"dropping-particle":"","family":"Dam","given":"Mie S.","non-dropping-particle":"","parse-names":false,"suffix":""},{"dropping-particle":"","family":"Svendsen","given":"Mette N.","non-dropping-particle":"","parse-names":false,"suffix":""}],"container-title":"History and Philosophy of the Life Sciences","id":"ITEM-1","issue":"1","issued":{"date-parts":[["2021","3","1"]]},"page":"27","publisher":"Springer Science and Business Media Deutschland GmbH","title":"Mouse avatars of human cancers: the temporality of translation in precision oncology","type":"article-journal","volume":"43"},"prefix":"see","uris":["http://www.mendeley.com/documents/?uuid=4705c055-3303-3911-8635-92e04d08f4aa"]}],"mendeley":{"formattedCitation":"(see Green et al., 2021)","plainTextFormattedCitation":"(see Green et al., 2021)","previouslyFormattedCitation":"(see Green et al., 2021)"},"properties":{"noteIndex":0},"schema":"https://github.com/citation-style-language/schema/raw/master/csl-citation.json"}</w:instrText>
      </w:r>
      <w:r w:rsidRPr="00DB31B1">
        <w:rPr>
          <w:lang w:eastAsia="cs-CZ"/>
        </w:rPr>
        <w:fldChar w:fldCharType="separate"/>
      </w:r>
      <w:r w:rsidRPr="00DB31B1">
        <w:rPr>
          <w:noProof/>
          <w:lang w:eastAsia="cs-CZ"/>
        </w:rPr>
        <w:t>(see Green et al., 2021)</w:t>
      </w:r>
      <w:r w:rsidRPr="00DB31B1">
        <w:rPr>
          <w:lang w:eastAsia="cs-CZ"/>
        </w:rPr>
        <w:fldChar w:fldCharType="end"/>
      </w:r>
      <w:r w:rsidRPr="00DB31B1">
        <w:rPr>
          <w:lang w:eastAsia="cs-CZ"/>
        </w:rPr>
        <w:t>.</w:t>
      </w:r>
    </w:p>
    <w:p w14:paraId="05ED0224" w14:textId="2C7D7321" w:rsidR="009935F3" w:rsidRPr="00DB31B1" w:rsidRDefault="009935F3" w:rsidP="009935F3">
      <w:r w:rsidRPr="00DB31B1">
        <w:t xml:space="preserve">Although humanized mice are said to provide better </w:t>
      </w:r>
      <w:r w:rsidRPr="00DB31B1">
        <w:rPr>
          <w:i/>
          <w:iCs/>
        </w:rPr>
        <w:t>translational potential</w:t>
      </w:r>
      <w:r w:rsidRPr="00DB31B1">
        <w:t>,</w:t>
      </w:r>
      <w:r w:rsidR="00636B6E" w:rsidRPr="00DB31B1">
        <w:rPr>
          <w:rStyle w:val="Znakapoznpodarou"/>
        </w:rPr>
        <w:footnoteReference w:id="9"/>
      </w:r>
      <w:r w:rsidRPr="00DB31B1">
        <w:t xml:space="preserve"> they also put pressure on </w:t>
      </w:r>
      <w:r w:rsidRPr="00DB31B1">
        <w:rPr>
          <w:i/>
          <w:iCs/>
        </w:rPr>
        <w:t>financial considerations</w:t>
      </w:r>
      <w:r w:rsidRPr="00DB31B1">
        <w:t xml:space="preserve"> as they are significantly more expensive, which means that many laboratories cannot afford them, and so </w:t>
      </w:r>
      <w:r w:rsidRPr="00DB31B1">
        <w:rPr>
          <w:i/>
          <w:iCs/>
        </w:rPr>
        <w:t xml:space="preserve">institutional support </w:t>
      </w:r>
      <w:r w:rsidRPr="00DB31B1">
        <w:t xml:space="preserve">is limited. Although the criterion of </w:t>
      </w:r>
      <w:r w:rsidRPr="00DB31B1">
        <w:rPr>
          <w:i/>
          <w:iCs/>
        </w:rPr>
        <w:t>previous use</w:t>
      </w:r>
      <w:r w:rsidRPr="00DB31B1">
        <w:t xml:space="preserve">, that is, for example, how to feed the mouse or how it reacts to the laboratory environment, does not present a significant difference between humanized and other mouse models, the </w:t>
      </w:r>
      <w:r w:rsidRPr="00DB31B1">
        <w:rPr>
          <w:i/>
          <w:iCs/>
        </w:rPr>
        <w:t>training requirements</w:t>
      </w:r>
      <w:r w:rsidRPr="00DB31B1">
        <w:t xml:space="preserve"> and </w:t>
      </w:r>
      <w:r w:rsidRPr="00DB31B1">
        <w:rPr>
          <w:i/>
          <w:iCs/>
        </w:rPr>
        <w:t>informational resources</w:t>
      </w:r>
      <w:r w:rsidRPr="00DB31B1">
        <w:t xml:space="preserve"> concerning the specificity of these models as opposed to other types of models does present a difference, such as what the limits of particular humanized models are. The use of cancer cell lines have some undisputable advantages as they are easily obtained, maintained, manipulated, and modified for specific research purposes and they lead to highly predictable outcomes, thereby satisfying several criteria for the choice of a model but lacking in providing more realistic insights.</w:t>
      </w:r>
    </w:p>
    <w:p w14:paraId="7077DE8A" w14:textId="77777777" w:rsidR="009935F3" w:rsidRPr="00DB31B1" w:rsidRDefault="009935F3" w:rsidP="009935F3">
      <w:r w:rsidRPr="00DB31B1">
        <w:t>In the context of cancer mouse models, and particularly cancer immunology mouse models, s</w:t>
      </w:r>
      <w:r w:rsidRPr="00DB31B1">
        <w:rPr>
          <w:i/>
          <w:iCs/>
        </w:rPr>
        <w:t>tandardization</w:t>
      </w:r>
      <w:r w:rsidRPr="00DB31B1">
        <w:t xml:space="preserve"> concerns not only the inbred mouse strains</w:t>
      </w:r>
      <w:r w:rsidRPr="00DB31B1">
        <w:rPr>
          <w:rStyle w:val="Znakapoznpodarou"/>
        </w:rPr>
        <w:footnoteReference w:id="10"/>
      </w:r>
      <w:r w:rsidRPr="00DB31B1">
        <w:t xml:space="preserve"> but also the particular method applied to them. For example, there are differences concerning the type of transplantation of tumor. </w:t>
      </w:r>
      <w:r w:rsidRPr="00DB31B1">
        <w:lastRenderedPageBreak/>
        <w:t xml:space="preserve">Orthotopic transplantation refers to injecting tumor cells into the organ where the original cancer developed. While this may be physiologically more relevant, it may not always be feasible to perform such transplantation, for orthotopic transplantation of some tumor types would be too invasive. Therefore, some research is based on ectopic transplantation instead, i.e., tumor cells are injected into a region outside of its original site. Similarly, a choice is to be made with respect to the type of cells used in humanized mice, such as PBMCs/HSPCs (and the route of injection, intravenous or otherwise), all of which affect the experimental data. Humanized models also present </w:t>
      </w:r>
      <w:r w:rsidRPr="00DB31B1">
        <w:rPr>
          <w:i/>
          <w:iCs/>
        </w:rPr>
        <w:t>novelty</w:t>
      </w:r>
      <w:r w:rsidRPr="00DB31B1">
        <w:t xml:space="preserve"> and can be considered as emerging models. Thus, selecting the right model for the given task at hand can be quite challenging.</w:t>
      </w:r>
      <w:r w:rsidRPr="00DB31B1">
        <w:rPr>
          <w:rStyle w:val="Znakapoznpodarou"/>
        </w:rPr>
        <w:footnoteReference w:id="11"/>
      </w:r>
      <w:r w:rsidRPr="00DB31B1">
        <w:t xml:space="preserve"> </w:t>
      </w:r>
    </w:p>
    <w:p w14:paraId="41A14E91" w14:textId="77777777" w:rsidR="009935F3" w:rsidRPr="00DB31B1" w:rsidRDefault="009935F3" w:rsidP="009935F3">
      <w:r w:rsidRPr="00DB31B1">
        <w:t>One important criterion, so far only implicitly considered, but nevertheless one that underlies many of the above criteria, is similarity or resemblance judgments. The crucial role of similarity considerations in model selection is widely acknowledged across both the philosophical and scientific communities.</w:t>
      </w:r>
      <w:r w:rsidRPr="00DB31B1">
        <w:rPr>
          <w:rStyle w:val="Znakapoznpodarou"/>
        </w:rPr>
        <w:footnoteReference w:id="12"/>
      </w:r>
      <w:r w:rsidRPr="00DB31B1">
        <w:t xml:space="preserve"> Dietrich and colleagues are quite clear when writing that “most commonly, organisms are chosen because of their physiological or genetic resemblance to humans, the presence of similar mechanisms in both species, or due to high rates of incidence of a given disease of interest” </w:t>
      </w:r>
      <w:r w:rsidRPr="00DB31B1">
        <w:fldChar w:fldCharType="begin" w:fldLock="1"/>
      </w:r>
      <w:r w:rsidRPr="00DB31B1">
        <w:instrText>ADDIN CSL_CITATION {"citationItems":[{"id":"ITEM-1","itemData":{"DOI":"10.1016/J.SHPSC.2019.101227","ISSN":"1369-8486","abstract":"Despite August Krogh's famous admonition that a ‘convenient’ organism exists for every biological problem, we argue that appeals to ‘convenience’ are not sufficient to capture reasoning about organism choice. Instead, we offer a detailed analysis based on empirical data and philosophical arguments for a working set of twenty criteria that interact with each other in the highly contextualized judgements that biologists make about organism choice. We propose to think of these decisions as a form of ‘differential analysis’ where researchers weigh multiple criteria for organismal choice against each other, and often utilize multidimensional refinement processes to finalize their choices. The specific details of any one case make it difficult to draw generalizations or to abstract away from specific research situations. However, this analysis of criteria for organismal choice and how these are related in practice allows us to reflect more generally on what makes a particular organism useful or ‘good.’","author":[{"dropping-particle":"","family":"Dietrich","given":"Michael R.","non-dropping-particle":"","parse-names":false,"suffix":""},{"dropping-particle":"","family":"Ankeny","given":"Rachel A.","non-dropping-particle":"","parse-names":false,"suffix":""},{"dropping-particle":"","family":"Crowe","given":"Nathan","non-dropping-particle":"","parse-names":false,"suffix":""},{"dropping-particle":"","family":"Green","given":"Sara","non-dropping-particle":"","parse-names":false,"suffix":""},{"dropping-particle":"","family":"Leonelli","given":"Sabina","non-dropping-particle":"","parse-names":false,"suffix":""}],"container-title":"Studies in History and Philosophy of Science Part C: Studies in History and Philosophy of Biological and Biomedical Sciences","id":"ITEM-1","issued":{"date-parts":[["2020","4","1"]]},"page":"101227","publisher":"Pergamon","title":"How to choose your research organism","type":"article-journal","volume":"80"},"locator":"8","uris":["http://www.mendeley.com/documents/?uuid=77abd132-8f5e-34cc-b55b-881cf3eb7c64"]}],"mendeley":{"formattedCitation":"(Dietrich et al., 2020, p. 8)","plainTextFormattedCitation":"(Dietrich et al., 2020, p. 8)","previouslyFormattedCitation":"(Dietrich et al., 2020, p. 8)"},"properties":{"noteIndex":0},"schema":"https://github.com/citation-style-language/schema/raw/master/csl-citation.json"}</w:instrText>
      </w:r>
      <w:r w:rsidRPr="00DB31B1">
        <w:fldChar w:fldCharType="separate"/>
      </w:r>
      <w:r w:rsidRPr="00DB31B1">
        <w:rPr>
          <w:noProof/>
        </w:rPr>
        <w:t>(Dietrich et al., 2020, p. 8)</w:t>
      </w:r>
      <w:r w:rsidRPr="00DB31B1">
        <w:fldChar w:fldCharType="end"/>
      </w:r>
      <w:r w:rsidRPr="00DB31B1">
        <w:t xml:space="preserve">. The same can be said with respect to choosing a particular mouse model, given the specific research question. In other words, the mouse model is chosen for its presumed similarity in relevant respects to the particular aspect of the cancer being studied. To select a mouse model for investigating one’s research project is to use the mouse as a representation of a particular phenomenon (or one of its aspects). Although no intrinsic feature of mouse models dictates which model will be used for representational purposes - because other factors influence model selection - the intrinsic features do have an important epistemic role in choosing a model with which to work. </w:t>
      </w:r>
    </w:p>
    <w:p w14:paraId="644FE305" w14:textId="77777777" w:rsidR="009935F3" w:rsidRPr="00DB31B1" w:rsidRDefault="009935F3" w:rsidP="009935F3">
      <w:r w:rsidRPr="00DB31B1">
        <w:t>The intrinsic features of the model that inform the selection process are features that are considered to be relevantly similar to the features of the target, given the research question at hand. Consequently, it would be wrong to think that a single model that exhibits relevant similarities for answering a particular question is also suited to answering another question. As Shultz and colleagues put it</w:t>
      </w:r>
    </w:p>
    <w:p w14:paraId="67C5288E" w14:textId="77777777" w:rsidR="009935F3" w:rsidRPr="00DB31B1" w:rsidRDefault="009935F3" w:rsidP="009935F3">
      <w:pPr>
        <w:ind w:left="708" w:firstLine="708"/>
      </w:pPr>
      <w:r w:rsidRPr="00DB31B1">
        <w:t xml:space="preserve">“Any one specific model will not be optimal for addressing the myriad of questions that might be considered, and it is important not only to choose the appropriate model system for the specific question at hand, but also to be innovative in formulating questions and experimental designs to provide valid data that can be properly interpreted using the individual models” </w:t>
      </w:r>
      <w:r w:rsidRPr="00DB31B1">
        <w:fldChar w:fldCharType="begin" w:fldLock="1"/>
      </w:r>
      <w:r w:rsidRPr="00DB31B1">
        <w:instrText>ADDIN CSL_CITATION {"citationItems":[{"id":"ITEM-1","itemData":{"DOI":"10.1038/nri3311","ISSN":"1474-1733","abstract":"This article provides a comprehensive overview of the recent advances in the development and use of humanized mice. The authors consider the remaining challenges and the potential for new advances in our understanding of human immunology through the use of these mice. Significant advances in our understanding of the in vivo functions of human cells and tissues and the human immune system have resulted from the development of 'humanized' mouse strains that are based on severely immunodeficient mice with mutations in the interleukin-2 receptor common γ-chain locus. These mouse strains support the engraftment of a functional human immune system and permit detailed analyses of human immune biology, development and functions. In this Review, we discuss recent advances in the development and utilization of humanized mice, the lessons learnt, the remaining challenges and the promise of using humanized mice for the in vivo study of human immunology.","author":[{"dropping-particle":"","family":"Shultz","given":"Leonard D.","non-dropping-particle":"","parse-names":false,"suffix":""},{"dropping-particle":"","family":"Brehm","given":"Michael A.","non-dropping-particle":"","parse-names":false,"suffix":""},{"dropping-particle":"","family":"Garcia-Martinez","given":"J. Victor","non-dropping-particle":"","parse-names":false,"suffix":""},{"dropping-particle":"","family":"Greiner","given":"Dale L.","non-dropping-particle":"","parse-names":false,"suffix":""}],"container-title":"Nature Reviews Immunology","id":"ITEM-1","issue":"11","issued":{"date-parts":[["2012","11","12"]]},"page":"786-798","publisher":"Nature Publishing Group","title":"Humanized mice for immune system investigation: progress, promise and challenges","type":"article-journal","volume":"12"},"locator":"787","uris":["http://www.mendeley.com/documents/?uuid=489f27ee-189a-3bf8-ad0c-518110088433"]}],"mendeley":{"formattedCitation":"(Shultz et al., 2012, p. 787)","plainTextFormattedCitation":"(Shultz et al., 2012, p. 787)","previouslyFormattedCitation":"(Shultz et al., 2012, p. 787)"},"properties":{"noteIndex":0},"schema":"https://github.com/citation-style-language/schema/raw/master/csl-citation.json"}</w:instrText>
      </w:r>
      <w:r w:rsidRPr="00DB31B1">
        <w:fldChar w:fldCharType="separate"/>
      </w:r>
      <w:r w:rsidRPr="00DB31B1">
        <w:rPr>
          <w:noProof/>
        </w:rPr>
        <w:t>(Shultz et al., 2012, p. 787)</w:t>
      </w:r>
      <w:r w:rsidRPr="00DB31B1">
        <w:fldChar w:fldCharType="end"/>
      </w:r>
      <w:r w:rsidRPr="00DB31B1">
        <w:t>.</w:t>
      </w:r>
    </w:p>
    <w:p w14:paraId="11B1C574" w14:textId="77777777" w:rsidR="009935F3" w:rsidRPr="00DB31B1" w:rsidRDefault="009935F3" w:rsidP="009935F3">
      <w:r w:rsidRPr="00DB31B1">
        <w:t xml:space="preserve">The same can be said with respect to choosing a particular humanized mouse model from the available repertoire, given that different engrafting methods provide different settings. To again put </w:t>
      </w:r>
      <w:r w:rsidRPr="00DB31B1">
        <w:lastRenderedPageBreak/>
        <w:t xml:space="preserve">it in the words of Shultz and colleagues: “Depending on the question, the investigator will need to choose the appropriate human immune system-engrafted mouse for their studies” </w:t>
      </w:r>
      <w:r w:rsidRPr="00DB31B1">
        <w:fldChar w:fldCharType="begin" w:fldLock="1"/>
      </w:r>
      <w:r w:rsidRPr="00DB31B1">
        <w:instrText>ADDIN CSL_CITATION {"citationItems":[{"id":"ITEM-1","itemData":{"DOI":"10.1038/nri3311","ISSN":"1474-1733","abstract":"This article provides a comprehensive overview of the recent advances in the development and use of humanized mice. The authors consider the remaining challenges and the potential for new advances in our understanding of human immunology through the use of these mice. Significant advances in our understanding of the in vivo functions of human cells and tissues and the human immune system have resulted from the development of 'humanized' mouse strains that are based on severely immunodeficient mice with mutations in the interleukin-2 receptor common γ-chain locus. These mouse strains support the engraftment of a functional human immune system and permit detailed analyses of human immune biology, development and functions. In this Review, we discuss recent advances in the development and utilization of humanized mice, the lessons learnt, the remaining challenges and the promise of using humanized mice for the in vivo study of human immunology.","author":[{"dropping-particle":"","family":"Shultz","given":"Leonard D.","non-dropping-particle":"","parse-names":false,"suffix":""},{"dropping-particle":"","family":"Brehm","given":"Michael A.","non-dropping-particle":"","parse-names":false,"suffix":""},{"dropping-particle":"","family":"Garcia-Martinez","given":"J. Victor","non-dropping-particle":"","parse-names":false,"suffix":""},{"dropping-particle":"","family":"Greiner","given":"Dale L.","non-dropping-particle":"","parse-names":false,"suffix":""}],"container-title":"Nature Reviews Immunology","id":"ITEM-1","issue":"11","issued":{"date-parts":[["2012","11","12"]]},"page":"786-798","publisher":"Nature Publishing Group","title":"Humanized mice for immune system investigation: progress, promise and challenges","type":"article-journal","volume":"12"},"locator":"787","uris":["http://www.mendeley.com/documents/?uuid=489f27ee-189a-3bf8-ad0c-518110088433"]}],"mendeley":{"formattedCitation":"(Shultz et al., 2012, p. 787)","plainTextFormattedCitation":"(Shultz et al., 2012, p. 787)","previouslyFormattedCitation":"(Shultz et al., 2012, p. 787)"},"properties":{"noteIndex":0},"schema":"https://github.com/citation-style-language/schema/raw/master/csl-citation.json"}</w:instrText>
      </w:r>
      <w:r w:rsidRPr="00DB31B1">
        <w:fldChar w:fldCharType="separate"/>
      </w:r>
      <w:r w:rsidRPr="00DB31B1">
        <w:rPr>
          <w:noProof/>
        </w:rPr>
        <w:t>(Shultz et al., 2012, p. 787)</w:t>
      </w:r>
      <w:r w:rsidRPr="00DB31B1">
        <w:fldChar w:fldCharType="end"/>
      </w:r>
      <w:r w:rsidRPr="00DB31B1">
        <w:t>.</w:t>
      </w:r>
    </w:p>
    <w:p w14:paraId="6BF09BE6" w14:textId="77777777" w:rsidR="009935F3" w:rsidRPr="00DB31B1" w:rsidRDefault="009935F3" w:rsidP="009935F3">
      <w:r w:rsidRPr="00DB31B1">
        <w:t>On a related note, it is taken for granted that any model will exhibit countless dissimilarities with respect to the target, but as long as these dissimilarities are considered to be irrelevant to the task at hand, they are deemed of no significant importance.</w:t>
      </w:r>
      <w:r w:rsidRPr="00DB31B1">
        <w:rPr>
          <w:rStyle w:val="Znakapoznpodarou"/>
        </w:rPr>
        <w:footnoteReference w:id="13"/>
      </w:r>
      <w:r w:rsidRPr="00DB31B1">
        <w:t xml:space="preserve"> Of course this says nothing about the likely possibility that it may later turn out that seemingly irrelevant traits are in fact relevant. For instance, although it was long assumed that chemotherapies have a purely detrimental effect on the immune system, which was thought to play no role in cancer surveillance, it turned out that some chemotherapies have an additional anti-tumor effect by being immunogenic. Even the discovery that a model has limitations may not result in abandoning the model. As long as the model still captures at least to some degree some relevant aspects of the phenomenon, researchers may decide to continue using the model, especially if factors such as ease of access can be traded in for similarity considerations. Genetically engineered models can still serve as extremely useful sources of information, even if some specific models may confound some specific results. Moreover, even when there is a is readily available model that is more similar in relevant respects than another model, such as a PDX model’s superiority over a simple immunodeficient transplantable model for the study of human cancer, it is not necessarily prioritized over a model that exhibits similarity to a lesser degree, as other considerations are factored in when deciding, such as the particular research question and the pragmatic and other constraints (see table 1). So, although the degree of similarity might be traded for other virtues such as ease of supply, similarity considerations do inform the process of model selection in important ways, for if a model turns out to completely miss on any relevant similarity, it will be abandoned no matter what the other benefits may be. </w:t>
      </w:r>
    </w:p>
    <w:p w14:paraId="0899BF91" w14:textId="77777777" w:rsidR="009935F3" w:rsidRPr="00DB31B1" w:rsidRDefault="009935F3" w:rsidP="009935F3">
      <w:r w:rsidRPr="00DB31B1">
        <w:t xml:space="preserve">Finally, the practice of considering similarities in the process of model selection can be viewed as </w:t>
      </w:r>
      <w:r w:rsidRPr="00DB31B1">
        <w:rPr>
          <w:i/>
          <w:iCs/>
        </w:rPr>
        <w:t>passive</w:t>
      </w:r>
      <w:r w:rsidRPr="00DB31B1">
        <w:t xml:space="preserve"> in the sense that the similarities entering the decision-making process of choosing a mouse model are pre-established rather than actively introduced, that is, the similarities in question had been explored and established prior to the point at which a researcher selected the model with which to work.</w:t>
      </w:r>
    </w:p>
    <w:p w14:paraId="7E7E8A86" w14:textId="77777777" w:rsidR="009935F3" w:rsidRPr="00DB31B1" w:rsidRDefault="009935F3" w:rsidP="009935F3"/>
    <w:p w14:paraId="579525B9" w14:textId="7BC1A096" w:rsidR="009935F3" w:rsidRPr="00DB31B1" w:rsidRDefault="007C736A" w:rsidP="00BF632E">
      <w:r w:rsidRPr="00DB31B1">
        <w:t>4</w:t>
      </w:r>
      <w:r w:rsidR="009935F3" w:rsidRPr="00DB31B1">
        <w:t>.</w:t>
      </w:r>
      <w:r w:rsidR="00A37C46" w:rsidRPr="00DB31B1">
        <w:t>2</w:t>
      </w:r>
      <w:r w:rsidR="009935F3" w:rsidRPr="00DB31B1">
        <w:tab/>
        <w:t>Model creation</w:t>
      </w:r>
    </w:p>
    <w:p w14:paraId="0FD50B8B" w14:textId="77777777" w:rsidR="009935F3" w:rsidRPr="00DB31B1" w:rsidRDefault="009935F3" w:rsidP="009935F3">
      <w:r w:rsidRPr="00DB31B1">
        <w:t>Manipulation is at the heart of creating mouse models. Taking mice from the wilderness and into the laboratory environment, as used to be the case, and breeding genetically homogenous cohorts (mouse strains) essentially amounted to creating various (syngeneic) mouse models. The development of cell lines and their subsequent use in transplantation studies led to the creation of immunocompetent transplantable models. Similarly, exploiting naturally occurring mutations which gave rise to immunodeficient mice has cleared the way for creating mouse models capable of hosting xenografts. Advances in genetic engineering have enabled the creation of new and specific mouse models. In fact, the creation of specific knock-out mice, for instance, and their comparison with their wild type counterparts, forms part of the contemporary research routine. The process of creating humanized mouse models is a combination of many of these general methods.</w:t>
      </w:r>
    </w:p>
    <w:p w14:paraId="7B288518" w14:textId="3CB15C18" w:rsidR="009935F3" w:rsidRPr="00DB31B1" w:rsidRDefault="009935F3" w:rsidP="009935F3">
      <w:r w:rsidRPr="00DB31B1">
        <w:lastRenderedPageBreak/>
        <w:t>In contrast with model selection</w:t>
      </w:r>
      <w:r w:rsidR="00A37C46" w:rsidRPr="00DB31B1">
        <w:t xml:space="preserve">, </w:t>
      </w:r>
      <w:r w:rsidRPr="00DB31B1">
        <w:t xml:space="preserve">model creation is a process of introducing targeted changes that give rise to new mouse variants rather than working with what is given. Rather than making use of pre-established features, creating models amounts to actively adding new, removing old, or modifying existing features. Thus, model creation may better be characterized as an </w:t>
      </w:r>
      <w:r w:rsidRPr="00DB31B1">
        <w:rPr>
          <w:i/>
          <w:iCs/>
        </w:rPr>
        <w:t>active</w:t>
      </w:r>
      <w:r w:rsidRPr="00DB31B1">
        <w:t xml:space="preserve"> process rather than something </w:t>
      </w:r>
      <w:r w:rsidRPr="00DB31B1">
        <w:rPr>
          <w:i/>
          <w:iCs/>
        </w:rPr>
        <w:t>passive</w:t>
      </w:r>
      <w:r w:rsidRPr="00DB31B1">
        <w:t xml:space="preserve">. Such a processual nature has been emphasized before in the philosophical literature, such as in </w:t>
      </w:r>
      <w:r w:rsidRPr="00DB31B1">
        <w:fldChar w:fldCharType="begin" w:fldLock="1"/>
      </w:r>
      <w:r w:rsidRPr="00DB31B1">
        <w:instrText>ADDIN CSL_CITATION {"citationItems":[{"id":"ITEM-1","itemData":{"ISSN":"0391-9714","PMID":"22662512","abstract":"This paper explores the epistemology of extrapolation from model organisms to humans in molecular medicine. We take into account two common views on the issue, the homology view and the disanalogy view. In response to both interpretations, we argue that the foundational basis of extrapolations cannot simply be provided by homology and that relevant disanalogies can, thanks to the techniques of molecular biology, be experimentally controlled and exploited to allow useful and reliable extrapolations. The case of \"humanised mice\" in the context of cancer stem cell research provides evidence of how animal models can be construed to approximate bona fide causal analogue models of human diseases. To supplement this view we show how the epistemology of model organisms needs to take into account the engineering side of molecular medicine. Model organisms are often manipulated to create analogies or remove disanalogies with the target system. We maintain that highlighting this feature is fundamental to explain what warrants extrapolation in the search for the molecular causes of disease.","author":[{"dropping-particle":"","family":"Maugeri","given":"Paolo","non-dropping-particle":"","parse-names":false,"suffix":""},{"dropping-particle":"","family":"Blasimme","given":"Alessandro","non-dropping-particle":"","parse-names":false,"suffix":""}],"container-title":"History and philosophy of the life sciences","id":"ITEM-1","issue":"4","issued":{"date-parts":[["2011"]]},"page":"603-21","title":"Humanised models of cancer in molecular medicine: the experimental control of disanalogy","type":"article-journal","volume":"33"},"uris":["http://www.mendeley.com/documents/?uuid=5925c9ba-1c22-3a7f-8814-11b1e950d208"]},{"id":"ITEM-2","itemData":{"DOI":"10.1387/theoria.12761","abstract":"&lt;p&gt;In this paper, I respond to the challenge raised against contemporary experimental neurobiology according to which the field is in a state of crisis because of the multiple experimental protocols employed in different laboratories and strengthening their reliability that presumably preclude the validity of neurobiological knowledge. I provide an alternative account of experimentation in neurobiology which makes sense of its experimental practices. I argue that maintaining a multiplicity of experimental protocols and strengthening their reliability are well justified and they foster rather than preclude the validity of neurobiological knowledge. Thus, their presence indicates thriving rather than crisis of experimental neurobiology.&lt;/p&gt;","author":[{"dropping-particle":"","family":"Atanasova","given":"Nina","non-dropping-particle":"","parse-names":false,"suffix":""}],"container-title":"THEORIA. An International Journal for Theory, History and Foundations of Science","id":"ITEM-2","issue":"2","issued":{"date-parts":[["2015","6","20"]]},"page":"163-181","title":"Validating Animal Models","type":"article-journal","volume":"30"},"uris":["http://www.mendeley.com/documents/?uuid=51297775-87a8-3a25-9494-f819b13be6c9"]},{"id":"ITEM-3","itemData":{"author":[{"dropping-particle":"","family":"Parkkinen","given":"Veli-Pekka","non-dropping-particle":"","parse-names":false,"suffix":""}],"container-title":"Disputatio","id":"ITEM-3","issue":"47","issued":{"date-parts":[["2017"]]},"page":"471-498","title":"Are Model Organisms Theoretical Models?","type":"article-journal","volume":"9"},"uris":["http://www.mendeley.com/documents/?uuid=605cd903-1728-4510-bdbb-52ab466219e8"]},{"id":"ITEM-4","itemData":{"DOI":"10.1016/J.SHPSC.2013.03.001","ISSN":"1369-8486","abstract":"Animal models have received particular attention as key examples of material models. In this paper, we argue that the specificities of establishing animal models—acknowledging their status as living beings and as epistemological tools—necessitate a more complex account of animal models as materialised models. This becomes particularly evident in animal-based models of diseases that only occur in humans: in these cases, the representational relation between animal model and human patient needs to be generated and validated. The first part of this paper presents an account of how disease-specific animal models are established by drawing on the example of transgenic mice models for Alzheimer’s disease. We will introduce an account of validation that involves a three-fold process including (1) from human being to experimental organism; (2) from experimental organism to animal model; and (3) from animal model to human patient. This process draws upon clinical relevance as much as scientific practices and results in disease-specific, yet incomplete, animal models. The second part of this paper argues that the incompleteness of models can be described in terms of multi-level abstractions. We qualify this notion by pointing to different experimental techniques and targets of modelling, which give rise to a plurality of models for a specific disease.","author":[{"dropping-particle":"","family":"Huber","given":"Lara","non-dropping-particle":"","parse-names":false,"suffix":""},{"dropping-particle":"","family":"Keuck","given":"Lara K.","non-dropping-particle":"","parse-names":false,"suffix":""}],"container-title":"Studies in History and Philosophy of Science Part C: Studies in History and Philosophy of Biological and Biomedical Sciences","id":"ITEM-4","issue":"3","issued":{"date-parts":[["2013","9","1"]]},"page":"385-391","publisher":"Pergamon","title":"Mutant mice: Experimental organisms as materialised models in biomedicine","type":"article-journal","volume":"44"},"uris":["http://www.mendeley.com/documents/?uuid=b831c420-f959-371c-a5b3-d0a05f080a71"]},{"id":"ITEM-5","itemData":{"DOI":"10.1016/J.SHPSC.2016.12.004","ISSN":"1369-8486","abstract":"According to the received view, the transportation view, animal extrapolation consists in inductive prediction of the outcome of a mechanism in a target, based on an analogical mechanism in a model. Through an analysis of the failure of preclinical studies of TGN1412, an innovative drug, to predict the tragic consequences of its first-in-man trial in 2006, the received view is challenged by a proposed view of animal extrapolation, the chimera view. According to this view, animal extrapolation is based on a hypothesis about how human organisms work, supported by the amalgamation of results drawn from various experimental organisms, and only predicting the ‘predictive grid’, that is, a global framework of the effects to be expected.","author":[{"dropping-particle":"","family":"Lemoine","given":"Maël","non-dropping-particle":"","parse-names":false,"suffix":""}],"container-title":"Studies in History and Philosophy of Science Part C: Studies in History and Philosophy of Biological and Biomedical Sciences","id":"ITEM-5","issued":{"date-parts":[["2017","2","1"]]},"page":"35-45","publisher":"Pergamon","title":"Animal extrapolation in preclinical studies: An analysis of the tragic case of TGN1412","type":"article-journal","volume":"61"},"uris":["http://www.mendeley.com/documents/?uuid=a79464a3-d3cd-3d56-83b5-578b8c6bc665"]},{"id":"ITEM-6","itemData":{"author":[{"dropping-particle":"","family":"Ankeny","given":"Rachel A.","non-dropping-particle":"","parse-names":false,"suffix":""},{"dropping-particle":"","family":"Leonelli","given":"Sabina","non-dropping-particle":"","parse-names":false,"suffix":""}],"id":"ITEM-6","issued":{"date-parts":[["2020"]]},"publisher":"Cambridge University Press","publisher-place":"Cambridge","title":"Model Organisms","type":"book"},"uris":["http://www.mendeley.com/documents/?uuid=36e1c615-c492-4dc5-b646-b3a383481fb7"]},{"id":"ITEM-7","itemData":{"DOI":"10.1007/s10539-012-9323-5","ISSN":"0169-3867","abstract":"Extrapolation from a well-understood base population to a less-understood target population can fail if the base and target populations are not sufficiently similar. Differences between laboratory mice and humans, for example, can hinder extrapolation in medical research. Mice that carry a partial or complete human physiological system, known as humanized mice, are supposed to make extrapolation more reliable by simulating a variety of human diseases. But what justifies our belief that these mice are similar enough to their human counterparts to simulate human disease? I argue that, unless three requirements are met in the process of humanizing mice, very little does. My requirements are not meant to provide necessary and sufficient conditions that guarantee a particular outcome. Instead, they serve as a heuristic for guiding scientific judgments involving extrapolation. In developing each requirement, I engage with philosophical issues concerning the nature of model-based science and the mechanistic approach (and its limits) to making generalizations in the life sciences.","author":[{"dropping-particle":"","family":"Piotrowska","given":"Monika","non-dropping-particle":"","parse-names":false,"suffix":""}],"container-title":"Biology &amp; Philosophy","id":"ITEM-7","issue":"3","issued":{"date-parts":[["2013","5","24"]]},"page":"439-455","publisher":"Springer","title":"From humanized mice to human disease: guiding extrapolation from model to target","type":"article-journal","volume":"28"},"uris":["http://www.mendeley.com/documents/?uuid=3c20fd56-c1aa-39ac-b3da-a302a9992c35"]}],"mendeley":{"formattedCitation":"(Ankeny &amp; Leonelli, 2020; Atanasova, 2015; Huber &amp; Keuck, 2013; Lemoine, 2017; Maugeri &amp; Blasimme, 2011; Parkkinen, 2017; Piotrowska, 2013)","plainTextFormattedCitation":"(Ankeny &amp; Leonelli, 2020; Atanasova, 2015; Huber &amp; Keuck, 2013; Lemoine, 2017; Maugeri &amp; Blasimme, 2011; Parkkinen, 2017; Piotrowska, 2013)","previouslyFormattedCitation":"(Ankeny &amp; Leonelli, 2020; Atanasova, 2015; Huber &amp; Keuck, 2013; Lemoine, 2017; Maugeri &amp; Blasimme, 2011; Parkkinen, 2017; Piotrowska, 2013)"},"properties":{"noteIndex":0},"schema":"https://github.com/citation-style-language/schema/raw/master/csl-citation.json"}</w:instrText>
      </w:r>
      <w:r w:rsidRPr="00DB31B1">
        <w:fldChar w:fldCharType="separate"/>
      </w:r>
      <w:r w:rsidRPr="00DB31B1">
        <w:rPr>
          <w:noProof/>
        </w:rPr>
        <w:t>(Ankeny &amp; Leonelli, 2020; Atanasova, 2015; Huber &amp; Keuck, 2013; Lemoine, 2017; Maugeri &amp; Blasimme, 2011; Parkkinen, 2017; Piotrowska, 2013)</w:t>
      </w:r>
      <w:r w:rsidRPr="00DB31B1">
        <w:fldChar w:fldCharType="end"/>
      </w:r>
      <w:r w:rsidRPr="00DB31B1">
        <w:t xml:space="preserve">. </w:t>
      </w:r>
    </w:p>
    <w:p w14:paraId="5C86F35C" w14:textId="46DE24C4" w:rsidR="009935F3" w:rsidRPr="00DB31B1" w:rsidRDefault="009935F3" w:rsidP="009935F3">
      <w:r w:rsidRPr="00DB31B1">
        <w:t xml:space="preserve">As noted above and notwithstanding the differences, there are also connections between model creation </w:t>
      </w:r>
      <w:r w:rsidR="00C72A68" w:rsidRPr="00DB31B1">
        <w:t>and model selection</w:t>
      </w:r>
      <w:r w:rsidRPr="00DB31B1">
        <w:t xml:space="preserve">. The process of creating a specific model does not happen in a vacuum; it is guided by the particular research task one is trying to address. Thus, model creation, much like model selection, ought to be characterized in terms of adequacy-to-research-question. Indeed, as Shultz and colleagues write, “experiments using humanized mice, or any animal model system, need to be designed to address a mechanistic question rather than attempting to fully recapitulate the human biological process or pathology” </w:t>
      </w:r>
      <w:r w:rsidRPr="00DB31B1">
        <w:fldChar w:fldCharType="begin" w:fldLock="1"/>
      </w:r>
      <w:r w:rsidRPr="00DB31B1">
        <w:instrText>ADDIN CSL_CITATION {"citationItems":[{"id":"ITEM-1","itemData":{"DOI":"10.1038/nri3311","ISSN":"1474-1733","abstract":"This article provides a comprehensive overview of the recent advances in the development and use of humanized mice. The authors consider the remaining challenges and the potential for new advances in our understanding of human immunology through the use of these mice. Significant advances in our understanding of the in vivo functions of human cells and tissues and the human immune system have resulted from the development of 'humanized' mouse strains that are based on severely immunodeficient mice with mutations in the interleukin-2 receptor common γ-chain locus. These mouse strains support the engraftment of a functional human immune system and permit detailed analyses of human immune biology, development and functions. In this Review, we discuss recent advances in the development and utilization of humanized mice, the lessons learnt, the remaining challenges and the promise of using humanized mice for the in vivo study of human immunology.","author":[{"dropping-particle":"","family":"Shultz","given":"Leonard D.","non-dropping-particle":"","parse-names":false,"suffix":""},{"dropping-particle":"","family":"Brehm","given":"Michael A.","non-dropping-particle":"","parse-names":false,"suffix":""},{"dropping-particle":"","family":"Garcia-Martinez","given":"J. Victor","non-dropping-particle":"","parse-names":false,"suffix":""},{"dropping-particle":"","family":"Greiner","given":"Dale L.","non-dropping-particle":"","parse-names":false,"suffix":""}],"container-title":"Nature Reviews Immunology","id":"ITEM-1","issue":"11","issued":{"date-parts":[["2012","11","12"]]},"page":"786-798","publisher":"Nature Publishing Group","title":"Humanized mice for immune system investigation: progress, promise and challenges","type":"article-journal","volume":"12"},"locator":"796","uris":["http://www.mendeley.com/documents/?uuid=489f27ee-189a-3bf8-ad0c-518110088433"]}],"mendeley":{"formattedCitation":"(Shultz et al., 2012, p. 796)","plainTextFormattedCitation":"(Shultz et al., 2012, p. 796)","previouslyFormattedCitation":"(Shultz et al., 2012, p. 796)"},"properties":{"noteIndex":0},"schema":"https://github.com/citation-style-language/schema/raw/master/csl-citation.json"}</w:instrText>
      </w:r>
      <w:r w:rsidRPr="00DB31B1">
        <w:fldChar w:fldCharType="separate"/>
      </w:r>
      <w:r w:rsidRPr="00DB31B1">
        <w:rPr>
          <w:noProof/>
        </w:rPr>
        <w:t>(Shultz et al., 2012, p. 796)</w:t>
      </w:r>
      <w:r w:rsidRPr="00DB31B1">
        <w:fldChar w:fldCharType="end"/>
      </w:r>
      <w:r w:rsidRPr="00DB31B1">
        <w:t xml:space="preserve">. Among other things, there are “different technological approaches for the engraftment of a functional human immune system in these immunodeficient mouse models, each with distinct advantages and caveats” </w:t>
      </w:r>
      <w:r w:rsidRPr="00DB31B1">
        <w:fldChar w:fldCharType="begin" w:fldLock="1"/>
      </w:r>
      <w:r w:rsidRPr="00DB31B1">
        <w:instrText>ADDIN CSL_CITATION {"citationItems":[{"id":"ITEM-1","itemData":{"DOI":"10.1038/nri3311","ISSN":"1474-1733","abstract":"This article provides a comprehensive overview of the recent advances in the development and use of humanized mice. The authors consider the remaining challenges and the potential for new advances in our understanding of human immunology through the use of these mice. Significant advances in our understanding of the in vivo functions of human cells and tissues and the human immune system have resulted from the development of 'humanized' mouse strains that are based on severely immunodeficient mice with mutations in the interleukin-2 receptor common γ-chain locus. These mouse strains support the engraftment of a functional human immune system and permit detailed analyses of human immune biology, development and functions. In this Review, we discuss recent advances in the development and utilization of humanized mice, the lessons learnt, the remaining challenges and the promise of using humanized mice for the in vivo study of human immunology.","author":[{"dropping-particle":"","family":"Shultz","given":"Leonard D.","non-dropping-particle":"","parse-names":false,"suffix":""},{"dropping-particle":"","family":"Brehm","given":"Michael A.","non-dropping-particle":"","parse-names":false,"suffix":""},{"dropping-particle":"","family":"Garcia-Martinez","given":"J. Victor","non-dropping-particle":"","parse-names":false,"suffix":""},{"dropping-particle":"","family":"Greiner","given":"Dale L.","non-dropping-particle":"","parse-names":false,"suffix":""}],"container-title":"Nature Reviews Immunology","id":"ITEM-1","issue":"11","issued":{"date-parts":[["2012","11","12"]]},"page":"786-798","publisher":"Nature Publishing Group","title":"Humanized mice for immune system investigation: progress, promise and challenges","type":"article-journal","volume":"12"},"locator":"787","uris":["http://www.mendeley.com/documents/?uuid=489f27ee-189a-3bf8-ad0c-518110088433"]}],"mendeley":{"formattedCitation":"(Shultz et al., 2012, p. 787)","plainTextFormattedCitation":"(Shultz et al., 2012, p. 787)","previouslyFormattedCitation":"(Shultz et al., 2012, p. 787)"},"properties":{"noteIndex":0},"schema":"https://github.com/citation-style-language/schema/raw/master/csl-citation.json"}</w:instrText>
      </w:r>
      <w:r w:rsidRPr="00DB31B1">
        <w:fldChar w:fldCharType="separate"/>
      </w:r>
      <w:r w:rsidRPr="00DB31B1">
        <w:rPr>
          <w:noProof/>
        </w:rPr>
        <w:t>(Shultz et al., 2012, p. 787)</w:t>
      </w:r>
      <w:r w:rsidRPr="00DB31B1">
        <w:fldChar w:fldCharType="end"/>
      </w:r>
      <w:r w:rsidRPr="00DB31B1">
        <w:t xml:space="preserve">. Recall, for instance, that one option to create humanized mice is to engraft PBMCs, which results in the early onset of xGVHD. If addressing a given mechanistic question requires a longer follow up, then human-PBMCs-bearing mice would not be the ideal model to create, given the alternatives. </w:t>
      </w:r>
    </w:p>
    <w:p w14:paraId="11F18672" w14:textId="7BC60D3F" w:rsidR="009935F3" w:rsidRPr="00DB31B1" w:rsidRDefault="009935F3" w:rsidP="00E52E02">
      <w:pPr>
        <w:rPr>
          <w:lang w:eastAsia="cs-CZ"/>
        </w:rPr>
      </w:pPr>
      <w:r w:rsidRPr="00DB31B1">
        <w:t>That being said, the idea of introducing changes such that a model progressively more recapitulates the human biology is clearly present in much of the research. There are clear efforts to address various dissimilarities that exist and that also arise as a result of technological interventions in hope to create models that more realistically resemble the key relevant features of the target phenomenon. For example, one can also</w:t>
      </w:r>
      <w:r w:rsidRPr="00DB31B1">
        <w:rPr>
          <w:lang w:eastAsia="cs-CZ"/>
        </w:rPr>
        <w:t xml:space="preserve"> create humanized mice by engrafting HSPCs. The quality of the engraftment depends upon many factors, including the particular recipient mouse strain </w:t>
      </w:r>
      <w:r w:rsidRPr="00DB31B1">
        <w:rPr>
          <w:lang w:eastAsia="cs-CZ"/>
        </w:rPr>
        <w:fldChar w:fldCharType="begin" w:fldLock="1"/>
      </w:r>
      <w:r w:rsidRPr="00DB31B1">
        <w:rPr>
          <w:lang w:eastAsia="cs-CZ"/>
        </w:rPr>
        <w:instrText>ADDIN CSL_CITATION {"citationItems":[{"id":"ITEM-1","itemData":{"DOI":"10.1038/nri3311","ISSN":"1474-1733","abstract":"This article provides a comprehensive overview of the recent advances in the development and use of humanized mice. The authors consider the remaining challenges and the potential for new advances in our understanding of human immunology through the use of these mice. Significant advances in our understanding of the in vivo functions of human cells and tissues and the human immune system have resulted from the development of 'humanized' mouse strains that are based on severely immunodeficient mice with mutations in the interleukin-2 receptor common γ-chain locus. These mouse strains support the engraftment of a functional human immune system and permit detailed analyses of human immune biology, development and functions. In this Review, we discuss recent advances in the development and utilization of humanized mice, the lessons learnt, the remaining challenges and the promise of using humanized mice for the in vivo study of human immunology.","author":[{"dropping-particle":"","family":"Shultz","given":"Leonard D.","non-dropping-particle":"","parse-names":false,"suffix":""},{"dropping-particle":"","family":"Brehm","given":"Michael A.","non-dropping-particle":"","parse-names":false,"suffix":""},{"dropping-particle":"","family":"Garcia-Martinez","given":"J. Victor","non-dropping-particle":"","parse-names":false,"suffix":""},{"dropping-particle":"","family":"Greiner","given":"Dale L.","non-dropping-particle":"","parse-names":false,"suffix":""}],"container-title":"Nature Reviews Immunology","id":"ITEM-1","issue":"11","issued":{"date-parts":[["2012","11","12"]]},"page":"786-798","publisher":"Nature Publishing Group","title":"Humanized mice for immune system investigation: progress, promise and challenges","type":"article-journal","volume":"12"},"uris":["http://www.mendeley.com/documents/?uuid=489f27ee-189a-3bf8-ad0c-518110088433"]}],"mendeley":{"formattedCitation":"(Shultz et al., 2012)","plainTextFormattedCitation":"(Shultz et al., 2012)","previouslyFormattedCitation":"(Shultz et al., 2012)"},"properties":{"noteIndex":0},"schema":"https://github.com/citation-style-language/schema/raw/master/csl-citation.json"}</w:instrText>
      </w:r>
      <w:r w:rsidRPr="00DB31B1">
        <w:rPr>
          <w:lang w:eastAsia="cs-CZ"/>
        </w:rPr>
        <w:fldChar w:fldCharType="separate"/>
      </w:r>
      <w:r w:rsidRPr="00DB31B1">
        <w:rPr>
          <w:noProof/>
          <w:lang w:eastAsia="cs-CZ"/>
        </w:rPr>
        <w:t>(Shultz et al., 2012)</w:t>
      </w:r>
      <w:r w:rsidRPr="00DB31B1">
        <w:rPr>
          <w:lang w:eastAsia="cs-CZ"/>
        </w:rPr>
        <w:fldChar w:fldCharType="end"/>
      </w:r>
      <w:r w:rsidRPr="00DB31B1">
        <w:rPr>
          <w:lang w:eastAsia="cs-CZ"/>
        </w:rPr>
        <w:t xml:space="preserve">, or the site from which HSPCs have been isolated, whether from cord blood, bone marrow, peripheral blood, or fetal liver </w:t>
      </w:r>
      <w:r w:rsidRPr="00DB31B1">
        <w:rPr>
          <w:lang w:eastAsia="cs-CZ"/>
        </w:rPr>
        <w:fldChar w:fldCharType="begin" w:fldLock="1"/>
      </w:r>
      <w:r w:rsidRPr="00DB31B1">
        <w:rPr>
          <w:lang w:eastAsia="cs-CZ"/>
        </w:rPr>
        <w:instrText>ADDIN CSL_CITATION {"citationItems":[{"id":"ITEM-1","itemData":{"DOI":"10.1093/ANNONC/MDW041","ISSN":"0923-7534","abstract":"The recent success of checkpoint blockers to treat cancer has demonstrated that the immune system is a critical player in the war against cancer. Historically, anticancer therapeutics have been tested in syngeneic mouse models (with a fully murine immune system) or in immunodeficient mice that allow the engraftment of human xenografts. Animal models with functioning human immune systems are critically needed to more accurately recapitulate the complexity of the human tumor microenvironment. Such models are integral to better predict tumor responses to both immunomodulatory agents and directly antineoplastic therapies. In this regard, the development of humanized models is a promising, novel strategy that offers the possibility of testing checkpoint blockers' capacity and their combination with other antitumor drugs. In this review, we discuss the strengths and weaknesses of the available animal models regarding their capacity to evaluate checkpoint blockers and checkpoint blocker-based combination immunotherapy.","author":[{"dropping-particle":"","family":"Sanmamed","given":"M.F.","non-dropping-particle":"","parse-names":false,"suffix":""},{"dropping-particle":"","family":"Chester","given":"C.","non-dropping-particle":"","parse-names":false,"suffix":""},{"dropping-particle":"","family":"Melero","given":"I.","non-dropping-particle":"","parse-names":false,"suffix":""},{"dropping-particle":"","family":"Kohrt","given":"H.","non-dropping-particle":"","parse-names":false,"suffix":""}],"container-title":"Annals of Oncology","id":"ITEM-1","issue":"7","issued":{"date-parts":[["2016","7","1"]]},"page":"1190-1198","publisher":"Elsevier","title":"Defining the optimal murine models to investigate immune checkpoint blockers and their combination with other immunotherapies","type":"article-journal","volume":"27"},"uris":["http://www.mendeley.com/documents/?uuid=b5c501e6-576c-37a5-9e3a-de976ed535d5"]}],"mendeley":{"formattedCitation":"(Sanmamed et al., 2016)","plainTextFormattedCitation":"(Sanmamed et al., 2016)","previouslyFormattedCitation":"(Sanmamed et al., 2016)"},"properties":{"noteIndex":0},"schema":"https://github.com/citation-style-language/schema/raw/master/csl-citation.json"}</w:instrText>
      </w:r>
      <w:r w:rsidRPr="00DB31B1">
        <w:rPr>
          <w:lang w:eastAsia="cs-CZ"/>
        </w:rPr>
        <w:fldChar w:fldCharType="separate"/>
      </w:r>
      <w:r w:rsidRPr="00DB31B1">
        <w:rPr>
          <w:noProof/>
          <w:lang w:eastAsia="cs-CZ"/>
        </w:rPr>
        <w:t>(Sanmamed et al., 2016)</w:t>
      </w:r>
      <w:r w:rsidRPr="00DB31B1">
        <w:rPr>
          <w:lang w:eastAsia="cs-CZ"/>
        </w:rPr>
        <w:fldChar w:fldCharType="end"/>
      </w:r>
      <w:r w:rsidRPr="00DB31B1">
        <w:rPr>
          <w:lang w:eastAsia="cs-CZ"/>
        </w:rPr>
        <w:t xml:space="preserve">. Although this technique of humanizing mice represents an important stepping-stone towards addressing some of the limitations of previous models, several additional issues have emerged. To become mature T and B cells, the progenitors require thymus and spleen, respectively, to develop. Because of the nature of the processes taking place in these organs, the organs need to be of the same origin as the graft. Such a problem can be solved by engrafting mice with human thymus and spleen tissue (BLT mouse). However, practical issues, such as the need to generate human organoids and to obtain enough primary tissue for large cohorts, limit the utility of these mice. Additionally, the key to a fully functioning immune system lies in a host of other factors, including species-specific cytokines, growth factors, and homing molecules </w:t>
      </w:r>
      <w:r w:rsidRPr="00DB31B1">
        <w:rPr>
          <w:lang w:eastAsia="cs-CZ"/>
        </w:rPr>
        <w:fldChar w:fldCharType="begin" w:fldLock="1"/>
      </w:r>
      <w:r w:rsidRPr="00DB31B1">
        <w:rPr>
          <w:lang w:eastAsia="cs-CZ"/>
        </w:rPr>
        <w:instrText>ADDIN CSL_CITATION {"citationItems":[{"id":"ITEM-1","itemData":{"DOI":"10.1093/ANNONC/MDW041","ISSN":"0923-7534","abstract":"The recent success of checkpoint blockers to treat cancer has demonstrated that the immune system is a critical player in the war against cancer. Historically, anticancer therapeutics have been tested in syngeneic mouse models (with a fully murine immune system) or in immunodeficient mice that allow the engraftment of human xenografts. Animal models with functioning human immune systems are critically needed to more accurately recapitulate the complexity of the human tumor microenvironment. Such models are integral to better predict tumor responses to both immunomodulatory agents and directly antineoplastic therapies. In this regard, the development of humanized models is a promising, novel strategy that offers the possibility of testing checkpoint blockers' capacity and their combination with other antitumor drugs. In this review, we discuss the strengths and weaknesses of the available animal models regarding their capacity to evaluate checkpoint blockers and checkpoint blocker-based combination immunotherapy.","author":[{"dropping-particle":"","family":"Sanmamed","given":"M.F.","non-dropping-particle":"","parse-names":false,"suffix":""},{"dropping-particle":"","family":"Chester","given":"C.","non-dropping-particle":"","parse-names":false,"suffix":""},{"dropping-particle":"","family":"Melero","given":"I.","non-dropping-particle":"","parse-names":false,"suffix":""},{"dropping-particle":"","family":"Kohrt","given":"H.","non-dropping-particle":"","parse-names":false,"suffix":""}],"container-title":"Annals of Oncology","id":"ITEM-1","issue":"7","issued":{"date-parts":[["2016","7","1"]]},"page":"1190-1198","publisher":"Elsevier","title":"Defining the optimal murine models to investigate immune checkpoint blockers and their combination with other immunotherapies","type":"article-journal","volume":"27"},"uris":["http://www.mendeley.com/documents/?uuid=b5c501e6-576c-37a5-9e3a-de976ed535d5"]}],"mendeley":{"formattedCitation":"(Sanmamed et al., 2016)","plainTextFormattedCitation":"(Sanmamed et al., 2016)","previouslyFormattedCitation":"(Sanmamed et al., 2016)"},"properties":{"noteIndex":0},"schema":"https://github.com/citation-style-language/schema/raw/master/csl-citation.json"}</w:instrText>
      </w:r>
      <w:r w:rsidRPr="00DB31B1">
        <w:rPr>
          <w:lang w:eastAsia="cs-CZ"/>
        </w:rPr>
        <w:fldChar w:fldCharType="separate"/>
      </w:r>
      <w:r w:rsidRPr="00DB31B1">
        <w:rPr>
          <w:noProof/>
          <w:lang w:eastAsia="cs-CZ"/>
        </w:rPr>
        <w:t>(Sanmamed et al., 2016)</w:t>
      </w:r>
      <w:r w:rsidRPr="00DB31B1">
        <w:rPr>
          <w:lang w:eastAsia="cs-CZ"/>
        </w:rPr>
        <w:fldChar w:fldCharType="end"/>
      </w:r>
      <w:r w:rsidRPr="00DB31B1">
        <w:rPr>
          <w:lang w:eastAsia="cs-CZ"/>
        </w:rPr>
        <w:t>. Although it is possible to administer exogeneous human cytokines, it often leads to non-physiological concentrations, causing unnatural behavior in the immune cells. Mice engrafted with human HSPCs also generate human NK cells but their ability to kill their targets is impaired, in part because mice do no express human MHC (i.e., HLA) molecules. A natural move forward is to use transgenic technology. Again, multiple technologies are employed, each generating its own limitations as well as diverse results which also depend upon the particular mouse strain used.</w:t>
      </w:r>
      <w:r w:rsidRPr="00DB31B1">
        <w:rPr>
          <w:rStyle w:val="Znakapoznpodarou"/>
          <w:lang w:eastAsia="cs-CZ"/>
        </w:rPr>
        <w:footnoteReference w:id="14"/>
      </w:r>
      <w:r w:rsidRPr="00DB31B1">
        <w:rPr>
          <w:lang w:eastAsia="cs-CZ"/>
        </w:rPr>
        <w:t xml:space="preserve"> Thus, even though attempts to increase relevant similarities drive much of the research, the process is not that straightforward and without various drawbacks.</w:t>
      </w:r>
    </w:p>
    <w:p w14:paraId="5EA0D6EA" w14:textId="77777777" w:rsidR="00A37C46" w:rsidRPr="00DB31B1" w:rsidRDefault="00A37C46" w:rsidP="00E52E02"/>
    <w:p w14:paraId="086586A0" w14:textId="67427A49" w:rsidR="007C736A" w:rsidRPr="00DB31B1" w:rsidRDefault="007C736A" w:rsidP="00BF632E">
      <w:r w:rsidRPr="00DB31B1">
        <w:t xml:space="preserve">4.3 </w:t>
      </w:r>
      <w:r w:rsidR="00C84F26" w:rsidRPr="00DB31B1">
        <w:t>Similarity considerations play a part in what grounds scientific representation</w:t>
      </w:r>
    </w:p>
    <w:p w14:paraId="36874B31" w14:textId="53354BD8" w:rsidR="00270BC8" w:rsidRPr="00DB31B1" w:rsidRDefault="00270BC8" w:rsidP="00270BC8">
      <w:r w:rsidRPr="00DB31B1">
        <w:t xml:space="preserve">In model selection, similarity considerations greatly influence whether a mouse model is chosen, i.e., whether the model is used as a representation in actual scientific practice. It is not necessarily the case that the more similar the model is to its target, the more likely it will be used, since model selection is also determined by a host of other factors. However, should a potential mouse model of cancer give rise to no questions of resemblance, it will not serve as a representation. Additionally, if, after raising initial questions of resemblance, the researchers reach the conclusion that effectively no relevant similarities arise, the model will be abandoned and no longer used as a representation (unless, of course, one studies the model as a negative model). In model creation, similarity considerations concern the targeted changes to be introduced into the model for it to serve as a representation. </w:t>
      </w:r>
      <w:r w:rsidRPr="00DB31B1">
        <w:rPr>
          <w:i/>
          <w:iCs/>
        </w:rPr>
        <w:t>Therefore, in both model selection and model creation, similarity considerations play a major role in establishing and maintaining a representational relation</w:t>
      </w:r>
      <w:r w:rsidRPr="00DB31B1">
        <w:t>. Consequently, in the actual practice of research on mouse models of cancer and in other such research, the strict dichotomy between representation and similarity (demoted to the mere criterion of accuracy of representation) does not hold. Instead, whether a mouse model is considered as a representation in cancer research depends on similarity considerations (in addition to other factors discussed in previous sections).</w:t>
      </w:r>
    </w:p>
    <w:p w14:paraId="49444D91" w14:textId="1DBF7C7E" w:rsidR="00BF21CB" w:rsidRPr="00DB31B1" w:rsidRDefault="00557F50" w:rsidP="00E52E02">
      <w:pPr>
        <w:rPr>
          <w:rFonts w:cstheme="minorHAnsi"/>
        </w:rPr>
      </w:pPr>
      <w:r w:rsidRPr="00DB31B1">
        <w:t>There are two caveats,</w:t>
      </w:r>
      <w:r w:rsidR="00270BC8" w:rsidRPr="00DB31B1">
        <w:t xml:space="preserve"> however. </w:t>
      </w:r>
      <w:r w:rsidRPr="00DB31B1">
        <w:t>First, t</w:t>
      </w:r>
      <w:r w:rsidR="00270BC8" w:rsidRPr="00DB31B1">
        <w:t xml:space="preserve">he preceding analysis presupposes now broadly accepted intentional approach toward representation, that is, for something to count as a representation it must be </w:t>
      </w:r>
      <w:r w:rsidR="00270BC8" w:rsidRPr="00DB31B1">
        <w:rPr>
          <w:i/>
          <w:iCs/>
        </w:rPr>
        <w:t>used</w:t>
      </w:r>
      <w:r w:rsidR="00270BC8" w:rsidRPr="00DB31B1">
        <w:t xml:space="preserve"> as such. If scientists no longer use certain mouse cohorts, these cohorts no longer count as representations. In other words, representation must, at least partially, be viewed in terms of the intentions of the scientists who make use of models to represent their targets </w:t>
      </w:r>
      <w:r w:rsidR="00270BC8" w:rsidRPr="00DB31B1">
        <w:fldChar w:fldCharType="begin" w:fldLock="1"/>
      </w:r>
      <w:r w:rsidR="00270BC8" w:rsidRPr="00DB31B1">
        <w:instrText>ADDIN CSL_CITATION {"citationItems":[{"id":"ITEM-1","itemData":{"DOI":"10.1016/j.shpsa.2010.11.036","ISSN":"00393681","author":[{"dropping-particle":"","family":"Vorms","given":"Marion","non-dropping-particle":"","parse-names":false,"suffix":""}],"container-title":"Studies in History and Philosophy of Science Part A","id":"ITEM-1","issue":"2","issued":{"date-parts":[["2011","6"]]},"page":"287-295","title":"Representing with imaginary models: Formats matter","type":"article-journal","volume":"42"},"uris":["http://www.mendeley.com/documents/?uuid=0f997e30-baef-31e3-bc2f-c0269d0cca88"]},{"id":"ITEM-2","itemData":{"DOI":"10.1016/j.shpsa.2010.11.034","ISSN":"00393681","author":[{"dropping-particle":"","family":"Knuuttila","given":"Tarja","non-dropping-particle":"","parse-names":false,"suffix":""}],"container-title":"Studies in History and Philosophy of Science Part A","id":"ITEM-2","issue":"2","issued":{"date-parts":[["2011","6"]]},"page":"262-271","title":"Modelling and representing: An artefactual approach to model-based representation","type":"article-journal","volume":"42"},"uris":["http://www.mendeley.com/documents/?uuid=f1fd78f5-bb43-3dd5-8498-146739164816"]},{"id":"ITEM-3","itemData":{"DOI":"10.1007/s11229-009-9506-z","ISSN":"0039-7857","author":[{"dropping-particle":"","family":"Giere","given":"Ronald N.","non-dropping-particle":"","parse-names":false,"suffix":""}],"container-title":"Synthese","id":"ITEM-3","issue":"2","issued":{"date-parts":[["2010","1","1"]]},"page":"269-281","publisher":"Springer Netherlands","title":"An agent-based conception of models and scientific representation","type":"article-journal","volume":"172"},"uris":["http://www.mendeley.com/documents/?uuid=8da088c2-35ea-3a83-a9af-ae4b7f369d6a"]},{"id":"ITEM-4","itemData":{"DOI":"10.1111/j.1747-9991.2009.00261.x","ISSN":"17479991","author":[{"dropping-particle":"","family":"Suárez","given":"Mauricio","non-dropping-particle":"","parse-names":false,"suffix":""}],"container-title":"Philosophy Compass","id":"ITEM-4","issue":"1","issued":{"date-parts":[["2010","1","1"]]},"page":"91-101","publisher":"John Wiley &amp; Sons, Ltd","title":"Scientific Representation","type":"article-journal","volume":"5"},"uris":["http://www.mendeley.com/documents/?uuid=1f1342bf-e929-3287-be50-df23023c7b06"]}],"mendeley":{"formattedCitation":"(Giere, 2010; Knuuttila, 2011; Suárez, 2010; Vorms, 2011)","plainTextFormattedCitation":"(Giere, 2010; Knuuttila, 2011; Suárez, 2010; Vorms, 2011)","previouslyFormattedCitation":"(Giere, 2010; Knuuttila, 2011; Suárez, 2010; Vorms, 2011)"},"properties":{"noteIndex":0},"schema":"https://github.com/citation-style-language/schema/raw/master/csl-citation.json"}</w:instrText>
      </w:r>
      <w:r w:rsidR="00270BC8" w:rsidRPr="00DB31B1">
        <w:fldChar w:fldCharType="separate"/>
      </w:r>
      <w:r w:rsidR="00270BC8" w:rsidRPr="00DB31B1">
        <w:rPr>
          <w:noProof/>
        </w:rPr>
        <w:t>(Giere, 2010; Knuuttila, 2011; Suárez, 2010; Vorms, 2011)</w:t>
      </w:r>
      <w:r w:rsidR="00270BC8" w:rsidRPr="00DB31B1">
        <w:fldChar w:fldCharType="end"/>
      </w:r>
      <w:r w:rsidR="00270BC8" w:rsidRPr="00DB31B1">
        <w:t xml:space="preserve">. However, more than a simple intention seems to be required, as shown by the discussion of the role of stipulation in scientific representation. Callender and Cohen </w:t>
      </w:r>
      <w:r w:rsidR="00270BC8" w:rsidRPr="00DB31B1">
        <w:fldChar w:fldCharType="begin" w:fldLock="1"/>
      </w:r>
      <w:r w:rsidR="00270BC8" w:rsidRPr="00DB31B1">
        <w:instrText>ADDIN CSL_CITATION {"citationItems":[{"id":"ITEM-1","itemData":{"DOI":"10.1387/THEORIA.554","abstract":"We propose that scientific representation is a special case of a more general notion of representation, and that the relatively well worked-out and plausible theories of the latter are directly applicable to the scientific special case.","author":[{"dropping-particle":"","family":"Callender","given":"Craig","non-dropping-particle":"","parse-names":false,"suffix":""},{"dropping-particle":"","family":"Cohen","given":"Jonathan","non-dropping-particle":"","parse-names":false,"suffix":""}],"container-title":"THEORIA. An International Journal for Theory, History and Foundations of Science","id":"ITEM-1","issue":"1","issued":{"date-parts":[["2006","1","6"]]},"page":"67-85","title":"There Is No Special Problem About Scientific Representation","type":"article-journal","volume":"21"},"suppress-author":1,"uris":["http://www.mendeley.com/documents/?uuid=a379eaa5-7f98-3b87-94c0-082ba051c989"]}],"mendeley":{"formattedCitation":"(2006)","plainTextFormattedCitation":"(2006)","previouslyFormattedCitation":"(2006)"},"properties":{"noteIndex":0},"schema":"https://github.com/citation-style-language/schema/raw/master/csl-citation.json"}</w:instrText>
      </w:r>
      <w:r w:rsidR="00270BC8" w:rsidRPr="00DB31B1">
        <w:fldChar w:fldCharType="separate"/>
      </w:r>
      <w:r w:rsidR="00270BC8" w:rsidRPr="00DB31B1">
        <w:rPr>
          <w:noProof/>
        </w:rPr>
        <w:t>(2006)</w:t>
      </w:r>
      <w:r w:rsidR="00270BC8" w:rsidRPr="00DB31B1">
        <w:fldChar w:fldCharType="end"/>
      </w:r>
      <w:r w:rsidR="00270BC8" w:rsidRPr="00DB31B1">
        <w:t xml:space="preserve"> argued that establishing a representational relation comes down to the act of stipulation: anything can serve as a representation of anything, provided that one so stipulates. They were careful to note that while some representational vehicles will be useful, others will not, and they further claim that “</w:t>
      </w:r>
      <w:r w:rsidR="00270BC8" w:rsidRPr="00DB31B1">
        <w:rPr>
          <w:rFonts w:cstheme="minorHAnsi"/>
        </w:rPr>
        <w:t xml:space="preserve">the questions about the utility of these representational vehicles are questions about the pragmatics of things that are representational vehicles, not questions about their representational status per se” </w:t>
      </w:r>
      <w:r w:rsidR="00270BC8" w:rsidRPr="00DB31B1">
        <w:rPr>
          <w:rFonts w:cstheme="minorHAnsi"/>
        </w:rPr>
        <w:fldChar w:fldCharType="begin" w:fldLock="1"/>
      </w:r>
      <w:r w:rsidR="00270BC8" w:rsidRPr="00DB31B1">
        <w:rPr>
          <w:rFonts w:cstheme="minorHAnsi"/>
        </w:rPr>
        <w:instrText>ADDIN CSL_CITATION {"citationItems":[{"id":"ITEM-1","itemData":{"DOI":"10.1387/THEORIA.554","abstract":"We propose that scientific representation is a special case of a more general notion of representation, and that the relatively well worked-out and plausible theories of the latter are directly applicable to the scientific special case.","author":[{"dropping-particle":"","family":"Callender","given":"Craig","non-dropping-particle":"","parse-names":false,"suffix":""},{"dropping-particle":"","family":"Cohen","given":"Jonathan","non-dropping-particle":"","parse-names":false,"suffix":""}],"container-title":"THEORIA. An International Journal for Theory, History and Foundations of Science","id":"ITEM-1","issue":"1","issued":{"date-parts":[["2006","1","6"]]},"page":"67-85","title":"There Is No Special Problem About Scientific Representation","type":"article-journal","volume":"21"},"locator":"75","uris":["http://www.mendeley.com/documents/?uuid=a379eaa5-7f98-3b87-94c0-082ba051c989"]}],"mendeley":{"formattedCitation":"(Callender &amp; Cohen, 2006, p. 75)","plainTextFormattedCitation":"(Callender &amp; Cohen, 2006, p. 75)","previouslyFormattedCitation":"(Callender &amp; Cohen, 2006, p. 75)"},"properties":{"noteIndex":0},"schema":"https://github.com/citation-style-language/schema/raw/master/csl-citation.json"}</w:instrText>
      </w:r>
      <w:r w:rsidR="00270BC8" w:rsidRPr="00DB31B1">
        <w:rPr>
          <w:rFonts w:cstheme="minorHAnsi"/>
        </w:rPr>
        <w:fldChar w:fldCharType="separate"/>
      </w:r>
      <w:r w:rsidR="00270BC8" w:rsidRPr="00DB31B1">
        <w:rPr>
          <w:rFonts w:cstheme="minorHAnsi"/>
          <w:noProof/>
        </w:rPr>
        <w:t>(Callender &amp; Cohen, 2006, p. 75)</w:t>
      </w:r>
      <w:r w:rsidR="00270BC8" w:rsidRPr="00DB31B1">
        <w:rPr>
          <w:rFonts w:cstheme="minorHAnsi"/>
        </w:rPr>
        <w:fldChar w:fldCharType="end"/>
      </w:r>
      <w:r w:rsidR="00270BC8" w:rsidRPr="00DB31B1">
        <w:rPr>
          <w:rFonts w:cstheme="minorHAnsi"/>
        </w:rPr>
        <w:t xml:space="preserve">. Although many aspects of their account have been extensively criticized </w:t>
      </w:r>
      <w:r w:rsidR="00270BC8" w:rsidRPr="00DB31B1">
        <w:fldChar w:fldCharType="begin" w:fldLock="1"/>
      </w:r>
      <w:r w:rsidR="00270BC8" w:rsidRPr="00DB31B1">
        <w:instrText>ADDIN CSL_CITATION {"citationItems":[{"id":"ITEM-1","itemData":{"DOI":"10.1007/978-3-319-27954-1","ISBN":"978-3-319-27952-7","author":[{"dropping-particle":"","family":"Gelfert","given":"Axel","non-dropping-particle":"","parse-names":false,"suffix":""}],"collection-title":"SpringerBriefs in Philosophy","id":"ITEM-1","issued":{"date-parts":[["2016"]]},"publisher":"Springer","publisher-place":"Dordrecht","title":"How to Do Science with Models","type":"book"},"locator":"30-33","uris":["http://www.mendeley.com/documents/?uuid=c5500998-fc8f-32ae-82c5-25c231a44646"]},{"id":"ITEM-2","itemData":{"DOI":"10.1007/978-3-319-30526-4_3","author":[{"dropping-particle":"","family":"Frigg","given":"Roman","non-dropping-particle":"","parse-names":false,"suffix":""},{"dropping-particle":"","family":"Nguyen","given":"James","non-dropping-particle":"","parse-names":false,"suffix":""}],"container-title":"Springer Handbook of Model-Based Science","editor":[{"dropping-particle":"","family":"Magnani","given":"Lorenzo","non-dropping-particle":"","parse-names":false,"suffix":""},{"dropping-particle":"","family":"Bertolotti","given":"Tommaso","non-dropping-particle":"","parse-names":false,"suffix":""}],"id":"ITEM-2","issued":{"date-parts":[["2017"]]},"page":"49-102","publisher":"Springer","publisher-place":"Dordrecht","title":"Models and Representation","type":"chapter"},"locator":"55-57","uris":["http://www.mendeley.com/documents/?uuid=58ab896d-3911-3eb0-ad0c-3351c7f8f773"]},{"id":"ITEM-3","itemData":{"author":[{"dropping-particle":"","family":"Frigg","given":"Roman","non-dropping-particle":"","parse-names":false,"suffix":""},{"dropping-particle":"","family":"Nguyen","given":"James","non-dropping-particle":"","parse-names":false,"suffix":""}],"id":"ITEM-3","issued":{"date-parts":[["2020"]]},"publisher":"Springer","title":"Modelling Nature: An Opinionated Introduction to the Scientific Representation","type":"book"},"locator":"23-30","uris":["http://www.mendeley.com/documents/?uuid=022f1f1d-d2ac-4988-8420-49620543fc24"]},{"id":"ITEM-4","itemData":{"DOI":"10.1086/693989","abstract":"Callender and Cohen argue that there is no need for a special account of the constitution of scientific representation. I argue that scientific representation is communal and therefore deeply tied to the practice in which it is embedded. The communal nature is accounted for by licensing, the activities of scientific practice by which scientists establish a representation. A case study of the Lotka-Volterra model reveals how licensure is a constitutive element of the representational relationship. Thus, any account of the constitution of scientific representation must account for licensing, meaning that there is a special problem of scientific representation.","author":[{"dropping-particle":"","family":"Boesch","given":"Brandon","non-dropping-particle":"","parse-names":false,"suffix":""}],"container-title":"Philosophy of Science","id":"ITEM-4","issue":"5","issued":{"date-parts":[["2017","12","14"]]},"page":"970-981","publisher":"University of Chicago PressChicago, IL","title":"There Is a Special Problem of Scientific Representation","type":"article-journal","volume":"84"},"uris":["http://www.mendeley.com/documents/?uuid=75a2e2c6-60ae-31ce-8d08-f60c8e2aac31"]},{"id":"ITEM-5","itemData":{"author":[{"dropping-particle":"","family":"Morrison","given":"Margaret","non-dropping-particle":"","parse-names":false,"suffix":""}],"id":"ITEM-5","issued":{"date-parts":[["2015"]]},"publisher":"Oxford University Press","publisher-place":"Oxford","title":"Reconstructing Reality: Models, Mathematics, and Simulations","type":"book"},"locator":"125-129","uris":["http://www.mendeley.com/documents/?uuid=5fbcd80d-f3a3-463f-954a-1c522875cb84"]},{"id":"ITEM-6","itemData":{"DOI":"10.1080/02698595.2012.731730","ISSN":"0269-8595","abstract":"The similarity view of scientific representation has recently been subjected to strong criticism. Much of this criticism has been directed against a ‘naive’ similarity account, which tries to expla...","author":[{"dropping-particle":"","family":"Toon","given":"Adam","non-dropping-particle":"","parse-names":false,"suffix":""}],"container-title":"International Studies in the Philosophy of Science","id":"ITEM-6","issue":"3","issued":{"date-parts":[["2012","9"]]},"page":"241-257","publisher":" Routledge ","title":"Similarity and Scientific Representation","type":"article-journal","volume":"26"},"locator":"252-253","uris":["http://www.mendeley.com/documents/?uuid=157970f0-dbef-33c8-ad1c-10923bbd85ad"]}],"mendeley":{"formattedCitation":"(Boesch, 2017; Frigg &amp; Nguyen, 2017, pp. 55–57, 2020, pp. 23–30; Gelfert, 2016, pp. 30–33; Morrison, 2015, pp. 125–129; Toon, 2012b, pp. 252–253)","plainTextFormattedCitation":"(Boesch, 2017; Frigg &amp; Nguyen, 2017, pp. 55–57, 2020, pp. 23–30; Gelfert, 2016, pp. 30–33; Morrison, 2015, pp. 125–129; Toon, 2012b, pp. 252–253)","previouslyFormattedCitation":"(Boesch, 2017; Frigg &amp; Nguyen, 2017, pp. 55–57, 2020, pp. 23–30; Gelfert, 2016, pp. 30–33; Morrison, 2015, pp. 125–129; Toon, 2012b, pp. 252–253)"},"properties":{"noteIndex":0},"schema":"https://github.com/citation-style-language/schema/raw/master/csl-citation.json"}</w:instrText>
      </w:r>
      <w:r w:rsidR="00270BC8" w:rsidRPr="00DB31B1">
        <w:fldChar w:fldCharType="separate"/>
      </w:r>
      <w:r w:rsidR="00270BC8" w:rsidRPr="00DB31B1">
        <w:rPr>
          <w:noProof/>
        </w:rPr>
        <w:t>(Boesch, 2017; Frigg &amp; Nguyen, 2017, pp. 55–57, 2020, pp. 23–30; Gelfert, 2016, pp. 30–33; Morrison, 2015, pp. 125–129; Toon, 2012b, pp. 252–253)</w:t>
      </w:r>
      <w:r w:rsidR="00270BC8" w:rsidRPr="00DB31B1">
        <w:fldChar w:fldCharType="end"/>
      </w:r>
      <w:r w:rsidR="00270BC8" w:rsidRPr="00DB31B1">
        <w:rPr>
          <w:rFonts w:cstheme="minorHAnsi"/>
        </w:rPr>
        <w:t xml:space="preserve">, the fact that stipulation may play some part in establishing a representational relation remains largely undisputed. </w:t>
      </w:r>
      <w:bookmarkStart w:id="7" w:name="_Hlk185249862"/>
      <w:r w:rsidR="00270BC8" w:rsidRPr="00DB31B1">
        <w:rPr>
          <w:rFonts w:cstheme="minorHAnsi"/>
        </w:rPr>
        <w:t xml:space="preserve">The argument of this section is that to the extent stipulation is involved, it is influenced </w:t>
      </w:r>
      <w:r w:rsidR="00270BC8" w:rsidRPr="00DB31B1">
        <w:rPr>
          <w:rFonts w:cstheme="minorHAnsi"/>
        </w:rPr>
        <w:lastRenderedPageBreak/>
        <w:t>in part by similarity considerations in selecting and in creating mouse models (previous sections have shown that other factors also drive stipulation).</w:t>
      </w:r>
      <w:bookmarkEnd w:id="7"/>
      <w:r w:rsidR="00270BC8" w:rsidRPr="00DB31B1">
        <w:rPr>
          <w:rFonts w:cstheme="minorHAnsi"/>
        </w:rPr>
        <w:t xml:space="preserve"> Additionally, the analysis herein shows that what Callender and Cohen call “pragmatics” is not separated from representational status of mouse models in actual scientific practice.</w:t>
      </w:r>
    </w:p>
    <w:p w14:paraId="6E7528CD" w14:textId="32280AE6" w:rsidR="00E52E02" w:rsidRPr="00DB31B1" w:rsidRDefault="00557F50" w:rsidP="00E52E02">
      <w:r w:rsidRPr="00DB31B1">
        <w:t xml:space="preserve">Second, a distinction between representation and accurate representation is also maintained by some of those who are sympathetic towards the similarity account of representation. For example, Mäki takes representation as possessing “two major aspects: the representative aspect and the resemblance aspect” </w:t>
      </w:r>
      <w:r w:rsidRPr="00DB31B1">
        <w:fldChar w:fldCharType="begin" w:fldLock="1"/>
      </w:r>
      <w:r w:rsidRPr="00DB31B1">
        <w:instrText>ADDIN CSL_CITATION {"citationItems":[{"id":"ITEM-1","itemData":{"DOI":"10.1080/13501780500086255","ISSN":"1350-178X","author":[{"dropping-particle":"","family":"Mäki","given":"Uskali","non-dropping-particle":"","parse-names":false,"suffix":""}],"container-title":"Journal of Economic Methodology","id":"ITEM-1","issue":"2","issued":{"date-parts":[["2005","6"]]},"page":"303-315","title":"Models are experiments, experiments are models","type":"article-journal","volume":"12"},"locator":"304","uris":["http://www.mendeley.com/documents/?uuid=367b24d0-4386-3b3b-b521-46ea75063356"]}],"mendeley":{"formattedCitation":"(Mäki, 2005, p. 304)","plainTextFormattedCitation":"(Mäki, 2005, p. 304)","previouslyFormattedCitation":"(Mäki, 2005, p. 304)"},"properties":{"noteIndex":0},"schema":"https://github.com/citation-style-language/schema/raw/master/csl-citation.json"}</w:instrText>
      </w:r>
      <w:r w:rsidRPr="00DB31B1">
        <w:fldChar w:fldCharType="separate"/>
      </w:r>
      <w:r w:rsidRPr="00DB31B1">
        <w:rPr>
          <w:noProof/>
        </w:rPr>
        <w:t>(Mäki, 2005, p. 304)</w:t>
      </w:r>
      <w:r w:rsidRPr="00DB31B1">
        <w:fldChar w:fldCharType="end"/>
      </w:r>
      <w:r w:rsidRPr="00DB31B1">
        <w:t xml:space="preserve">. However, there is an important twist in Mäki’s argument which sets him apart from the critics. He claims that “whether something is a representative of what it represents, whether it is a model as representative, is often revealed by whether it gives rise to questions or issues of resemblance” </w:t>
      </w:r>
      <w:r w:rsidRPr="00DB31B1">
        <w:fldChar w:fldCharType="begin" w:fldLock="1"/>
      </w:r>
      <w:r w:rsidRPr="00DB31B1">
        <w:instrText>ADDIN CSL_CITATION {"citationItems":[{"id":"ITEM-1","itemData":{"DOI":"10.1080/13501780500086255","ISSN":"1350-178X","author":[{"dropping-particle":"","family":"Mäki","given":"Uskali","non-dropping-particle":"","parse-names":false,"suffix":""}],"container-title":"Journal of Economic Methodology","id":"ITEM-1","issue":"2","issued":{"date-parts":[["2005","6"]]},"page":"303-315","title":"Models are experiments, experiments are models","type":"article-journal","volume":"12"},"locator":"305","uris":["http://www.mendeley.com/documents/?uuid=367b24d0-4386-3b3b-b521-46ea75063356"]}],"mendeley":{"formattedCitation":"(Mäki, 2005, p. 305)","plainTextFormattedCitation":"(Mäki, 2005, p. 305)","previouslyFormattedCitation":"(Mäki, 2005, p. 305)"},"properties":{"noteIndex":0},"schema":"https://github.com/citation-style-language/schema/raw/master/csl-citation.json"}</w:instrText>
      </w:r>
      <w:r w:rsidRPr="00DB31B1">
        <w:fldChar w:fldCharType="separate"/>
      </w:r>
      <w:r w:rsidRPr="00DB31B1">
        <w:rPr>
          <w:noProof/>
        </w:rPr>
        <w:t>(Mäki, 2005, p. 305)</w:t>
      </w:r>
      <w:r w:rsidRPr="00DB31B1">
        <w:fldChar w:fldCharType="end"/>
      </w:r>
      <w:r w:rsidRPr="00DB31B1">
        <w:t xml:space="preserve"> and that “considerations of resemblance presuppose that a system is employed as a representative, but on the other hand those considerations may serve as a criterion that helps identify a system as having the status of a representative” </w:t>
      </w:r>
      <w:r w:rsidRPr="00DB31B1">
        <w:fldChar w:fldCharType="begin" w:fldLock="1"/>
      </w:r>
      <w:r w:rsidRPr="00DB31B1">
        <w:instrText>ADDIN CSL_CITATION {"citationItems":[{"id":"ITEM-1","itemData":{"DOI":"10.1080/13501780500086255","ISSN":"1350-178X","author":[{"dropping-particle":"","family":"Mäki","given":"Uskali","non-dropping-particle":"","parse-names":false,"suffix":""}],"container-title":"Journal of Economic Methodology","id":"ITEM-1","issue":"2","issued":{"date-parts":[["2005","6"]]},"page":"303-315","title":"Models are experiments, experiments are models","type":"article-journal","volume":"12"},"locator":"305","uris":["http://www.mendeley.com/documents/?uuid=367b24d0-4386-3b3b-b521-46ea75063356"]}],"mendeley":{"formattedCitation":"(Mäki, 2005, p. 305)","plainTextFormattedCitation":"(Mäki, 2005, p. 305)","previouslyFormattedCitation":"(Mäki, 2005, p. 305)"},"properties":{"noteIndex":0},"schema":"https://github.com/citation-style-language/schema/raw/master/csl-citation.json"}</w:instrText>
      </w:r>
      <w:r w:rsidRPr="00DB31B1">
        <w:fldChar w:fldCharType="separate"/>
      </w:r>
      <w:r w:rsidRPr="00DB31B1">
        <w:rPr>
          <w:noProof/>
        </w:rPr>
        <w:t>(Mäki, 2005, p. 305)</w:t>
      </w:r>
      <w:r w:rsidRPr="00DB31B1">
        <w:fldChar w:fldCharType="end"/>
      </w:r>
      <w:r w:rsidRPr="00DB31B1">
        <w:t>. W</w:t>
      </w:r>
      <w:r w:rsidR="00270BC8" w:rsidRPr="00DB31B1">
        <w:t>e can now claim that such a view</w:t>
      </w:r>
      <w:r w:rsidR="00E52E02" w:rsidRPr="00DB31B1">
        <w:t xml:space="preserve"> seems to fit well with what is going on in </w:t>
      </w:r>
      <w:r w:rsidR="00337DE4" w:rsidRPr="00DB31B1">
        <w:t xml:space="preserve">the </w:t>
      </w:r>
      <w:r w:rsidR="00E52E02" w:rsidRPr="00DB31B1">
        <w:t>research that makes use of mouse models. For instance, commenting on the advantages of humanized mice, Morton and colleague</w:t>
      </w:r>
      <w:r w:rsidR="00E03B68" w:rsidRPr="00DB31B1">
        <w:t>s</w:t>
      </w:r>
      <w:r w:rsidR="00E52E02" w:rsidRPr="00DB31B1">
        <w:t xml:space="preserve"> state that:</w:t>
      </w:r>
    </w:p>
    <w:p w14:paraId="292D3C16" w14:textId="7ED5D232" w:rsidR="00E52E02" w:rsidRPr="00DB31B1" w:rsidRDefault="00174A03" w:rsidP="00E52E02">
      <w:pPr>
        <w:ind w:left="708" w:firstLine="708"/>
      </w:pPr>
      <w:r w:rsidRPr="00DB31B1">
        <w:t>“</w:t>
      </w:r>
      <w:r w:rsidR="00E52E02" w:rsidRPr="00DB31B1">
        <w:t xml:space="preserve">Many model systems either cannot propagate the disease in question or provide a foreign milieu, </w:t>
      </w:r>
      <w:r w:rsidR="00E52E02" w:rsidRPr="00DB31B1">
        <w:rPr>
          <w:i/>
          <w:iCs/>
        </w:rPr>
        <w:t>not representative</w:t>
      </w:r>
      <w:r w:rsidR="00E52E02" w:rsidRPr="00DB31B1">
        <w:t xml:space="preserve"> of the conditions in humans. To address these challenges, chimeric systems designed to incorporate </w:t>
      </w:r>
      <w:r w:rsidR="00E52E02" w:rsidRPr="00DB31B1">
        <w:rPr>
          <w:i/>
          <w:iCs/>
        </w:rPr>
        <w:t>relevant</w:t>
      </w:r>
      <w:r w:rsidR="00E52E02" w:rsidRPr="00DB31B1">
        <w:t xml:space="preserve"> human genes or tissues into a disease model organism have been developed</w:t>
      </w:r>
      <w:r w:rsidRPr="00DB31B1">
        <w:t xml:space="preserve">” </w:t>
      </w:r>
      <w:r w:rsidRPr="00DB31B1">
        <w:fldChar w:fldCharType="begin" w:fldLock="1"/>
      </w:r>
      <w:r w:rsidR="00F90350" w:rsidRPr="00DB31B1">
        <w:instrText>ADDIN CSL_CITATION {"citationItems":[{"id":"ITEM-1","itemData":{"DOI":"10.1158/0008-5472.CAN-16-1260","ISSN":"1538-7445","PMID":"27587540","abstract":"Cancer research has long been hampered by the limitations of the current model systems. Both cultured cells and mouse xenografts grow in an environment highly dissimilar to that of their originating tumor, frequently resulting in promising treatments that are ultimately clinically ineffective. The development of highly immunodeficient mouse strains into which human immune systems can be engrafted can help bridge this gap. Humanized mice (HM) allow researchers to examine xenograft growth in the context of a human immune system and resultant tumor microenvironment, and recent studies have highlighted the increased similarities in attendant tumor structure, metastasis, and signaling to those features in cancer patients. This setting also facilitates the examination of investigational cancer therapies, including new immunotherapies. This review discusses recent advancements in the generation and application of HM models, their promise in cancer research, and their potential in generating clinically relevant treatments. This review also focuses on current efforts to improve HM models by engineering mouse strains expressing human cytokines or HLA proteins and implanting human bone, liver, and thymus tissue to facilitate immune cell maturation and trafficking. Finally, we discuss how these improvements may help direct future HM model cancer studies. Cancer Res; 76(21); 6153-8. ©2016 AACR.","author":[{"dropping-particle":"","family":"Morton","given":"J Jason","non-dropping-particle":"","parse-names":false,"suffix":""},{"dropping-particle":"","family":"Bird","given":"Gregory","non-dropping-particle":"","parse-names":false,"suffix":""},{"dropping-particle":"","family":"Refaeli","given":"Yosef","non-dropping-particle":"","parse-names":false,"suffix":""},{"dropping-particle":"","family":"Jimeno","given":"Antonio","non-dropping-particle":"","parse-names":false,"suffix":""}],"container-title":"Cancer research","id":"ITEM-1","issue":"21","issued":{"date-parts":[["2016","11","1"]]},"page":"6153-6158","publisher":"American Association for Cancer Research","title":"Humanized Mouse Xenograft Models: Narrowing the Tumor-Microenvironment Gap.","type":"article-journal","volume":"76"},"locator":"6153","suffix":", italics added for emphasis","uris":["http://www.mendeley.com/documents/?uuid=89453e18-9ac8-3dce-bf7d-120d20fe5125"]}],"mendeley":{"formattedCitation":"(Morton et al., 2016, p. 6153, italics added for emphasis)","plainTextFormattedCitation":"(Morton et al., 2016, p. 6153, italics added for emphasis)","previouslyFormattedCitation":"(Morton et al., 2016, p. 6153, italics added for emphasis)"},"properties":{"noteIndex":0},"schema":"https://github.com/citation-style-language/schema/raw/master/csl-citation.json"}</w:instrText>
      </w:r>
      <w:r w:rsidRPr="00DB31B1">
        <w:fldChar w:fldCharType="separate"/>
      </w:r>
      <w:r w:rsidR="00F90350" w:rsidRPr="00DB31B1">
        <w:rPr>
          <w:noProof/>
        </w:rPr>
        <w:t>(Morton et al., 2016, p. 6153, italics added for emphasis)</w:t>
      </w:r>
      <w:r w:rsidRPr="00DB31B1">
        <w:fldChar w:fldCharType="end"/>
      </w:r>
      <w:r w:rsidR="00E52E02" w:rsidRPr="00DB31B1">
        <w:t>.</w:t>
      </w:r>
    </w:p>
    <w:p w14:paraId="4766EB9D" w14:textId="56231B6B" w:rsidR="00E52E02" w:rsidRPr="00DB31B1" w:rsidRDefault="00174A03" w:rsidP="00E52E02">
      <w:pPr>
        <w:ind w:left="708" w:firstLine="708"/>
      </w:pPr>
      <w:r w:rsidRPr="00DB31B1">
        <w:t>“</w:t>
      </w:r>
      <w:r w:rsidR="00E52E02" w:rsidRPr="00DB31B1">
        <w:t xml:space="preserve">These </w:t>
      </w:r>
      <w:r w:rsidR="00200066" w:rsidRPr="00DB31B1">
        <w:t>‘</w:t>
      </w:r>
      <w:r w:rsidR="00E52E02" w:rsidRPr="00DB31B1">
        <w:t>humanized mice</w:t>
      </w:r>
      <w:r w:rsidR="00200066" w:rsidRPr="00DB31B1">
        <w:t>’</w:t>
      </w:r>
      <w:r w:rsidR="00E52E02" w:rsidRPr="00DB31B1">
        <w:t xml:space="preserve"> aim at harboring an immune environment capable of more </w:t>
      </w:r>
      <w:r w:rsidR="00E52E02" w:rsidRPr="00DB31B1">
        <w:rPr>
          <w:i/>
          <w:iCs/>
        </w:rPr>
        <w:t>accurately reflecting</w:t>
      </w:r>
      <w:r w:rsidR="00E52E02" w:rsidRPr="00DB31B1">
        <w:t xml:space="preserve"> that present in human diseases</w:t>
      </w:r>
      <w:r w:rsidRPr="00DB31B1">
        <w:t xml:space="preserve">” </w:t>
      </w:r>
      <w:r w:rsidRPr="00DB31B1">
        <w:fldChar w:fldCharType="begin" w:fldLock="1"/>
      </w:r>
      <w:r w:rsidR="00F90350" w:rsidRPr="00DB31B1">
        <w:instrText>ADDIN CSL_CITATION {"citationItems":[{"id":"ITEM-1","itemData":{"DOI":"10.1158/0008-5472.CAN-16-1260","ISSN":"1538-7445","PMID":"27587540","abstract":"Cancer research has long been hampered by the limitations of the current model systems. Both cultured cells and mouse xenografts grow in an environment highly dissimilar to that of their originating tumor, frequently resulting in promising treatments that are ultimately clinically ineffective. The development of highly immunodeficient mouse strains into which human immune systems can be engrafted can help bridge this gap. Humanized mice (HM) allow researchers to examine xenograft growth in the context of a human immune system and resultant tumor microenvironment, and recent studies have highlighted the increased similarities in attendant tumor structure, metastasis, and signaling to those features in cancer patients. This setting also facilitates the examination of investigational cancer therapies, including new immunotherapies. This review discusses recent advancements in the generation and application of HM models, their promise in cancer research, and their potential in generating clinically relevant treatments. This review also focuses on current efforts to improve HM models by engineering mouse strains expressing human cytokines or HLA proteins and implanting human bone, liver, and thymus tissue to facilitate immune cell maturation and trafficking. Finally, we discuss how these improvements may help direct future HM model cancer studies. Cancer Res; 76(21); 6153-8. ©2016 AACR.","author":[{"dropping-particle":"","family":"Morton","given":"J Jason","non-dropping-particle":"","parse-names":false,"suffix":""},{"dropping-particle":"","family":"Bird","given":"Gregory","non-dropping-particle":"","parse-names":false,"suffix":""},{"dropping-particle":"","family":"Refaeli","given":"Yosef","non-dropping-particle":"","parse-names":false,"suffix":""},{"dropping-particle":"","family":"Jimeno","given":"Antonio","non-dropping-particle":"","parse-names":false,"suffix":""}],"container-title":"Cancer research","id":"ITEM-1","issue":"21","issued":{"date-parts":[["2016","11","1"]]},"page":"6153-6158","publisher":"American Association for Cancer Research","title":"Humanized Mouse Xenograft Models: Narrowing the Tumor-Microenvironment Gap.","type":"article-journal","volume":"76"},"locator":"6153","suffix":", italics added for emphasis","uris":["http://www.mendeley.com/documents/?uuid=89453e18-9ac8-3dce-bf7d-120d20fe5125"]}],"mendeley":{"formattedCitation":"(Morton et al., 2016, p. 6153, italics added for emphasis)","plainTextFormattedCitation":"(Morton et al., 2016, p. 6153, italics added for emphasis)","previouslyFormattedCitation":"(Morton et al., 2016, p. 6153, italics added for emphasis)"},"properties":{"noteIndex":0},"schema":"https://github.com/citation-style-language/schema/raw/master/csl-citation.json"}</w:instrText>
      </w:r>
      <w:r w:rsidRPr="00DB31B1">
        <w:fldChar w:fldCharType="separate"/>
      </w:r>
      <w:r w:rsidR="00F90350" w:rsidRPr="00DB31B1">
        <w:rPr>
          <w:noProof/>
        </w:rPr>
        <w:t>(Morton et al., 2016, p. 6153, italics added for emphasis)</w:t>
      </w:r>
      <w:r w:rsidRPr="00DB31B1">
        <w:fldChar w:fldCharType="end"/>
      </w:r>
      <w:r w:rsidR="00E52E02" w:rsidRPr="00DB31B1">
        <w:t>.</w:t>
      </w:r>
    </w:p>
    <w:p w14:paraId="565ED81D" w14:textId="4822E1BA" w:rsidR="00740826" w:rsidRPr="00DB31B1" w:rsidRDefault="00557F50" w:rsidP="00740826">
      <w:r w:rsidRPr="00DB31B1">
        <w:t>While</w:t>
      </w:r>
      <w:r w:rsidR="000503C0" w:rsidRPr="00DB31B1">
        <w:t xml:space="preserve"> Mäki</w:t>
      </w:r>
      <w:r w:rsidR="00270BC8" w:rsidRPr="00DB31B1">
        <w:t xml:space="preserve">’s account provides an important piece to the puzzle of scientific representation, </w:t>
      </w:r>
      <w:r w:rsidRPr="00DB31B1">
        <w:t xml:space="preserve"> scientific representation is not established purely on the grounds of similarity considerations. As we have seen, scientific representation is grounded by a number of</w:t>
      </w:r>
      <w:r w:rsidR="00270BC8" w:rsidRPr="00DB31B1">
        <w:t xml:space="preserve"> factors </w:t>
      </w:r>
      <w:r w:rsidRPr="00DB31B1">
        <w:t>in addition to similarity considerations</w:t>
      </w:r>
      <w:r w:rsidR="00270BC8" w:rsidRPr="00DB31B1">
        <w:t>.</w:t>
      </w:r>
      <w:r w:rsidR="000503C0" w:rsidRPr="00DB31B1">
        <w:t xml:space="preserve"> </w:t>
      </w:r>
      <w:r w:rsidR="00740826" w:rsidRPr="00DB31B1">
        <w:t>Thus, in scientific practice resemblance or similarity cannot in any straightforward way be kept separate from the notion of representation</w:t>
      </w:r>
      <w:r w:rsidR="00D62E23" w:rsidRPr="00DB31B1">
        <w:t>, at least in some domains of research</w:t>
      </w:r>
      <w:r w:rsidR="00740826" w:rsidRPr="00DB31B1">
        <w:t>. Instead, there appears to be a reciprocal relation between similarity considerations and the establishment of a representational relation, i.e., something standing for something else.</w:t>
      </w:r>
    </w:p>
    <w:p w14:paraId="6A9B9B34" w14:textId="4504853D" w:rsidR="008B53B5" w:rsidRPr="00F37696" w:rsidRDefault="008B53B5" w:rsidP="004C41B3"/>
    <w:p w14:paraId="0DDDE8DF" w14:textId="062DF50C" w:rsidR="00BA517F" w:rsidRPr="00F37696" w:rsidRDefault="00F9403F" w:rsidP="00BF632E">
      <w:r w:rsidRPr="00F37696">
        <w:t>5 Conclusion</w:t>
      </w:r>
    </w:p>
    <w:p w14:paraId="569CBC9F" w14:textId="683B0989" w:rsidR="001D3CAD" w:rsidRPr="00033C0D" w:rsidRDefault="009D1172" w:rsidP="001D3CAD">
      <w:r w:rsidRPr="00033C0D">
        <w:t xml:space="preserve">According to the critics of the similarity account of scientific representation, similarity is at best a criterion of accurate representation rather than a factor that grounds representation. I have argued that while the overarching skepticism regarding the similarity account may be justified, the role of similarity in specific contexts deserves attention. Specifically, this paper has analyzed the role(s) of similarity considerations in cancer research that uses mouse models. </w:t>
      </w:r>
      <w:r w:rsidR="00C64FAA" w:rsidRPr="00033C0D">
        <w:t xml:space="preserve">The repertoire of mouse models used in cancer research and cancer immunology is vast. Given that there are different kinds of mouse models developed by numerous and diverse techniques, it should come as </w:t>
      </w:r>
      <w:r w:rsidR="00023A86" w:rsidRPr="00033C0D">
        <w:t xml:space="preserve">no </w:t>
      </w:r>
      <w:r w:rsidR="00C64FAA" w:rsidRPr="00033C0D">
        <w:t>surprise that each model has its own set of advantages and disadvantages. The selection of a mouse model is guided by the research question at hand, a host of pragmatic and other factors, and, importantly, by similarity considerations.</w:t>
      </w:r>
      <w:r w:rsidRPr="00033C0D">
        <w:t xml:space="preserve"> I</w:t>
      </w:r>
      <w:r w:rsidR="00AA72DD" w:rsidRPr="00033C0D">
        <w:t>n model creation</w:t>
      </w:r>
      <w:r w:rsidR="007D7A04" w:rsidRPr="00033C0D">
        <w:t>,</w:t>
      </w:r>
      <w:r w:rsidR="00AA72DD" w:rsidRPr="00033C0D">
        <w:t xml:space="preserve"> similarities pertain to the intention to actively introduce changes into mouse cohorts so that</w:t>
      </w:r>
      <w:r w:rsidR="00BA7743" w:rsidRPr="00033C0D">
        <w:t xml:space="preserve"> relevant</w:t>
      </w:r>
      <w:r w:rsidR="00AA72DD" w:rsidRPr="00033C0D">
        <w:t xml:space="preserve"> similarities arise. </w:t>
      </w:r>
      <w:r w:rsidRPr="00033C0D">
        <w:t xml:space="preserve">Contrary to the critics, </w:t>
      </w:r>
      <w:r w:rsidR="00AA72DD" w:rsidRPr="00033C0D">
        <w:t xml:space="preserve">I have argued that </w:t>
      </w:r>
      <w:r w:rsidR="000A4929" w:rsidRPr="00033C0D">
        <w:t xml:space="preserve">in </w:t>
      </w:r>
      <w:r w:rsidR="000A4929" w:rsidRPr="00033C0D">
        <w:lastRenderedPageBreak/>
        <w:t>model selection and model creation,</w:t>
      </w:r>
      <w:r w:rsidR="00AA72DD" w:rsidRPr="00033C0D">
        <w:t xml:space="preserve"> similarity considerations </w:t>
      </w:r>
      <w:r w:rsidR="006F6FB5" w:rsidRPr="00033C0D">
        <w:t>play a key role in the process of establishing and maintaining a representational relation.</w:t>
      </w:r>
      <w:r w:rsidR="00033C0D">
        <w:t xml:space="preserve"> Thus, similarity should not be demoted to a mere criterion of accuracy of representation, at least in some research domains.</w:t>
      </w:r>
      <w:r w:rsidRPr="00033C0D">
        <w:t xml:space="preserve"> In other words,</w:t>
      </w:r>
      <w:r w:rsidR="001D3CAD" w:rsidRPr="00033C0D">
        <w:t xml:space="preserve"> </w:t>
      </w:r>
      <w:r w:rsidRPr="00033C0D">
        <w:t>w</w:t>
      </w:r>
      <w:r w:rsidR="0097700E" w:rsidRPr="00033C0D">
        <w:t>hile similarity considerations are by far not the only factor involved in representation, they are nevertheless crucial in the representational efforts involved in</w:t>
      </w:r>
      <w:r w:rsidR="00574E3F">
        <w:t xml:space="preserve"> some domains of</w:t>
      </w:r>
      <w:r w:rsidR="0097700E" w:rsidRPr="00033C0D">
        <w:t xml:space="preserve"> scientific practice</w:t>
      </w:r>
      <w:r w:rsidR="004F7AAD" w:rsidRPr="00033C0D">
        <w:t>.</w:t>
      </w:r>
    </w:p>
    <w:p w14:paraId="2C1E8F39" w14:textId="55FCF8A0" w:rsidR="00F9403F" w:rsidRPr="00F37696" w:rsidRDefault="00F9403F" w:rsidP="00BA517F"/>
    <w:p w14:paraId="153B5EB3" w14:textId="77777777" w:rsidR="00BA517F" w:rsidRPr="00F37696" w:rsidRDefault="00BA517F" w:rsidP="00BA517F"/>
    <w:p w14:paraId="32F61CDA" w14:textId="04B06B1A" w:rsidR="00146361" w:rsidRPr="00F37696" w:rsidRDefault="00146361" w:rsidP="007D4846">
      <w:r w:rsidRPr="00F37696">
        <w:t>References</w:t>
      </w:r>
    </w:p>
    <w:p w14:paraId="48FB2046" w14:textId="52ECC257" w:rsidR="00A37C46" w:rsidRPr="00A37C46" w:rsidRDefault="00146361" w:rsidP="00A37C46">
      <w:pPr>
        <w:widowControl w:val="0"/>
        <w:autoSpaceDE w:val="0"/>
        <w:autoSpaceDN w:val="0"/>
        <w:adjustRightInd w:val="0"/>
        <w:spacing w:line="240" w:lineRule="auto"/>
        <w:ind w:left="480" w:hanging="480"/>
        <w:rPr>
          <w:rFonts w:ascii="Calibri" w:hAnsi="Calibri" w:cs="Calibri"/>
          <w:noProof/>
        </w:rPr>
      </w:pPr>
      <w:r w:rsidRPr="00F37696">
        <w:fldChar w:fldCharType="begin" w:fldLock="1"/>
      </w:r>
      <w:r w:rsidRPr="00F37696">
        <w:instrText xml:space="preserve">ADDIN Mendeley Bibliography CSL_BIBLIOGRAPHY </w:instrText>
      </w:r>
      <w:r w:rsidRPr="00F37696">
        <w:fldChar w:fldCharType="separate"/>
      </w:r>
      <w:r w:rsidR="00A37C46" w:rsidRPr="00A37C46">
        <w:rPr>
          <w:rFonts w:ascii="Calibri" w:hAnsi="Calibri" w:cs="Calibri"/>
          <w:noProof/>
        </w:rPr>
        <w:t xml:space="preserve">Ankeny, R. A., &amp; Leonelli, S. (2011). What’s so special about model organisms? </w:t>
      </w:r>
      <w:r w:rsidR="00A37C46" w:rsidRPr="00A37C46">
        <w:rPr>
          <w:rFonts w:ascii="Calibri" w:hAnsi="Calibri" w:cs="Calibri"/>
          <w:i/>
          <w:iCs/>
          <w:noProof/>
        </w:rPr>
        <w:t>Studies in History and Philosophy of Science Part A</w:t>
      </w:r>
      <w:r w:rsidR="00A37C46" w:rsidRPr="00A37C46">
        <w:rPr>
          <w:rFonts w:ascii="Calibri" w:hAnsi="Calibri" w:cs="Calibri"/>
          <w:noProof/>
        </w:rPr>
        <w:t xml:space="preserve">, </w:t>
      </w:r>
      <w:r w:rsidR="00A37C46" w:rsidRPr="00A37C46">
        <w:rPr>
          <w:rFonts w:ascii="Calibri" w:hAnsi="Calibri" w:cs="Calibri"/>
          <w:i/>
          <w:iCs/>
          <w:noProof/>
        </w:rPr>
        <w:t>42</w:t>
      </w:r>
      <w:r w:rsidR="00A37C46" w:rsidRPr="00A37C46">
        <w:rPr>
          <w:rFonts w:ascii="Calibri" w:hAnsi="Calibri" w:cs="Calibri"/>
          <w:noProof/>
        </w:rPr>
        <w:t>(2), 313–323. https://doi.org/10.1016/J.SHPSA.2010.11.039</w:t>
      </w:r>
    </w:p>
    <w:p w14:paraId="6512085A"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Ankeny, R. A., &amp; Leonelli, S. (2020). </w:t>
      </w:r>
      <w:r w:rsidRPr="00A37C46">
        <w:rPr>
          <w:rFonts w:ascii="Calibri" w:hAnsi="Calibri" w:cs="Calibri"/>
          <w:i/>
          <w:iCs/>
          <w:noProof/>
        </w:rPr>
        <w:t>Model Organisms</w:t>
      </w:r>
      <w:r w:rsidRPr="00A37C46">
        <w:rPr>
          <w:rFonts w:ascii="Calibri" w:hAnsi="Calibri" w:cs="Calibri"/>
          <w:noProof/>
        </w:rPr>
        <w:t>. Cambridge University Press.</w:t>
      </w:r>
    </w:p>
    <w:p w14:paraId="7FD74640"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Ankeny, R. A., Leonelli, S., Nelson, N. C., &amp; Ramsden, E. (2014). Making Organisms Model Human Behavior: Situated Models in North-American Alcohol Research, since 1950. </w:t>
      </w:r>
      <w:r w:rsidRPr="00A37C46">
        <w:rPr>
          <w:rFonts w:ascii="Calibri" w:hAnsi="Calibri" w:cs="Calibri"/>
          <w:i/>
          <w:iCs/>
          <w:noProof/>
        </w:rPr>
        <w:t>Science in Context</w:t>
      </w:r>
      <w:r w:rsidRPr="00A37C46">
        <w:rPr>
          <w:rFonts w:ascii="Calibri" w:hAnsi="Calibri" w:cs="Calibri"/>
          <w:noProof/>
        </w:rPr>
        <w:t xml:space="preserve">, </w:t>
      </w:r>
      <w:r w:rsidRPr="00A37C46">
        <w:rPr>
          <w:rFonts w:ascii="Calibri" w:hAnsi="Calibri" w:cs="Calibri"/>
          <w:i/>
          <w:iCs/>
          <w:noProof/>
        </w:rPr>
        <w:t>27</w:t>
      </w:r>
      <w:r w:rsidRPr="00A37C46">
        <w:rPr>
          <w:rFonts w:ascii="Calibri" w:hAnsi="Calibri" w:cs="Calibri"/>
          <w:noProof/>
        </w:rPr>
        <w:t>(03), 485–509. https://doi.org/10.1017/S0269889714000155</w:t>
      </w:r>
    </w:p>
    <w:p w14:paraId="00AEF220"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Atanasova, N. (2015). Validating Animal Models. </w:t>
      </w:r>
      <w:r w:rsidRPr="00A37C46">
        <w:rPr>
          <w:rFonts w:ascii="Calibri" w:hAnsi="Calibri" w:cs="Calibri"/>
          <w:i/>
          <w:iCs/>
          <w:noProof/>
        </w:rPr>
        <w:t>THEORIA. An International Journal for Theory, History and Foundations of Science</w:t>
      </w:r>
      <w:r w:rsidRPr="00A37C46">
        <w:rPr>
          <w:rFonts w:ascii="Calibri" w:hAnsi="Calibri" w:cs="Calibri"/>
          <w:noProof/>
        </w:rPr>
        <w:t xml:space="preserve">, </w:t>
      </w:r>
      <w:r w:rsidRPr="00A37C46">
        <w:rPr>
          <w:rFonts w:ascii="Calibri" w:hAnsi="Calibri" w:cs="Calibri"/>
          <w:i/>
          <w:iCs/>
          <w:noProof/>
        </w:rPr>
        <w:t>30</w:t>
      </w:r>
      <w:r w:rsidRPr="00A37C46">
        <w:rPr>
          <w:rFonts w:ascii="Calibri" w:hAnsi="Calibri" w:cs="Calibri"/>
          <w:noProof/>
        </w:rPr>
        <w:t>(2), 163–181. https://doi.org/10.1387/theoria.12761</w:t>
      </w:r>
    </w:p>
    <w:p w14:paraId="528B6641"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Baetu, T. M. (2016). The ‘Big Picture’: The Problem of Extrapolation in Basic Research. </w:t>
      </w:r>
      <w:r w:rsidRPr="00A37C46">
        <w:rPr>
          <w:rFonts w:ascii="Calibri" w:hAnsi="Calibri" w:cs="Calibri"/>
          <w:i/>
          <w:iCs/>
          <w:noProof/>
        </w:rPr>
        <w:t>The British Journal for the Philosophy of Science</w:t>
      </w:r>
      <w:r w:rsidRPr="00A37C46">
        <w:rPr>
          <w:rFonts w:ascii="Calibri" w:hAnsi="Calibri" w:cs="Calibri"/>
          <w:noProof/>
        </w:rPr>
        <w:t xml:space="preserve">, </w:t>
      </w:r>
      <w:r w:rsidRPr="00A37C46">
        <w:rPr>
          <w:rFonts w:ascii="Calibri" w:hAnsi="Calibri" w:cs="Calibri"/>
          <w:i/>
          <w:iCs/>
          <w:noProof/>
        </w:rPr>
        <w:t>67</w:t>
      </w:r>
      <w:r w:rsidRPr="00A37C46">
        <w:rPr>
          <w:rFonts w:ascii="Calibri" w:hAnsi="Calibri" w:cs="Calibri"/>
          <w:noProof/>
        </w:rPr>
        <w:t>(4), 941–964. https://doi.org/10.1093/bjps/axv018</w:t>
      </w:r>
    </w:p>
    <w:p w14:paraId="48DEA108"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Boesch, B. (2017). There Is a Special Problem of Scientific Representation. </w:t>
      </w:r>
      <w:r w:rsidRPr="00A37C46">
        <w:rPr>
          <w:rFonts w:ascii="Calibri" w:hAnsi="Calibri" w:cs="Calibri"/>
          <w:i/>
          <w:iCs/>
          <w:noProof/>
        </w:rPr>
        <w:t>Philosophy of Science</w:t>
      </w:r>
      <w:r w:rsidRPr="00A37C46">
        <w:rPr>
          <w:rFonts w:ascii="Calibri" w:hAnsi="Calibri" w:cs="Calibri"/>
          <w:noProof/>
        </w:rPr>
        <w:t xml:space="preserve">, </w:t>
      </w:r>
      <w:r w:rsidRPr="00A37C46">
        <w:rPr>
          <w:rFonts w:ascii="Calibri" w:hAnsi="Calibri" w:cs="Calibri"/>
          <w:i/>
          <w:iCs/>
          <w:noProof/>
        </w:rPr>
        <w:t>84</w:t>
      </w:r>
      <w:r w:rsidRPr="00A37C46">
        <w:rPr>
          <w:rFonts w:ascii="Calibri" w:hAnsi="Calibri" w:cs="Calibri"/>
          <w:noProof/>
        </w:rPr>
        <w:t>(5), 970–981. https://doi.org/10.1086/693989</w:t>
      </w:r>
    </w:p>
    <w:p w14:paraId="1FD497E9"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Bolinska, A. (2013). Epistemic representation, informativeness and the aim of faithful representation. </w:t>
      </w:r>
      <w:r w:rsidRPr="00A37C46">
        <w:rPr>
          <w:rFonts w:ascii="Calibri" w:hAnsi="Calibri" w:cs="Calibri"/>
          <w:i/>
          <w:iCs/>
          <w:noProof/>
        </w:rPr>
        <w:t>Synthese</w:t>
      </w:r>
      <w:r w:rsidRPr="00A37C46">
        <w:rPr>
          <w:rFonts w:ascii="Calibri" w:hAnsi="Calibri" w:cs="Calibri"/>
          <w:noProof/>
        </w:rPr>
        <w:t xml:space="preserve">, </w:t>
      </w:r>
      <w:r w:rsidRPr="00A37C46">
        <w:rPr>
          <w:rFonts w:ascii="Calibri" w:hAnsi="Calibri" w:cs="Calibri"/>
          <w:i/>
          <w:iCs/>
          <w:noProof/>
        </w:rPr>
        <w:t>190</w:t>
      </w:r>
      <w:r w:rsidRPr="00A37C46">
        <w:rPr>
          <w:rFonts w:ascii="Calibri" w:hAnsi="Calibri" w:cs="Calibri"/>
          <w:noProof/>
        </w:rPr>
        <w:t>(2), 219–234. https://doi.org/10.1007/s11229-012-0143-6</w:t>
      </w:r>
    </w:p>
    <w:p w14:paraId="39D47D9E"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Bolinska, A. (2016). Successful visual epistemic representation. </w:t>
      </w:r>
      <w:r w:rsidRPr="00A37C46">
        <w:rPr>
          <w:rFonts w:ascii="Calibri" w:hAnsi="Calibri" w:cs="Calibri"/>
          <w:i/>
          <w:iCs/>
          <w:noProof/>
        </w:rPr>
        <w:t>Studies in History and Philosophy of Science Part A</w:t>
      </w:r>
      <w:r w:rsidRPr="00A37C46">
        <w:rPr>
          <w:rFonts w:ascii="Calibri" w:hAnsi="Calibri" w:cs="Calibri"/>
          <w:noProof/>
        </w:rPr>
        <w:t xml:space="preserve">, </w:t>
      </w:r>
      <w:r w:rsidRPr="00A37C46">
        <w:rPr>
          <w:rFonts w:ascii="Calibri" w:hAnsi="Calibri" w:cs="Calibri"/>
          <w:i/>
          <w:iCs/>
          <w:noProof/>
        </w:rPr>
        <w:t>56</w:t>
      </w:r>
      <w:r w:rsidRPr="00A37C46">
        <w:rPr>
          <w:rFonts w:ascii="Calibri" w:hAnsi="Calibri" w:cs="Calibri"/>
          <w:noProof/>
        </w:rPr>
        <w:t>, 153–160. https://doi.org/10.1016/J.SHPSA.2015.09.005</w:t>
      </w:r>
    </w:p>
    <w:p w14:paraId="27E3E42D"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Bolker, J. A. (2009). Exemplary and Surrogate Models: Two Modes of Representation in Biology. </w:t>
      </w:r>
      <w:r w:rsidRPr="00A37C46">
        <w:rPr>
          <w:rFonts w:ascii="Calibri" w:hAnsi="Calibri" w:cs="Calibri"/>
          <w:i/>
          <w:iCs/>
          <w:noProof/>
        </w:rPr>
        <w:t>Perspectives in Biology and Medicine</w:t>
      </w:r>
      <w:r w:rsidRPr="00A37C46">
        <w:rPr>
          <w:rFonts w:ascii="Calibri" w:hAnsi="Calibri" w:cs="Calibri"/>
          <w:noProof/>
        </w:rPr>
        <w:t xml:space="preserve">, </w:t>
      </w:r>
      <w:r w:rsidRPr="00A37C46">
        <w:rPr>
          <w:rFonts w:ascii="Calibri" w:hAnsi="Calibri" w:cs="Calibri"/>
          <w:i/>
          <w:iCs/>
          <w:noProof/>
        </w:rPr>
        <w:t>52</w:t>
      </w:r>
      <w:r w:rsidRPr="00A37C46">
        <w:rPr>
          <w:rFonts w:ascii="Calibri" w:hAnsi="Calibri" w:cs="Calibri"/>
          <w:noProof/>
        </w:rPr>
        <w:t>(4), 485–499. https://doi.org/10.1353/pbm.0.0125</w:t>
      </w:r>
    </w:p>
    <w:p w14:paraId="6CB55AA7"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Budhu, S., Wolchok, J., &amp; Merghoub, T. (2014). The importance of animal models in tumor immunity and immunotherapy. </w:t>
      </w:r>
      <w:r w:rsidRPr="00A37C46">
        <w:rPr>
          <w:rFonts w:ascii="Calibri" w:hAnsi="Calibri" w:cs="Calibri"/>
          <w:i/>
          <w:iCs/>
          <w:noProof/>
        </w:rPr>
        <w:t>Current Opinion in Genetics &amp; Development</w:t>
      </w:r>
      <w:r w:rsidRPr="00A37C46">
        <w:rPr>
          <w:rFonts w:ascii="Calibri" w:hAnsi="Calibri" w:cs="Calibri"/>
          <w:noProof/>
        </w:rPr>
        <w:t xml:space="preserve">, </w:t>
      </w:r>
      <w:r w:rsidRPr="00A37C46">
        <w:rPr>
          <w:rFonts w:ascii="Calibri" w:hAnsi="Calibri" w:cs="Calibri"/>
          <w:i/>
          <w:iCs/>
          <w:noProof/>
        </w:rPr>
        <w:t>24</w:t>
      </w:r>
      <w:r w:rsidRPr="00A37C46">
        <w:rPr>
          <w:rFonts w:ascii="Calibri" w:hAnsi="Calibri" w:cs="Calibri"/>
          <w:noProof/>
        </w:rPr>
        <w:t>, 46–51. https://doi.org/10.1016/J.GDE.2013.11.008</w:t>
      </w:r>
    </w:p>
    <w:p w14:paraId="04639D60"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Callender, C., &amp; Cohen, J. (2006). There Is No Special Problem About Scientific Representation. </w:t>
      </w:r>
      <w:r w:rsidRPr="00A37C46">
        <w:rPr>
          <w:rFonts w:ascii="Calibri" w:hAnsi="Calibri" w:cs="Calibri"/>
          <w:i/>
          <w:iCs/>
          <w:noProof/>
        </w:rPr>
        <w:t>THEORIA. An International Journal for Theory, History and Foundations of Science</w:t>
      </w:r>
      <w:r w:rsidRPr="00A37C46">
        <w:rPr>
          <w:rFonts w:ascii="Calibri" w:hAnsi="Calibri" w:cs="Calibri"/>
          <w:noProof/>
        </w:rPr>
        <w:t xml:space="preserve">, </w:t>
      </w:r>
      <w:r w:rsidRPr="00A37C46">
        <w:rPr>
          <w:rFonts w:ascii="Calibri" w:hAnsi="Calibri" w:cs="Calibri"/>
          <w:i/>
          <w:iCs/>
          <w:noProof/>
        </w:rPr>
        <w:t>21</w:t>
      </w:r>
      <w:r w:rsidRPr="00A37C46">
        <w:rPr>
          <w:rFonts w:ascii="Calibri" w:hAnsi="Calibri" w:cs="Calibri"/>
          <w:noProof/>
        </w:rPr>
        <w:t>(1), 67–85. https://doi.org/10.1387/THEORIA.554</w:t>
      </w:r>
    </w:p>
    <w:p w14:paraId="7C992425"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Chakravartty, A. (2010). Informational versus functional theories of scientific representation. </w:t>
      </w:r>
      <w:r w:rsidRPr="00A37C46">
        <w:rPr>
          <w:rFonts w:ascii="Calibri" w:hAnsi="Calibri" w:cs="Calibri"/>
          <w:i/>
          <w:iCs/>
          <w:noProof/>
        </w:rPr>
        <w:t>Synthese</w:t>
      </w:r>
      <w:r w:rsidRPr="00A37C46">
        <w:rPr>
          <w:rFonts w:ascii="Calibri" w:hAnsi="Calibri" w:cs="Calibri"/>
          <w:noProof/>
        </w:rPr>
        <w:t xml:space="preserve">, </w:t>
      </w:r>
      <w:r w:rsidRPr="00A37C46">
        <w:rPr>
          <w:rFonts w:ascii="Calibri" w:hAnsi="Calibri" w:cs="Calibri"/>
          <w:i/>
          <w:iCs/>
          <w:noProof/>
        </w:rPr>
        <w:t>172</w:t>
      </w:r>
      <w:r w:rsidRPr="00A37C46">
        <w:rPr>
          <w:rFonts w:ascii="Calibri" w:hAnsi="Calibri" w:cs="Calibri"/>
          <w:noProof/>
        </w:rPr>
        <w:t>(2), 197–213. https://doi.org/10.1007/s11229-009-9502-3</w:t>
      </w:r>
    </w:p>
    <w:p w14:paraId="1A0C8918"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Contessa, G. (2007). Scientific Representation, Interpretation, and Surrogative Reasoning. </w:t>
      </w:r>
      <w:r w:rsidRPr="00A37C46">
        <w:rPr>
          <w:rFonts w:ascii="Calibri" w:hAnsi="Calibri" w:cs="Calibri"/>
          <w:i/>
          <w:iCs/>
          <w:noProof/>
        </w:rPr>
        <w:t>Philosophy of Science</w:t>
      </w:r>
      <w:r w:rsidRPr="00A37C46">
        <w:rPr>
          <w:rFonts w:ascii="Calibri" w:hAnsi="Calibri" w:cs="Calibri"/>
          <w:noProof/>
        </w:rPr>
        <w:t xml:space="preserve">, </w:t>
      </w:r>
      <w:r w:rsidRPr="00A37C46">
        <w:rPr>
          <w:rFonts w:ascii="Calibri" w:hAnsi="Calibri" w:cs="Calibri"/>
          <w:i/>
          <w:iCs/>
          <w:noProof/>
        </w:rPr>
        <w:t>74</w:t>
      </w:r>
      <w:r w:rsidRPr="00A37C46">
        <w:rPr>
          <w:rFonts w:ascii="Calibri" w:hAnsi="Calibri" w:cs="Calibri"/>
          <w:noProof/>
        </w:rPr>
        <w:t>(1), 48–68. https://doi.org/10.1086/519478</w:t>
      </w:r>
    </w:p>
    <w:p w14:paraId="6DF415B0"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Decker, W. K., da Silva, R. F., Sanabria, M. H., Angelo, L. S., Guimarães, F., Burt, B. M., Kheradmand, F., &amp; Paust, S. (2017). Cancer Immunotherapy: Historical Perspective of a Clinical Revolution and Emerging Preclinical Animal Models. </w:t>
      </w:r>
      <w:r w:rsidRPr="00A37C46">
        <w:rPr>
          <w:rFonts w:ascii="Calibri" w:hAnsi="Calibri" w:cs="Calibri"/>
          <w:i/>
          <w:iCs/>
          <w:noProof/>
        </w:rPr>
        <w:t>Frontiers in Immunology</w:t>
      </w:r>
      <w:r w:rsidRPr="00A37C46">
        <w:rPr>
          <w:rFonts w:ascii="Calibri" w:hAnsi="Calibri" w:cs="Calibri"/>
          <w:noProof/>
        </w:rPr>
        <w:t xml:space="preserve">, </w:t>
      </w:r>
      <w:r w:rsidRPr="00A37C46">
        <w:rPr>
          <w:rFonts w:ascii="Calibri" w:hAnsi="Calibri" w:cs="Calibri"/>
          <w:i/>
          <w:iCs/>
          <w:noProof/>
        </w:rPr>
        <w:t>8</w:t>
      </w:r>
      <w:r w:rsidRPr="00A37C46">
        <w:rPr>
          <w:rFonts w:ascii="Calibri" w:hAnsi="Calibri" w:cs="Calibri"/>
          <w:noProof/>
        </w:rPr>
        <w:t>, 829. https://doi.org/10.3389/fimmu.2017.00829</w:t>
      </w:r>
    </w:p>
    <w:p w14:paraId="47F0F514"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lastRenderedPageBreak/>
        <w:t xml:space="preserve">Dietrich, M. R., Ankeny, R. A., Crowe, N., Green, S., &amp; Leonelli, S. (2020). How to choose your research organism. </w:t>
      </w:r>
      <w:r w:rsidRPr="00A37C46">
        <w:rPr>
          <w:rFonts w:ascii="Calibri" w:hAnsi="Calibri" w:cs="Calibri"/>
          <w:i/>
          <w:iCs/>
          <w:noProof/>
        </w:rPr>
        <w:t>Studies in History and Philosophy of Science Part C: Studies in History and Philosophy of Biological and Biomedical Sciences</w:t>
      </w:r>
      <w:r w:rsidRPr="00A37C46">
        <w:rPr>
          <w:rFonts w:ascii="Calibri" w:hAnsi="Calibri" w:cs="Calibri"/>
          <w:noProof/>
        </w:rPr>
        <w:t xml:space="preserve">, </w:t>
      </w:r>
      <w:r w:rsidRPr="00A37C46">
        <w:rPr>
          <w:rFonts w:ascii="Calibri" w:hAnsi="Calibri" w:cs="Calibri"/>
          <w:i/>
          <w:iCs/>
          <w:noProof/>
        </w:rPr>
        <w:t>80</w:t>
      </w:r>
      <w:r w:rsidRPr="00A37C46">
        <w:rPr>
          <w:rFonts w:ascii="Calibri" w:hAnsi="Calibri" w:cs="Calibri"/>
          <w:noProof/>
        </w:rPr>
        <w:t>, 101227. https://doi.org/10.1016/J.SHPSC.2019.101227</w:t>
      </w:r>
    </w:p>
    <w:p w14:paraId="01F6C8BA"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Enríquez, J. A. (2019). Mind your mouse strain. </w:t>
      </w:r>
      <w:r w:rsidRPr="00A37C46">
        <w:rPr>
          <w:rFonts w:ascii="Calibri" w:hAnsi="Calibri" w:cs="Calibri"/>
          <w:i/>
          <w:iCs/>
          <w:noProof/>
        </w:rPr>
        <w:t>Nature Metabolism</w:t>
      </w:r>
      <w:r w:rsidRPr="00A37C46">
        <w:rPr>
          <w:rFonts w:ascii="Calibri" w:hAnsi="Calibri" w:cs="Calibri"/>
          <w:noProof/>
        </w:rPr>
        <w:t xml:space="preserve">, </w:t>
      </w:r>
      <w:r w:rsidRPr="00A37C46">
        <w:rPr>
          <w:rFonts w:ascii="Calibri" w:hAnsi="Calibri" w:cs="Calibri"/>
          <w:i/>
          <w:iCs/>
          <w:noProof/>
        </w:rPr>
        <w:t>1</w:t>
      </w:r>
      <w:r w:rsidRPr="00A37C46">
        <w:rPr>
          <w:rFonts w:ascii="Calibri" w:hAnsi="Calibri" w:cs="Calibri"/>
          <w:noProof/>
        </w:rPr>
        <w:t>(1), 5–7. https://doi.org/10.1038/s42255-018-0018-3</w:t>
      </w:r>
    </w:p>
    <w:p w14:paraId="737F2D7B"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Fagan, M. B. (2016). Generative models: Human embryonic stem cells and multiple modeling relations. </w:t>
      </w:r>
      <w:r w:rsidRPr="00A37C46">
        <w:rPr>
          <w:rFonts w:ascii="Calibri" w:hAnsi="Calibri" w:cs="Calibri"/>
          <w:i/>
          <w:iCs/>
          <w:noProof/>
        </w:rPr>
        <w:t>Studies in History and Philosophy of Science Part A</w:t>
      </w:r>
      <w:r w:rsidRPr="00A37C46">
        <w:rPr>
          <w:rFonts w:ascii="Calibri" w:hAnsi="Calibri" w:cs="Calibri"/>
          <w:noProof/>
        </w:rPr>
        <w:t xml:space="preserve">, </w:t>
      </w:r>
      <w:r w:rsidRPr="00A37C46">
        <w:rPr>
          <w:rFonts w:ascii="Calibri" w:hAnsi="Calibri" w:cs="Calibri"/>
          <w:i/>
          <w:iCs/>
          <w:noProof/>
        </w:rPr>
        <w:t>56</w:t>
      </w:r>
      <w:r w:rsidRPr="00A37C46">
        <w:rPr>
          <w:rFonts w:ascii="Calibri" w:hAnsi="Calibri" w:cs="Calibri"/>
          <w:noProof/>
        </w:rPr>
        <w:t>, 122–134. https://doi.org/10.1016/j.shpsa.2015.10.003</w:t>
      </w:r>
    </w:p>
    <w:p w14:paraId="7100C470"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French, S. (2003). A Model‐Theoretic Account of Representation (Or, I Don’t Know Much about Art…but I Know It Involves Isomorphism). </w:t>
      </w:r>
      <w:r w:rsidRPr="00A37C46">
        <w:rPr>
          <w:rFonts w:ascii="Calibri" w:hAnsi="Calibri" w:cs="Calibri"/>
          <w:i/>
          <w:iCs/>
          <w:noProof/>
        </w:rPr>
        <w:t>Philosophy of Science</w:t>
      </w:r>
      <w:r w:rsidRPr="00A37C46">
        <w:rPr>
          <w:rFonts w:ascii="Calibri" w:hAnsi="Calibri" w:cs="Calibri"/>
          <w:noProof/>
        </w:rPr>
        <w:t xml:space="preserve">, </w:t>
      </w:r>
      <w:r w:rsidRPr="00A37C46">
        <w:rPr>
          <w:rFonts w:ascii="Calibri" w:hAnsi="Calibri" w:cs="Calibri"/>
          <w:i/>
          <w:iCs/>
          <w:noProof/>
        </w:rPr>
        <w:t>70</w:t>
      </w:r>
      <w:r w:rsidRPr="00A37C46">
        <w:rPr>
          <w:rFonts w:ascii="Calibri" w:hAnsi="Calibri" w:cs="Calibri"/>
          <w:noProof/>
        </w:rPr>
        <w:t>(5), 1472–1483. https://doi.org/10.1086/377423</w:t>
      </w:r>
    </w:p>
    <w:p w14:paraId="457CFE17"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Frese, K. K., &amp; Tuveson, D. A. (2007). Maximizing mouse cancer models. </w:t>
      </w:r>
      <w:r w:rsidRPr="00A37C46">
        <w:rPr>
          <w:rFonts w:ascii="Calibri" w:hAnsi="Calibri" w:cs="Calibri"/>
          <w:i/>
          <w:iCs/>
          <w:noProof/>
        </w:rPr>
        <w:t>Nature Reviews Cancer</w:t>
      </w:r>
      <w:r w:rsidRPr="00A37C46">
        <w:rPr>
          <w:rFonts w:ascii="Calibri" w:hAnsi="Calibri" w:cs="Calibri"/>
          <w:noProof/>
        </w:rPr>
        <w:t xml:space="preserve">, </w:t>
      </w:r>
      <w:r w:rsidRPr="00A37C46">
        <w:rPr>
          <w:rFonts w:ascii="Calibri" w:hAnsi="Calibri" w:cs="Calibri"/>
          <w:i/>
          <w:iCs/>
          <w:noProof/>
        </w:rPr>
        <w:t>7</w:t>
      </w:r>
      <w:r w:rsidRPr="00A37C46">
        <w:rPr>
          <w:rFonts w:ascii="Calibri" w:hAnsi="Calibri" w:cs="Calibri"/>
          <w:noProof/>
        </w:rPr>
        <w:t>(9), 654–658. https://doi.org/10.1038/nrc2192</w:t>
      </w:r>
    </w:p>
    <w:p w14:paraId="672C8681"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Frigg, R. (2006). Scientific Representation and the Semantic View of Theories. </w:t>
      </w:r>
      <w:r w:rsidRPr="00A37C46">
        <w:rPr>
          <w:rFonts w:ascii="Calibri" w:hAnsi="Calibri" w:cs="Calibri"/>
          <w:i/>
          <w:iCs/>
          <w:noProof/>
        </w:rPr>
        <w:t>THEORIA. An International Journal for Theory, History and Foundations of Science</w:t>
      </w:r>
      <w:r w:rsidRPr="00A37C46">
        <w:rPr>
          <w:rFonts w:ascii="Calibri" w:hAnsi="Calibri" w:cs="Calibri"/>
          <w:noProof/>
        </w:rPr>
        <w:t xml:space="preserve">, </w:t>
      </w:r>
      <w:r w:rsidRPr="00A37C46">
        <w:rPr>
          <w:rFonts w:ascii="Calibri" w:hAnsi="Calibri" w:cs="Calibri"/>
          <w:i/>
          <w:iCs/>
          <w:noProof/>
        </w:rPr>
        <w:t>21</w:t>
      </w:r>
      <w:r w:rsidRPr="00A37C46">
        <w:rPr>
          <w:rFonts w:ascii="Calibri" w:hAnsi="Calibri" w:cs="Calibri"/>
          <w:noProof/>
        </w:rPr>
        <w:t>(1), 49–65. https://doi.org/10.1387/THEORIA.553</w:t>
      </w:r>
    </w:p>
    <w:p w14:paraId="3230EE03"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Frigg, R., &amp; Nguyen, J. (2017). Models and Representation. In L. Magnani &amp; T. Bertolotti (Eds.), </w:t>
      </w:r>
      <w:r w:rsidRPr="00A37C46">
        <w:rPr>
          <w:rFonts w:ascii="Calibri" w:hAnsi="Calibri" w:cs="Calibri"/>
          <w:i/>
          <w:iCs/>
          <w:noProof/>
        </w:rPr>
        <w:t>Springer Handbook of Model-Based Science</w:t>
      </w:r>
      <w:r w:rsidRPr="00A37C46">
        <w:rPr>
          <w:rFonts w:ascii="Calibri" w:hAnsi="Calibri" w:cs="Calibri"/>
          <w:noProof/>
        </w:rPr>
        <w:t xml:space="preserve"> (pp. 49–102). Springer. https://doi.org/10.1007/978-3-319-30526-4_3</w:t>
      </w:r>
    </w:p>
    <w:p w14:paraId="1A27B931"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Frigg, R., &amp; Nguyen, J. (2020). </w:t>
      </w:r>
      <w:r w:rsidRPr="00A37C46">
        <w:rPr>
          <w:rFonts w:ascii="Calibri" w:hAnsi="Calibri" w:cs="Calibri"/>
          <w:i/>
          <w:iCs/>
          <w:noProof/>
        </w:rPr>
        <w:t>Modelling Nature: An Opinionated Introduction to the Scientific Representation</w:t>
      </w:r>
      <w:r w:rsidRPr="00A37C46">
        <w:rPr>
          <w:rFonts w:ascii="Calibri" w:hAnsi="Calibri" w:cs="Calibri"/>
          <w:noProof/>
        </w:rPr>
        <w:t>. Springer.</w:t>
      </w:r>
    </w:p>
    <w:p w14:paraId="00F846F3"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Gelfert, A. (2016). </w:t>
      </w:r>
      <w:r w:rsidRPr="00A37C46">
        <w:rPr>
          <w:rFonts w:ascii="Calibri" w:hAnsi="Calibri" w:cs="Calibri"/>
          <w:i/>
          <w:iCs/>
          <w:noProof/>
        </w:rPr>
        <w:t>How to Do Science with Models</w:t>
      </w:r>
      <w:r w:rsidRPr="00A37C46">
        <w:rPr>
          <w:rFonts w:ascii="Calibri" w:hAnsi="Calibri" w:cs="Calibri"/>
          <w:noProof/>
        </w:rPr>
        <w:t>. Springer. https://doi.org/10.1007/978-3-319-27954-1</w:t>
      </w:r>
    </w:p>
    <w:p w14:paraId="4FC689F4"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Giere, R. N. (1988). </w:t>
      </w:r>
      <w:r w:rsidRPr="00A37C46">
        <w:rPr>
          <w:rFonts w:ascii="Calibri" w:hAnsi="Calibri" w:cs="Calibri"/>
          <w:i/>
          <w:iCs/>
          <w:noProof/>
        </w:rPr>
        <w:t>Explaining Science: A Cognitive Approach</w:t>
      </w:r>
      <w:r w:rsidRPr="00A37C46">
        <w:rPr>
          <w:rFonts w:ascii="Calibri" w:hAnsi="Calibri" w:cs="Calibri"/>
          <w:noProof/>
        </w:rPr>
        <w:t>. University of Chicago Press.</w:t>
      </w:r>
    </w:p>
    <w:p w14:paraId="0EA73FE5"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Giere, R. N. (2004). How Models Are Used to Represent Reality. </w:t>
      </w:r>
      <w:r w:rsidRPr="00A37C46">
        <w:rPr>
          <w:rFonts w:ascii="Calibri" w:hAnsi="Calibri" w:cs="Calibri"/>
          <w:i/>
          <w:iCs/>
          <w:noProof/>
        </w:rPr>
        <w:t>Philosophy of Science</w:t>
      </w:r>
      <w:r w:rsidRPr="00A37C46">
        <w:rPr>
          <w:rFonts w:ascii="Calibri" w:hAnsi="Calibri" w:cs="Calibri"/>
          <w:noProof/>
        </w:rPr>
        <w:t xml:space="preserve">, </w:t>
      </w:r>
      <w:r w:rsidRPr="00A37C46">
        <w:rPr>
          <w:rFonts w:ascii="Calibri" w:hAnsi="Calibri" w:cs="Calibri"/>
          <w:i/>
          <w:iCs/>
          <w:noProof/>
        </w:rPr>
        <w:t>71</w:t>
      </w:r>
      <w:r w:rsidRPr="00A37C46">
        <w:rPr>
          <w:rFonts w:ascii="Calibri" w:hAnsi="Calibri" w:cs="Calibri"/>
          <w:noProof/>
        </w:rPr>
        <w:t>(5), 742–752. https://doi.org/10.1086/425063</w:t>
      </w:r>
    </w:p>
    <w:p w14:paraId="414AE27F"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Giere, R. N. (2010). An agent-based conception of models and scientific representation. </w:t>
      </w:r>
      <w:r w:rsidRPr="00A37C46">
        <w:rPr>
          <w:rFonts w:ascii="Calibri" w:hAnsi="Calibri" w:cs="Calibri"/>
          <w:i/>
          <w:iCs/>
          <w:noProof/>
        </w:rPr>
        <w:t>Synthese</w:t>
      </w:r>
      <w:r w:rsidRPr="00A37C46">
        <w:rPr>
          <w:rFonts w:ascii="Calibri" w:hAnsi="Calibri" w:cs="Calibri"/>
          <w:noProof/>
        </w:rPr>
        <w:t xml:space="preserve">, </w:t>
      </w:r>
      <w:r w:rsidRPr="00A37C46">
        <w:rPr>
          <w:rFonts w:ascii="Calibri" w:hAnsi="Calibri" w:cs="Calibri"/>
          <w:i/>
          <w:iCs/>
          <w:noProof/>
        </w:rPr>
        <w:t>172</w:t>
      </w:r>
      <w:r w:rsidRPr="00A37C46">
        <w:rPr>
          <w:rFonts w:ascii="Calibri" w:hAnsi="Calibri" w:cs="Calibri"/>
          <w:noProof/>
        </w:rPr>
        <w:t>(2), 269–281. https://doi.org/10.1007/s11229-009-9506-z</w:t>
      </w:r>
    </w:p>
    <w:p w14:paraId="70E005B7"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Glennan, S. (2017). </w:t>
      </w:r>
      <w:r w:rsidRPr="00A37C46">
        <w:rPr>
          <w:rFonts w:ascii="Calibri" w:hAnsi="Calibri" w:cs="Calibri"/>
          <w:i/>
          <w:iCs/>
          <w:noProof/>
        </w:rPr>
        <w:t>The new mechanical philosophy</w:t>
      </w:r>
      <w:r w:rsidRPr="00A37C46">
        <w:rPr>
          <w:rFonts w:ascii="Calibri" w:hAnsi="Calibri" w:cs="Calibri"/>
          <w:noProof/>
        </w:rPr>
        <w:t>. Oxford University Press.</w:t>
      </w:r>
    </w:p>
    <w:p w14:paraId="5D4826AE"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Godfrey-Smith, P. (2006). The strategy of model-based science. </w:t>
      </w:r>
      <w:r w:rsidRPr="00A37C46">
        <w:rPr>
          <w:rFonts w:ascii="Calibri" w:hAnsi="Calibri" w:cs="Calibri"/>
          <w:i/>
          <w:iCs/>
          <w:noProof/>
        </w:rPr>
        <w:t>Biology &amp; Philosophy</w:t>
      </w:r>
      <w:r w:rsidRPr="00A37C46">
        <w:rPr>
          <w:rFonts w:ascii="Calibri" w:hAnsi="Calibri" w:cs="Calibri"/>
          <w:noProof/>
        </w:rPr>
        <w:t xml:space="preserve">, </w:t>
      </w:r>
      <w:r w:rsidRPr="00A37C46">
        <w:rPr>
          <w:rFonts w:ascii="Calibri" w:hAnsi="Calibri" w:cs="Calibri"/>
          <w:i/>
          <w:iCs/>
          <w:noProof/>
        </w:rPr>
        <w:t>21</w:t>
      </w:r>
      <w:r w:rsidRPr="00A37C46">
        <w:rPr>
          <w:rFonts w:ascii="Calibri" w:hAnsi="Calibri" w:cs="Calibri"/>
          <w:noProof/>
        </w:rPr>
        <w:t>(5), 725–740. https://doi.org/10.1007/s10539-006-9054-6</w:t>
      </w:r>
    </w:p>
    <w:p w14:paraId="3400BBF3"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Goodman, N. (1976). </w:t>
      </w:r>
      <w:r w:rsidRPr="00A37C46">
        <w:rPr>
          <w:rFonts w:ascii="Calibri" w:hAnsi="Calibri" w:cs="Calibri"/>
          <w:i/>
          <w:iCs/>
          <w:noProof/>
        </w:rPr>
        <w:t>Languages of Art</w:t>
      </w:r>
      <w:r w:rsidRPr="00A37C46">
        <w:rPr>
          <w:rFonts w:ascii="Calibri" w:hAnsi="Calibri" w:cs="Calibri"/>
          <w:noProof/>
        </w:rPr>
        <w:t xml:space="preserve"> (2nd ed.). Hackett Publishing Company.</w:t>
      </w:r>
    </w:p>
    <w:p w14:paraId="1B3731D8"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Green, S., Dam, M. S., &amp; Svendsen, M. N. (2021). Mouse avatars of human cancers: the temporality of translation in precision oncology. </w:t>
      </w:r>
      <w:r w:rsidRPr="00A37C46">
        <w:rPr>
          <w:rFonts w:ascii="Calibri" w:hAnsi="Calibri" w:cs="Calibri"/>
          <w:i/>
          <w:iCs/>
          <w:noProof/>
        </w:rPr>
        <w:t>History and Philosophy of the Life Sciences</w:t>
      </w:r>
      <w:r w:rsidRPr="00A37C46">
        <w:rPr>
          <w:rFonts w:ascii="Calibri" w:hAnsi="Calibri" w:cs="Calibri"/>
          <w:noProof/>
        </w:rPr>
        <w:t xml:space="preserve">, </w:t>
      </w:r>
      <w:r w:rsidRPr="00A37C46">
        <w:rPr>
          <w:rFonts w:ascii="Calibri" w:hAnsi="Calibri" w:cs="Calibri"/>
          <w:i/>
          <w:iCs/>
          <w:noProof/>
        </w:rPr>
        <w:t>43</w:t>
      </w:r>
      <w:r w:rsidRPr="00A37C46">
        <w:rPr>
          <w:rFonts w:ascii="Calibri" w:hAnsi="Calibri" w:cs="Calibri"/>
          <w:noProof/>
        </w:rPr>
        <w:t>(1), 27. https://doi.org/10.1007/s40656-021-00383-w</w:t>
      </w:r>
    </w:p>
    <w:p w14:paraId="2F7FF9C5"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Green, S., Dietrich, M. R., Leonelli, S., &amp; Ankeny, R. A. (2018). ‘Extreme’ organisms and the problem of generalization: interpreting the Krogh principle. </w:t>
      </w:r>
      <w:r w:rsidRPr="00A37C46">
        <w:rPr>
          <w:rFonts w:ascii="Calibri" w:hAnsi="Calibri" w:cs="Calibri"/>
          <w:i/>
          <w:iCs/>
          <w:noProof/>
        </w:rPr>
        <w:t>History and Philosophy of the Life Sciences</w:t>
      </w:r>
      <w:r w:rsidRPr="00A37C46">
        <w:rPr>
          <w:rFonts w:ascii="Calibri" w:hAnsi="Calibri" w:cs="Calibri"/>
          <w:noProof/>
        </w:rPr>
        <w:t xml:space="preserve">, </w:t>
      </w:r>
      <w:r w:rsidRPr="00A37C46">
        <w:rPr>
          <w:rFonts w:ascii="Calibri" w:hAnsi="Calibri" w:cs="Calibri"/>
          <w:i/>
          <w:iCs/>
          <w:noProof/>
        </w:rPr>
        <w:t>40</w:t>
      </w:r>
      <w:r w:rsidRPr="00A37C46">
        <w:rPr>
          <w:rFonts w:ascii="Calibri" w:hAnsi="Calibri" w:cs="Calibri"/>
          <w:noProof/>
        </w:rPr>
        <w:t>. https://doi.org/10.1007/s40656-018-0231-0</w:t>
      </w:r>
    </w:p>
    <w:p w14:paraId="5B9DCD49"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Hardesty, R. A. (2018). Much ado about mice: Standard-setting in model organism research. </w:t>
      </w:r>
      <w:r w:rsidRPr="00A37C46">
        <w:rPr>
          <w:rFonts w:ascii="Calibri" w:hAnsi="Calibri" w:cs="Calibri"/>
          <w:i/>
          <w:iCs/>
          <w:noProof/>
        </w:rPr>
        <w:t>Studies in History and Philosophy of Science Part C: Studies in History and Philosophy of Biological and Biomedical Sciences</w:t>
      </w:r>
      <w:r w:rsidRPr="00A37C46">
        <w:rPr>
          <w:rFonts w:ascii="Calibri" w:hAnsi="Calibri" w:cs="Calibri"/>
          <w:noProof/>
        </w:rPr>
        <w:t xml:space="preserve">, </w:t>
      </w:r>
      <w:r w:rsidRPr="00A37C46">
        <w:rPr>
          <w:rFonts w:ascii="Calibri" w:hAnsi="Calibri" w:cs="Calibri"/>
          <w:i/>
          <w:iCs/>
          <w:noProof/>
        </w:rPr>
        <w:t>68</w:t>
      </w:r>
      <w:r w:rsidRPr="00A37C46">
        <w:rPr>
          <w:rFonts w:ascii="Calibri" w:hAnsi="Calibri" w:cs="Calibri"/>
          <w:noProof/>
        </w:rPr>
        <w:t>–</w:t>
      </w:r>
      <w:r w:rsidRPr="00A37C46">
        <w:rPr>
          <w:rFonts w:ascii="Calibri" w:hAnsi="Calibri" w:cs="Calibri"/>
          <w:i/>
          <w:iCs/>
          <w:noProof/>
        </w:rPr>
        <w:t>69</w:t>
      </w:r>
      <w:r w:rsidRPr="00A37C46">
        <w:rPr>
          <w:rFonts w:ascii="Calibri" w:hAnsi="Calibri" w:cs="Calibri"/>
          <w:noProof/>
        </w:rPr>
        <w:t>, 15–24. https://doi.org/10.1016/J.SHPSC.2018.04.001</w:t>
      </w:r>
    </w:p>
    <w:p w14:paraId="4FD957BD"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lastRenderedPageBreak/>
        <w:t xml:space="preserve">Holmes, F. L. (1993). The old martyr of science: The frog in experimental physiology. </w:t>
      </w:r>
      <w:r w:rsidRPr="00A37C46">
        <w:rPr>
          <w:rFonts w:ascii="Calibri" w:hAnsi="Calibri" w:cs="Calibri"/>
          <w:i/>
          <w:iCs/>
          <w:noProof/>
        </w:rPr>
        <w:t>Journal of the History of Biology</w:t>
      </w:r>
      <w:r w:rsidRPr="00A37C46">
        <w:rPr>
          <w:rFonts w:ascii="Calibri" w:hAnsi="Calibri" w:cs="Calibri"/>
          <w:noProof/>
        </w:rPr>
        <w:t xml:space="preserve">, </w:t>
      </w:r>
      <w:r w:rsidRPr="00A37C46">
        <w:rPr>
          <w:rFonts w:ascii="Calibri" w:hAnsi="Calibri" w:cs="Calibri"/>
          <w:i/>
          <w:iCs/>
          <w:noProof/>
        </w:rPr>
        <w:t>26</w:t>
      </w:r>
      <w:r w:rsidRPr="00A37C46">
        <w:rPr>
          <w:rFonts w:ascii="Calibri" w:hAnsi="Calibri" w:cs="Calibri"/>
          <w:noProof/>
        </w:rPr>
        <w:t>(2), 311–328. https://doi.org/10.1007/BF01061972</w:t>
      </w:r>
    </w:p>
    <w:p w14:paraId="6007CEEA"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Huber, L., &amp; Keuck, L. K. (2013). Mutant mice: Experimental organisms as materialised models in biomedicine. </w:t>
      </w:r>
      <w:r w:rsidRPr="00A37C46">
        <w:rPr>
          <w:rFonts w:ascii="Calibri" w:hAnsi="Calibri" w:cs="Calibri"/>
          <w:i/>
          <w:iCs/>
          <w:noProof/>
        </w:rPr>
        <w:t>Studies in History and Philosophy of Science Part C: Studies in History and Philosophy of Biological and Biomedical Sciences</w:t>
      </w:r>
      <w:r w:rsidRPr="00A37C46">
        <w:rPr>
          <w:rFonts w:ascii="Calibri" w:hAnsi="Calibri" w:cs="Calibri"/>
          <w:noProof/>
        </w:rPr>
        <w:t xml:space="preserve">, </w:t>
      </w:r>
      <w:r w:rsidRPr="00A37C46">
        <w:rPr>
          <w:rFonts w:ascii="Calibri" w:hAnsi="Calibri" w:cs="Calibri"/>
          <w:i/>
          <w:iCs/>
          <w:noProof/>
        </w:rPr>
        <w:t>44</w:t>
      </w:r>
      <w:r w:rsidRPr="00A37C46">
        <w:rPr>
          <w:rFonts w:ascii="Calibri" w:hAnsi="Calibri" w:cs="Calibri"/>
          <w:noProof/>
        </w:rPr>
        <w:t>(3), 385–391. https://doi.org/10.1016/J.SHPSC.2013.03.001</w:t>
      </w:r>
    </w:p>
    <w:p w14:paraId="2699DE5F"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Kennedy, A. G. (2012). A non representationalist view of model explanation. </w:t>
      </w:r>
      <w:r w:rsidRPr="00A37C46">
        <w:rPr>
          <w:rFonts w:ascii="Calibri" w:hAnsi="Calibri" w:cs="Calibri"/>
          <w:i/>
          <w:iCs/>
          <w:noProof/>
        </w:rPr>
        <w:t>Studies in History and Philosophy of Science Part A</w:t>
      </w:r>
      <w:r w:rsidRPr="00A37C46">
        <w:rPr>
          <w:rFonts w:ascii="Calibri" w:hAnsi="Calibri" w:cs="Calibri"/>
          <w:noProof/>
        </w:rPr>
        <w:t xml:space="preserve">, </w:t>
      </w:r>
      <w:r w:rsidRPr="00A37C46">
        <w:rPr>
          <w:rFonts w:ascii="Calibri" w:hAnsi="Calibri" w:cs="Calibri"/>
          <w:i/>
          <w:iCs/>
          <w:noProof/>
        </w:rPr>
        <w:t>43</w:t>
      </w:r>
      <w:r w:rsidRPr="00A37C46">
        <w:rPr>
          <w:rFonts w:ascii="Calibri" w:hAnsi="Calibri" w:cs="Calibri"/>
          <w:noProof/>
        </w:rPr>
        <w:t>(2), 326–332. https://doi.org/10.1016/J.SHPSA.2011.12.029</w:t>
      </w:r>
    </w:p>
    <w:p w14:paraId="77F4A38C"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Khosrowi, D. (2020). Getting Serious about Shared Features. </w:t>
      </w:r>
      <w:r w:rsidRPr="00A37C46">
        <w:rPr>
          <w:rFonts w:ascii="Calibri" w:hAnsi="Calibri" w:cs="Calibri"/>
          <w:i/>
          <w:iCs/>
          <w:noProof/>
        </w:rPr>
        <w:t>The British Journal for the Philosophy of Science</w:t>
      </w:r>
      <w:r w:rsidRPr="00A37C46">
        <w:rPr>
          <w:rFonts w:ascii="Calibri" w:hAnsi="Calibri" w:cs="Calibri"/>
          <w:noProof/>
        </w:rPr>
        <w:t xml:space="preserve">, </w:t>
      </w:r>
      <w:r w:rsidRPr="00A37C46">
        <w:rPr>
          <w:rFonts w:ascii="Calibri" w:hAnsi="Calibri" w:cs="Calibri"/>
          <w:i/>
          <w:iCs/>
          <w:noProof/>
        </w:rPr>
        <w:t>71</w:t>
      </w:r>
      <w:r w:rsidRPr="00A37C46">
        <w:rPr>
          <w:rFonts w:ascii="Calibri" w:hAnsi="Calibri" w:cs="Calibri"/>
          <w:noProof/>
        </w:rPr>
        <w:t>(2), 523–546. https://doi.org/10.1093/bjps/axy029</w:t>
      </w:r>
    </w:p>
    <w:p w14:paraId="7F33252C"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Knuuttila, T. (2005). Models, Representation, and Mediation. </w:t>
      </w:r>
      <w:r w:rsidRPr="00A37C46">
        <w:rPr>
          <w:rFonts w:ascii="Calibri" w:hAnsi="Calibri" w:cs="Calibri"/>
          <w:i/>
          <w:iCs/>
          <w:noProof/>
        </w:rPr>
        <w:t>Philosophy of Science</w:t>
      </w:r>
      <w:r w:rsidRPr="00A37C46">
        <w:rPr>
          <w:rFonts w:ascii="Calibri" w:hAnsi="Calibri" w:cs="Calibri"/>
          <w:noProof/>
        </w:rPr>
        <w:t xml:space="preserve">, </w:t>
      </w:r>
      <w:r w:rsidRPr="00A37C46">
        <w:rPr>
          <w:rFonts w:ascii="Calibri" w:hAnsi="Calibri" w:cs="Calibri"/>
          <w:i/>
          <w:iCs/>
          <w:noProof/>
        </w:rPr>
        <w:t>72</w:t>
      </w:r>
      <w:r w:rsidRPr="00A37C46">
        <w:rPr>
          <w:rFonts w:ascii="Calibri" w:hAnsi="Calibri" w:cs="Calibri"/>
          <w:noProof/>
        </w:rPr>
        <w:t>(5), 1260–1271. https://doi.org/10.1086/508124</w:t>
      </w:r>
    </w:p>
    <w:p w14:paraId="6825F7CD"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Knuuttila, T. (2011). Modelling and representing: An artefactual approach to model-based representation. </w:t>
      </w:r>
      <w:r w:rsidRPr="00A37C46">
        <w:rPr>
          <w:rFonts w:ascii="Calibri" w:hAnsi="Calibri" w:cs="Calibri"/>
          <w:i/>
          <w:iCs/>
          <w:noProof/>
        </w:rPr>
        <w:t>Studies in History and Philosophy of Science Part A</w:t>
      </w:r>
      <w:r w:rsidRPr="00A37C46">
        <w:rPr>
          <w:rFonts w:ascii="Calibri" w:hAnsi="Calibri" w:cs="Calibri"/>
          <w:noProof/>
        </w:rPr>
        <w:t xml:space="preserve">, </w:t>
      </w:r>
      <w:r w:rsidRPr="00A37C46">
        <w:rPr>
          <w:rFonts w:ascii="Calibri" w:hAnsi="Calibri" w:cs="Calibri"/>
          <w:i/>
          <w:iCs/>
          <w:noProof/>
        </w:rPr>
        <w:t>42</w:t>
      </w:r>
      <w:r w:rsidRPr="00A37C46">
        <w:rPr>
          <w:rFonts w:ascii="Calibri" w:hAnsi="Calibri" w:cs="Calibri"/>
          <w:noProof/>
        </w:rPr>
        <w:t>(2), 262–271. https://doi.org/10.1016/j.shpsa.2010.11.034</w:t>
      </w:r>
    </w:p>
    <w:p w14:paraId="13A06631"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Lemoine, M. (2017). Animal extrapolation in preclinical studies: An analysis of the tragic case of TGN1412. </w:t>
      </w:r>
      <w:r w:rsidRPr="00A37C46">
        <w:rPr>
          <w:rFonts w:ascii="Calibri" w:hAnsi="Calibri" w:cs="Calibri"/>
          <w:i/>
          <w:iCs/>
          <w:noProof/>
        </w:rPr>
        <w:t>Studies in History and Philosophy of Science Part C: Studies in History and Philosophy of Biological and Biomedical Sciences</w:t>
      </w:r>
      <w:r w:rsidRPr="00A37C46">
        <w:rPr>
          <w:rFonts w:ascii="Calibri" w:hAnsi="Calibri" w:cs="Calibri"/>
          <w:noProof/>
        </w:rPr>
        <w:t xml:space="preserve">, </w:t>
      </w:r>
      <w:r w:rsidRPr="00A37C46">
        <w:rPr>
          <w:rFonts w:ascii="Calibri" w:hAnsi="Calibri" w:cs="Calibri"/>
          <w:i/>
          <w:iCs/>
          <w:noProof/>
        </w:rPr>
        <w:t>61</w:t>
      </w:r>
      <w:r w:rsidRPr="00A37C46">
        <w:rPr>
          <w:rFonts w:ascii="Calibri" w:hAnsi="Calibri" w:cs="Calibri"/>
          <w:noProof/>
        </w:rPr>
        <w:t>, 35–45. https://doi.org/10.1016/J.SHPSC.2016.12.004</w:t>
      </w:r>
    </w:p>
    <w:p w14:paraId="0B7D1CCD"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Levy, A., &amp; Currie, A. (2015). Model Organisms are Not (Theoretical) Models. </w:t>
      </w:r>
      <w:r w:rsidRPr="00A37C46">
        <w:rPr>
          <w:rFonts w:ascii="Calibri" w:hAnsi="Calibri" w:cs="Calibri"/>
          <w:i/>
          <w:iCs/>
          <w:noProof/>
        </w:rPr>
        <w:t>The British Journal for the Philosophy of Science</w:t>
      </w:r>
      <w:r w:rsidRPr="00A37C46">
        <w:rPr>
          <w:rFonts w:ascii="Calibri" w:hAnsi="Calibri" w:cs="Calibri"/>
          <w:noProof/>
        </w:rPr>
        <w:t xml:space="preserve">, </w:t>
      </w:r>
      <w:r w:rsidRPr="00A37C46">
        <w:rPr>
          <w:rFonts w:ascii="Calibri" w:hAnsi="Calibri" w:cs="Calibri"/>
          <w:i/>
          <w:iCs/>
          <w:noProof/>
        </w:rPr>
        <w:t>66</w:t>
      </w:r>
      <w:r w:rsidRPr="00A37C46">
        <w:rPr>
          <w:rFonts w:ascii="Calibri" w:hAnsi="Calibri" w:cs="Calibri"/>
          <w:noProof/>
        </w:rPr>
        <w:t>(2), 327–348. https://doi.org/10.1093/bjps/axt055</w:t>
      </w:r>
    </w:p>
    <w:p w14:paraId="59C6A463"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Mäki, U. (2005). Models are experiments, experiments are models. </w:t>
      </w:r>
      <w:r w:rsidRPr="00A37C46">
        <w:rPr>
          <w:rFonts w:ascii="Calibri" w:hAnsi="Calibri" w:cs="Calibri"/>
          <w:i/>
          <w:iCs/>
          <w:noProof/>
        </w:rPr>
        <w:t>Journal of Economic Methodology</w:t>
      </w:r>
      <w:r w:rsidRPr="00A37C46">
        <w:rPr>
          <w:rFonts w:ascii="Calibri" w:hAnsi="Calibri" w:cs="Calibri"/>
          <w:noProof/>
        </w:rPr>
        <w:t xml:space="preserve">, </w:t>
      </w:r>
      <w:r w:rsidRPr="00A37C46">
        <w:rPr>
          <w:rFonts w:ascii="Calibri" w:hAnsi="Calibri" w:cs="Calibri"/>
          <w:i/>
          <w:iCs/>
          <w:noProof/>
        </w:rPr>
        <w:t>12</w:t>
      </w:r>
      <w:r w:rsidRPr="00A37C46">
        <w:rPr>
          <w:rFonts w:ascii="Calibri" w:hAnsi="Calibri" w:cs="Calibri"/>
          <w:noProof/>
        </w:rPr>
        <w:t>(2), 303–315. https://doi.org/10.1080/13501780500086255</w:t>
      </w:r>
    </w:p>
    <w:p w14:paraId="349D417B"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Maugeri, P., &amp; Blasimme, A. (2011). Humanised models of cancer in molecular medicine: the experimental control of disanalogy. </w:t>
      </w:r>
      <w:r w:rsidRPr="00A37C46">
        <w:rPr>
          <w:rFonts w:ascii="Calibri" w:hAnsi="Calibri" w:cs="Calibri"/>
          <w:i/>
          <w:iCs/>
          <w:noProof/>
        </w:rPr>
        <w:t>History and Philosophy of the Life Sciences</w:t>
      </w:r>
      <w:r w:rsidRPr="00A37C46">
        <w:rPr>
          <w:rFonts w:ascii="Calibri" w:hAnsi="Calibri" w:cs="Calibri"/>
          <w:noProof/>
        </w:rPr>
        <w:t xml:space="preserve">, </w:t>
      </w:r>
      <w:r w:rsidRPr="00A37C46">
        <w:rPr>
          <w:rFonts w:ascii="Calibri" w:hAnsi="Calibri" w:cs="Calibri"/>
          <w:i/>
          <w:iCs/>
          <w:noProof/>
        </w:rPr>
        <w:t>33</w:t>
      </w:r>
      <w:r w:rsidRPr="00A37C46">
        <w:rPr>
          <w:rFonts w:ascii="Calibri" w:hAnsi="Calibri" w:cs="Calibri"/>
          <w:noProof/>
        </w:rPr>
        <w:t>(4), 603–621. https://pubmed.ncbi.nlm.nih.gov/22662512/</w:t>
      </w:r>
    </w:p>
    <w:p w14:paraId="0FE5EB85"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Morrison, M. (2015). </w:t>
      </w:r>
      <w:r w:rsidRPr="00A37C46">
        <w:rPr>
          <w:rFonts w:ascii="Calibri" w:hAnsi="Calibri" w:cs="Calibri"/>
          <w:i/>
          <w:iCs/>
          <w:noProof/>
        </w:rPr>
        <w:t>Reconstructing Reality: Models, Mathematics, and Simulations</w:t>
      </w:r>
      <w:r w:rsidRPr="00A37C46">
        <w:rPr>
          <w:rFonts w:ascii="Calibri" w:hAnsi="Calibri" w:cs="Calibri"/>
          <w:noProof/>
        </w:rPr>
        <w:t>. Oxford University Press.</w:t>
      </w:r>
    </w:p>
    <w:p w14:paraId="02890D02"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Morton, J. J., Bird, G., Refaeli, Y., &amp; Jimeno, A. (2016). Humanized Mouse Xenograft Models: Narrowing the Tumor-Microenvironment Gap. </w:t>
      </w:r>
      <w:r w:rsidRPr="00A37C46">
        <w:rPr>
          <w:rFonts w:ascii="Calibri" w:hAnsi="Calibri" w:cs="Calibri"/>
          <w:i/>
          <w:iCs/>
          <w:noProof/>
        </w:rPr>
        <w:t>Cancer Research</w:t>
      </w:r>
      <w:r w:rsidRPr="00A37C46">
        <w:rPr>
          <w:rFonts w:ascii="Calibri" w:hAnsi="Calibri" w:cs="Calibri"/>
          <w:noProof/>
        </w:rPr>
        <w:t xml:space="preserve">, </w:t>
      </w:r>
      <w:r w:rsidRPr="00A37C46">
        <w:rPr>
          <w:rFonts w:ascii="Calibri" w:hAnsi="Calibri" w:cs="Calibri"/>
          <w:i/>
          <w:iCs/>
          <w:noProof/>
        </w:rPr>
        <w:t>76</w:t>
      </w:r>
      <w:r w:rsidRPr="00A37C46">
        <w:rPr>
          <w:rFonts w:ascii="Calibri" w:hAnsi="Calibri" w:cs="Calibri"/>
          <w:noProof/>
        </w:rPr>
        <w:t>(21), 6153–6158. https://doi.org/10.1158/0008-5472.CAN-16-1260</w:t>
      </w:r>
    </w:p>
    <w:p w14:paraId="5EC4C856"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Nelson, N. C. (2012). Modeling mouse, human, and discipline: Epistemic scaffolds in animal behavior genetics. </w:t>
      </w:r>
      <w:r w:rsidRPr="00A37C46">
        <w:rPr>
          <w:rFonts w:ascii="Calibri" w:hAnsi="Calibri" w:cs="Calibri"/>
          <w:i/>
          <w:iCs/>
          <w:noProof/>
        </w:rPr>
        <w:t>Social Studies of Science</w:t>
      </w:r>
      <w:r w:rsidRPr="00A37C46">
        <w:rPr>
          <w:rFonts w:ascii="Calibri" w:hAnsi="Calibri" w:cs="Calibri"/>
          <w:noProof/>
        </w:rPr>
        <w:t xml:space="preserve">, </w:t>
      </w:r>
      <w:r w:rsidRPr="00A37C46">
        <w:rPr>
          <w:rFonts w:ascii="Calibri" w:hAnsi="Calibri" w:cs="Calibri"/>
          <w:i/>
          <w:iCs/>
          <w:noProof/>
        </w:rPr>
        <w:t>43</w:t>
      </w:r>
      <w:r w:rsidRPr="00A37C46">
        <w:rPr>
          <w:rFonts w:ascii="Calibri" w:hAnsi="Calibri" w:cs="Calibri"/>
          <w:noProof/>
        </w:rPr>
        <w:t>(1), 3–29. https://doi.org/10.1177/0306312712463815</w:t>
      </w:r>
    </w:p>
    <w:p w14:paraId="3E467771"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Parker, W. S. (2020). Model Evaluation: An Adequacy-for-Purpose View. </w:t>
      </w:r>
      <w:r w:rsidRPr="00A37C46">
        <w:rPr>
          <w:rFonts w:ascii="Calibri" w:hAnsi="Calibri" w:cs="Calibri"/>
          <w:i/>
          <w:iCs/>
          <w:noProof/>
        </w:rPr>
        <w:t>Philosophy of Science</w:t>
      </w:r>
      <w:r w:rsidRPr="00A37C46">
        <w:rPr>
          <w:rFonts w:ascii="Calibri" w:hAnsi="Calibri" w:cs="Calibri"/>
          <w:noProof/>
        </w:rPr>
        <w:t xml:space="preserve">, </w:t>
      </w:r>
      <w:r w:rsidRPr="00A37C46">
        <w:rPr>
          <w:rFonts w:ascii="Calibri" w:hAnsi="Calibri" w:cs="Calibri"/>
          <w:i/>
          <w:iCs/>
          <w:noProof/>
        </w:rPr>
        <w:t>87</w:t>
      </w:r>
      <w:r w:rsidRPr="00A37C46">
        <w:rPr>
          <w:rFonts w:ascii="Calibri" w:hAnsi="Calibri" w:cs="Calibri"/>
          <w:noProof/>
        </w:rPr>
        <w:t>(3), 457–477. https://doi.org/10.1086/708691</w:t>
      </w:r>
    </w:p>
    <w:p w14:paraId="3060FF9F"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Parkkinen, V.-P. (2017). Are Model Organisms Theoretical Models? </w:t>
      </w:r>
      <w:r w:rsidRPr="00A37C46">
        <w:rPr>
          <w:rFonts w:ascii="Calibri" w:hAnsi="Calibri" w:cs="Calibri"/>
          <w:i/>
          <w:iCs/>
          <w:noProof/>
        </w:rPr>
        <w:t>Disputatio</w:t>
      </w:r>
      <w:r w:rsidRPr="00A37C46">
        <w:rPr>
          <w:rFonts w:ascii="Calibri" w:hAnsi="Calibri" w:cs="Calibri"/>
          <w:noProof/>
        </w:rPr>
        <w:t xml:space="preserve">, </w:t>
      </w:r>
      <w:r w:rsidRPr="00A37C46">
        <w:rPr>
          <w:rFonts w:ascii="Calibri" w:hAnsi="Calibri" w:cs="Calibri"/>
          <w:i/>
          <w:iCs/>
          <w:noProof/>
        </w:rPr>
        <w:t>9</w:t>
      </w:r>
      <w:r w:rsidRPr="00A37C46">
        <w:rPr>
          <w:rFonts w:ascii="Calibri" w:hAnsi="Calibri" w:cs="Calibri"/>
          <w:noProof/>
        </w:rPr>
        <w:t>(47), 471–498.</w:t>
      </w:r>
    </w:p>
    <w:p w14:paraId="143B3AE0"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Parkkinen, V.-P., Russo, F., &amp; Wallmann, C. (2017). Scientific Disagreement and Evidential Pluralism: Lessons from the Studies on Hypercholesterolemia. </w:t>
      </w:r>
      <w:r w:rsidRPr="00A37C46">
        <w:rPr>
          <w:rFonts w:ascii="Calibri" w:hAnsi="Calibri" w:cs="Calibri"/>
          <w:i/>
          <w:iCs/>
          <w:noProof/>
        </w:rPr>
        <w:t>Humana.Mente Journal of Philosophical Studies</w:t>
      </w:r>
      <w:r w:rsidRPr="00A37C46">
        <w:rPr>
          <w:rFonts w:ascii="Calibri" w:hAnsi="Calibri" w:cs="Calibri"/>
          <w:noProof/>
        </w:rPr>
        <w:t xml:space="preserve">, </w:t>
      </w:r>
      <w:r w:rsidRPr="00A37C46">
        <w:rPr>
          <w:rFonts w:ascii="Calibri" w:hAnsi="Calibri" w:cs="Calibri"/>
          <w:i/>
          <w:iCs/>
          <w:noProof/>
        </w:rPr>
        <w:t>10</w:t>
      </w:r>
      <w:r w:rsidRPr="00A37C46">
        <w:rPr>
          <w:rFonts w:ascii="Calibri" w:hAnsi="Calibri" w:cs="Calibri"/>
          <w:noProof/>
        </w:rPr>
        <w:t>(32), 75–116.</w:t>
      </w:r>
    </w:p>
    <w:p w14:paraId="3F4E5B1F"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Parkkinen, V.-P., &amp; Williamson, J. (2020). Extrapolating from model organisms in pharmacology. In A. La Caze &amp; B. Osimani (Eds.), </w:t>
      </w:r>
      <w:r w:rsidRPr="00A37C46">
        <w:rPr>
          <w:rFonts w:ascii="Calibri" w:hAnsi="Calibri" w:cs="Calibri"/>
          <w:i/>
          <w:iCs/>
          <w:noProof/>
        </w:rPr>
        <w:t>Uncertainty in pharmacology: epistemology, methods, and decisions</w:t>
      </w:r>
      <w:r w:rsidRPr="00A37C46">
        <w:rPr>
          <w:rFonts w:ascii="Calibri" w:hAnsi="Calibri" w:cs="Calibri"/>
          <w:noProof/>
        </w:rPr>
        <w:t>. Springer.</w:t>
      </w:r>
    </w:p>
    <w:p w14:paraId="3C0A937F"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Piotrowska, M. (2013). From humanized mice to human disease: guiding extrapolation from model to </w:t>
      </w:r>
      <w:r w:rsidRPr="00A37C46">
        <w:rPr>
          <w:rFonts w:ascii="Calibri" w:hAnsi="Calibri" w:cs="Calibri"/>
          <w:noProof/>
        </w:rPr>
        <w:lastRenderedPageBreak/>
        <w:t xml:space="preserve">target. </w:t>
      </w:r>
      <w:r w:rsidRPr="00A37C46">
        <w:rPr>
          <w:rFonts w:ascii="Calibri" w:hAnsi="Calibri" w:cs="Calibri"/>
          <w:i/>
          <w:iCs/>
          <w:noProof/>
        </w:rPr>
        <w:t>Biology &amp; Philosophy</w:t>
      </w:r>
      <w:r w:rsidRPr="00A37C46">
        <w:rPr>
          <w:rFonts w:ascii="Calibri" w:hAnsi="Calibri" w:cs="Calibri"/>
          <w:noProof/>
        </w:rPr>
        <w:t xml:space="preserve">, </w:t>
      </w:r>
      <w:r w:rsidRPr="00A37C46">
        <w:rPr>
          <w:rFonts w:ascii="Calibri" w:hAnsi="Calibri" w:cs="Calibri"/>
          <w:i/>
          <w:iCs/>
          <w:noProof/>
        </w:rPr>
        <w:t>28</w:t>
      </w:r>
      <w:r w:rsidRPr="00A37C46">
        <w:rPr>
          <w:rFonts w:ascii="Calibri" w:hAnsi="Calibri" w:cs="Calibri"/>
          <w:noProof/>
        </w:rPr>
        <w:t>(3), 439–455. https://doi.org/10.1007/s10539-012-9323-5</w:t>
      </w:r>
    </w:p>
    <w:p w14:paraId="7CC943CD"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Poznic, M. (2016). Representation and Similarity: Suárez on Necessary and Sufficient Conditions of Scientific Representation. </w:t>
      </w:r>
      <w:r w:rsidRPr="00A37C46">
        <w:rPr>
          <w:rFonts w:ascii="Calibri" w:hAnsi="Calibri" w:cs="Calibri"/>
          <w:i/>
          <w:iCs/>
          <w:noProof/>
        </w:rPr>
        <w:t>Journal for General Philosophy of Science</w:t>
      </w:r>
      <w:r w:rsidRPr="00A37C46">
        <w:rPr>
          <w:rFonts w:ascii="Calibri" w:hAnsi="Calibri" w:cs="Calibri"/>
          <w:noProof/>
        </w:rPr>
        <w:t xml:space="preserve">, </w:t>
      </w:r>
      <w:r w:rsidRPr="00A37C46">
        <w:rPr>
          <w:rFonts w:ascii="Calibri" w:hAnsi="Calibri" w:cs="Calibri"/>
          <w:i/>
          <w:iCs/>
          <w:noProof/>
        </w:rPr>
        <w:t>47</w:t>
      </w:r>
      <w:r w:rsidRPr="00A37C46">
        <w:rPr>
          <w:rFonts w:ascii="Calibri" w:hAnsi="Calibri" w:cs="Calibri"/>
          <w:noProof/>
        </w:rPr>
        <w:t>(2), 331–347. https://doi.org/10.1007/s10838-015-9307-7</w:t>
      </w:r>
    </w:p>
    <w:p w14:paraId="503B196A"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Sanmamed, M. F., Chester, C., Melero, I., &amp; Kohrt, H. (2016). Defining the optimal murine models to investigate immune checkpoint blockers and their combination with other immunotherapies. </w:t>
      </w:r>
      <w:r w:rsidRPr="00A37C46">
        <w:rPr>
          <w:rFonts w:ascii="Calibri" w:hAnsi="Calibri" w:cs="Calibri"/>
          <w:i/>
          <w:iCs/>
          <w:noProof/>
        </w:rPr>
        <w:t>Annals of Oncology</w:t>
      </w:r>
      <w:r w:rsidRPr="00A37C46">
        <w:rPr>
          <w:rFonts w:ascii="Calibri" w:hAnsi="Calibri" w:cs="Calibri"/>
          <w:noProof/>
        </w:rPr>
        <w:t xml:space="preserve">, </w:t>
      </w:r>
      <w:r w:rsidRPr="00A37C46">
        <w:rPr>
          <w:rFonts w:ascii="Calibri" w:hAnsi="Calibri" w:cs="Calibri"/>
          <w:i/>
          <w:iCs/>
          <w:noProof/>
        </w:rPr>
        <w:t>27</w:t>
      </w:r>
      <w:r w:rsidRPr="00A37C46">
        <w:rPr>
          <w:rFonts w:ascii="Calibri" w:hAnsi="Calibri" w:cs="Calibri"/>
          <w:noProof/>
        </w:rPr>
        <w:t>(7), 1190–1198. https://doi.org/10.1093/ANNONC/MDW041</w:t>
      </w:r>
    </w:p>
    <w:p w14:paraId="064AE0C9"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Shultz, L. D., Brehm, M. A., Garcia-Martinez, J. V., &amp; Greiner, D. L. (2012). Humanized mice for immune system investigation: progress, promise and challenges. </w:t>
      </w:r>
      <w:r w:rsidRPr="00A37C46">
        <w:rPr>
          <w:rFonts w:ascii="Calibri" w:hAnsi="Calibri" w:cs="Calibri"/>
          <w:i/>
          <w:iCs/>
          <w:noProof/>
        </w:rPr>
        <w:t>Nature Reviews Immunology</w:t>
      </w:r>
      <w:r w:rsidRPr="00A37C46">
        <w:rPr>
          <w:rFonts w:ascii="Calibri" w:hAnsi="Calibri" w:cs="Calibri"/>
          <w:noProof/>
        </w:rPr>
        <w:t xml:space="preserve">, </w:t>
      </w:r>
      <w:r w:rsidRPr="00A37C46">
        <w:rPr>
          <w:rFonts w:ascii="Calibri" w:hAnsi="Calibri" w:cs="Calibri"/>
          <w:i/>
          <w:iCs/>
          <w:noProof/>
        </w:rPr>
        <w:t>12</w:t>
      </w:r>
      <w:r w:rsidRPr="00A37C46">
        <w:rPr>
          <w:rFonts w:ascii="Calibri" w:hAnsi="Calibri" w:cs="Calibri"/>
          <w:noProof/>
        </w:rPr>
        <w:t>(11), 786–798. https://doi.org/10.1038/nri3311</w:t>
      </w:r>
    </w:p>
    <w:p w14:paraId="019E3A5E"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Shultz, L. D., Ishikawa, F., &amp; Greiner, D. L. (2007). Humanized mice in translational biomedical research. </w:t>
      </w:r>
      <w:r w:rsidRPr="00A37C46">
        <w:rPr>
          <w:rFonts w:ascii="Calibri" w:hAnsi="Calibri" w:cs="Calibri"/>
          <w:i/>
          <w:iCs/>
          <w:noProof/>
        </w:rPr>
        <w:t>Nature Reviews Immunology</w:t>
      </w:r>
      <w:r w:rsidRPr="00A37C46">
        <w:rPr>
          <w:rFonts w:ascii="Calibri" w:hAnsi="Calibri" w:cs="Calibri"/>
          <w:noProof/>
        </w:rPr>
        <w:t xml:space="preserve">, </w:t>
      </w:r>
      <w:r w:rsidRPr="00A37C46">
        <w:rPr>
          <w:rFonts w:ascii="Calibri" w:hAnsi="Calibri" w:cs="Calibri"/>
          <w:i/>
          <w:iCs/>
          <w:noProof/>
        </w:rPr>
        <w:t>7</w:t>
      </w:r>
      <w:r w:rsidRPr="00A37C46">
        <w:rPr>
          <w:rFonts w:ascii="Calibri" w:hAnsi="Calibri" w:cs="Calibri"/>
          <w:noProof/>
        </w:rPr>
        <w:t>(2), 118–130. https://doi.org/10.1038/nri2017</w:t>
      </w:r>
    </w:p>
    <w:p w14:paraId="2E31D63B"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Steel, D. (2008). </w:t>
      </w:r>
      <w:r w:rsidRPr="00A37C46">
        <w:rPr>
          <w:rFonts w:ascii="Calibri" w:hAnsi="Calibri" w:cs="Calibri"/>
          <w:i/>
          <w:iCs/>
          <w:noProof/>
        </w:rPr>
        <w:t>Across the Boundaries: Extrapolation in Biology and Social Science</w:t>
      </w:r>
      <w:r w:rsidRPr="00A37C46">
        <w:rPr>
          <w:rFonts w:ascii="Calibri" w:hAnsi="Calibri" w:cs="Calibri"/>
          <w:noProof/>
        </w:rPr>
        <w:t>. Oxford University Press.</w:t>
      </w:r>
    </w:p>
    <w:p w14:paraId="48F4641C"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Sterrett, S. G. (2017). Physically Similar Systems - A History of the Concept. In L. Magnani &amp; T. Bertolotti (Eds.), </w:t>
      </w:r>
      <w:r w:rsidRPr="00A37C46">
        <w:rPr>
          <w:rFonts w:ascii="Calibri" w:hAnsi="Calibri" w:cs="Calibri"/>
          <w:i/>
          <w:iCs/>
          <w:noProof/>
        </w:rPr>
        <w:t>Springer Handbook of Model-Based Science</w:t>
      </w:r>
      <w:r w:rsidRPr="00A37C46">
        <w:rPr>
          <w:rFonts w:ascii="Calibri" w:hAnsi="Calibri" w:cs="Calibri"/>
          <w:noProof/>
        </w:rPr>
        <w:t xml:space="preserve"> (pp. 377–411). Springer. https://doi.org/10.1007/978-3-319-30526-4_18</w:t>
      </w:r>
    </w:p>
    <w:p w14:paraId="62B160DF"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Suárez, M. (2003). Scientific representation: against similarity and isomorphism. </w:t>
      </w:r>
      <w:r w:rsidRPr="00A37C46">
        <w:rPr>
          <w:rFonts w:ascii="Calibri" w:hAnsi="Calibri" w:cs="Calibri"/>
          <w:i/>
          <w:iCs/>
          <w:noProof/>
        </w:rPr>
        <w:t>International Studies in the Philosophy of Science</w:t>
      </w:r>
      <w:r w:rsidRPr="00A37C46">
        <w:rPr>
          <w:rFonts w:ascii="Calibri" w:hAnsi="Calibri" w:cs="Calibri"/>
          <w:noProof/>
        </w:rPr>
        <w:t xml:space="preserve">, </w:t>
      </w:r>
      <w:r w:rsidRPr="00A37C46">
        <w:rPr>
          <w:rFonts w:ascii="Calibri" w:hAnsi="Calibri" w:cs="Calibri"/>
          <w:i/>
          <w:iCs/>
          <w:noProof/>
        </w:rPr>
        <w:t>17</w:t>
      </w:r>
      <w:r w:rsidRPr="00A37C46">
        <w:rPr>
          <w:rFonts w:ascii="Calibri" w:hAnsi="Calibri" w:cs="Calibri"/>
          <w:noProof/>
        </w:rPr>
        <w:t>(3), 225–244. https://doi.org/10.1080/0269859032000169442</w:t>
      </w:r>
    </w:p>
    <w:p w14:paraId="49DE3350"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Suárez, M. (2004). An Inferential Conception of Scientific Representation. </w:t>
      </w:r>
      <w:r w:rsidRPr="00A37C46">
        <w:rPr>
          <w:rFonts w:ascii="Calibri" w:hAnsi="Calibri" w:cs="Calibri"/>
          <w:i/>
          <w:iCs/>
          <w:noProof/>
        </w:rPr>
        <w:t>Philosophy of Science</w:t>
      </w:r>
      <w:r w:rsidRPr="00A37C46">
        <w:rPr>
          <w:rFonts w:ascii="Calibri" w:hAnsi="Calibri" w:cs="Calibri"/>
          <w:noProof/>
        </w:rPr>
        <w:t xml:space="preserve">, </w:t>
      </w:r>
      <w:r w:rsidRPr="00A37C46">
        <w:rPr>
          <w:rFonts w:ascii="Calibri" w:hAnsi="Calibri" w:cs="Calibri"/>
          <w:i/>
          <w:iCs/>
          <w:noProof/>
        </w:rPr>
        <w:t>71</w:t>
      </w:r>
      <w:r w:rsidRPr="00A37C46">
        <w:rPr>
          <w:rFonts w:ascii="Calibri" w:hAnsi="Calibri" w:cs="Calibri"/>
          <w:noProof/>
        </w:rPr>
        <w:t>(5), 767–779. https://doi.org/10.1086/421415</w:t>
      </w:r>
    </w:p>
    <w:p w14:paraId="6C6357E8"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Suárez, M. (2010). Scientific Representation. </w:t>
      </w:r>
      <w:r w:rsidRPr="00A37C46">
        <w:rPr>
          <w:rFonts w:ascii="Calibri" w:hAnsi="Calibri" w:cs="Calibri"/>
          <w:i/>
          <w:iCs/>
          <w:noProof/>
        </w:rPr>
        <w:t>Philosophy Compass</w:t>
      </w:r>
      <w:r w:rsidRPr="00A37C46">
        <w:rPr>
          <w:rFonts w:ascii="Calibri" w:hAnsi="Calibri" w:cs="Calibri"/>
          <w:noProof/>
        </w:rPr>
        <w:t xml:space="preserve">, </w:t>
      </w:r>
      <w:r w:rsidRPr="00A37C46">
        <w:rPr>
          <w:rFonts w:ascii="Calibri" w:hAnsi="Calibri" w:cs="Calibri"/>
          <w:i/>
          <w:iCs/>
          <w:noProof/>
        </w:rPr>
        <w:t>5</w:t>
      </w:r>
      <w:r w:rsidRPr="00A37C46">
        <w:rPr>
          <w:rFonts w:ascii="Calibri" w:hAnsi="Calibri" w:cs="Calibri"/>
          <w:noProof/>
        </w:rPr>
        <w:t>(1), 91–101. https://doi.org/10.1111/j.1747-9991.2009.00261.x</w:t>
      </w:r>
    </w:p>
    <w:p w14:paraId="3A3042F0"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Teller, P. (2001). Twilight of the Perfect Model Model. </w:t>
      </w:r>
      <w:r w:rsidRPr="00A37C46">
        <w:rPr>
          <w:rFonts w:ascii="Calibri" w:hAnsi="Calibri" w:cs="Calibri"/>
          <w:i/>
          <w:iCs/>
          <w:noProof/>
        </w:rPr>
        <w:t>Erkenntnis</w:t>
      </w:r>
      <w:r w:rsidRPr="00A37C46">
        <w:rPr>
          <w:rFonts w:ascii="Calibri" w:hAnsi="Calibri" w:cs="Calibri"/>
          <w:noProof/>
        </w:rPr>
        <w:t xml:space="preserve">, </w:t>
      </w:r>
      <w:r w:rsidRPr="00A37C46">
        <w:rPr>
          <w:rFonts w:ascii="Calibri" w:hAnsi="Calibri" w:cs="Calibri"/>
          <w:i/>
          <w:iCs/>
          <w:noProof/>
        </w:rPr>
        <w:t>55</w:t>
      </w:r>
      <w:r w:rsidRPr="00A37C46">
        <w:rPr>
          <w:rFonts w:ascii="Calibri" w:hAnsi="Calibri" w:cs="Calibri"/>
          <w:noProof/>
        </w:rPr>
        <w:t>(3), 393–415. https://doi.org/10.2307/20013097</w:t>
      </w:r>
    </w:p>
    <w:p w14:paraId="6884BB24"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Toon, A. (2012a). </w:t>
      </w:r>
      <w:r w:rsidRPr="00A37C46">
        <w:rPr>
          <w:rFonts w:ascii="Calibri" w:hAnsi="Calibri" w:cs="Calibri"/>
          <w:i/>
          <w:iCs/>
          <w:noProof/>
        </w:rPr>
        <w:t>Models as Make-Believe</w:t>
      </w:r>
      <w:r w:rsidRPr="00A37C46">
        <w:rPr>
          <w:rFonts w:ascii="Calibri" w:hAnsi="Calibri" w:cs="Calibri"/>
          <w:noProof/>
        </w:rPr>
        <w:t>. Palgrave Macmillan. https://doi.org/10.1057/9781137292230</w:t>
      </w:r>
    </w:p>
    <w:p w14:paraId="470C38A2"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Toon, A. (2012b). Similarity and Scientific Representation. </w:t>
      </w:r>
      <w:r w:rsidRPr="00A37C46">
        <w:rPr>
          <w:rFonts w:ascii="Calibri" w:hAnsi="Calibri" w:cs="Calibri"/>
          <w:i/>
          <w:iCs/>
          <w:noProof/>
        </w:rPr>
        <w:t>International Studies in the Philosophy of Science</w:t>
      </w:r>
      <w:r w:rsidRPr="00A37C46">
        <w:rPr>
          <w:rFonts w:ascii="Calibri" w:hAnsi="Calibri" w:cs="Calibri"/>
          <w:noProof/>
        </w:rPr>
        <w:t xml:space="preserve">, </w:t>
      </w:r>
      <w:r w:rsidRPr="00A37C46">
        <w:rPr>
          <w:rFonts w:ascii="Calibri" w:hAnsi="Calibri" w:cs="Calibri"/>
          <w:i/>
          <w:iCs/>
          <w:noProof/>
        </w:rPr>
        <w:t>26</w:t>
      </w:r>
      <w:r w:rsidRPr="00A37C46">
        <w:rPr>
          <w:rFonts w:ascii="Calibri" w:hAnsi="Calibri" w:cs="Calibri"/>
          <w:noProof/>
        </w:rPr>
        <w:t>(3), 241–257. https://doi.org/10.1080/02698595.2012.731730</w:t>
      </w:r>
    </w:p>
    <w:p w14:paraId="3AE56F8D"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van Fraassen, B. C. (2008). </w:t>
      </w:r>
      <w:r w:rsidRPr="00A37C46">
        <w:rPr>
          <w:rFonts w:ascii="Calibri" w:hAnsi="Calibri" w:cs="Calibri"/>
          <w:i/>
          <w:iCs/>
          <w:noProof/>
        </w:rPr>
        <w:t>Scientific Representation: Paradoxes of Perspective</w:t>
      </w:r>
      <w:r w:rsidRPr="00A37C46">
        <w:rPr>
          <w:rFonts w:ascii="Calibri" w:hAnsi="Calibri" w:cs="Calibri"/>
          <w:noProof/>
        </w:rPr>
        <w:t>. Oxford University Press.</w:t>
      </w:r>
    </w:p>
    <w:p w14:paraId="0EF53FC1"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Vorms, M. (2011). Representing with imaginary models: Formats matter. </w:t>
      </w:r>
      <w:r w:rsidRPr="00A37C46">
        <w:rPr>
          <w:rFonts w:ascii="Calibri" w:hAnsi="Calibri" w:cs="Calibri"/>
          <w:i/>
          <w:iCs/>
          <w:noProof/>
        </w:rPr>
        <w:t>Studies in History and Philosophy of Science Part A</w:t>
      </w:r>
      <w:r w:rsidRPr="00A37C46">
        <w:rPr>
          <w:rFonts w:ascii="Calibri" w:hAnsi="Calibri" w:cs="Calibri"/>
          <w:noProof/>
        </w:rPr>
        <w:t xml:space="preserve">, </w:t>
      </w:r>
      <w:r w:rsidRPr="00A37C46">
        <w:rPr>
          <w:rFonts w:ascii="Calibri" w:hAnsi="Calibri" w:cs="Calibri"/>
          <w:i/>
          <w:iCs/>
          <w:noProof/>
        </w:rPr>
        <w:t>42</w:t>
      </w:r>
      <w:r w:rsidRPr="00A37C46">
        <w:rPr>
          <w:rFonts w:ascii="Calibri" w:hAnsi="Calibri" w:cs="Calibri"/>
          <w:noProof/>
        </w:rPr>
        <w:t>(2), 287–295. https://doi.org/10.1016/j.shpsa.2010.11.036</w:t>
      </w:r>
    </w:p>
    <w:p w14:paraId="719B862F"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Weisberg, M. (2013). </w:t>
      </w:r>
      <w:r w:rsidRPr="00A37C46">
        <w:rPr>
          <w:rFonts w:ascii="Calibri" w:hAnsi="Calibri" w:cs="Calibri"/>
          <w:i/>
          <w:iCs/>
          <w:noProof/>
        </w:rPr>
        <w:t>Simulation and Similarity</w:t>
      </w:r>
      <w:r w:rsidRPr="00A37C46">
        <w:rPr>
          <w:rFonts w:ascii="Calibri" w:hAnsi="Calibri" w:cs="Calibri"/>
          <w:noProof/>
        </w:rPr>
        <w:t>. Oxford University Press. https://doi.org/10.1093/acprof:oso/9780199933662.001.0001</w:t>
      </w:r>
    </w:p>
    <w:p w14:paraId="7677A651"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Zach, M. (2022). A Complementary Account of Scientific Modelling: Modelling Mechanisms in Cancer Immunology. </w:t>
      </w:r>
      <w:r w:rsidRPr="00A37C46">
        <w:rPr>
          <w:rFonts w:ascii="Calibri" w:hAnsi="Calibri" w:cs="Calibri"/>
          <w:i/>
          <w:iCs/>
          <w:noProof/>
        </w:rPr>
        <w:t>The British Journal for the Philosophy of Science</w:t>
      </w:r>
      <w:r w:rsidRPr="00A37C46">
        <w:rPr>
          <w:rFonts w:ascii="Calibri" w:hAnsi="Calibri" w:cs="Calibri"/>
          <w:noProof/>
        </w:rPr>
        <w:t>. https://doi.org/10.1086/721530</w:t>
      </w:r>
    </w:p>
    <w:p w14:paraId="67346B55" w14:textId="77777777" w:rsidR="00A37C46" w:rsidRPr="00A37C46" w:rsidRDefault="00A37C46" w:rsidP="00A37C46">
      <w:pPr>
        <w:widowControl w:val="0"/>
        <w:autoSpaceDE w:val="0"/>
        <w:autoSpaceDN w:val="0"/>
        <w:adjustRightInd w:val="0"/>
        <w:spacing w:line="240" w:lineRule="auto"/>
        <w:ind w:left="480" w:hanging="480"/>
        <w:rPr>
          <w:rFonts w:ascii="Calibri" w:hAnsi="Calibri" w:cs="Calibri"/>
          <w:noProof/>
        </w:rPr>
      </w:pPr>
      <w:r w:rsidRPr="00A37C46">
        <w:rPr>
          <w:rFonts w:ascii="Calibri" w:hAnsi="Calibri" w:cs="Calibri"/>
          <w:noProof/>
        </w:rPr>
        <w:t xml:space="preserve">Zitvogel, L., Pitt, J. M., Daillère, R., Smyth, M. J., &amp; Kroemer, G. (2016). Mouse models in oncoimmunology. </w:t>
      </w:r>
      <w:r w:rsidRPr="00A37C46">
        <w:rPr>
          <w:rFonts w:ascii="Calibri" w:hAnsi="Calibri" w:cs="Calibri"/>
          <w:i/>
          <w:iCs/>
          <w:noProof/>
        </w:rPr>
        <w:t>Nature Reviews Cancer</w:t>
      </w:r>
      <w:r w:rsidRPr="00A37C46">
        <w:rPr>
          <w:rFonts w:ascii="Calibri" w:hAnsi="Calibri" w:cs="Calibri"/>
          <w:noProof/>
        </w:rPr>
        <w:t xml:space="preserve">, </w:t>
      </w:r>
      <w:r w:rsidRPr="00A37C46">
        <w:rPr>
          <w:rFonts w:ascii="Calibri" w:hAnsi="Calibri" w:cs="Calibri"/>
          <w:i/>
          <w:iCs/>
          <w:noProof/>
        </w:rPr>
        <w:t>16</w:t>
      </w:r>
      <w:r w:rsidRPr="00A37C46">
        <w:rPr>
          <w:rFonts w:ascii="Calibri" w:hAnsi="Calibri" w:cs="Calibri"/>
          <w:noProof/>
        </w:rPr>
        <w:t>(12), 759–773. https://doi.org/10.1038/nrc.2016.91</w:t>
      </w:r>
    </w:p>
    <w:p w14:paraId="59A4572A" w14:textId="74F4E31A" w:rsidR="00146361" w:rsidRPr="00F37696" w:rsidRDefault="00146361">
      <w:r w:rsidRPr="00F37696">
        <w:fldChar w:fldCharType="end"/>
      </w:r>
    </w:p>
    <w:sectPr w:rsidR="00146361" w:rsidRPr="00F3769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094F" w14:textId="77777777" w:rsidR="004E6993" w:rsidRDefault="004E6993" w:rsidP="000135F3">
      <w:pPr>
        <w:spacing w:after="0" w:line="240" w:lineRule="auto"/>
      </w:pPr>
      <w:r>
        <w:separator/>
      </w:r>
    </w:p>
  </w:endnote>
  <w:endnote w:type="continuationSeparator" w:id="0">
    <w:p w14:paraId="6698D298" w14:textId="77777777" w:rsidR="004E6993" w:rsidRDefault="004E6993" w:rsidP="0001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harisSIL">
    <w:altName w:val="Yu Gothic"/>
    <w:panose1 w:val="00000000000000000000"/>
    <w:charset w:val="80"/>
    <w:family w:val="swiss"/>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SvdkhmMbdbglAdvTT5ada87cc">
    <w:altName w:val="Cambria"/>
    <w:panose1 w:val="00000000000000000000"/>
    <w:charset w:val="00"/>
    <w:family w:val="roman"/>
    <w:notTrueType/>
    <w:pitch w:val="default"/>
    <w:sig w:usb0="00000003" w:usb1="00000000" w:usb2="00000000" w:usb3="00000000" w:csb0="00000001" w:csb1="00000000"/>
  </w:font>
  <w:font w:name="MinionPro-Regular">
    <w:altName w:val="Cambri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TC Symbol Std Medium">
    <w:altName w:val="Yu Gothic"/>
    <w:panose1 w:val="00000000000000000000"/>
    <w:charset w:val="00"/>
    <w:family w:val="auto"/>
    <w:notTrueType/>
    <w:pitch w:val="default"/>
    <w:sig w:usb0="00000003" w:usb1="08070000" w:usb2="00000010" w:usb3="00000000" w:csb0="00020001" w:csb1="00000000"/>
  </w:font>
  <w:font w:name="ITC Symbol Std Book">
    <w:altName w:val="Yu Gothic"/>
    <w:panose1 w:val="00000000000000000000"/>
    <w:charset w:val="00"/>
    <w:family w:val="auto"/>
    <w:notTrueType/>
    <w:pitch w:val="default"/>
    <w:sig w:usb0="00000003" w:usb1="08070000" w:usb2="00000010" w:usb3="00000000" w:csb0="00020001" w:csb1="00000000"/>
  </w:font>
  <w:font w:name="Minion Pro">
    <w:altName w:val="Calibri"/>
    <w:charset w:val="00"/>
    <w:family w:val="auto"/>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52103"/>
      <w:docPartObj>
        <w:docPartGallery w:val="Page Numbers (Bottom of Page)"/>
        <w:docPartUnique/>
      </w:docPartObj>
    </w:sdtPr>
    <w:sdtContent>
      <w:p w14:paraId="7B9603E8" w14:textId="1794012D" w:rsidR="003737BD" w:rsidRDefault="003737BD">
        <w:pPr>
          <w:pStyle w:val="Zpat"/>
          <w:jc w:val="center"/>
        </w:pPr>
        <w:r>
          <w:fldChar w:fldCharType="begin"/>
        </w:r>
        <w:r>
          <w:instrText>PAGE   \* MERGEFORMAT</w:instrText>
        </w:r>
        <w:r>
          <w:fldChar w:fldCharType="separate"/>
        </w:r>
        <w:r>
          <w:t>2</w:t>
        </w:r>
        <w:r>
          <w:fldChar w:fldCharType="end"/>
        </w:r>
      </w:p>
    </w:sdtContent>
  </w:sdt>
  <w:p w14:paraId="71417EEE" w14:textId="77777777" w:rsidR="003737BD" w:rsidRDefault="003737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C826" w14:textId="77777777" w:rsidR="004E6993" w:rsidRDefault="004E6993" w:rsidP="000135F3">
      <w:pPr>
        <w:spacing w:after="0" w:line="240" w:lineRule="auto"/>
      </w:pPr>
      <w:r>
        <w:separator/>
      </w:r>
    </w:p>
  </w:footnote>
  <w:footnote w:type="continuationSeparator" w:id="0">
    <w:p w14:paraId="7F3F0C3C" w14:textId="77777777" w:rsidR="004E6993" w:rsidRDefault="004E6993" w:rsidP="000135F3">
      <w:pPr>
        <w:spacing w:after="0" w:line="240" w:lineRule="auto"/>
      </w:pPr>
      <w:r>
        <w:continuationSeparator/>
      </w:r>
    </w:p>
  </w:footnote>
  <w:footnote w:id="1">
    <w:p w14:paraId="7908B5FC" w14:textId="77777777" w:rsidR="00025609" w:rsidRPr="00F37696" w:rsidRDefault="00025609" w:rsidP="00025609">
      <w:pPr>
        <w:pStyle w:val="Textpoznpodarou"/>
      </w:pPr>
      <w:r w:rsidRPr="00F37696">
        <w:rPr>
          <w:rStyle w:val="Znakapoznpodarou"/>
        </w:rPr>
        <w:footnoteRef/>
      </w:r>
      <w:r w:rsidRPr="00F37696">
        <w:t xml:space="preserve"> A number of different accounts have been proposed. For instance, there are structuralist accounts </w:t>
      </w:r>
      <w:r w:rsidRPr="00F37696">
        <w:fldChar w:fldCharType="begin" w:fldLock="1"/>
      </w:r>
      <w:r>
        <w:instrText>ADDIN CSL_CITATION {"citationItems":[{"id":"ITEM-1","itemData":{"DOI":"10.1086/377423","ISSN":"0031-8248","author":[{"dropping-particle":"","family":"French","given":"Steven","non-dropping-particle":"","parse-names":false,"suffix":""}],"container-title":"Philosophy of Science","id":"ITEM-1","issue":"5","issued":{"date-parts":[["2003","12"]]},"page":"1472-1483","title":"A Model‐Theoretic Account of Representation (Or, I Don't Know Much about Art…but I Know It Involves Isomorphism)","type":"article-journal","volume":"70"},"prefix":"e.g.,","uris":["http://www.mendeley.com/documents/?uuid=b39f7180-9b39-3a77-a7f0-2b23779ff9d1"]}],"mendeley":{"formattedCitation":"(e.g., French, 2003)","plainTextFormattedCitation":"(e.g., French, 2003)","previouslyFormattedCitation":"(e.g., French, 2003)"},"properties":{"noteIndex":0},"schema":"https://github.com/citation-style-language/schema/raw/master/csl-citation.json"}</w:instrText>
      </w:r>
      <w:r w:rsidRPr="00F37696">
        <w:fldChar w:fldCharType="separate"/>
      </w:r>
      <w:r w:rsidRPr="00F90350">
        <w:rPr>
          <w:noProof/>
        </w:rPr>
        <w:t>(e.g., French, 2003)</w:t>
      </w:r>
      <w:r w:rsidRPr="00F37696">
        <w:fldChar w:fldCharType="end"/>
      </w:r>
      <w:r w:rsidRPr="00F37696">
        <w:t xml:space="preserve">; the DEKI account </w:t>
      </w:r>
      <w:r w:rsidRPr="00F37696">
        <w:fldChar w:fldCharType="begin" w:fldLock="1"/>
      </w:r>
      <w:r>
        <w:instrText>ADDIN CSL_CITATION {"citationItems":[{"id":"ITEM-1","itemData":{"author":[{"dropping-particle":"","family":"Frigg","given":"Roman","non-dropping-particle":"","parse-names":false,"suffix":""},{"dropping-particle":"","family":"Nguyen","given":"James","non-dropping-particle":"","parse-names":false,"suffix":""}],"id":"ITEM-1","issued":{"date-parts":[["2020"]]},"publisher":"Springer","title":"Modelling Nature: An Opinionated Introduction to the Scientific Representation","type":"book"},"uris":["http://www.mendeley.com/documents/?uuid=022f1f1d-d2ac-4988-8420-49620543fc24"]}],"mendeley":{"formattedCitation":"(Frigg &amp; Nguyen, 2020)","plainTextFormattedCitation":"(Frigg &amp; Nguyen, 2020)","previouslyFormattedCitation":"(Frigg &amp; Nguyen, 2020)"},"properties":{"noteIndex":0},"schema":"https://github.com/citation-style-language/schema/raw/master/csl-citation.json"}</w:instrText>
      </w:r>
      <w:r w:rsidRPr="00F37696">
        <w:fldChar w:fldCharType="separate"/>
      </w:r>
      <w:r w:rsidRPr="00F90350">
        <w:rPr>
          <w:noProof/>
        </w:rPr>
        <w:t>(Frigg &amp; Nguyen, 2020)</w:t>
      </w:r>
      <w:r w:rsidRPr="00F37696">
        <w:fldChar w:fldCharType="end"/>
      </w:r>
      <w:r w:rsidRPr="00F37696">
        <w:t xml:space="preserve">; and a variety of inferentialist and pragmatist accounts </w:t>
      </w:r>
      <w:r w:rsidRPr="00F37696">
        <w:fldChar w:fldCharType="begin" w:fldLock="1"/>
      </w:r>
      <w:r>
        <w:instrText>ADDIN CSL_CITATION {"citationItems":[{"id":"ITEM-1","itemData":{"DOI":"10.1086/421415","ISSN":"0031-8248","author":[{"dropping-particle":"","family":"Suárez","given":"Mauricio","non-dropping-particle":"","parse-names":false,"suffix":""}],"container-title":"Philosophy of Science","id":"ITEM-1","issue":"5","issued":{"date-parts":[["2004","12"]]},"page":"767-779","title":"An Inferential Conception of Scientific Representation","type":"article-journal","volume":"71"},"uris":["http://www.mendeley.com/documents/?uuid=1389e166-56af-31e4-8337-ad274e663c84"]},{"id":"ITEM-2","itemData":{"DOI":"10.1086/519478","ISSN":"0031-8248","author":[{"dropping-particle":"","family":"Contessa","given":"Gabriele","non-dropping-particle":"","parse-names":false,"suffix":""}],"container-title":"Philosophy of Science","id":"ITEM-2","issue":"1","issued":{"date-parts":[["2007","1"]]},"page":"48-68","title":"Scientific Representation, Interpretation, and Surrogative Reasoning","type":"article-journal","volume":"74"},"uris":["http://www.mendeley.com/documents/?uuid=0ae4265e-1da5-3794-8808-563c193f7dd3"]},{"id":"ITEM-3","itemData":{"DOI":"10.1007/s11229-012-0143-6","ISSN":"0039-7857","author":[{"dropping-particle":"","family":"Bolinska","given":"Agnes","non-dropping-particle":"","parse-names":false,"suffix":""}],"container-title":"Synthese","id":"ITEM-3","issue":"2","issued":{"date-parts":[["2013","1","19"]]},"page":"219-234","publisher":"Springer Netherlands","title":"Epistemic representation, informativeness and the aim of faithful representation","type":"article-journal","volume":"190"},"uris":["http://www.mendeley.com/documents/?uuid=f45a8165-de7f-3121-ab4a-d05bead6b9c1"]},{"id":"ITEM-4","itemData":{"DOI":"10.1016/j.shpsa.2010.11.034","ISSN":"00393681","author":[{"dropping-particle":"","family":"Knuuttila","given":"Tarja","non-dropping-particle":"","parse-names":false,"suffix":""}],"container-title":"Studies in History and Philosophy of Science Part A","id":"ITEM-4","issue":"2","issued":{"date-parts":[["2011","6"]]},"page":"262-271","title":"Modelling and representing: An artefactual approach to model-based representation","type":"article-journal","volume":"42"},"uris":["http://www.mendeley.com/documents/?uuid=f1fd78f5-bb43-3dd5-8498-146739164816"]}],"mendeley":{"formattedCitation":"(Bolinska, 2013; Contessa, 2007; Knuuttila, 2011; Suárez, 2004)","plainTextFormattedCitation":"(Bolinska, 2013; Contessa, 2007; Knuuttila, 2011; Suárez, 2004)","previouslyFormattedCitation":"(Bolinska, 2013; Contessa, 2007; Knuuttila, 2011; Suárez, 2004)"},"properties":{"noteIndex":0},"schema":"https://github.com/citation-style-language/schema/raw/master/csl-citation.json"}</w:instrText>
      </w:r>
      <w:r w:rsidRPr="00F37696">
        <w:fldChar w:fldCharType="separate"/>
      </w:r>
      <w:r w:rsidRPr="00F90350">
        <w:rPr>
          <w:noProof/>
        </w:rPr>
        <w:t>(Bolinska, 2013; Contessa, 2007; Knuuttila, 2011; Suárez, 2004)</w:t>
      </w:r>
      <w:r w:rsidRPr="00F37696">
        <w:fldChar w:fldCharType="end"/>
      </w:r>
      <w:r w:rsidRPr="00F37696">
        <w:t>.</w:t>
      </w:r>
    </w:p>
  </w:footnote>
  <w:footnote w:id="2">
    <w:p w14:paraId="703E7495" w14:textId="13301731" w:rsidR="003737BD" w:rsidRPr="00F37696" w:rsidRDefault="003737BD" w:rsidP="00F376D4">
      <w:pPr>
        <w:pStyle w:val="Textpoznpodarou"/>
      </w:pPr>
      <w:r w:rsidRPr="00F37696">
        <w:rPr>
          <w:rStyle w:val="Znakapoznpodarou"/>
        </w:rPr>
        <w:footnoteRef/>
      </w:r>
      <w:r w:rsidRPr="00F37696">
        <w:t xml:space="preserve"> Within philosophy there is a long tradition of treating resemblance/similarity accounts with</w:t>
      </w:r>
      <w:r w:rsidR="00E03B68" w:rsidRPr="00F37696">
        <w:t xml:space="preserve"> a</w:t>
      </w:r>
      <w:r w:rsidRPr="00F37696">
        <w:t xml:space="preserve"> high level of suspicion. Many of the contemporary objections have roots in Goodman </w:t>
      </w:r>
      <w:r w:rsidRPr="00F37696">
        <w:fldChar w:fldCharType="begin" w:fldLock="1"/>
      </w:r>
      <w:r w:rsidR="0073708A" w:rsidRPr="00F37696">
        <w:instrText>ADDIN CSL_CITATION {"citationItems":[{"id":"ITEM-1","itemData":{"author":[{"dropping-particle":"","family":"Goodman","given":"Nelson","non-dropping-particle":"","parse-names":false,"suffix":""}],"edition":"2","id":"ITEM-1","issued":{"date-parts":[["1976"]]},"publisher":"Hackett Publishing Company","publisher-place":"Indianapolis","title":"Languages of Art","type":"book"},"suppress-author":1,"uris":["http://www.mendeley.com/documents/?uuid=e9ad85ea-08e8-459d-8a04-a38b0b198dbb"]}],"mendeley":{"formattedCitation":"(1976)","plainTextFormattedCitation":"(1976)","previouslyFormattedCitation":"(1976)"},"properties":{"noteIndex":0},"schema":"https://github.com/citation-style-language/schema/raw/master/csl-citation.json"}</w:instrText>
      </w:r>
      <w:r w:rsidRPr="00F37696">
        <w:fldChar w:fldCharType="separate"/>
      </w:r>
      <w:r w:rsidR="0073708A" w:rsidRPr="00F37696">
        <w:rPr>
          <w:noProof/>
        </w:rPr>
        <w:t>(1976)</w:t>
      </w:r>
      <w:r w:rsidRPr="00F37696">
        <w:fldChar w:fldCharType="end"/>
      </w:r>
      <w:r w:rsidRPr="00F37696">
        <w:t xml:space="preserve">. It has been argued that the concept of similarity exhibits logical properties different from those of the concept of representation: whereas similarity is reflexive, symmetric and transitive, representation is neither </w:t>
      </w:r>
      <w:r w:rsidRPr="00F37696">
        <w:fldChar w:fldCharType="begin" w:fldLock="1"/>
      </w:r>
      <w:r w:rsidR="00F90350">
        <w:instrText>ADDIN CSL_CITATION {"citationItems":[{"id":"ITEM-1","itemData":{"DOI":"10.1387/THEORIA.553","abstract":"Models represent their target systems in one way or another. But what does it mean for a model to represent something beyond itself? This paper details different aspects of this problem and argues that the semantic view of theories does not provide us with an adequate response to any of these.","author":[{"dropping-particle":"","family":"Frigg","given":"Roman","non-dropping-particle":"","parse-names":false,"suffix":""}],"container-title":"THEORIA. An International Journal for Theory, History and Foundations of Science","id":"ITEM-1","issue":"1","issued":{"date-parts":[["2006","1","6"]]},"page":"49-65","title":"Scientific Representation and the Semantic View of Theories","type":"article-journal","volume":"21"},"uris":["http://www.mendeley.com/documents/?uuid=da30f4d8-1daf-3451-a800-0ae30bb8839e"]},{"id":"ITEM-2","itemData":{"DOI":"10.1007/978-3-319-30526-4_3","author":[{"dropping-particle":"","family":"Frigg","given":"Roman","non-dropping-particle":"","parse-names":false,"suffix":""},{"dropping-particle":"","family":"Nguyen","given":"James","non-dropping-particle":"","parse-names":false,"suffix":""}],"container-title":"Springer Handbook of Model-Based Science","editor":[{"dropping-particle":"","family":"Magnani","given":"Lorenzo","non-dropping-particle":"","parse-names":false,"suffix":""},{"dropping-particle":"","family":"Bertolotti","given":"Tommaso","non-dropping-particle":"","parse-names":false,"suffix":""}],"id":"ITEM-2","issued":{"date-parts":[["2017"]]},"page":"49-102","publisher":"Springer","publisher-place":"Dordrecht","title":"Models and Representation","type":"chapter"},"uris":["http://www.mendeley.com/documents/?uuid=58ab896d-3911-3eb0-ad0c-3351c7f8f773"]},{"id":"ITEM-3","itemData":{"DOI":"10.1080/0269859032000169442","author":[{"dropping-particle":"","family":"Suárez","given":"Mauricio","non-dropping-particle":"","parse-names":false,"suffix":""}],"container-title":"International Studies in the Philosophy of Science","id":"ITEM-3","issue":"3","issued":{"date-parts":[["2003","10"]]},"page":"225-244","title":"Scientific representation: against similarity and isomorphism","type":"article-journal","volume":"17"},"uris":["http://www.mendeley.com/documents/?uuid=fd448f18-9fbc-33ce-a166-9bc894b39e3b"]},{"id":"ITEM-4","itemData":{"DOI":"10.1086/421415","ISSN":"0031-8248","author":[{"dropping-particle":"","family":"Suárez","given":"Mauricio","non-dropping-particle":"","parse-names":false,"suffix":""}],"container-title":"Philosophy of Science","id":"ITEM-4","issue":"5","issued":{"date-parts":[["2004","12"]]},"page":"767-779","title":"An Inferential Conception of Scientific Representation","type":"article-journal","volume":"71"},"uris":["http://www.mendeley.com/documents/?uuid=1389e166-56af-31e4-8337-ad274e663c84"]}],"mendeley":{"formattedCitation":"(Frigg, 2006; Frigg &amp; Nguyen, 2017; Suárez, 2003, 2004)","plainTextFormattedCitation":"(Frigg, 2006; Frigg &amp; Nguyen, 2017; Suárez, 2003, 2004)","previouslyFormattedCitation":"(Frigg, 2006; Frigg &amp; Nguyen, 2017; Suárez, 2003, 2004)"},"properties":{"noteIndex":0},"schema":"https://github.com/citation-style-language/schema/raw/master/csl-citation.json"}</w:instrText>
      </w:r>
      <w:r w:rsidRPr="00F37696">
        <w:fldChar w:fldCharType="separate"/>
      </w:r>
      <w:r w:rsidR="00F90350" w:rsidRPr="00F90350">
        <w:rPr>
          <w:noProof/>
        </w:rPr>
        <w:t>(Frigg, 2006; Frigg &amp; Nguyen, 2017; Suárez, 2003, 2004)</w:t>
      </w:r>
      <w:r w:rsidRPr="00F37696">
        <w:fldChar w:fldCharType="end"/>
      </w:r>
      <w:r w:rsidRPr="00F37696">
        <w:t xml:space="preserve">. Furthermore, similarity is neither necessary nor sufficient for representation </w:t>
      </w:r>
      <w:r w:rsidRPr="00F37696">
        <w:fldChar w:fldCharType="begin" w:fldLock="1"/>
      </w:r>
      <w:r w:rsidR="00F90350">
        <w:instrText>ADDIN CSL_CITATION {"citationItems":[{"id":"ITEM-1","itemData":{"DOI":"10.1080/0269859032000169442","author":[{"dropping-particle":"","family":"Suárez","given":"Mauricio","non-dropping-particle":"","parse-names":false,"suffix":""}],"container-title":"International Studies in the Philosophy of Science","id":"ITEM-1","issue":"3","issued":{"date-parts":[["2003","10"]]},"page":"225-244","title":"Scientific representation: against similarity and isomorphism","type":"article-journal","volume":"17"},"uris":["http://www.mendeley.com/documents/?uuid=fd448f18-9fbc-33ce-a166-9bc894b39e3b"]},{"id":"ITEM-2","itemData":{"DOI":"10.1007/978-3-319-30526-4_3","author":[{"dropping-particle":"","family":"Frigg","given":"Roman","non-dropping-particle":"","parse-names":false,"suffix":""},{"dropping-particle":"","family":"Nguyen","given":"James","non-dropping-particle":"","parse-names":false,"suffix":""}],"container-title":"Springer Handbook of Model-Based Science","editor":[{"dropping-particle":"","family":"Magnani","given":"Lorenzo","non-dropping-particle":"","parse-names":false,"suffix":""},{"dropping-particle":"","family":"Bertolotti","given":"Tommaso","non-dropping-particle":"","parse-names":false,"suffix":""}],"id":"ITEM-2","issued":{"date-parts":[["2017"]]},"page":"49-102","publisher":"Springer","publisher-place":"Dordrecht","title":"Models and Representation","type":"chapter"},"uris":["http://www.mendeley.com/documents/?uuid=58ab896d-3911-3eb0-ad0c-3351c7f8f773"]},{"id":"ITEM-3","itemData":{"DOI":"10.1057/9781137292230","ISBN":"978-1-349-33687-6","author":[{"dropping-particle":"","family":"Toon","given":"Adam","non-dropping-particle":"","parse-names":false,"suffix":""}],"id":"ITEM-3","issued":{"date-parts":[["2012"]]},"publisher":"Palgrave Macmillan","publisher-place":"London","title":"Models as Make-Believe","type":"book"},"uris":["http://www.mendeley.com/documents/?uuid=97ddd4bf-9a9d-36f1-82af-7e5e02a08466"]}],"mendeley":{"formattedCitation":"(Frigg &amp; Nguyen, 2017; Suárez, 2003; Toon, 2012a)","plainTextFormattedCitation":"(Frigg &amp; Nguyen, 2017; Suárez, 2003; Toon, 2012a)","previouslyFormattedCitation":"(Frigg &amp; Nguyen, 2017; Suárez, 2003; Toon, 2012a)"},"properties":{"noteIndex":0},"schema":"https://github.com/citation-style-language/schema/raw/master/csl-citation.json"}</w:instrText>
      </w:r>
      <w:r w:rsidRPr="00F37696">
        <w:fldChar w:fldCharType="separate"/>
      </w:r>
      <w:r w:rsidR="00F90350" w:rsidRPr="00F90350">
        <w:rPr>
          <w:noProof/>
        </w:rPr>
        <w:t>(Frigg &amp; Nguyen, 2017; Suárez, 2003; Toon, 2012a)</w:t>
      </w:r>
      <w:r w:rsidRPr="00F37696">
        <w:fldChar w:fldCharType="end"/>
      </w:r>
      <w:r w:rsidRPr="00F37696">
        <w:t xml:space="preserve">. Knuuttila </w:t>
      </w:r>
      <w:r w:rsidRPr="00F37696">
        <w:fldChar w:fldCharType="begin" w:fldLock="1"/>
      </w:r>
      <w:r w:rsidR="0073708A" w:rsidRPr="00F37696">
        <w:instrText>ADDIN CSL_CITATION {"citationItems":[{"id":"ITEM-1","itemData":{"DOI":"10.1086/508124","ISSN":"0031-8248","abstract":"Representation has been one of the main themes in the recent discussion of models. Several authors have argued for a pragmatic approach to representation that takes users and their interpretations into account. It appears to me, however, that this emphasis on representation places excessive limitations on our view of models and their epistemic value. Models should rather be thought of as epistemic artifacts through which we gain knowledge in diverse ways. Approaching models this way stresses their materiality and media‐specificity. Focusing on models as multifunctional artifacts releases them from any preestablished and fixed representational relationships and leads me to argue for a twofold approach to representation.","author":[{"dropping-particle":"","family":"Knuuttila","given":"Tarja","non-dropping-particle":"","parse-names":false,"suffix":""}],"container-title":"Philosophy of Science","id":"ITEM-1","issue":"5","issued":{"date-parts":[["2005","12"]]},"page":"1260-1271","publisher":"The University of Chicago PressPhilosophy of Science Association","title":"Models, Representation, and Mediation","type":"article-journal","volume":"72"},"suppress-author":1,"uris":["http://www.mendeley.com/documents/?uuid=ee685fa2-8024-35b6-9b6c-588482f71606"]},{"id":"ITEM-2","itemData":{"DOI":"10.1016/j.shpsa.2010.11.034","ISSN":"00393681","author":[{"dropping-particle":"","family":"Knuuttila","given":"Tarja","non-dropping-particle":"","parse-names":false,"suffix":""}],"container-title":"Studies in History and Philosophy of Science Part A","id":"ITEM-2","issue":"2","issued":{"date-parts":[["2011","6"]]},"page":"262-271","title":"Modelling and representing: An artefactual approach to model-based representation","type":"article-journal","volume":"42"},"suppress-author":1,"uris":["http://www.mendeley.com/documents/?uuid=f1fd78f5-bb43-3dd5-8498-146739164816"]}],"mendeley":{"formattedCitation":"(2005, 2011)","plainTextFormattedCitation":"(2005, 2011)","previouslyFormattedCitation":"(2005, 2011)"},"properties":{"noteIndex":0},"schema":"https://github.com/citation-style-language/schema/raw/master/csl-citation.json"}</w:instrText>
      </w:r>
      <w:r w:rsidRPr="00F37696">
        <w:fldChar w:fldCharType="separate"/>
      </w:r>
      <w:r w:rsidR="0073708A" w:rsidRPr="00F37696">
        <w:rPr>
          <w:noProof/>
        </w:rPr>
        <w:t>(2005, 2011)</w:t>
      </w:r>
      <w:r w:rsidRPr="00F37696">
        <w:fldChar w:fldCharType="end"/>
      </w:r>
      <w:r w:rsidRPr="00F37696">
        <w:t xml:space="preserve"> argued that the similarity account inadequately views representation as a two-place relation between a model and </w:t>
      </w:r>
      <w:r w:rsidR="00C21B61" w:rsidRPr="00F37696">
        <w:t>its</w:t>
      </w:r>
      <w:r w:rsidRPr="00F37696">
        <w:t xml:space="preserve"> target, leaving out the crucial </w:t>
      </w:r>
      <w:r w:rsidR="00C21B61" w:rsidRPr="00F37696">
        <w:t xml:space="preserve">role </w:t>
      </w:r>
      <w:r w:rsidRPr="00F37696">
        <w:t>of the scientist</w:t>
      </w:r>
      <w:r w:rsidR="00C21B61" w:rsidRPr="00F37696">
        <w:t xml:space="preserve"> who does the representing</w:t>
      </w:r>
      <w:r w:rsidRPr="00F37696">
        <w:t xml:space="preserve">. As much as these objections deserve full scrutiny, addressing them is </w:t>
      </w:r>
      <w:r w:rsidR="00337DE4" w:rsidRPr="00F37696">
        <w:t xml:space="preserve">beyond </w:t>
      </w:r>
      <w:r w:rsidRPr="00F37696">
        <w:t>the scope of this paper. Others have attempted to provide some answers</w:t>
      </w:r>
      <w:r w:rsidR="00337DE4" w:rsidRPr="00F37696">
        <w:t>, such as</w:t>
      </w:r>
      <w:r w:rsidRPr="00F37696">
        <w:t xml:space="preserve"> </w:t>
      </w:r>
      <w:r w:rsidRPr="00F37696">
        <w:fldChar w:fldCharType="begin" w:fldLock="1"/>
      </w:r>
      <w:r w:rsidR="00F90350">
        <w:instrText>ADDIN CSL_CITATION {"citationItems":[{"id":"ITEM-1","itemData":{"DOI":"10.1387/THEORIA.554","abstract":"We propose that scientific representation is a special case of a more general notion of representation, and that the relatively well worked-out and plausible theories of the latter are directly applicable to the scientific special case.","author":[{"dropping-particle":"","family":"Callender","given":"Craig","non-dropping-particle":"","parse-names":false,"suffix":""},{"dropping-particle":"","family":"Cohen","given":"Jonathan","non-dropping-particle":"","parse-names":false,"suffix":""}],"container-title":"THEORIA. An International Journal for Theory, History and Foundations of Science","id":"ITEM-1","issue":"1","issued":{"date-parts":[["2006","1","6"]]},"page":"67-85","title":"There Is No Special Problem About Scientific Representation","type":"article-journal","volume":"21"},"uris":["http://www.mendeley.com/documents/?uuid=a379eaa5-7f98-3b87-94c0-082ba051c989"]},{"id":"ITEM-2","itemData":{"DOI":"10.1093/acprof:oso/9780199933662.001.0001","ISBN":"9780199933662","author":[{"dropping-particle":"","family":"Weisberg","given":"Michael","non-dropping-particle":"","parse-names":false,"suffix":""}],"id":"ITEM-2","issued":{"date-parts":[["2013","1","22"]]},"publisher":"Oxford University Press","publisher-place":"Oxford","title":"Simulation and Similarity","type":"book"},"uris":["http://www.mendeley.com/documents/?uuid=01501752-7dcb-30bf-8ba8-4dea6d530a49"]},{"id":"ITEM-3","itemData":{"DOI":"10.1007/s11229-009-9502-3","ISSN":"0039-7857","author":[{"dropping-particle":"","family":"Chakravartty","given":"Anjan","non-dropping-particle":"","parse-names":false,"suffix":""}],"container-title":"Synthese","id":"ITEM-3","issue":"2","issued":{"date-parts":[["2010","1","26"]]},"page":"197-213","title":"Informational versus functional theories of scientific representation","type":"article-journal","volume":"172"},"uris":["http://www.mendeley.com/documents/?uuid=6953a4cd-476c-3988-99c1-7916933104f2"]},{"id":"ITEM-4","itemData":{"DOI":"10.1007/s10838-015-9307-7","ISSN":"15728587","abstract":"The notion of scientific representation plays a central role in current debates on modeling in the sciences. One or maybe the major epistemic virtue of successful models is their capacity to adequately represent specific phenomena or target systems. According to similarity views of scientific representation, models should be similar to their corresponding targets in order to represent them. In this paper, Suárez’s arguments against similarity views of representation will be scrutinized. The upshot is that the intuition that scientific representation involves similarity is not refuted by the arguments. The arguments do not make the case for the strong claim that similarity between vehicles and targets is neither necessary nor sufficient for scientific representation. Especially, one claim that a similarity view wants to uphold, still, is the following thesis: only if a vehicle is similar to a target in relevant respects and to a specific degree of similarity then the vehicle is a scientific representation of that target.","author":[{"dropping-particle":"","family":"Poznic","given":"Michael","non-dropping-particle":"","parse-names":false,"suffix":""}],"container-title":"Journal for General Philosophy of Science","id":"ITEM-4","issue":"2","issued":{"date-parts":[["2016","9","1"]]},"page":"331-347","publisher":"Springer Netherlands","title":"Representation and Similarity: Suárez on Necessary and Sufficient Conditions of Scientific Representation","type":"article-journal","volume":"47"},"uris":["http://www.mendeley.com/documents/?uuid=624c899d-c159-30c2-947d-d87553ca23d9"]},{"id":"ITEM-5","itemData":{"DOI":"10.1093/bjps/axy029","ISSN":"0007-0882","abstract":"AbstractIn Simulation and Similarity, Michael Weisberg offers a similarity-based account of the model–world relation, which is the relation in virtue of which successful models are successful. Weis...","author":[{"dropping-particle":"","family":"Khosrowi","given":"Donal","non-dropping-particle":"","parse-names":false,"suffix":""}],"container-title":"The British Journal for the Philosophy of Science","id":"ITEM-5","issue":"2","issued":{"date-parts":[["2020","6","1"]]},"page":"523-546","publisher":"The University of Chicago Press","title":"Getting Serious about Shared Features","type":"article-journal","volume":"71"},"uris":["http://www.mendeley.com/documents/?uuid=03425841-cad0-3a17-b514-fb13b479bff3"]}],"mendeley":{"formattedCitation":"(Callender &amp; Cohen, 2006; Chakravartty, 2010; Khosrowi, 2020; Poznic, 2016; Weisberg, 2013)","plainTextFormattedCitation":"(Callender &amp; Cohen, 2006; Chakravartty, 2010; Khosrowi, 2020; Poznic, 2016; Weisberg, 2013)","previouslyFormattedCitation":"(Callender &amp; Cohen, 2006; Chakravartty, 2010; Khosrowi, 2020; Poznic, 2016; Weisberg, 2013)"},"properties":{"noteIndex":0},"schema":"https://github.com/citation-style-language/schema/raw/master/csl-citation.json"}</w:instrText>
      </w:r>
      <w:r w:rsidRPr="00F37696">
        <w:fldChar w:fldCharType="separate"/>
      </w:r>
      <w:r w:rsidR="00F90350" w:rsidRPr="00F90350">
        <w:rPr>
          <w:noProof/>
        </w:rPr>
        <w:t>(Callender &amp; Cohen, 2006; Chakravartty, 2010; Khosrowi, 2020; Poznic, 2016; Weisberg, 2013)</w:t>
      </w:r>
      <w:r w:rsidRPr="00F37696">
        <w:fldChar w:fldCharType="end"/>
      </w:r>
      <w:r w:rsidRPr="00F37696">
        <w:t>.</w:t>
      </w:r>
    </w:p>
  </w:footnote>
  <w:footnote w:id="3">
    <w:p w14:paraId="023E303F" w14:textId="77777777" w:rsidR="00956A09" w:rsidRPr="00F37696" w:rsidRDefault="00956A09" w:rsidP="00956A09">
      <w:pPr>
        <w:pStyle w:val="Textpoznpodarou"/>
      </w:pPr>
      <w:r w:rsidRPr="00F37696">
        <w:rPr>
          <w:rStyle w:val="Znakapoznpodarou"/>
        </w:rPr>
        <w:footnoteRef/>
      </w:r>
      <w:r w:rsidRPr="00F37696">
        <w:t xml:space="preserve"> The question of whether animal models are models </w:t>
      </w:r>
      <w:r w:rsidRPr="00F37696">
        <w:rPr>
          <w:i/>
          <w:iCs/>
        </w:rPr>
        <w:t>proper</w:t>
      </w:r>
      <w:r w:rsidRPr="00F37696">
        <w:t xml:space="preserve"> has recently been discussed. Levy and Currie </w:t>
      </w:r>
      <w:r w:rsidRPr="00F37696">
        <w:fldChar w:fldCharType="begin" w:fldLock="1"/>
      </w:r>
      <w:r w:rsidRPr="00F37696">
        <w:instrText>ADDIN CSL_CITATION {"citationItems":[{"id":"ITEM-1","itemData":{"DOI":"10.1093/bjps/axt055","ISSN":"0007-0882","author":[{"dropping-particle":"","family":"Levy","given":"Arnon","non-dropping-particle":"","parse-names":false,"suffix":""},{"dropping-particle":"","family":"Currie","given":"Adrian","non-dropping-particle":"","parse-names":false,"suffix":""}],"container-title":"The British Journal for the Philosophy of Science","id":"ITEM-1","issue":"2","issued":{"date-parts":[["2015","6","1"]]},"page":"327-348","publisher":"Oxford Academic","title":"Model Organisms are Not (Theoretical) Models","type":"article-journal","volume":"66"},"suppress-author":1,"uris":["http://www.mendeley.com/documents/?uuid=32cdfbae-9c63-3e81-ba36-233b24c9d6a3"]}],"mendeley":{"formattedCitation":"(2015)","plainTextFormattedCitation":"(2015)","previouslyFormattedCitation":"(2015)"},"properties":{"noteIndex":0},"schema":"https://github.com/citation-style-language/schema/raw/master/csl-citation.json"}</w:instrText>
      </w:r>
      <w:r w:rsidRPr="00F37696">
        <w:fldChar w:fldCharType="separate"/>
      </w:r>
      <w:r w:rsidRPr="00F37696">
        <w:rPr>
          <w:noProof/>
        </w:rPr>
        <w:t>(2015)</w:t>
      </w:r>
      <w:r w:rsidRPr="00F37696">
        <w:fldChar w:fldCharType="end"/>
      </w:r>
      <w:r w:rsidRPr="00F37696">
        <w:t xml:space="preserve"> have argued that animal models should be regarded as distinct from theoretical models, for the two exhibit different epistemic characteristics. Although Parkkinen </w:t>
      </w:r>
      <w:r w:rsidRPr="00F37696">
        <w:fldChar w:fldCharType="begin" w:fldLock="1"/>
      </w:r>
      <w:r w:rsidRPr="00F37696">
        <w:instrText>ADDIN CSL_CITATION {"citationItems":[{"id":"ITEM-1","itemData":{"author":[{"dropping-particle":"","family":"Parkkinen","given":"Veli-Pekka","non-dropping-particle":"","parse-names":false,"suffix":""}],"container-title":"Disputatio","id":"ITEM-1","issue":"47","issued":{"date-parts":[["2017"]]},"page":"471-498","title":"Are Model Organisms Theoretical Models?","type":"article-journal","volume":"9"},"suppress-author":1,"uris":["http://www.mendeley.com/documents/?uuid=605cd903-1728-4510-bdbb-52ab466219e8"]}],"mendeley":{"formattedCitation":"(2017)","plainTextFormattedCitation":"(2017)","previouslyFormattedCitation":"(2017)"},"properties":{"noteIndex":0},"schema":"https://github.com/citation-style-language/schema/raw/master/csl-citation.json"}</w:instrText>
      </w:r>
      <w:r w:rsidRPr="00F37696">
        <w:fldChar w:fldCharType="separate"/>
      </w:r>
      <w:r w:rsidRPr="00F37696">
        <w:rPr>
          <w:noProof/>
        </w:rPr>
        <w:t>(2017)</w:t>
      </w:r>
      <w:r w:rsidRPr="00F37696">
        <w:fldChar w:fldCharType="end"/>
      </w:r>
      <w:r w:rsidRPr="00F37696">
        <w:t xml:space="preserve"> concurs, he takes issue with the specific argument by which Levy and Currie reach their conclusion. For the purposes of this paper the question can be put aside.</w:t>
      </w:r>
    </w:p>
  </w:footnote>
  <w:footnote w:id="4">
    <w:p w14:paraId="359F5E08" w14:textId="77777777" w:rsidR="00956A09" w:rsidRPr="00F37696" w:rsidRDefault="00956A09" w:rsidP="00956A09">
      <w:pPr>
        <w:pStyle w:val="Textpoznpodarou"/>
      </w:pPr>
      <w:r w:rsidRPr="00F37696">
        <w:rPr>
          <w:rStyle w:val="Znakapoznpodarou"/>
        </w:rPr>
        <w:footnoteRef/>
      </w:r>
      <w:r w:rsidRPr="00F37696">
        <w:t xml:space="preserve"> Inbreeding is thought to provide genetic homogeneity that limits the possibility of the results being confounded. However, as recently pointed out, the current practice of working with mouse strains is not entirely failproof as sub-strains exist and this fact needs to be better acknowledged by researchers </w:t>
      </w:r>
      <w:r w:rsidRPr="00F37696">
        <w:fldChar w:fldCharType="begin" w:fldLock="1"/>
      </w:r>
      <w:r>
        <w:instrText>ADDIN CSL_CITATION {"citationItems":[{"id":"ITEM-1","itemData":{"DOI":"10.1038/s42255-018-0018-3","ISSN":"2522-5812","abstract":"Many commonly used inbred mouse strains carry random mutations that can affect the results of metabolic studies. Yet, awareness of such mutations as a source for experimental variation and seemingly contradictory results is lacking. It is time that scientists pay more attention to the identification, tracking and accurate reporting of mouse strains used in experiments.","author":[{"dropping-particle":"","family":"Enríquez","given":"José Antonio","non-dropping-particle":"","parse-names":false,"suffix":""}],"container-title":"Nature Metabolism","id":"ITEM-1","issue":"1","issued":{"date-parts":[["2019","1","7"]]},"page":"5-7","publisher":"Nature Publishing Group","title":"Mind your mouse strain","type":"article-journal","volume":"1"},"uris":["http://www.mendeley.com/documents/?uuid=c7b6c98d-310e-31b6-bdc0-0ddc705c9e9c"]}],"mendeley":{"formattedCitation":"(Enríquez, 2019)","plainTextFormattedCitation":"(Enríquez, 2019)","previouslyFormattedCitation":"(Enríquez, 2019)"},"properties":{"noteIndex":0},"schema":"https://github.com/citation-style-language/schema/raw/master/csl-citation.json"}</w:instrText>
      </w:r>
      <w:r w:rsidRPr="00F37696">
        <w:fldChar w:fldCharType="separate"/>
      </w:r>
      <w:r w:rsidRPr="00F90350">
        <w:rPr>
          <w:noProof/>
        </w:rPr>
        <w:t>(Enríquez, 2019)</w:t>
      </w:r>
      <w:r w:rsidRPr="00F37696">
        <w:fldChar w:fldCharType="end"/>
      </w:r>
      <w:r w:rsidRPr="00F37696">
        <w:t>.</w:t>
      </w:r>
    </w:p>
  </w:footnote>
  <w:footnote w:id="5">
    <w:p w14:paraId="3DE732AC" w14:textId="77777777" w:rsidR="00956A09" w:rsidRPr="00F37696" w:rsidRDefault="00956A09" w:rsidP="00956A09">
      <w:pPr>
        <w:pStyle w:val="Textpoznpodarou"/>
      </w:pPr>
      <w:r w:rsidRPr="00F37696">
        <w:rPr>
          <w:rStyle w:val="Znakapoznpodarou"/>
        </w:rPr>
        <w:footnoteRef/>
      </w:r>
      <w:r w:rsidRPr="00F37696">
        <w:t xml:space="preserve"> For instance, using recombinant DNA technology, GEMMs can be created by the direct injection of fertilized oocytes (germ cells), or by the use of the lentiviral transduction of embryonic stem cells. One problem is that both the expression levels and the cell tropism of the transgene may not completely reflect the expression levels and cell tropism of the endogenous gene. In other words, the transgene is often both overexpressed and expressed ectopically. This is because the promoter fragments in the transgene typically contain only the minimal sequence necessary for expression but not all the regulatory sites as in endogenous genes </w:t>
      </w:r>
      <w:r w:rsidRPr="00F37696">
        <w:fldChar w:fldCharType="begin" w:fldLock="1"/>
      </w:r>
      <w:r>
        <w:instrText>ADDIN CSL_CITATION {"citationItems":[{"id":"ITEM-1","itemData":{"DOI":"10.1038/nrc2192","ISSN":"1474-175X","abstract":"Animal models of cancer are an immense resource for cancer medicine, but only now are we realising their full potential. What new approaches are needed to derive the maximum value for cancer patients from mouse models of cancer? Animal models of cancer provide an alternative means to determine the causes of and treatments for malignancy, thus representing a resource of immense potential for cancer medicine. The sophistication of modelling cancer in mice has increased to the extent that investigators can both observe and manipulate a complex disease process in a manner impossible to perform in patients. However, owing to limitations in model design and technology development, and the surprising underuse of existing models, only now are we realising the full potential of mouse models of cancer and what new approaches are needed to derive the maximum value for cancer patients from this investment.","author":[{"dropping-particle":"","family":"Frese","given":"Kristopher K.","non-dropping-particle":"","parse-names":false,"suffix":""},{"dropping-particle":"","family":"Tuveson","given":"David A.","non-dropping-particle":"","parse-names":false,"suffix":""}],"container-title":"Nature Reviews Cancer","id":"ITEM-1","issue":"9","issued":{"date-parts":[["2007","9"]]},"page":"654-658","publisher":"Nature Publishing Group","title":"Maximizing mouse cancer models","type":"article-journal","volume":"7"},"uris":["http://www.mendeley.com/documents/?uuid=11da8b77-6edd-3234-84de-ee8b7502660a"]}],"mendeley":{"formattedCitation":"(Frese &amp; Tuveson, 2007)","plainTextFormattedCitation":"(Frese &amp; Tuveson, 2007)","previouslyFormattedCitation":"(Frese &amp; Tuveson, 2007)"},"properties":{"noteIndex":0},"schema":"https://github.com/citation-style-language/schema/raw/master/csl-citation.json"}</w:instrText>
      </w:r>
      <w:r w:rsidRPr="00F37696">
        <w:fldChar w:fldCharType="separate"/>
      </w:r>
      <w:r w:rsidRPr="00F90350">
        <w:rPr>
          <w:noProof/>
        </w:rPr>
        <w:t>(Frese &amp; Tuveson, 2007)</w:t>
      </w:r>
      <w:r w:rsidRPr="00F37696">
        <w:fldChar w:fldCharType="end"/>
      </w:r>
      <w:r w:rsidRPr="00F37696">
        <w:t xml:space="preserve">. </w:t>
      </w:r>
      <w:bookmarkStart w:id="3" w:name="_Hlk185668870"/>
      <w:r w:rsidRPr="00F37696">
        <w:t>To avoid this problem</w:t>
      </w:r>
      <w:bookmarkEnd w:id="3"/>
      <w:r w:rsidRPr="00F37696">
        <w:t xml:space="preserve">, researchers may use tissue-specific promoters in order to limit the expression to cells of a particular tissue. Under these circumstances, all mammary epithelial cells, for instance, will express the </w:t>
      </w:r>
      <w:r w:rsidRPr="00F37696">
        <w:rPr>
          <w:i/>
          <w:iCs/>
        </w:rPr>
        <w:t>Erbb2</w:t>
      </w:r>
      <w:r w:rsidRPr="00F37696">
        <w:t xml:space="preserve"> transgene, which will simultaneously give rise to multiple neoplastic lesions </w:t>
      </w:r>
      <w:r w:rsidRPr="00F37696">
        <w:fldChar w:fldCharType="begin" w:fldLock="1"/>
      </w:r>
      <w:r>
        <w:instrText>ADDIN CSL_CITATION {"citationItems":[{"id":"ITEM-1","itemData":{"DOI":"10.1038/nrc.2016.91","ISSN":"1474-175X","author":[{"dropping-particle":"","family":"Zitvogel","given":"Laurence","non-dropping-particle":"","parse-names":false,"suffix":""},{"dropping-particle":"","family":"Pitt","given":"Jonathan M.","non-dropping-particle":"","parse-names":false,"suffix":""},{"dropping-particle":"","family":"Daillère","given":"Romain","non-dropping-particle":"","parse-names":false,"suffix":""},{"dropping-particle":"","family":"Smyth","given":"Mark J.","non-dropping-particle":"","parse-names":false,"suffix":""},{"dropping-particle":"","family":"Kroemer","given":"Guido","non-dropping-particle":"","parse-names":false,"suffix":""}],"container-title":"Nature Reviews Cancer","id":"ITEM-1","issue":"12","issued":{"date-parts":[["2016","12","30"]]},"page":"759-773","title":"Mouse models in oncoimmunology","type":"article-journal","volume":"16"},"uris":["http://www.mendeley.com/documents/?uuid=328e0487-511b-3968-9e55-d5dc9a5f849a"]}],"mendeley":{"formattedCitation":"(Zitvogel et al., 2016)","plainTextFormattedCitation":"(Zitvogel et al., 2016)","previouslyFormattedCitation":"(Zitvogel et al., 2016)"},"properties":{"noteIndex":0},"schema":"https://github.com/citation-style-language/schema/raw/master/csl-citation.json"}</w:instrText>
      </w:r>
      <w:r w:rsidRPr="00F37696">
        <w:fldChar w:fldCharType="separate"/>
      </w:r>
      <w:r w:rsidRPr="00F90350">
        <w:rPr>
          <w:noProof/>
        </w:rPr>
        <w:t>(Zitvogel et al., 2016)</w:t>
      </w:r>
      <w:r w:rsidRPr="00F37696">
        <w:fldChar w:fldCharType="end"/>
      </w:r>
      <w:r w:rsidRPr="00F37696">
        <w:t>. Consequently, the immune system is overwhelmed, and the effects of a therapy may be confounded: Zitvogel and colleagues report that the MMTV-</w:t>
      </w:r>
      <w:r w:rsidRPr="00F37696">
        <w:rPr>
          <w:i/>
          <w:iCs/>
        </w:rPr>
        <w:t>Erbb2</w:t>
      </w:r>
      <w:r w:rsidRPr="00F37696">
        <w:t xml:space="preserve">-induced breast cancer exhibits no measurable immune system impact in response to chemotherapy; indeed, a good response to chemotherapy is observed even in RAG2 knock-out models, which conflicts with the clinical observation that favorable responses are associated with tumor infiltrating lymphocytes. Other problems concern the random site of the integration of the transgenes, which may result in chromosomal positional effects. </w:t>
      </w:r>
      <w:bookmarkStart w:id="4" w:name="_Hlk185668639"/>
      <w:r w:rsidRPr="00F37696">
        <w:t xml:space="preserve">It has also been possible to induce oncogenic mutations in adult mice in only a subset of cells which better mimics the features of human cancers </w:t>
      </w:r>
      <w:r w:rsidRPr="00F37696">
        <w:fldChar w:fldCharType="begin" w:fldLock="1"/>
      </w:r>
      <w:r>
        <w:instrText>ADDIN CSL_CITATION {"citationItems":[{"id":"ITEM-1","itemData":{"DOI":"10.1093/ANNONC/MDW041","ISSN":"0923-7534","abstract":"The recent success of checkpoint blockers to treat cancer has demonstrated that the immune system is a critical player in the war against cancer. Historically, anticancer therapeutics have been tested in syngeneic mouse models (with a fully murine immune system) or in immunodeficient mice that allow the engraftment of human xenografts. Animal models with functioning human immune systems are critically needed to more accurately recapitulate the complexity of the human tumor microenvironment. Such models are integral to better predict tumor responses to both immunomodulatory agents and directly antineoplastic therapies. In this regard, the development of humanized models is a promising, novel strategy that offers the possibility of testing checkpoint blockers' capacity and their combination with other antitumor drugs. In this review, we discuss the strengths and weaknesses of the available animal models regarding their capacity to evaluate checkpoint blockers and checkpoint blocker-based combination immunotherapy.","author":[{"dropping-particle":"","family":"Sanmamed","given":"M.F.","non-dropping-particle":"","parse-names":false,"suffix":""},{"dropping-particle":"","family":"Chester","given":"C.","non-dropping-particle":"","parse-names":false,"suffix":""},{"dropping-particle":"","family":"Melero","given":"I.","non-dropping-particle":"","parse-names":false,"suffix":""},{"dropping-particle":"","family":"Kohrt","given":"H.","non-dropping-particle":"","parse-names":false,"suffix":""}],"container-title":"Annals of Oncology","id":"ITEM-1","issue":"7","issued":{"date-parts":[["2016","7","1"]]},"page":"1190-1198","publisher":"Elsevier","title":"Defining the optimal murine models to investigate immune checkpoint blockers and their combination with other immunotherapies","type":"article-journal","volume":"27"},"uris":["http://www.mendeley.com/documents/?uuid=b5c501e6-576c-37a5-9e3a-de976ed535d5"]}],"mendeley":{"formattedCitation":"(Sanmamed et al., 2016)","plainTextFormattedCitation":"(Sanmamed et al., 2016)","previouslyFormattedCitation":"(Sanmamed et al., 2016)"},"properties":{"noteIndex":0},"schema":"https://github.com/citation-style-language/schema/raw/master/csl-citation.json"}</w:instrText>
      </w:r>
      <w:r w:rsidRPr="00F37696">
        <w:fldChar w:fldCharType="separate"/>
      </w:r>
      <w:r w:rsidRPr="00F90350">
        <w:rPr>
          <w:noProof/>
        </w:rPr>
        <w:t>(Sanmamed et al., 2016)</w:t>
      </w:r>
      <w:r w:rsidRPr="00F37696">
        <w:fldChar w:fldCharType="end"/>
      </w:r>
      <w:r w:rsidRPr="00F37696">
        <w:t>.</w:t>
      </w:r>
      <w:bookmarkEnd w:id="4"/>
    </w:p>
  </w:footnote>
  <w:footnote w:id="6">
    <w:p w14:paraId="698FBB30" w14:textId="77777777" w:rsidR="00956A09" w:rsidRPr="00F37696" w:rsidRDefault="00956A09" w:rsidP="00956A09">
      <w:pPr>
        <w:pStyle w:val="Textpoznpodarou"/>
      </w:pPr>
      <w:r w:rsidRPr="00F37696">
        <w:rPr>
          <w:rStyle w:val="Znakapoznpodarou"/>
        </w:rPr>
        <w:footnoteRef/>
      </w:r>
      <w:r w:rsidRPr="00F37696">
        <w:t xml:space="preserve"> Note that although PDX models are also sometimes referred to as mouse avatars, some researchers </w:t>
      </w:r>
      <w:r w:rsidRPr="00F37696">
        <w:fldChar w:fldCharType="begin" w:fldLock="1"/>
      </w:r>
      <w:r>
        <w:instrText>ADDIN CSL_CITATION {"citationItems":[{"id":"ITEM-1","itemData":{"DOI":"10.1093/ANNONC/MDW041","ISSN":"0923-7534","abstract":"The recent success of checkpoint blockers to treat cancer has demonstrated that the immune system is a critical player in the war against cancer. Historically, anticancer therapeutics have been tested in syngeneic mouse models (with a fully murine immune system) or in immunodeficient mice that allow the engraftment of human xenografts. Animal models with functioning human immune systems are critically needed to more accurately recapitulate the complexity of the human tumor microenvironment. Such models are integral to better predict tumor responses to both immunomodulatory agents and directly antineoplastic therapies. In this regard, the development of humanized models is a promising, novel strategy that offers the possibility of testing checkpoint blockers' capacity and their combination with other antitumor drugs. In this review, we discuss the strengths and weaknesses of the available animal models regarding their capacity to evaluate checkpoint blockers and checkpoint blocker-based combination immunotherapy.","author":[{"dropping-particle":"","family":"Sanmamed","given":"M.F.","non-dropping-particle":"","parse-names":false,"suffix":""},{"dropping-particle":"","family":"Chester","given":"C.","non-dropping-particle":"","parse-names":false,"suffix":""},{"dropping-particle":"","family":"Melero","given":"I.","non-dropping-particle":"","parse-names":false,"suffix":""},{"dropping-particle":"","family":"Kohrt","given":"H.","non-dropping-particle":"","parse-names":false,"suffix":""}],"container-title":"Annals of Oncology","id":"ITEM-1","issue":"7","issued":{"date-parts":[["2016","7","1"]]},"page":"1190-1198","publisher":"Elsevier","title":"Defining the optimal murine models to investigate immune checkpoint blockers and their combination with other immunotherapies","type":"article-journal","volume":"27"},"prefix":"see, e.g., Figure 1 in","uris":["http://www.mendeley.com/documents/?uuid=b5c501e6-576c-37a5-9e3a-de976ed535d5"]}],"mendeley":{"formattedCitation":"(see, e.g., Figure 1 in Sanmamed et al., 2016)","plainTextFormattedCitation":"(see, e.g., Figure 1 in Sanmamed et al., 2016)","previouslyFormattedCitation":"(see, e.g., Figure 1 in Sanmamed et al., 2016)"},"properties":{"noteIndex":0},"schema":"https://github.com/citation-style-language/schema/raw/master/csl-citation.json"}</w:instrText>
      </w:r>
      <w:r w:rsidRPr="00F37696">
        <w:fldChar w:fldCharType="separate"/>
      </w:r>
      <w:r w:rsidRPr="00F90350">
        <w:rPr>
          <w:noProof/>
        </w:rPr>
        <w:t>(see, e.g., Figure 1 in Sanmamed et al., 2016)</w:t>
      </w:r>
      <w:r w:rsidRPr="00F37696">
        <w:fldChar w:fldCharType="end"/>
      </w:r>
      <w:r w:rsidRPr="00F37696">
        <w:t xml:space="preserve"> reserve the term for other types of mouse models such as the mice humanized by PBMCs engraftment, i.e., the immuno-avatar discussed previously. The non-humanized version of PDX models has recently been the topic of an extended philosophical analysis </w:t>
      </w:r>
      <w:r w:rsidRPr="00F37696">
        <w:fldChar w:fldCharType="begin" w:fldLock="1"/>
      </w:r>
      <w:r>
        <w:instrText>ADDIN CSL_CITATION {"citationItems":[{"id":"ITEM-1","itemData":{"DOI":"10.1007/s40656-021-00383-w","ISSN":"17426316","PMID":"33620596","abstract":"Patient-derived xenografts (PDXs) are currently promoted as new translational models in precision oncology. PDXs are immunodeficient mice with human tumors that are used as surrogate models to represent specific types of cancer. By accounting for the genetic heterogeneity of cancer tumors, PDXs are hoped to provide more clinically relevant results in preclinical research. Further, in the function of so-called “mouse avatars”, PDXs are hoped to allow for patient-specific drug testing in real-time (in parallel to treatment of the corresponding cancer patient). This paper examines the circulation of knowledge and bodily material across the species boundary of human and personalized mouse model, historically as well as in contemporary practices. PDXs raise interesting questions about the relation between animal model and human patient, and about the capacity of hybrid or interspecies models to close existing translational gaps. We highlight that the translational potential of PDXs not only depends on representational matching of model and target, but also on temporal alignment between model development and practical uses. Aside from the importance of ensuring temporal stability of human tumors in a murine body, the mouse avatar concept rests on the possibility of aligning the temporal horizons of the clinic and the lab. We examine strategies to address temporal challenges, including cryopreservation and biobanking, as well as attempts to speed up translation through modification and use of faster developing organisms. We discuss how featured model virtues change with precision oncology, and contend that temporality is a model feature that deserves more philosophical attention.","author":[{"dropping-particle":"","family":"Green","given":"Sara","non-dropping-particle":"","parse-names":false,"suffix":""},{"dropping-particle":"","family":"Dam","given":"Mie S.","non-dropping-particle":"","parse-names":false,"suffix":""},{"dropping-particle":"","family":"Svendsen","given":"Mette N.","non-dropping-particle":"","parse-names":false,"suffix":""}],"container-title":"History and Philosophy of the Life Sciences","id":"ITEM-1","issue":"1","issued":{"date-parts":[["2021","3","1"]]},"page":"27","publisher":"Springer Science and Business Media Deutschland GmbH","title":"Mouse avatars of human cancers: the temporality of translation in precision oncology","type":"article-journal","volume":"43"},"uris":["http://www.mendeley.com/documents/?uuid=4705c055-3303-3911-8635-92e04d08f4aa"]}],"mendeley":{"formattedCitation":"(Green et al., 2021)","plainTextFormattedCitation":"(Green et al., 2021)","previouslyFormattedCitation":"(Green et al., 2021)"},"properties":{"noteIndex":0},"schema":"https://github.com/citation-style-language/schema/raw/master/csl-citation.json"}</w:instrText>
      </w:r>
      <w:r w:rsidRPr="00F37696">
        <w:fldChar w:fldCharType="separate"/>
      </w:r>
      <w:r w:rsidRPr="00F90350">
        <w:rPr>
          <w:noProof/>
        </w:rPr>
        <w:t>(Green et al., 2021)</w:t>
      </w:r>
      <w:r w:rsidRPr="00F37696">
        <w:fldChar w:fldCharType="end"/>
      </w:r>
      <w:r w:rsidRPr="00F37696">
        <w:t>.</w:t>
      </w:r>
    </w:p>
  </w:footnote>
  <w:footnote w:id="7">
    <w:p w14:paraId="76EA10A5" w14:textId="77777777" w:rsidR="009935F3" w:rsidRPr="00F37696" w:rsidRDefault="009935F3" w:rsidP="009935F3">
      <w:pPr>
        <w:pStyle w:val="Textpoznpodarou"/>
      </w:pPr>
      <w:r w:rsidRPr="00F37696">
        <w:rPr>
          <w:rStyle w:val="Znakapoznpodarou"/>
        </w:rPr>
        <w:footnoteRef/>
      </w:r>
      <w:r w:rsidRPr="00F37696">
        <w:t xml:space="preserve"> To some extent, this should be reminiscent of the “identification of targets of modeling” discussed by Huber and Keuck </w:t>
      </w:r>
      <w:r w:rsidRPr="00F37696">
        <w:fldChar w:fldCharType="begin" w:fldLock="1"/>
      </w:r>
      <w:r w:rsidRPr="00F37696">
        <w:instrText>ADDIN CSL_CITATION {"citationItems":[{"id":"ITEM-1","itemData":{"DOI":"10.1016/J.SHPSC.2013.03.001","ISSN":"1369-8486","abstract":"Animal models have received particular attention as key examples of material models. In this paper, we argue that the specificities of establishing animal models—acknowledging their status as living beings and as epistemological tools—necessitate a more complex account of animal models as materialised models. This becomes particularly evident in animal-based models of diseases that only occur in humans: in these cases, the representational relation between animal model and human patient needs to be generated and validated. The first part of this paper presents an account of how disease-specific animal models are established by drawing on the example of transgenic mice models for Alzheimer’s disease. We will introduce an account of validation that involves a three-fold process including (1) from human being to experimental organism; (2) from experimental organism to animal model; and (3) from animal model to human patient. This process draws upon clinical relevance as much as scientific practices and results in disease-specific, yet incomplete, animal models. The second part of this paper argues that the incompleteness of models can be described in terms of multi-level abstractions. We qualify this notion by pointing to different experimental techniques and targets of modelling, which give rise to a plurality of models for a specific disease.","author":[{"dropping-particle":"","family":"Huber","given":"Lara","non-dropping-particle":"","parse-names":false,"suffix":""},{"dropping-particle":"","family":"Keuck","given":"Lara K.","non-dropping-particle":"","parse-names":false,"suffix":""}],"container-title":"Studies in History and Philosophy of Science Part C: Studies in History and Philosophy of Biological and Biomedical Sciences","id":"ITEM-1","issue":"3","issued":{"date-parts":[["2013","9","1"]]},"page":"385-391","publisher":"Pergamon","title":"Mutant mice: Experimental organisms as materialised models in biomedicine","type":"article-journal","volume":"44"},"suppress-author":1,"uris":["http://www.mendeley.com/documents/?uuid=b831c420-f959-371c-a5b3-d0a05f080a71"]}],"mendeley":{"formattedCitation":"(2013)","plainTextFormattedCitation":"(2013)","previouslyFormattedCitation":"(2013)"},"properties":{"noteIndex":0},"schema":"https://github.com/citation-style-language/schema/raw/master/csl-citation.json"}</w:instrText>
      </w:r>
      <w:r w:rsidRPr="00F37696">
        <w:fldChar w:fldCharType="separate"/>
      </w:r>
      <w:r w:rsidRPr="00F37696">
        <w:rPr>
          <w:noProof/>
        </w:rPr>
        <w:t>(2013)</w:t>
      </w:r>
      <w:r w:rsidRPr="00F37696">
        <w:fldChar w:fldCharType="end"/>
      </w:r>
      <w:r w:rsidRPr="00F37696">
        <w:t xml:space="preserve">. The concept of adequacy-to-research-question is also akin to Parker’s </w:t>
      </w:r>
      <w:r w:rsidRPr="00F37696">
        <w:fldChar w:fldCharType="begin" w:fldLock="1"/>
      </w:r>
      <w:r w:rsidRPr="00F37696">
        <w:instrText>ADDIN CSL_CITATION {"citationItems":[{"id":"ITEM-1","itemData":{"DOI":"10.1086/708691","ISSN":"0031-8248","abstract":"According to an adequacy-for-purpose view, models should be assessed with respect to their adequacy or fitness for particular purposes. Such a view has been advocated by scientists and philosophers...","author":[{"dropping-particle":"","family":"Parker","given":"Wendy S.","non-dropping-particle":"","parse-names":false,"suffix":""}],"container-title":"Philosophy of Science","id":"ITEM-1","issue":"3","issued":{"date-parts":[["2020","7","1"]]},"page":"457-477","publisher":"The University of Chicago PressChicago, IL","title":"Model Evaluation: An Adequacy-for-Purpose View","type":"article-journal","volume":"87"},"suppress-author":1,"uris":["http://www.mendeley.com/documents/?uuid=3da58455-f0f5-376f-8940-7a3da0af587a"]}],"mendeley":{"formattedCitation":"(2020)","plainTextFormattedCitation":"(2020)","previouslyFormattedCitation":"(2020)"},"properties":{"noteIndex":0},"schema":"https://github.com/citation-style-language/schema/raw/master/csl-citation.json"}</w:instrText>
      </w:r>
      <w:r w:rsidRPr="00F37696">
        <w:fldChar w:fldCharType="separate"/>
      </w:r>
      <w:r w:rsidRPr="00F37696">
        <w:rPr>
          <w:noProof/>
        </w:rPr>
        <w:t>(2020)</w:t>
      </w:r>
      <w:r w:rsidRPr="00F37696">
        <w:fldChar w:fldCharType="end"/>
      </w:r>
      <w:r w:rsidRPr="00F37696">
        <w:t xml:space="preserve"> notion of adequacy-for-purpose as well as to Bolinska’s </w:t>
      </w:r>
      <w:r w:rsidRPr="00F37696">
        <w:fldChar w:fldCharType="begin" w:fldLock="1"/>
      </w:r>
      <w:r w:rsidRPr="00F37696">
        <w:instrText>ADDIN CSL_CITATION {"citationItems":[{"id":"ITEM-1","itemData":{"DOI":"10.1016/J.SHPSA.2015.09.005","ISSN":"0039-3681","abstract":"In this paper, I characterize visual epistemic representations as concrete two- or three-dimensional tools for conveying information about aspects of their target systems or phenomena of interest. I outline two features of successful visual epistemic representation: that the vehicle of representation contain sufficiently accurate information about the phenomenon of interest for the user's purpose, and that it convey this information to the user in a manner that makes it readily available to her. I argue that actual epistemic representation may involve tradeoffs between these features and is successful to the extent that they are present.","author":[{"dropping-particle":"","family":"Bolinska","given":"Agnes","non-dropping-particle":"","parse-names":false,"suffix":""}],"container-title":"Studies in History and Philosophy of Science Part A","id":"ITEM-1","issued":{"date-parts":[["2016","4","1"]]},"page":"153-160","publisher":"Pergamon","title":"Successful visual epistemic representation","type":"article-journal","volume":"56"},"suppress-author":1,"uris":["http://www.mendeley.com/documents/?uuid=5ad83292-cc84-3268-a216-1e2f1ce1a7d3"]}],"mendeley":{"formattedCitation":"(2016)","plainTextFormattedCitation":"(2016)","previouslyFormattedCitation":"(2016)"},"properties":{"noteIndex":0},"schema":"https://github.com/citation-style-language/schema/raw/master/csl-citation.json"}</w:instrText>
      </w:r>
      <w:r w:rsidRPr="00F37696">
        <w:fldChar w:fldCharType="separate"/>
      </w:r>
      <w:r w:rsidRPr="00F37696">
        <w:rPr>
          <w:noProof/>
        </w:rPr>
        <w:t>(2016)</w:t>
      </w:r>
      <w:r w:rsidRPr="00F37696">
        <w:fldChar w:fldCharType="end"/>
      </w:r>
      <w:r w:rsidRPr="00F37696">
        <w:t xml:space="preserve"> accuracy-for-a-purpose.</w:t>
      </w:r>
    </w:p>
  </w:footnote>
  <w:footnote w:id="8">
    <w:p w14:paraId="0C8D8D12" w14:textId="77777777" w:rsidR="009935F3" w:rsidRPr="00F37696" w:rsidRDefault="009935F3" w:rsidP="009935F3">
      <w:pPr>
        <w:pStyle w:val="Textpoznpodarou"/>
      </w:pPr>
      <w:r w:rsidRPr="00F37696">
        <w:rPr>
          <w:rStyle w:val="Znakapoznpodarou"/>
        </w:rPr>
        <w:footnoteRef/>
      </w:r>
      <w:r w:rsidRPr="00F37696">
        <w:t xml:space="preserve"> Note that the order in which these considerations will be discussed does not necessarily reflect some rigid order in which scientists actually reach conclusions. In fact, these points are usually interdependent. </w:t>
      </w:r>
    </w:p>
  </w:footnote>
  <w:footnote w:id="9">
    <w:p w14:paraId="63B68770" w14:textId="01FA3F97" w:rsidR="00636B6E" w:rsidRPr="00BA0A4B" w:rsidRDefault="00636B6E" w:rsidP="00BA0A4B">
      <w:pPr>
        <w:spacing w:after="0" w:line="240" w:lineRule="auto"/>
        <w:rPr>
          <w:rFonts w:cstheme="minorHAnsi"/>
          <w:sz w:val="20"/>
          <w:szCs w:val="20"/>
          <w:highlight w:val="red"/>
        </w:rPr>
      </w:pPr>
      <w:r w:rsidRPr="00BA0A4B">
        <w:rPr>
          <w:rStyle w:val="Znakapoznpodarou"/>
          <w:rFonts w:cstheme="minorHAnsi"/>
          <w:sz w:val="20"/>
          <w:szCs w:val="20"/>
        </w:rPr>
        <w:footnoteRef/>
      </w:r>
      <w:r w:rsidRPr="00BA0A4B">
        <w:rPr>
          <w:rFonts w:cstheme="minorHAnsi"/>
          <w:sz w:val="20"/>
          <w:szCs w:val="20"/>
        </w:rPr>
        <w:t xml:space="preserve"> </w:t>
      </w:r>
      <w:r w:rsidRPr="007B56A4">
        <w:rPr>
          <w:rFonts w:cstheme="minorHAnsi"/>
          <w:sz w:val="20"/>
          <w:szCs w:val="20"/>
        </w:rPr>
        <w:t>Translational potential is crucially connected with the problem of extrapolation. It is believed that the development of humanized mouse models which are made to be more similar to the intended target may help cross the translational gap.</w:t>
      </w:r>
      <w:r w:rsidRPr="00BA0A4B">
        <w:rPr>
          <w:rFonts w:cstheme="minorHAnsi"/>
          <w:sz w:val="20"/>
          <w:szCs w:val="20"/>
        </w:rPr>
        <w:t xml:space="preserve"> Piotrowska </w:t>
      </w:r>
      <w:r w:rsidRPr="00BA0A4B">
        <w:rPr>
          <w:rFonts w:cstheme="minorHAnsi"/>
          <w:sz w:val="20"/>
          <w:szCs w:val="20"/>
        </w:rPr>
        <w:fldChar w:fldCharType="begin" w:fldLock="1"/>
      </w:r>
      <w:r w:rsidRPr="00BA0A4B">
        <w:rPr>
          <w:rFonts w:cstheme="minorHAnsi"/>
          <w:sz w:val="20"/>
          <w:szCs w:val="20"/>
        </w:rPr>
        <w:instrText>ADDIN CSL_CITATION {"citationItems":[{"id":"ITEM-1","itemData":{"DOI":"10.1007/s10539-012-9323-5","ISSN":"0169-3867","abstract":"Extrapolation from a well-understood base population to a less-understood target population can fail if the base and target populations are not sufficiently similar. Differences between laboratory mice and humans, for example, can hinder extrapolation in medical research. Mice that carry a partial or complete human physiological system, known as humanized mice, are supposed to make extrapolation more reliable by simulating a variety of human diseases. But what justifies our belief that these mice are similar enough to their human counterparts to simulate human disease? I argue that, unless three requirements are met in the process of humanizing mice, very little does. My requirements are not meant to provide necessary and sufficient conditions that guarantee a particular outcome. Instead, they serve as a heuristic for guiding scientific judgments involving extrapolation. In developing each requirement, I engage with philosophical issues concerning the nature of model-based science and the mechanistic approach (and its limits) to making generalizations in the life sciences.","author":[{"dropping-particle":"","family":"Piotrowska","given":"Monika","non-dropping-particle":"","parse-names":false,"suffix":""}],"container-title":"Biology &amp; Philosophy","id":"ITEM-1","issue":"3","issued":{"date-parts":[["2013","5","24"]]},"page":"439-455","publisher":"Springer","title":"From humanized mice to human disease: guiding extrapolation from model to target","type":"article-journal","volume":"28"},"suppress-author":1,"uris":["http://www.mendeley.com/documents/?uuid=3c20fd56-c1aa-39ac-b3da-a302a9992c35"]}],"mendeley":{"formattedCitation":"(2013)","plainTextFormattedCitation":"(2013)","previouslyFormattedCitation":"(2013)"},"properties":{"noteIndex":0},"schema":"https://github.com/citation-style-language/schema/raw/master/csl-citation.json"}</w:instrText>
      </w:r>
      <w:r w:rsidRPr="00BA0A4B">
        <w:rPr>
          <w:rFonts w:cstheme="minorHAnsi"/>
          <w:sz w:val="20"/>
          <w:szCs w:val="20"/>
        </w:rPr>
        <w:fldChar w:fldCharType="separate"/>
      </w:r>
      <w:r w:rsidRPr="00BA0A4B">
        <w:rPr>
          <w:rFonts w:cstheme="minorHAnsi"/>
          <w:noProof/>
          <w:sz w:val="20"/>
          <w:szCs w:val="20"/>
        </w:rPr>
        <w:t>(2013)</w:t>
      </w:r>
      <w:r w:rsidRPr="00BA0A4B">
        <w:rPr>
          <w:rFonts w:cstheme="minorHAnsi"/>
          <w:sz w:val="20"/>
          <w:szCs w:val="20"/>
        </w:rPr>
        <w:fldChar w:fldCharType="end"/>
      </w:r>
      <w:r w:rsidRPr="00BA0A4B">
        <w:rPr>
          <w:rFonts w:cstheme="minorHAnsi"/>
          <w:sz w:val="20"/>
          <w:szCs w:val="20"/>
        </w:rPr>
        <w:t xml:space="preserve"> proposes several criteria (heuristics) which, taken together, should guide </w:t>
      </w:r>
      <w:r w:rsidRPr="00A37C46">
        <w:rPr>
          <w:rFonts w:cstheme="minorHAnsi"/>
          <w:sz w:val="20"/>
          <w:szCs w:val="20"/>
        </w:rPr>
        <w:t>scientific judgment regarding the extent to which the humanized mice are similar enough to the modeled disease to justify the extrapolative inferences.</w:t>
      </w:r>
      <w:r w:rsidR="00C05C96" w:rsidRPr="00A37C46">
        <w:rPr>
          <w:rFonts w:cstheme="minorHAnsi"/>
          <w:sz w:val="20"/>
          <w:szCs w:val="20"/>
        </w:rPr>
        <w:t xml:space="preserve"> </w:t>
      </w:r>
      <w:r w:rsidR="00BA0A4B" w:rsidRPr="00A37C46">
        <w:rPr>
          <w:rFonts w:cstheme="minorHAnsi"/>
          <w:sz w:val="20"/>
          <w:szCs w:val="20"/>
        </w:rPr>
        <w:t xml:space="preserve">While philosophers appear to be in agreement with respect to the general claim that the success of extrapolation depends upon some sort of similarity between the surrogate and its target, they disagree on the particular manner in which the justification proceeds. Indeed, several such accounts have been proposed: enumerative induction, comparative process tracing </w:t>
      </w:r>
      <w:r w:rsidR="00BA0A4B" w:rsidRPr="00A37C46">
        <w:rPr>
          <w:rFonts w:cstheme="minorHAnsi"/>
          <w:sz w:val="20"/>
          <w:szCs w:val="20"/>
        </w:rPr>
        <w:fldChar w:fldCharType="begin" w:fldLock="1"/>
      </w:r>
      <w:r w:rsidR="00BA0A4B" w:rsidRPr="00A37C46">
        <w:rPr>
          <w:rFonts w:cstheme="minorHAnsi"/>
          <w:sz w:val="20"/>
          <w:szCs w:val="20"/>
        </w:rPr>
        <w:instrText>ADDIN CSL_CITATION {"citationItems":[{"id":"ITEM-1","itemData":{"author":[{"dropping-particle":"","family":"Steel","given":"Daniel","non-dropping-particle":"","parse-names":false,"suffix":""}],"id":"ITEM-1","issued":{"date-parts":[["2008"]]},"publisher":"Oxford University Press","publisher-place":"Oxford","title":"Across the Boundaries: Extrapolation in Biology and Social Science","type":"book"},"uris":["http://www.mendeley.com/documents/?uuid=99b7c1b7-21e8-47c4-a1f2-d320f7b9ae03"]}],"mendeley":{"formattedCitation":"(Steel, 2008)","plainTextFormattedCitation":"(Steel, 2008)","previouslyFormattedCitation":"(Steel, 2008)"},"properties":{"noteIndex":0},"schema":"https://github.com/citation-style-language/schema/raw/master/csl-citation.json"}</w:instrText>
      </w:r>
      <w:r w:rsidR="00BA0A4B" w:rsidRPr="00A37C46">
        <w:rPr>
          <w:rFonts w:cstheme="minorHAnsi"/>
          <w:sz w:val="20"/>
          <w:szCs w:val="20"/>
        </w:rPr>
        <w:fldChar w:fldCharType="separate"/>
      </w:r>
      <w:r w:rsidR="00BA0A4B" w:rsidRPr="00A37C46">
        <w:rPr>
          <w:rFonts w:cstheme="minorHAnsi"/>
          <w:noProof/>
          <w:sz w:val="20"/>
          <w:szCs w:val="20"/>
        </w:rPr>
        <w:t>(Steel, 2008)</w:t>
      </w:r>
      <w:r w:rsidR="00BA0A4B" w:rsidRPr="00A37C46">
        <w:rPr>
          <w:rFonts w:cstheme="minorHAnsi"/>
          <w:sz w:val="20"/>
          <w:szCs w:val="20"/>
        </w:rPr>
        <w:fldChar w:fldCharType="end"/>
      </w:r>
      <w:r w:rsidR="00BA0A4B" w:rsidRPr="00A37C46">
        <w:rPr>
          <w:rFonts w:cstheme="minorHAnsi"/>
          <w:sz w:val="20"/>
          <w:szCs w:val="20"/>
        </w:rPr>
        <w:t xml:space="preserve">, phylogenetic inference </w:t>
      </w:r>
      <w:r w:rsidR="00BA0A4B" w:rsidRPr="00A37C46">
        <w:rPr>
          <w:rFonts w:cstheme="minorHAnsi"/>
          <w:sz w:val="20"/>
          <w:szCs w:val="20"/>
        </w:rPr>
        <w:fldChar w:fldCharType="begin" w:fldLock="1"/>
      </w:r>
      <w:r w:rsidR="00BA0A4B" w:rsidRPr="00A37C46">
        <w:rPr>
          <w:rFonts w:cstheme="minorHAnsi"/>
          <w:sz w:val="20"/>
          <w:szCs w:val="20"/>
        </w:rPr>
        <w:instrText>ADDIN CSL_CITATION {"citationItems":[{"id":"ITEM-1","itemData":{"DOI":"10.1353/pbm.0.0125","ISSN":"1529-8795","abstract":"ARRAY(0x5649426fce78)","author":[{"dropping-particle":"","family":"Bolker","given":"Jessica A.","non-dropping-particle":"","parse-names":false,"suffix":""}],"container-title":"Perspectives in Biology and Medicine","id":"ITEM-1","issue":"4","issued":{"date-parts":[["2009"]]},"page":"485-499","publisher":"Johns Hopkins University Press","title":"Exemplary and Surrogate Models: Two Modes of Representation in Biology","type":"article-journal","volume":"52"},"uris":["http://www.mendeley.com/documents/?uuid=dd798523-0a49-3574-a212-04c0b34cffab"]},{"id":"ITEM-2","itemData":{"DOI":"10.1093/acprof:oso/9780199933662.001.0001","ISBN":"9780199933662","author":[{"dropping-particle":"","family":"Weisberg","given":"Michael","non-dropping-particle":"","parse-names":false,"suffix":""}],"id":"ITEM-2","issued":{"date-parts":[["2013","1","22"]]},"publisher":"Oxford University Press","publisher-place":"Oxford","title":"Simulation and Similarity","type":"book"},"uris":["http://www.mendeley.com/documents/?uuid=01501752-7dcb-30bf-8ba8-4dea6d530a49"]},{"id":"ITEM-3","itemData":{"DOI":"10.1093/bjps/axt055","ISSN":"0007-0882","author":[{"dropping-particle":"","family":"Levy","given":"Arnon","non-dropping-particle":"","parse-names":false,"suffix":""},{"dropping-particle":"","family":"Currie","given":"Adrian","non-dropping-particle":"","parse-names":false,"suffix":""}],"container-title":"The British Journal for the Philosophy of Science","id":"ITEM-3","issue":"2","issued":{"date-parts":[["2015","6","1"]]},"page":"327-348","publisher":"Oxford Academic","title":"Model Organisms are Not (Theoretical) Models","type":"article-journal","volume":"66"},"uris":["http://www.mendeley.com/documents/?uuid=32cdfbae-9c63-3e81-ba36-233b24c9d6a3"]}],"mendeley":{"formattedCitation":"(Bolker, 2009; Levy &amp; Currie, 2015; Weisberg, 2013)","plainTextFormattedCitation":"(Bolker, 2009; Levy &amp; Currie, 2015; Weisberg, 2013)","previouslyFormattedCitation":"(Bolker, 2009; Levy &amp; Currie, 2015; Weisberg, 2013)"},"properties":{"noteIndex":0},"schema":"https://github.com/citation-style-language/schema/raw/master/csl-citation.json"}</w:instrText>
      </w:r>
      <w:r w:rsidR="00BA0A4B" w:rsidRPr="00A37C46">
        <w:rPr>
          <w:rFonts w:cstheme="minorHAnsi"/>
          <w:sz w:val="20"/>
          <w:szCs w:val="20"/>
        </w:rPr>
        <w:fldChar w:fldCharType="separate"/>
      </w:r>
      <w:r w:rsidR="00BA0A4B" w:rsidRPr="00A37C46">
        <w:rPr>
          <w:rFonts w:cstheme="minorHAnsi"/>
          <w:noProof/>
          <w:sz w:val="20"/>
          <w:szCs w:val="20"/>
        </w:rPr>
        <w:t>(Bolker, 2009; Levy &amp; Currie, 2015; Weisberg, 2013)</w:t>
      </w:r>
      <w:r w:rsidR="00BA0A4B" w:rsidRPr="00A37C46">
        <w:rPr>
          <w:rFonts w:cstheme="minorHAnsi"/>
          <w:sz w:val="20"/>
          <w:szCs w:val="20"/>
        </w:rPr>
        <w:fldChar w:fldCharType="end"/>
      </w:r>
      <w:r w:rsidR="00BA0A4B" w:rsidRPr="00A37C46">
        <w:rPr>
          <w:rFonts w:cstheme="minorHAnsi"/>
          <w:sz w:val="20"/>
          <w:szCs w:val="20"/>
        </w:rPr>
        <w:t xml:space="preserve">, robustness reasoning </w:t>
      </w:r>
      <w:r w:rsidR="00BA0A4B" w:rsidRPr="00A37C46">
        <w:rPr>
          <w:rFonts w:cstheme="minorHAnsi"/>
          <w:sz w:val="20"/>
          <w:szCs w:val="20"/>
        </w:rPr>
        <w:fldChar w:fldCharType="begin" w:fldLock="1"/>
      </w:r>
      <w:r w:rsidR="00BA0A4B" w:rsidRPr="00A37C46">
        <w:rPr>
          <w:rFonts w:cstheme="minorHAnsi"/>
          <w:sz w:val="20"/>
          <w:szCs w:val="20"/>
        </w:rPr>
        <w:instrText>ADDIN CSL_CITATION {"citationItems":[{"id":"ITEM-1","itemData":{"author":[{"dropping-particle":"","family":"Parkkinen","given":"Veli-Pekka","non-dropping-particle":"","parse-names":false,"suffix":""},{"dropping-particle":"","family":"Williamson","given":"Jon","non-dropping-particle":"","parse-names":false,"suffix":""}],"container-title":"Uncertainty in pharmacology: epistemology, methods, and decisions","editor":[{"dropping-particle":"","family":"Caze","given":"Adam","non-dropping-particle":"La","parse-names":false,"suffix":""},{"dropping-particle":"","family":"Osimani","given":"Barbara","non-dropping-particle":"","parse-names":false,"suffix":""}],"id":"ITEM-1","issued":{"date-parts":[["2020"]]},"publisher":"Springer","publisher-place":"Dordrecht","title":"Extrapolating from model organisms in pharmacology","type":"chapter"},"uris":["http://www.mendeley.com/documents/?uuid=50df54ca-d70d-4e29-aaf6-a2bf1a7c9dfa"]}],"mendeley":{"formattedCitation":"(Parkkinen &amp; Williamson, 2020)","plainTextFormattedCitation":"(Parkkinen &amp; Williamson, 2020)","previouslyFormattedCitation":"(Parkkinen &amp; Williamson, 2020)"},"properties":{"noteIndex":0},"schema":"https://github.com/citation-style-language/schema/raw/master/csl-citation.json"}</w:instrText>
      </w:r>
      <w:r w:rsidR="00BA0A4B" w:rsidRPr="00A37C46">
        <w:rPr>
          <w:rFonts w:cstheme="minorHAnsi"/>
          <w:sz w:val="20"/>
          <w:szCs w:val="20"/>
        </w:rPr>
        <w:fldChar w:fldCharType="separate"/>
      </w:r>
      <w:r w:rsidR="00BA0A4B" w:rsidRPr="00A37C46">
        <w:rPr>
          <w:rFonts w:cstheme="minorHAnsi"/>
          <w:noProof/>
          <w:sz w:val="20"/>
          <w:szCs w:val="20"/>
        </w:rPr>
        <w:t>(Parkkinen &amp; Williamson, 2020)</w:t>
      </w:r>
      <w:r w:rsidR="00BA0A4B" w:rsidRPr="00A37C46">
        <w:rPr>
          <w:rFonts w:cstheme="minorHAnsi"/>
          <w:sz w:val="20"/>
          <w:szCs w:val="20"/>
        </w:rPr>
        <w:fldChar w:fldCharType="end"/>
      </w:r>
      <w:r w:rsidR="00BA0A4B" w:rsidRPr="00A37C46">
        <w:rPr>
          <w:rFonts w:cstheme="minorHAnsi"/>
          <w:sz w:val="20"/>
          <w:szCs w:val="20"/>
        </w:rPr>
        <w:t xml:space="preserve">, theoretical chimeras </w:t>
      </w:r>
      <w:r w:rsidR="00BA0A4B" w:rsidRPr="00A37C46">
        <w:rPr>
          <w:rFonts w:cstheme="minorHAnsi"/>
          <w:sz w:val="20"/>
          <w:szCs w:val="20"/>
        </w:rPr>
        <w:fldChar w:fldCharType="begin" w:fldLock="1"/>
      </w:r>
      <w:r w:rsidR="00BA0A4B" w:rsidRPr="00A37C46">
        <w:rPr>
          <w:rFonts w:cstheme="minorHAnsi"/>
          <w:sz w:val="20"/>
          <w:szCs w:val="20"/>
        </w:rPr>
        <w:instrText>ADDIN CSL_CITATION {"citationItems":[{"id":"ITEM-1","itemData":{"DOI":"10.1016/J.SHPSC.2016.12.004","ISSN":"1369-8486","abstract":"According to the received view, the transportation view, animal extrapolation consists in inductive prediction of the outcome of a mechanism in a target, based on an analogical mechanism in a model. Through an analysis of the failure of preclinical studies of TGN1412, an innovative drug, to predict the tragic consequences of its first-in-man trial in 2006, the received view is challenged by a proposed view of animal extrapolation, the chimera view. According to this view, animal extrapolation is based on a hypothesis about how human organisms work, supported by the amalgamation of results drawn from various experimental organisms, and only predicting the ‘predictive grid’, that is, a global framework of the effects to be expected.","author":[{"dropping-particle":"","family":"Lemoine","given":"Maël","non-dropping-particle":"","parse-names":false,"suffix":""}],"container-title":"Studies in History and Philosophy of Science Part C: Studies in History and Philosophy of Biological and Biomedical Sciences","id":"ITEM-1","issued":{"date-parts":[["2017","2","1"]]},"page":"35-45","publisher":"Pergamon","title":"Animal extrapolation in preclinical studies: An analysis of the tragic case of TGN1412","type":"article-journal","volume":"61"},"uris":["http://www.mendeley.com/documents/?uuid=a79464a3-d3cd-3d56-83b5-578b8c6bc665"]}],"mendeley":{"formattedCitation":"(Lemoine, 2017)","plainTextFormattedCitation":"(Lemoine, 2017)","previouslyFormattedCitation":"(Lemoine, 2017)"},"properties":{"noteIndex":0},"schema":"https://github.com/citation-style-language/schema/raw/master/csl-citation.json"}</w:instrText>
      </w:r>
      <w:r w:rsidR="00BA0A4B" w:rsidRPr="00A37C46">
        <w:rPr>
          <w:rFonts w:cstheme="minorHAnsi"/>
          <w:sz w:val="20"/>
          <w:szCs w:val="20"/>
        </w:rPr>
        <w:fldChar w:fldCharType="separate"/>
      </w:r>
      <w:r w:rsidR="00BA0A4B" w:rsidRPr="00A37C46">
        <w:rPr>
          <w:rFonts w:cstheme="minorHAnsi"/>
          <w:noProof/>
          <w:sz w:val="20"/>
          <w:szCs w:val="20"/>
        </w:rPr>
        <w:t>(Lemoine, 2017)</w:t>
      </w:r>
      <w:r w:rsidR="00BA0A4B" w:rsidRPr="00A37C46">
        <w:rPr>
          <w:rFonts w:cstheme="minorHAnsi"/>
          <w:sz w:val="20"/>
          <w:szCs w:val="20"/>
        </w:rPr>
        <w:fldChar w:fldCharType="end"/>
      </w:r>
      <w:r w:rsidR="00BA0A4B" w:rsidRPr="00A37C46">
        <w:rPr>
          <w:rFonts w:cstheme="minorHAnsi"/>
          <w:sz w:val="20"/>
          <w:szCs w:val="20"/>
        </w:rPr>
        <w:t xml:space="preserve">, and experimental manipulation </w:t>
      </w:r>
      <w:r w:rsidR="00BA0A4B" w:rsidRPr="00A37C46">
        <w:rPr>
          <w:rFonts w:cstheme="minorHAnsi"/>
          <w:sz w:val="20"/>
          <w:szCs w:val="20"/>
        </w:rPr>
        <w:fldChar w:fldCharType="begin" w:fldLock="1"/>
      </w:r>
      <w:r w:rsidR="00BA0A4B" w:rsidRPr="00A37C46">
        <w:rPr>
          <w:rFonts w:cstheme="minorHAnsi"/>
          <w:sz w:val="20"/>
          <w:szCs w:val="20"/>
        </w:rPr>
        <w:instrText>ADDIN CSL_CITATION {"citationItems":[{"id":"ITEM-1","itemData":{"ISSN":"0391-9714","PMID":"22662512","abstract":"This paper explores the epistemology of extrapolation from model organisms to humans in molecular medicine. We take into account two common views on the issue, the homology view and the disanalogy view. In response to both interpretations, we argue that the foundational basis of extrapolations cannot simply be provided by homology and that relevant disanalogies can, thanks to the techniques of molecular biology, be experimentally controlled and exploited to allow useful and reliable extrapolations. The case of \"humanised mice\" in the context of cancer stem cell research provides evidence of how animal models can be construed to approximate bona fide causal analogue models of human diseases. To supplement this view we show how the epistemology of model organisms needs to take into account the engineering side of molecular medicine. Model organisms are often manipulated to create analogies or remove disanalogies with the target system. We maintain that highlighting this feature is fundamental to explain what warrants extrapolation in the search for the molecular causes of disease.","author":[{"dropping-particle":"","family":"Maugeri","given":"Paolo","non-dropping-particle":"","parse-names":false,"suffix":""},{"dropping-particle":"","family":"Blasimme","given":"Alessandro","non-dropping-particle":"","parse-names":false,"suffix":""}],"container-title":"History and philosophy of the life sciences","id":"ITEM-1","issue":"4","issued":{"date-parts":[["2011"]]},"page":"603-21","title":"Humanised models of cancer in molecular medicine: the experimental control of disanalogy","type":"article-journal","volume":"33"},"uris":["http://www.mendeley.com/documents/?uuid=5925c9ba-1c22-3a7f-8814-11b1e950d208"]},{"id":"ITEM-2","itemData":{"DOI":"10.1007/s10539-012-9323-5","ISSN":"0169-3867","abstract":"Extrapolation from a well-understood base population to a less-understood target population can fail if the base and target populations are not sufficiently similar. Differences between laboratory mice and humans, for example, can hinder extrapolation in medical research. Mice that carry a partial or complete human physiological system, known as humanized mice, are supposed to make extrapolation more reliable by simulating a variety of human diseases. But what justifies our belief that these mice are similar enough to their human counterparts to simulate human disease? I argue that, unless three requirements are met in the process of humanizing mice, very little does. My requirements are not meant to provide necessary and sufficient conditions that guarantee a particular outcome. Instead, they serve as a heuristic for guiding scientific judgments involving extrapolation. In developing each requirement, I engage with philosophical issues concerning the nature of model-based science and the mechanistic approach (and its limits) to making generalizations in the life sciences.","author":[{"dropping-particle":"","family":"Piotrowska","given":"Monika","non-dropping-particle":"","parse-names":false,"suffix":""}],"container-title":"Biology &amp; Philosophy","id":"ITEM-2","issue":"3","issued":{"date-parts":[["2013","5","24"]]},"page":"439-455","publisher":"Springer","title":"From humanized mice to human disease: guiding extrapolation from model to target","type":"article-journal","volume":"28"},"uris":["http://www.mendeley.com/documents/?uuid=3c20fd56-c1aa-39ac-b3da-a302a9992c35"]}],"mendeley":{"formattedCitation":"(Maugeri &amp; Blasimme, 2011; Piotrowska, 2013)","plainTextFormattedCitation":"(Maugeri &amp; Blasimme, 2011; Piotrowska, 2013)","previouslyFormattedCitation":"(Maugeri &amp; Blasimme, 2011; Piotrowska, 2013)"},"properties":{"noteIndex":0},"schema":"https://github.com/citation-style-language/schema/raw/master/csl-citation.json"}</w:instrText>
      </w:r>
      <w:r w:rsidR="00BA0A4B" w:rsidRPr="00A37C46">
        <w:rPr>
          <w:rFonts w:cstheme="minorHAnsi"/>
          <w:sz w:val="20"/>
          <w:szCs w:val="20"/>
        </w:rPr>
        <w:fldChar w:fldCharType="separate"/>
      </w:r>
      <w:r w:rsidR="00BA0A4B" w:rsidRPr="00A37C46">
        <w:rPr>
          <w:rFonts w:cstheme="minorHAnsi"/>
          <w:noProof/>
          <w:sz w:val="20"/>
          <w:szCs w:val="20"/>
        </w:rPr>
        <w:t>(Maugeri &amp; Blasimme, 2011; Piotrowska, 2013)</w:t>
      </w:r>
      <w:r w:rsidR="00BA0A4B" w:rsidRPr="00A37C46">
        <w:rPr>
          <w:rFonts w:cstheme="minorHAnsi"/>
          <w:sz w:val="20"/>
          <w:szCs w:val="20"/>
        </w:rPr>
        <w:fldChar w:fldCharType="end"/>
      </w:r>
      <w:r w:rsidR="00BA0A4B" w:rsidRPr="00A37C46">
        <w:rPr>
          <w:rFonts w:cstheme="minorHAnsi"/>
          <w:sz w:val="20"/>
          <w:szCs w:val="20"/>
        </w:rPr>
        <w:t xml:space="preserve">. There is a lively discussion about the merit of these approaches </w:t>
      </w:r>
      <w:r w:rsidR="00BA0A4B" w:rsidRPr="00A37C46">
        <w:rPr>
          <w:rFonts w:cstheme="minorHAnsi"/>
          <w:sz w:val="20"/>
          <w:szCs w:val="20"/>
        </w:rPr>
        <w:fldChar w:fldCharType="begin" w:fldLock="1"/>
      </w:r>
      <w:r w:rsidR="00A37C46" w:rsidRPr="00A37C46">
        <w:rPr>
          <w:rFonts w:cstheme="minorHAnsi"/>
          <w:sz w:val="20"/>
          <w:szCs w:val="20"/>
        </w:rPr>
        <w:instrText>ADDIN CSL_CITATION {"citationItems":[{"id":"ITEM-1","itemData":{"author":[{"dropping-particle":"","family":"Parkkinen","given":"Veli-Pekka","non-dropping-particle":"","parse-names":false,"suffix":""},{"dropping-particle":"","family":"Williamson","given":"Jon","non-dropping-particle":"","parse-names":false,"suffix":""}],"container-title":"Uncertainty in pharmacology: epistemology, methods, and decisions","editor":[{"dropping-particle":"","family":"Caze","given":"Adam","non-dropping-particle":"La","parse-names":false,"suffix":""},{"dropping-particle":"","family":"Osimani","given":"Barbara","non-dropping-particle":"","parse-names":false,"suffix":""}],"id":"ITEM-1","issued":{"date-parts":[["2020"]]},"publisher":"Springer","publisher-place":"Dordrecht","title":"Extrapolating from model organisms in pharmacology","type":"chapter"},"uris":["http://www.mendeley.com/documents/?uuid=50df54ca-d70d-4e29-aaf6-a2bf1a7c9dfa"]},{"id":"ITEM-2","itemData":{"DOI":"10.1093/bjps/axv018","ISSN":"0007-0882","author":[{"dropping-particle":"","family":"Baetu","given":"Tudor M.","non-dropping-particle":"","parse-names":false,"suffix":""}],"container-title":"The British Journal for the Philosophy of Science","id":"ITEM-2","issue":"4","issued":{"date-parts":[["2016","12","1"]]},"page":"941-964","publisher":"Oxford Academic","title":"The ‘Big Picture’: The Problem of Extrapolation in Basic Research","type":"article-journal","volume":"67"},"uris":["http://www.mendeley.com/documents/?uuid=03d3f494-d943-37d3-a182-9f67c57aa35e"]},{"id":"ITEM-3","itemData":{"author":[{"dropping-particle":"","family":"Ankeny","given":"Rachel A.","non-dropping-particle":"","parse-names":false,"suffix":""},{"dropping-particle":"","family":"Leonelli","given":"Sabina","non-dropping-particle":"","parse-names":false,"suffix":""}],"id":"ITEM-3","issued":{"date-parts":[["2020"]]},"publisher":"Cambridge University Press","publisher-place":"Cambridge","title":"Model Organisms","type":"book"},"locator":"56","prefix":"see, for example,","uris":["http://www.mendeley.com/documents/?uuid=36e1c615-c492-4dc5-b646-b3a383481fb7"]}],"mendeley":{"formattedCitation":"(see, for example, Ankeny &amp; Leonelli, 2020, p. 56; Baetu, 2016; Parkkinen &amp; Williamson, 2020)","plainTextFormattedCitation":"(see, for example, Ankeny &amp; Leonelli, 2020, p. 56; Baetu, 2016; Parkkinen &amp; Williamson, 2020)","previouslyFormattedCitation":"(Ankeny &amp; Leonelli, 2020, p. 56 for a criticism of phylogenetic and other traditional approaches; see also Baetu, 2016; see Parkkinen &amp; Williamson, 2020)"},"properties":{"noteIndex":0},"schema":"https://github.com/citation-style-language/schema/raw/master/csl-citation.json"}</w:instrText>
      </w:r>
      <w:r w:rsidR="00BA0A4B" w:rsidRPr="00A37C46">
        <w:rPr>
          <w:rFonts w:cstheme="minorHAnsi"/>
          <w:sz w:val="20"/>
          <w:szCs w:val="20"/>
        </w:rPr>
        <w:fldChar w:fldCharType="separate"/>
      </w:r>
      <w:r w:rsidR="00A37C46" w:rsidRPr="00A37C46">
        <w:rPr>
          <w:rFonts w:cstheme="minorHAnsi"/>
          <w:noProof/>
          <w:sz w:val="20"/>
          <w:szCs w:val="20"/>
        </w:rPr>
        <w:t>(see, for example, Ankeny &amp; Leonelli, 2020, p. 56; Baetu, 2016; Parkkinen &amp; Williamson, 2020)</w:t>
      </w:r>
      <w:r w:rsidR="00BA0A4B" w:rsidRPr="00A37C46">
        <w:rPr>
          <w:rFonts w:cstheme="minorHAnsi"/>
          <w:sz w:val="20"/>
          <w:szCs w:val="20"/>
        </w:rPr>
        <w:fldChar w:fldCharType="end"/>
      </w:r>
      <w:r w:rsidR="00BA0A4B" w:rsidRPr="00A37C46">
        <w:rPr>
          <w:rFonts w:cstheme="minorHAnsi"/>
          <w:sz w:val="20"/>
          <w:szCs w:val="20"/>
        </w:rPr>
        <w:t xml:space="preserve">. These different accounts have been developed against the backdrop of different research projects. Thus, it is possible that while a particular account of extrapolation may reasonably well capture what is going on in a particular context, it may fail in another: for instance, the view that model extrapolation generally proceeds via phylogenetic inference has been challenged, using the example of engineering models in biomedical research </w:t>
      </w:r>
      <w:r w:rsidR="00BA0A4B" w:rsidRPr="00A37C46">
        <w:rPr>
          <w:rFonts w:cstheme="minorHAnsi"/>
          <w:sz w:val="20"/>
          <w:szCs w:val="20"/>
        </w:rPr>
        <w:fldChar w:fldCharType="begin" w:fldLock="1"/>
      </w:r>
      <w:r w:rsidR="00BA0A4B" w:rsidRPr="00A37C46">
        <w:rPr>
          <w:rFonts w:cstheme="minorHAnsi"/>
          <w:sz w:val="20"/>
          <w:szCs w:val="20"/>
        </w:rPr>
        <w:instrText>ADDIN CSL_CITATION {"citationItems":[{"id":"ITEM-1","itemData":{"ISSN":"0391-9714","PMID":"22662512","abstract":"This paper explores the epistemology of extrapolation from model organisms to humans in molecular medicine. We take into account two common views on the issue, the homology view and the disanalogy view. In response to both interpretations, we argue that the foundational basis of extrapolations cannot simply be provided by homology and that relevant disanalogies can, thanks to the techniques of molecular biology, be experimentally controlled and exploited to allow useful and reliable extrapolations. The case of \"humanised mice\" in the context of cancer stem cell research provides evidence of how animal models can be construed to approximate bona fide causal analogue models of human diseases. To supplement this view we show how the epistemology of model organisms needs to take into account the engineering side of molecular medicine. Model organisms are often manipulated to create analogies or remove disanalogies with the target system. We maintain that highlighting this feature is fundamental to explain what warrants extrapolation in the search for the molecular causes of disease.","author":[{"dropping-particle":"","family":"Maugeri","given":"Paolo","non-dropping-particle":"","parse-names":false,"suffix":""},{"dropping-particle":"","family":"Blasimme","given":"Alessandro","non-dropping-particle":"","parse-names":false,"suffix":""}],"container-title":"History and philosophy of the life sciences","id":"ITEM-1","issue":"4","issued":{"date-parts":[["2011"]]},"page":"603-21","title":"Humanised models of cancer in molecular medicine: the experimental control of disanalogy","type":"article-journal","volume":"33"},"uris":["http://www.mendeley.com/documents/?uuid=5925c9ba-1c22-3a7f-8814-11b1e950d208"]},{"id":"ITEM-2","itemData":{"author":[{"dropping-particle":"","family":"Parkkinen","given":"Veli-Pekka","non-dropping-particle":"","parse-names":false,"suffix":""}],"container-title":"Disputatio","id":"ITEM-2","issue":"47","issued":{"date-parts":[["2017"]]},"page":"471-498","title":"Are Model Organisms Theoretical Models?","type":"article-journal","volume":"9"},"uris":["http://www.mendeley.com/documents/?uuid=605cd903-1728-4510-bdbb-52ab466219e8"]}],"mendeley":{"formattedCitation":"(Maugeri &amp; Blasimme, 2011; Parkkinen, 2017)","plainTextFormattedCitation":"(Maugeri &amp; Blasimme, 2011; Parkkinen, 2017)","previouslyFormattedCitation":"(Maugeri &amp; Blasimme, 2011; Parkkinen, 2017)"},"properties":{"noteIndex":0},"schema":"https://github.com/citation-style-language/schema/raw/master/csl-citation.json"}</w:instrText>
      </w:r>
      <w:r w:rsidR="00BA0A4B" w:rsidRPr="00A37C46">
        <w:rPr>
          <w:rFonts w:cstheme="minorHAnsi"/>
          <w:sz w:val="20"/>
          <w:szCs w:val="20"/>
        </w:rPr>
        <w:fldChar w:fldCharType="separate"/>
      </w:r>
      <w:r w:rsidR="00BA0A4B" w:rsidRPr="00A37C46">
        <w:rPr>
          <w:rFonts w:cstheme="minorHAnsi"/>
          <w:noProof/>
          <w:sz w:val="20"/>
          <w:szCs w:val="20"/>
        </w:rPr>
        <w:t>(Maugeri &amp; Blasimme, 2011; Parkkinen, 2017)</w:t>
      </w:r>
      <w:r w:rsidR="00BA0A4B" w:rsidRPr="00A37C46">
        <w:rPr>
          <w:rFonts w:cstheme="minorHAnsi"/>
          <w:sz w:val="20"/>
          <w:szCs w:val="20"/>
        </w:rPr>
        <w:fldChar w:fldCharType="end"/>
      </w:r>
      <w:r w:rsidR="00BA0A4B" w:rsidRPr="00A37C46">
        <w:rPr>
          <w:rFonts w:cstheme="minorHAnsi"/>
          <w:sz w:val="20"/>
          <w:szCs w:val="20"/>
        </w:rPr>
        <w:t xml:space="preserve">. However, note </w:t>
      </w:r>
      <w:r w:rsidR="00A37C46" w:rsidRPr="00A37C46">
        <w:rPr>
          <w:rFonts w:cstheme="minorHAnsi"/>
          <w:sz w:val="20"/>
          <w:szCs w:val="20"/>
        </w:rPr>
        <w:t xml:space="preserve">also </w:t>
      </w:r>
      <w:r w:rsidR="00BA0A4B" w:rsidRPr="00A37C46">
        <w:rPr>
          <w:rFonts w:cstheme="minorHAnsi"/>
          <w:sz w:val="20"/>
          <w:szCs w:val="20"/>
        </w:rPr>
        <w:t>that although the “translational potential of experimental organisms can (…) stem from similarities</w:t>
      </w:r>
      <w:r w:rsidR="00BA0A4B" w:rsidRPr="00BA0A4B">
        <w:rPr>
          <w:rFonts w:cstheme="minorHAnsi"/>
          <w:sz w:val="20"/>
          <w:szCs w:val="20"/>
        </w:rPr>
        <w:t xml:space="preserve">”, it can also stem from “differences to human physiology” </w:t>
      </w:r>
      <w:r w:rsidR="00BA0A4B" w:rsidRPr="00BA0A4B">
        <w:rPr>
          <w:rFonts w:cstheme="minorHAnsi"/>
          <w:sz w:val="20"/>
          <w:szCs w:val="20"/>
        </w:rPr>
        <w:fldChar w:fldCharType="begin" w:fldLock="1"/>
      </w:r>
      <w:r w:rsidR="00BA0A4B" w:rsidRPr="00BA0A4B">
        <w:rPr>
          <w:rFonts w:cstheme="minorHAnsi"/>
          <w:sz w:val="20"/>
          <w:szCs w:val="20"/>
        </w:rPr>
        <w:instrText>ADDIN CSL_CITATION {"citationItems":[{"id":"ITEM-1","itemData":{"DOI":"10.1016/J.SHPSC.2019.101227","ISSN":"1369-8486","abstract":"Despite August Krogh's famous admonition that a ‘convenient’ organism exists for every biological problem, we argue that appeals to ‘convenience’ are not sufficient to capture reasoning about organism choice. Instead, we offer a detailed analysis based on empirical data and philosophical arguments for a working set of twenty criteria that interact with each other in the highly contextualized judgements that biologists make about organism choice. We propose to think of these decisions as a form of ‘differential analysis’ where researchers weigh multiple criteria for organismal choice against each other, and often utilize multidimensional refinement processes to finalize their choices. The specific details of any one case make it difficult to draw generalizations or to abstract away from specific research situations. However, this analysis of criteria for organismal choice and how these are related in practice allows us to reflect more generally on what makes a particular organism useful or ‘good.’","author":[{"dropping-particle":"","family":"Dietrich","given":"Michael R.","non-dropping-particle":"","parse-names":false,"suffix":""},{"dropping-particle":"","family":"Ankeny","given":"Rachel A.","non-dropping-particle":"","parse-names":false,"suffix":""},{"dropping-particle":"","family":"Crowe","given":"Nathan","non-dropping-particle":"","parse-names":false,"suffix":""},{"dropping-particle":"","family":"Green","given":"Sara","non-dropping-particle":"","parse-names":false,"suffix":""},{"dropping-particle":"","family":"Leonelli","given":"Sabina","non-dropping-particle":"","parse-names":false,"suffix":""}],"container-title":"Studies in History and Philosophy of Science Part C: Studies in History and Philosophy of Biological and Biomedical Sciences","id":"ITEM-1","issued":{"date-parts":[["2020","4","1"]]},"page":"101227","publisher":"Pergamon","title":"How to choose your research organism","type":"article-journal","volume":"80"},"locator":"8","uris":["http://www.mendeley.com/documents/?uuid=77abd132-8f5e-34cc-b55b-881cf3eb7c64"]}],"mendeley":{"formattedCitation":"(Dietrich et al., 2020, p. 8)","plainTextFormattedCitation":"(Dietrich et al., 2020, p. 8)","previouslyFormattedCitation":"(Dietrich et al., 2020, p. 8)"},"properties":{"noteIndex":0},"schema":"https://github.com/citation-style-language/schema/raw/master/csl-citation.json"}</w:instrText>
      </w:r>
      <w:r w:rsidR="00BA0A4B" w:rsidRPr="00BA0A4B">
        <w:rPr>
          <w:rFonts w:cstheme="minorHAnsi"/>
          <w:sz w:val="20"/>
          <w:szCs w:val="20"/>
        </w:rPr>
        <w:fldChar w:fldCharType="separate"/>
      </w:r>
      <w:r w:rsidR="00BA0A4B" w:rsidRPr="00BA0A4B">
        <w:rPr>
          <w:rFonts w:cstheme="minorHAnsi"/>
          <w:noProof/>
          <w:sz w:val="20"/>
          <w:szCs w:val="20"/>
        </w:rPr>
        <w:t>(Dietrich et al., 2020, p. 8)</w:t>
      </w:r>
      <w:r w:rsidR="00BA0A4B" w:rsidRPr="00BA0A4B">
        <w:rPr>
          <w:rFonts w:cstheme="minorHAnsi"/>
          <w:sz w:val="20"/>
          <w:szCs w:val="20"/>
        </w:rPr>
        <w:fldChar w:fldCharType="end"/>
      </w:r>
      <w:r w:rsidR="00BA0A4B" w:rsidRPr="00BA0A4B">
        <w:rPr>
          <w:rFonts w:cstheme="minorHAnsi"/>
          <w:sz w:val="20"/>
          <w:szCs w:val="20"/>
        </w:rPr>
        <w:t>.</w:t>
      </w:r>
    </w:p>
  </w:footnote>
  <w:footnote w:id="10">
    <w:p w14:paraId="2D69A875" w14:textId="77777777" w:rsidR="009935F3" w:rsidRPr="00F37696" w:rsidRDefault="009935F3" w:rsidP="009935F3">
      <w:pPr>
        <w:pStyle w:val="Textpoznpodarou"/>
      </w:pPr>
      <w:r w:rsidRPr="00F37696">
        <w:rPr>
          <w:rStyle w:val="Znakapoznpodarou"/>
        </w:rPr>
        <w:footnoteRef/>
      </w:r>
      <w:r w:rsidRPr="00F37696">
        <w:t xml:space="preserve"> Complicating the matter even further, Enríquez </w:t>
      </w:r>
      <w:r w:rsidRPr="00F37696">
        <w:fldChar w:fldCharType="begin" w:fldLock="1"/>
      </w:r>
      <w:r w:rsidRPr="00F37696">
        <w:instrText>ADDIN CSL_CITATION {"citationItems":[{"id":"ITEM-1","itemData":{"DOI":"10.1038/s42255-018-0018-3","ISSN":"2522-5812","abstract":"Many commonly used inbred mouse strains carry random mutations that can affect the results of metabolic studies. Yet, awareness of such mutations as a source for experimental variation and seemingly contradictory results is lacking. It is time that scientists pay more attention to the identification, tracking and accurate reporting of mouse strains used in experiments.","author":[{"dropping-particle":"","family":"Enríquez","given":"José Antonio","non-dropping-particle":"","parse-names":false,"suffix":""}],"container-title":"Nature Metabolism","id":"ITEM-1","issue":"1","issued":{"date-parts":[["2019","1","7"]]},"page":"5-7","publisher":"Nature Publishing Group","title":"Mind your mouse strain","type":"article-journal","volume":"1"},"suppress-author":1,"uris":["http://www.mendeley.com/documents/?uuid=c7b6c98d-310e-31b6-bdc0-0ddc705c9e9c"]}],"mendeley":{"formattedCitation":"(2019)","plainTextFormattedCitation":"(2019)","previouslyFormattedCitation":"(2019)"},"properties":{"noteIndex":0},"schema":"https://github.com/citation-style-language/schema/raw/master/csl-citation.json"}</w:instrText>
      </w:r>
      <w:r w:rsidRPr="00F37696">
        <w:fldChar w:fldCharType="separate"/>
      </w:r>
      <w:r w:rsidRPr="00F37696">
        <w:rPr>
          <w:noProof/>
        </w:rPr>
        <w:t>(2019)</w:t>
      </w:r>
      <w:r w:rsidRPr="00F37696">
        <w:fldChar w:fldCharType="end"/>
      </w:r>
      <w:r w:rsidRPr="00F37696">
        <w:t xml:space="preserve"> recently argued that unknown to many, standard strains often form sub-strains which differ from each other by, for example, certain metabolic features.</w:t>
      </w:r>
    </w:p>
  </w:footnote>
  <w:footnote w:id="11">
    <w:p w14:paraId="49705DD4" w14:textId="77777777" w:rsidR="009935F3" w:rsidRPr="00F37696" w:rsidRDefault="009935F3" w:rsidP="009935F3">
      <w:pPr>
        <w:pStyle w:val="Textpoznpodarou"/>
      </w:pPr>
      <w:r w:rsidRPr="00F37696">
        <w:rPr>
          <w:rStyle w:val="Znakapoznpodarou"/>
        </w:rPr>
        <w:footnoteRef/>
      </w:r>
      <w:r w:rsidRPr="00F37696">
        <w:t xml:space="preserve"> The philosophical literature has described a number of such cases in detail, including the use of rabbits in the study of atherosclerosis in humans </w:t>
      </w:r>
      <w:r w:rsidRPr="00F37696">
        <w:fldChar w:fldCharType="begin" w:fldLock="1"/>
      </w:r>
      <w:r>
        <w:instrText>ADDIN CSL_CITATION {"citationItems":[{"id":"ITEM-1","itemData":{"author":[{"dropping-particle":"","family":"Parkkinen","given":"Veli-Pekka","non-dropping-particle":"","parse-names":false,"suffix":""},{"dropping-particle":"","family":"Russo","given":"Federica","non-dropping-particle":"","parse-names":false,"suffix":""},{"dropping-particle":"","family":"Wallmann","given":"Christian","non-dropping-particle":"","parse-names":false,"suffix":""}],"container-title":"Humana.Mente Journal of Philosophical Studies","id":"ITEM-1","issue":"32","issued":{"date-parts":[["2017"]]},"page":"75-116","title":"Scientific Disagreement and Evidential Pluralism: Lessons from the Studies on Hypercholesterolemia","type":"article-journal","volume":"10"},"uris":["http://www.mendeley.com/documents/?uuid=da89c82f-ef16-3406-8702-00008d68237e"]}],"mendeley":{"formattedCitation":"(Parkkinen et al., 2017)","plainTextFormattedCitation":"(Parkkinen et al., 2017)","previouslyFormattedCitation":"(Parkkinen et al., 2017)"},"properties":{"noteIndex":0},"schema":"https://github.com/citation-style-language/schema/raw/master/csl-citation.json"}</w:instrText>
      </w:r>
      <w:r w:rsidRPr="00F37696">
        <w:fldChar w:fldCharType="separate"/>
      </w:r>
      <w:r w:rsidRPr="00F90350">
        <w:rPr>
          <w:noProof/>
        </w:rPr>
        <w:t>(Parkkinen et al., 2017)</w:t>
      </w:r>
      <w:r w:rsidRPr="00F37696">
        <w:fldChar w:fldCharType="end"/>
      </w:r>
      <w:r w:rsidRPr="00F37696">
        <w:t xml:space="preserve">, the use of rodents in research on alcoholism </w:t>
      </w:r>
      <w:r w:rsidRPr="00F37696">
        <w:fldChar w:fldCharType="begin" w:fldLock="1"/>
      </w:r>
      <w:r>
        <w:instrText>ADDIN CSL_CITATION {"citationItems":[{"id":"ITEM-1","itemData":{"DOI":"10.1017/S0269889714000155","ISSN":"0269-8897","abstract":"&lt;div class=\"abstract\" data-abstract-type=\"normal\"&gt;&lt;p&gt;We examine the criteria used to validate the use of nonhuman organisms in North-American alcohol addiction research from the 1950s to the present day. We argue that this field, where the similarities between behaviors in humans and non-humans are particularly difficult to assess, has addressed questions of model validity by transforming the situatedness of non-human organisms into an experimental tool. We demonstrate that model validity does not hinge on the standardization of one type of organism in isolation, as often the case with genetic model organisms. Rather, organisms are viewed as necessarily situated: they cannot be understood as a model for human behavior in isolation from their environmental conditions. Hence the environment itself is standardized as part of the modeling process; and model validity is assessed with reference to the environmental conditions under which organisms are studied.&lt;/p&gt;&lt;/div&gt;","author":[{"dropping-particle":"","family":"Ankeny","given":"Rachel A.","non-dropping-particle":"","parse-names":false,"suffix":""},{"dropping-particle":"","family":"Leonelli","given":"Sabina","non-dropping-particle":"","parse-names":false,"suffix":""},{"dropping-particle":"","family":"Nelson","given":"Nicole C.","non-dropping-particle":"","parse-names":false,"suffix":""},{"dropping-particle":"","family":"Ramsden","given":"Edmund","non-dropping-particle":"","parse-names":false,"suffix":""}],"container-title":"Science in Context","id":"ITEM-1","issue":"03","issued":{"date-parts":[["2014","9","28"]]},"page":"485-509","publisher":"Cambridge University Press","title":"Making Organisms Model Human Behavior: Situated Models in North-American Alcohol Research, since 1950","type":"article-journal","volume":"27"},"suffix":"arguing that both the organism and its environment - its ‘situatedness’ - must be taken into account","uris":["http://www.mendeley.com/documents/?uuid=756ec81e-3666-3829-a2e4-3f451d321d17"]}],"mendeley":{"formattedCitation":"(Ankeny et al., 2014 arguing that both the organism and its environment - its ‘situatedness’ - must be taken into account)","plainTextFormattedCitation":"(Ankeny et al., 2014 arguing that both the organism and its environment - its ‘situatedness’ - must be taken into account)","previouslyFormattedCitation":"(Ankeny et al., 2014 arguing that both the organism and its environment - its ‘situatedness’ - must be taken into account)"},"properties":{"noteIndex":0},"schema":"https://github.com/citation-style-language/schema/raw/master/csl-citation.json"}</w:instrText>
      </w:r>
      <w:r w:rsidRPr="00F37696">
        <w:fldChar w:fldCharType="separate"/>
      </w:r>
      <w:r w:rsidRPr="00F90350">
        <w:rPr>
          <w:noProof/>
        </w:rPr>
        <w:t>(Ankeny et al., 2014 arguing that both the organism and its environment - its ‘situatedness’ - must be taken into account)</w:t>
      </w:r>
      <w:r w:rsidRPr="00F37696">
        <w:fldChar w:fldCharType="end"/>
      </w:r>
      <w:r w:rsidRPr="00F37696">
        <w:t xml:space="preserve">, and the use of an inferior mouse model for human Down syndrome when a complete genetic mouse model is available </w:t>
      </w:r>
      <w:r w:rsidRPr="00F37696">
        <w:fldChar w:fldCharType="begin" w:fldLock="1"/>
      </w:r>
      <w:r>
        <w:instrText>ADDIN CSL_CITATION {"citationItems":[{"id":"ITEM-1","itemData":{"DOI":"10.1016/J.SHPSC.2018.04.001","ISSN":"1369-8486","abstract":"Recently there has been a practice turn in the philosophy of science that has called for analyses to be grounded in the actual doings of everyday science. This paper is in furtherance of this call and it does so by employing participant-observation ethnographic methods as a tool for discovering epistemological features of scientific practice in a neuroscience lab. The case I present focuses on a group of neurobiologists researching the genetic underpinnings of cognition in Down syndrome (DS) and how they have developed a new mouse model which they argue should be regarded as the “gold standard” for all DS mouse research. Through use of ethnographic methods, interviews, and analyses of publications, I uncover how the lab constructed their new mouse model. Additionally, I describe how model organisms can serve as abstract standards for scientific work that impact the epistemic value of scientific claims, regulate practice, and constrain future work.","author":[{"dropping-particle":"","family":"Hardesty","given":"Rebecca A.","non-dropping-particle":"","parse-names":false,"suffix":""}],"container-title":"Studies in History and Philosophy of Science Part C: Studies in History and Philosophy of Biological and Biomedical Sciences","id":"ITEM-1","issued":{"date-parts":[["2018","4","1"]]},"page":"15-24","publisher":"Pergamon","title":"Much ado about mice: Standard-setting in model organism research","type":"article-journal","volume":"68-69"},"uris":["http://www.mendeley.com/documents/?uuid=d402b153-fc28-3f4d-89d6-23de85ba51d7"]}],"mendeley":{"formattedCitation":"(Hardesty, 2018)","plainTextFormattedCitation":"(Hardesty, 2018)","previouslyFormattedCitation":"(Hardesty, 2018)"},"properties":{"noteIndex":0},"schema":"https://github.com/citation-style-language/schema/raw/master/csl-citation.json"}</w:instrText>
      </w:r>
      <w:r w:rsidRPr="00F37696">
        <w:fldChar w:fldCharType="separate"/>
      </w:r>
      <w:r w:rsidRPr="00F90350">
        <w:rPr>
          <w:noProof/>
        </w:rPr>
        <w:t>(Hardesty, 2018)</w:t>
      </w:r>
      <w:r w:rsidRPr="00F37696">
        <w:fldChar w:fldCharType="end"/>
      </w:r>
      <w:r w:rsidRPr="00F37696">
        <w:t>.</w:t>
      </w:r>
    </w:p>
  </w:footnote>
  <w:footnote w:id="12">
    <w:p w14:paraId="76CC793C" w14:textId="77777777" w:rsidR="009935F3" w:rsidRPr="00F37696" w:rsidRDefault="009935F3" w:rsidP="009935F3">
      <w:pPr>
        <w:pStyle w:val="Textpoznpodarou"/>
      </w:pPr>
      <w:r w:rsidRPr="00F37696">
        <w:rPr>
          <w:rStyle w:val="Znakapoznpodarou"/>
        </w:rPr>
        <w:footnoteRef/>
      </w:r>
      <w:r w:rsidRPr="00F37696">
        <w:t xml:space="preserve"> Some historians of science couch their descriptions of historical episodes along the same lines. Consider, for instance, the words of Frederic Holmes, who thus describes the work of Marcello Malpighi, the 17th century Italian physician, and the rise to prominence of frogs as experimental models:  although “frogs had simpler lungs than mammals”, because they “looked </w:t>
      </w:r>
      <w:r w:rsidRPr="00F37696">
        <w:rPr>
          <w:i/>
          <w:iCs/>
        </w:rPr>
        <w:t>similar</w:t>
      </w:r>
      <w:r w:rsidRPr="00F37696">
        <w:t xml:space="preserve">, were </w:t>
      </w:r>
      <w:r w:rsidRPr="00F37696">
        <w:rPr>
          <w:i/>
          <w:iCs/>
        </w:rPr>
        <w:t>similarly</w:t>
      </w:r>
      <w:r w:rsidRPr="00F37696">
        <w:t xml:space="preserve"> placed, and were </w:t>
      </w:r>
      <w:r w:rsidRPr="00F37696">
        <w:rPr>
          <w:i/>
          <w:iCs/>
        </w:rPr>
        <w:t>similarly</w:t>
      </w:r>
      <w:r w:rsidRPr="00F37696">
        <w:t xml:space="preserve"> connected to blood vessels and trachea, there was no reason to doubt that their basic structure and functions corresponded to those of the lungs in ‘higher’ animals” </w:t>
      </w:r>
      <w:r w:rsidRPr="00F37696">
        <w:fldChar w:fldCharType="begin" w:fldLock="1"/>
      </w:r>
      <w:r>
        <w:instrText>ADDIN CSL_CITATION {"citationItems":[{"id":"ITEM-1","itemData":{"DOI":"10.1007/BF01061972","ISSN":"0022-5010","author":[{"dropping-particle":"","family":"Holmes","given":"Frederic L.","non-dropping-particle":"","parse-names":false,"suffix":""}],"container-title":"Journal of the History of Biology","id":"ITEM-1","issue":"2","issued":{"date-parts":[["1993"]]},"page":"311-328","publisher":"Springer","title":"The old martyr of science: The frog in experimental physiology","type":"article-journal","volume":"26"},"locator":"315","suffix":", italics added for emphasis","uris":["http://www.mendeley.com/documents/?uuid=96d20710-b480-3209-843e-a17f647fd291"]}],"mendeley":{"formattedCitation":"(Holmes, 1993, p. 315, italics added for emphasis)","plainTextFormattedCitation":"(Holmes, 1993, p. 315, italics added for emphasis)","previouslyFormattedCitation":"(Holmes, 1993, p. 315, italics added for emphasis)"},"properties":{"noteIndex":0},"schema":"https://github.com/citation-style-language/schema/raw/master/csl-citation.json"}</w:instrText>
      </w:r>
      <w:r w:rsidRPr="00F37696">
        <w:fldChar w:fldCharType="separate"/>
      </w:r>
      <w:r w:rsidRPr="00F90350">
        <w:rPr>
          <w:noProof/>
        </w:rPr>
        <w:t>(Holmes, 1993, p. 315, italics added for emphasis)</w:t>
      </w:r>
      <w:r w:rsidRPr="00F37696">
        <w:fldChar w:fldCharType="end"/>
      </w:r>
      <w:r w:rsidRPr="00F37696">
        <w:t xml:space="preserve">. See also Ankeny and Leonelli </w:t>
      </w:r>
      <w:r w:rsidRPr="00F37696">
        <w:fldChar w:fldCharType="begin" w:fldLock="1"/>
      </w:r>
      <w:r w:rsidRPr="00F37696">
        <w:instrText>ADDIN CSL_CITATION {"citationItems":[{"id":"ITEM-1","itemData":{"DOI":"10.1016/J.SHPSA.2010.11.039","ISSN":"0039-3681","abstract":"This paper aims to identify the key characteristics of model organisms that make them a specific type of model within the contemporary life sciences: in particular, we argue that the term “model organism” does not apply to all organisms used for the purposes of experimental research. We explore the differences between experimental and model organisms in terms of their material and epistemic features, and argue that it is essential to distinguish between their representational scope and representational target. We also examine the characteristics of the communities who use these two types of models, including their research goals, disciplinary affiliations, and preferred practices to show how these have contributed to the conceptualization of a model organism. We conclude that model organisms are a specific subgroup of organisms that have been standardized to fit an integrative and comparative mode of research, and that it must be clearly distinguished from the broader class of experimental organisms. In addition, we argue that model organisms are the key components of a unique and distinctively biological way of doing research using models.","author":[{"dropping-particle":"","family":"Ankeny","given":"Rachel A.","non-dropping-particle":"","parse-names":false,"suffix":""},{"dropping-particle":"","family":"Leonelli","given":"Sabina","non-dropping-particle":"","parse-names":false,"suffix":""}],"container-title":"Studies in History and Philosophy of Science Part A","id":"ITEM-1","issue":"2","issued":{"date-parts":[["2011","6","1"]]},"page":"313-323","publisher":"Pergamon","title":"What’s so special about model organisms?","type":"article-journal","volume":"42"},"suppress-author":1,"uris":["http://www.mendeley.com/documents/?uuid=f38ff864-010a-3e6f-8a08-4a705405cf4f"]}],"mendeley":{"formattedCitation":"(2011)","plainTextFormattedCitation":"(2011)","previouslyFormattedCitation":"(2011)"},"properties":{"noteIndex":0},"schema":"https://github.com/citation-style-language/schema/raw/master/csl-citation.json"}</w:instrText>
      </w:r>
      <w:r w:rsidRPr="00F37696">
        <w:fldChar w:fldCharType="separate"/>
      </w:r>
      <w:r w:rsidRPr="00F37696">
        <w:rPr>
          <w:noProof/>
        </w:rPr>
        <w:t>(2011)</w:t>
      </w:r>
      <w:r w:rsidRPr="00F37696">
        <w:fldChar w:fldCharType="end"/>
      </w:r>
      <w:r w:rsidRPr="00F37696">
        <w:t xml:space="preserve"> for discussion of this case.</w:t>
      </w:r>
    </w:p>
  </w:footnote>
  <w:footnote w:id="13">
    <w:p w14:paraId="1D53F03B" w14:textId="77777777" w:rsidR="009935F3" w:rsidRPr="00F37696" w:rsidRDefault="009935F3" w:rsidP="009935F3">
      <w:pPr>
        <w:pStyle w:val="Textpoznpodarou"/>
      </w:pPr>
      <w:r w:rsidRPr="00F37696">
        <w:rPr>
          <w:rStyle w:val="Znakapoznpodarou"/>
        </w:rPr>
        <w:footnoteRef/>
      </w:r>
      <w:r w:rsidRPr="00F37696">
        <w:t xml:space="preserve"> However, some biomedical research is motivated precisely by studying dissimilarities using negative models, which are interesting because they do not exhibit the disease in question, with finding out </w:t>
      </w:r>
      <w:r w:rsidRPr="00F37696">
        <w:rPr>
          <w:i/>
          <w:iCs/>
        </w:rPr>
        <w:t>why not</w:t>
      </w:r>
      <w:r w:rsidRPr="00F37696">
        <w:t xml:space="preserve"> offering possible insights or solutions to the disease found in humans </w:t>
      </w:r>
      <w:r w:rsidRPr="00F37696">
        <w:fldChar w:fldCharType="begin" w:fldLock="1"/>
      </w:r>
      <w:r>
        <w:instrText>ADDIN CSL_CITATION {"citationItems":[{"id":"ITEM-1","itemData":{"DOI":"10.1007/s40656-018-0231-0","abstract":"Many biologists appeal to the so-called Krogh principle when justifying their choice of experimental organisms. The principle states that “for a large number of problems there will be some animal of choice, or a few such animals, on which it can be most conveniently studied”. Despite its popularity, the principle is often critiqued for implying unwarranted generalizations from optimal models. We argue that the Krogh principle should be interpreted in relation to the historical and scientific contexts in which it has been developed and used. We interpret the Krogh Principle as a heuristic, i.e., as a recommendation to approach biological problems through organisms where a specific trait or physiological mechanism is expected to be most distinctively displayed or most experimentally accessible. We designate these organisms “Krogh organisms”. We clarify the differences between uses of model organisms and non-standard Krogh organisms. Among these is the use of Krogh organisms as “negative models” in biomedical research, where organisms are chosen for their dissimilarity to human physiology. Importantly, the representational scope of Krogh organisms and the generalizability of their characteristics are not fixed or assumed but explored through experimental studies. Research on Krogh organisms is steeped in the comparative method characteristic of zoology and comparative physiology, in which studies of biological variation produce insights into general physiological constraints. Accordingly, we conclude that the Krogh principle exemplifies the advantages of studying biological variation as a strategy to produce generalizable insights.","author":[{"dropping-particle":"","family":"Green","given":"Sara","non-dropping-particle":"","parse-names":false,"suffix":""},{"dropping-particle":"","family":"Dietrich","given":"Michael R.","non-dropping-particle":"","parse-names":false,"suffix":""},{"dropping-particle":"","family":"Leonelli","given":"Sabina","non-dropping-particle":"","parse-names":false,"suffix":""},{"dropping-particle":"","family":"Ankeny","given":"Rachel A.","non-dropping-particle":"","parse-names":false,"suffix":""}],"container-title":"History and Philosophy of the Life Sciences","id":"ITEM-1","issued":{"date-parts":[["2018","10","31"]]},"publisher":"Springer","title":"‘Extreme’ organisms and the problem of generalization: interpreting the Krogh principle","type":"article-journal","volume":"40"},"uris":["http://www.mendeley.com/documents/?uuid=5019f217-cf52-3e59-9518-3dee480dc918"]},{"id":"ITEM-2","itemData":{"DOI":"10.1016/J.SHPSC.2019.101227","ISSN":"1369-8486","abstract":"Despite August Krogh's famous admonition that a ‘convenient’ organism exists for every biological problem, we argue that appeals to ‘convenience’ are not sufficient to capture reasoning about organism choice. Instead, we offer a detailed analysis based on empirical data and philosophical arguments for a working set of twenty criteria that interact with each other in the highly contextualized judgements that biologists make about organism choice. We propose to think of these decisions as a form of ‘differential analysis’ where researchers weigh multiple criteria for organismal choice against each other, and often utilize multidimensional refinement processes to finalize their choices. The specific details of any one case make it difficult to draw generalizations or to abstract away from specific research situations. However, this analysis of criteria for organismal choice and how these are related in practice allows us to reflect more generally on what makes a particular organism useful or ‘good.’","author":[{"dropping-particle":"","family":"Dietrich","given":"Michael R.","non-dropping-particle":"","parse-names":false,"suffix":""},{"dropping-particle":"","family":"Ankeny","given":"Rachel A.","non-dropping-particle":"","parse-names":false,"suffix":""},{"dropping-particle":"","family":"Crowe","given":"Nathan","non-dropping-particle":"","parse-names":false,"suffix":""},{"dropping-particle":"","family":"Green","given":"Sara","non-dropping-particle":"","parse-names":false,"suffix":""},{"dropping-particle":"","family":"Leonelli","given":"Sabina","non-dropping-particle":"","parse-names":false,"suffix":""}],"container-title":"Studies in History and Philosophy of Science Part C: Studies in History and Philosophy of Biological and Biomedical Sciences","id":"ITEM-2","issued":{"date-parts":[["2020","4","1"]]},"page":"101227","publisher":"Pergamon","title":"How to choose your research organism","type":"article-journal","volume":"80"},"uris":["http://www.mendeley.com/documents/?uuid=77abd132-8f5e-34cc-b55b-881cf3eb7c64"]}],"mendeley":{"formattedCitation":"(Dietrich et al., 2020; Green et al., 2018)","plainTextFormattedCitation":"(Dietrich et al., 2020; Green et al., 2018)","previouslyFormattedCitation":"(Dietrich et al., 2020; Green et al., 2018)"},"properties":{"noteIndex":0},"schema":"https://github.com/citation-style-language/schema/raw/master/csl-citation.json"}</w:instrText>
      </w:r>
      <w:r w:rsidRPr="00F37696">
        <w:fldChar w:fldCharType="separate"/>
      </w:r>
      <w:r w:rsidRPr="00F90350">
        <w:rPr>
          <w:noProof/>
        </w:rPr>
        <w:t>(Dietrich et al., 2020; Green et al., 2018)</w:t>
      </w:r>
      <w:r w:rsidRPr="00F37696">
        <w:fldChar w:fldCharType="end"/>
      </w:r>
      <w:r w:rsidRPr="00F37696">
        <w:t>.</w:t>
      </w:r>
    </w:p>
  </w:footnote>
  <w:footnote w:id="14">
    <w:p w14:paraId="44428358" w14:textId="77777777" w:rsidR="009935F3" w:rsidRPr="00F37696" w:rsidRDefault="009935F3" w:rsidP="009935F3">
      <w:pPr>
        <w:pStyle w:val="Textpoznpodarou"/>
      </w:pPr>
      <w:r w:rsidRPr="00F37696">
        <w:rPr>
          <w:rStyle w:val="Znakapoznpodarou"/>
        </w:rPr>
        <w:footnoteRef/>
      </w:r>
      <w:r w:rsidRPr="00F37696">
        <w:t xml:space="preserve"> </w:t>
      </w:r>
      <w:r w:rsidRPr="00F37696">
        <w:rPr>
          <w:lang w:eastAsia="cs-CZ"/>
        </w:rPr>
        <w:t>These approaches include: (i) transgenic expression of cDNA constructs driven by tissue-specific or ubiquitous promoters; (ii) transgenic expression of bacterial artificial chromosomes (BACs); and (iii) knock</w:t>
      </w:r>
      <w:r w:rsidRPr="00F37696">
        <w:rPr>
          <w:rFonts w:ascii="Cambria Math" w:hAnsi="Cambria Math" w:cs="Cambria Math"/>
          <w:lang w:eastAsia="cs-CZ"/>
        </w:rPr>
        <w:t>‑</w:t>
      </w:r>
      <w:r w:rsidRPr="00F37696">
        <w:rPr>
          <w:lang w:eastAsia="cs-CZ"/>
        </w:rPr>
        <w:t xml:space="preserve">in technology </w:t>
      </w:r>
      <w:r w:rsidRPr="00F37696">
        <w:rPr>
          <w:lang w:eastAsia="cs-CZ"/>
        </w:rPr>
        <w:fldChar w:fldCharType="begin" w:fldLock="1"/>
      </w:r>
      <w:r>
        <w:rPr>
          <w:lang w:eastAsia="cs-CZ"/>
        </w:rPr>
        <w:instrText>ADDIN CSL_CITATION {"citationItems":[{"id":"ITEM-1","itemData":{"DOI":"10.1038/nri3311","ISSN":"1474-1733","abstract":"This article provides a comprehensive overview of the recent advances in the development and use of humanized mice. The authors consider the remaining challenges and the potential for new advances in our understanding of human immunology through the use of these mice. Significant advances in our understanding of the in vivo functions of human cells and tissues and the human immune system have resulted from the development of 'humanized' mouse strains that are based on severely immunodeficient mice with mutations in the interleukin-2 receptor common γ-chain locus. These mouse strains support the engraftment of a functional human immune system and permit detailed analyses of human immune biology, development and functions. In this Review, we discuss recent advances in the development and utilization of humanized mice, the lessons learnt, the remaining challenges and the promise of using humanized mice for the in vivo study of human immunology.","author":[{"dropping-particle":"","family":"Shultz","given":"Leonard D.","non-dropping-particle":"","parse-names":false,"suffix":""},{"dropping-particle":"","family":"Brehm","given":"Michael A.","non-dropping-particle":"","parse-names":false,"suffix":""},{"dropping-particle":"","family":"Garcia-Martinez","given":"J. Victor","non-dropping-particle":"","parse-names":false,"suffix":""},{"dropping-particle":"","family":"Greiner","given":"Dale L.","non-dropping-particle":"","parse-names":false,"suffix":""}],"container-title":"Nature Reviews Immunology","id":"ITEM-1","issue":"11","issued":{"date-parts":[["2012","11","12"]]},"page":"786-798","publisher":"Nature Publishing Group","title":"Humanized mice for immune system investigation: progress, promise and challenges","type":"article-journal","volume":"12"},"uris":["http://www.mendeley.com/documents/?uuid=489f27ee-189a-3bf8-ad0c-518110088433"]}],"mendeley":{"formattedCitation":"(Shultz et al., 2012)","plainTextFormattedCitation":"(Shultz et al., 2012)","previouslyFormattedCitation":"(Shultz et al., 2012)"},"properties":{"noteIndex":0},"schema":"https://github.com/citation-style-language/schema/raw/master/csl-citation.json"}</w:instrText>
      </w:r>
      <w:r w:rsidRPr="00F37696">
        <w:rPr>
          <w:lang w:eastAsia="cs-CZ"/>
        </w:rPr>
        <w:fldChar w:fldCharType="separate"/>
      </w:r>
      <w:r w:rsidRPr="00F90350">
        <w:rPr>
          <w:noProof/>
          <w:lang w:eastAsia="cs-CZ"/>
        </w:rPr>
        <w:t>(Shultz et al., 2012)</w:t>
      </w:r>
      <w:r w:rsidRPr="00F37696">
        <w:rPr>
          <w:lang w:eastAsia="cs-CZ"/>
        </w:rPr>
        <w:fldChar w:fldCharType="end"/>
      </w:r>
      <w:r w:rsidRPr="00F37696">
        <w:rPr>
          <w:lang w:eastAsia="cs-CZ"/>
        </w:rPr>
        <w:t xml:space="preserve"> which currently includes the use of CRISPR-Cas9 technology. </w:t>
      </w:r>
      <w:r w:rsidRPr="00F37696">
        <w:t xml:space="preserve">Shultz and colleagues </w:t>
      </w:r>
      <w:r w:rsidRPr="00F37696">
        <w:fldChar w:fldCharType="begin" w:fldLock="1"/>
      </w:r>
      <w:r w:rsidRPr="00F37696">
        <w:instrText>ADDIN CSL_CITATION {"citationItems":[{"id":"ITEM-1","itemData":{"DOI":"10.1038/nri3311","ISSN":"1474-1733","abstract":"This article provides a comprehensive overview of the recent advances in the development and use of humanized mice. The authors consider the remaining challenges and the potential for new advances in our understanding of human immunology through the use of these mice. Significant advances in our understanding of the in vivo functions of human cells and tissues and the human immune system have resulted from the development of 'humanized' mouse strains that are based on severely immunodeficient mice with mutations in the interleukin-2 receptor common γ-chain locus. These mouse strains support the engraftment of a functional human immune system and permit detailed analyses of human immune biology, development and functions. In this Review, we discuss recent advances in the development and utilization of humanized mice, the lessons learnt, the remaining challenges and the promise of using humanized mice for the in vivo study of human immunology.","author":[{"dropping-particle":"","family":"Shultz","given":"Leonard D.","non-dropping-particle":"","parse-names":false,"suffix":""},{"dropping-particle":"","family":"Brehm","given":"Michael A.","non-dropping-particle":"","parse-names":false,"suffix":""},{"dropping-particle":"","family":"Garcia-Martinez","given":"J. Victor","non-dropping-particle":"","parse-names":false,"suffix":""},{"dropping-particle":"","family":"Greiner","given":"Dale L.","non-dropping-particle":"","parse-names":false,"suffix":""}],"container-title":"Nature Reviews Immunology","id":"ITEM-1","issue":"11","issued":{"date-parts":[["2012","11","12"]]},"page":"786-798","publisher":"Nature Publishing Group","title":"Humanized mice for immune system investigation: progress, promise and challenges","type":"article-journal","volume":"12"},"suppress-author":1,"uris":["http://www.mendeley.com/documents/?uuid=489f27ee-189a-3bf8-ad0c-518110088433"]}],"mendeley":{"formattedCitation":"(2012)","plainTextFormattedCitation":"(2012)","previouslyFormattedCitation":"(2012)"},"properties":{"noteIndex":0},"schema":"https://github.com/citation-style-language/schema/raw/master/csl-citation.json"}</w:instrText>
      </w:r>
      <w:r w:rsidRPr="00F37696">
        <w:fldChar w:fldCharType="separate"/>
      </w:r>
      <w:r w:rsidRPr="00F37696">
        <w:rPr>
          <w:noProof/>
        </w:rPr>
        <w:t>(2012)</w:t>
      </w:r>
      <w:r w:rsidRPr="00F37696">
        <w:fldChar w:fldCharType="end"/>
      </w:r>
      <w:r w:rsidRPr="00F37696">
        <w:t xml:space="preserve"> also provide more detailed discussion: the problem with (i) is that the method often results in the gene being expressed at non-physiological levels and without temporal control, which adversely affects the development and function of the human immune system in mice. In contrast, the use of (ii) leads to expression at physiological levels in an appropriate functional and developmental context. Note that if the mouse (homologous) genes are not silenced, they too will be expressed. Finally, with the increase in the availability of embryonic stem cells taken from the strains with a NOD background in which mouse genes have been knocked out, option (iii) generates mice in which the mouse gene is replaced by its human counterpart. Generally, the knock-in approach is defined as follows: “The introduction of a transgene into a precise location in the genome, rather than a random integration site. Knocking in uses the same technique of homologous recombination as a knockout strategy, but the targeting vector is designed to allow expression of the introduced transgene under the control of the regulatory elements of the targeted gene” </w:t>
      </w:r>
      <w:r w:rsidRPr="00F37696">
        <w:fldChar w:fldCharType="begin" w:fldLock="1"/>
      </w:r>
      <w:r>
        <w:instrText>ADDIN CSL_CITATION {"citationItems":[{"id":"ITEM-1","itemData":{"DOI":"10.1038/nri3311","ISSN":"1474-1733","abstract":"This article provides a comprehensive overview of the recent advances in the development and use of humanized mice. The authors consider the remaining challenges and the potential for new advances in our understanding of human immunology through the use of these mice. Significant advances in our understanding of the in vivo functions of human cells and tissues and the human immune system have resulted from the development of 'humanized' mouse strains that are based on severely immunodeficient mice with mutations in the interleukin-2 receptor common γ-chain locus. These mouse strains support the engraftment of a functional human immune system and permit detailed analyses of human immune biology, development and functions. In this Review, we discuss recent advances in the development and utilization of humanized mice, the lessons learnt, the remaining challenges and the promise of using humanized mice for the in vivo study of human immunology.","author":[{"dropping-particle":"","family":"Shultz","given":"Leonard D.","non-dropping-particle":"","parse-names":false,"suffix":""},{"dropping-particle":"","family":"Brehm","given":"Michael A.","non-dropping-particle":"","parse-names":false,"suffix":""},{"dropping-particle":"","family":"Garcia-Martinez","given":"J. Victor","non-dropping-particle":"","parse-names":false,"suffix":""},{"dropping-particle":"","family":"Greiner","given":"Dale L.","non-dropping-particle":"","parse-names":false,"suffix":""}],"container-title":"Nature Reviews Immunology","id":"ITEM-1","issue":"11","issued":{"date-parts":[["2012","11","12"]]},"page":"786-798","publisher":"Nature Publishing Group","title":"Humanized mice for immune system investigation: progress, promise and challenges","type":"article-journal","volume":"12"},"locator":"790","uris":["http://www.mendeley.com/documents/?uuid=489f27ee-189a-3bf8-ad0c-518110088433"]}],"mendeley":{"formattedCitation":"(Shultz et al., 2012, p. 790)","plainTextFormattedCitation":"(Shultz et al., 2012, p. 790)","previouslyFormattedCitation":"(Shultz et al., 2012, p. 790)"},"properties":{"noteIndex":0},"schema":"https://github.com/citation-style-language/schema/raw/master/csl-citation.json"}</w:instrText>
      </w:r>
      <w:r w:rsidRPr="00F37696">
        <w:fldChar w:fldCharType="separate"/>
      </w:r>
      <w:r w:rsidRPr="00F90350">
        <w:rPr>
          <w:noProof/>
        </w:rPr>
        <w:t>(Shultz et al., 2012, p. 790)</w:t>
      </w:r>
      <w:r w:rsidRPr="00F37696">
        <w:fldChar w:fldCharType="end"/>
      </w:r>
      <w:r w:rsidRPr="00F3769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22E"/>
    <w:multiLevelType w:val="hybridMultilevel"/>
    <w:tmpl w:val="086C6178"/>
    <w:lvl w:ilvl="0" w:tplc="097AD2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C6AE9"/>
    <w:multiLevelType w:val="hybridMultilevel"/>
    <w:tmpl w:val="FA2E5D2A"/>
    <w:lvl w:ilvl="0" w:tplc="CE8A3E56">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B529E5"/>
    <w:multiLevelType w:val="hybridMultilevel"/>
    <w:tmpl w:val="F5F45A86"/>
    <w:lvl w:ilvl="0" w:tplc="5EBEFE24">
      <w:start w:val="1"/>
      <w:numFmt w:val="bullet"/>
      <w:lvlText w:val="•"/>
      <w:lvlJc w:val="left"/>
      <w:pPr>
        <w:tabs>
          <w:tab w:val="num" w:pos="720"/>
        </w:tabs>
        <w:ind w:left="720" w:hanging="360"/>
      </w:pPr>
      <w:rPr>
        <w:rFonts w:ascii="Arial" w:hAnsi="Arial" w:hint="default"/>
      </w:rPr>
    </w:lvl>
    <w:lvl w:ilvl="1" w:tplc="4F40E306" w:tentative="1">
      <w:start w:val="1"/>
      <w:numFmt w:val="bullet"/>
      <w:lvlText w:val="•"/>
      <w:lvlJc w:val="left"/>
      <w:pPr>
        <w:tabs>
          <w:tab w:val="num" w:pos="1440"/>
        </w:tabs>
        <w:ind w:left="1440" w:hanging="360"/>
      </w:pPr>
      <w:rPr>
        <w:rFonts w:ascii="Arial" w:hAnsi="Arial" w:hint="default"/>
      </w:rPr>
    </w:lvl>
    <w:lvl w:ilvl="2" w:tplc="0DACF216" w:tentative="1">
      <w:start w:val="1"/>
      <w:numFmt w:val="bullet"/>
      <w:lvlText w:val="•"/>
      <w:lvlJc w:val="left"/>
      <w:pPr>
        <w:tabs>
          <w:tab w:val="num" w:pos="2160"/>
        </w:tabs>
        <w:ind w:left="2160" w:hanging="360"/>
      </w:pPr>
      <w:rPr>
        <w:rFonts w:ascii="Arial" w:hAnsi="Arial" w:hint="default"/>
      </w:rPr>
    </w:lvl>
    <w:lvl w:ilvl="3" w:tplc="ED4AE0A0" w:tentative="1">
      <w:start w:val="1"/>
      <w:numFmt w:val="bullet"/>
      <w:lvlText w:val="•"/>
      <w:lvlJc w:val="left"/>
      <w:pPr>
        <w:tabs>
          <w:tab w:val="num" w:pos="2880"/>
        </w:tabs>
        <w:ind w:left="2880" w:hanging="360"/>
      </w:pPr>
      <w:rPr>
        <w:rFonts w:ascii="Arial" w:hAnsi="Arial" w:hint="default"/>
      </w:rPr>
    </w:lvl>
    <w:lvl w:ilvl="4" w:tplc="1242CB78" w:tentative="1">
      <w:start w:val="1"/>
      <w:numFmt w:val="bullet"/>
      <w:lvlText w:val="•"/>
      <w:lvlJc w:val="left"/>
      <w:pPr>
        <w:tabs>
          <w:tab w:val="num" w:pos="3600"/>
        </w:tabs>
        <w:ind w:left="3600" w:hanging="360"/>
      </w:pPr>
      <w:rPr>
        <w:rFonts w:ascii="Arial" w:hAnsi="Arial" w:hint="default"/>
      </w:rPr>
    </w:lvl>
    <w:lvl w:ilvl="5" w:tplc="516E42FE" w:tentative="1">
      <w:start w:val="1"/>
      <w:numFmt w:val="bullet"/>
      <w:lvlText w:val="•"/>
      <w:lvlJc w:val="left"/>
      <w:pPr>
        <w:tabs>
          <w:tab w:val="num" w:pos="4320"/>
        </w:tabs>
        <w:ind w:left="4320" w:hanging="360"/>
      </w:pPr>
      <w:rPr>
        <w:rFonts w:ascii="Arial" w:hAnsi="Arial" w:hint="default"/>
      </w:rPr>
    </w:lvl>
    <w:lvl w:ilvl="6" w:tplc="72AA5D4C" w:tentative="1">
      <w:start w:val="1"/>
      <w:numFmt w:val="bullet"/>
      <w:lvlText w:val="•"/>
      <w:lvlJc w:val="left"/>
      <w:pPr>
        <w:tabs>
          <w:tab w:val="num" w:pos="5040"/>
        </w:tabs>
        <w:ind w:left="5040" w:hanging="360"/>
      </w:pPr>
      <w:rPr>
        <w:rFonts w:ascii="Arial" w:hAnsi="Arial" w:hint="default"/>
      </w:rPr>
    </w:lvl>
    <w:lvl w:ilvl="7" w:tplc="9B64F80A" w:tentative="1">
      <w:start w:val="1"/>
      <w:numFmt w:val="bullet"/>
      <w:lvlText w:val="•"/>
      <w:lvlJc w:val="left"/>
      <w:pPr>
        <w:tabs>
          <w:tab w:val="num" w:pos="5760"/>
        </w:tabs>
        <w:ind w:left="5760" w:hanging="360"/>
      </w:pPr>
      <w:rPr>
        <w:rFonts w:ascii="Arial" w:hAnsi="Arial" w:hint="default"/>
      </w:rPr>
    </w:lvl>
    <w:lvl w:ilvl="8" w:tplc="3EC8EE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B62B01"/>
    <w:multiLevelType w:val="hybridMultilevel"/>
    <w:tmpl w:val="34506C96"/>
    <w:lvl w:ilvl="0" w:tplc="BA668E1C">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FC2DB2"/>
    <w:multiLevelType w:val="hybridMultilevel"/>
    <w:tmpl w:val="A7C019FC"/>
    <w:lvl w:ilvl="0" w:tplc="24AEA060">
      <w:start w:val="1"/>
      <w:numFmt w:val="bullet"/>
      <w:lvlText w:val="•"/>
      <w:lvlJc w:val="left"/>
      <w:pPr>
        <w:tabs>
          <w:tab w:val="num" w:pos="720"/>
        </w:tabs>
        <w:ind w:left="720" w:hanging="360"/>
      </w:pPr>
      <w:rPr>
        <w:rFonts w:ascii="Arial" w:hAnsi="Arial" w:hint="default"/>
      </w:rPr>
    </w:lvl>
    <w:lvl w:ilvl="1" w:tplc="12EC2902">
      <w:start w:val="1"/>
      <w:numFmt w:val="bullet"/>
      <w:lvlText w:val="•"/>
      <w:lvlJc w:val="left"/>
      <w:pPr>
        <w:tabs>
          <w:tab w:val="num" w:pos="1440"/>
        </w:tabs>
        <w:ind w:left="1440" w:hanging="360"/>
      </w:pPr>
      <w:rPr>
        <w:rFonts w:ascii="Arial" w:hAnsi="Arial" w:hint="default"/>
      </w:rPr>
    </w:lvl>
    <w:lvl w:ilvl="2" w:tplc="BC66078A" w:tentative="1">
      <w:start w:val="1"/>
      <w:numFmt w:val="bullet"/>
      <w:lvlText w:val="•"/>
      <w:lvlJc w:val="left"/>
      <w:pPr>
        <w:tabs>
          <w:tab w:val="num" w:pos="2160"/>
        </w:tabs>
        <w:ind w:left="2160" w:hanging="360"/>
      </w:pPr>
      <w:rPr>
        <w:rFonts w:ascii="Arial" w:hAnsi="Arial" w:hint="default"/>
      </w:rPr>
    </w:lvl>
    <w:lvl w:ilvl="3" w:tplc="80E42D7A" w:tentative="1">
      <w:start w:val="1"/>
      <w:numFmt w:val="bullet"/>
      <w:lvlText w:val="•"/>
      <w:lvlJc w:val="left"/>
      <w:pPr>
        <w:tabs>
          <w:tab w:val="num" w:pos="2880"/>
        </w:tabs>
        <w:ind w:left="2880" w:hanging="360"/>
      </w:pPr>
      <w:rPr>
        <w:rFonts w:ascii="Arial" w:hAnsi="Arial" w:hint="default"/>
      </w:rPr>
    </w:lvl>
    <w:lvl w:ilvl="4" w:tplc="12385D10" w:tentative="1">
      <w:start w:val="1"/>
      <w:numFmt w:val="bullet"/>
      <w:lvlText w:val="•"/>
      <w:lvlJc w:val="left"/>
      <w:pPr>
        <w:tabs>
          <w:tab w:val="num" w:pos="3600"/>
        </w:tabs>
        <w:ind w:left="3600" w:hanging="360"/>
      </w:pPr>
      <w:rPr>
        <w:rFonts w:ascii="Arial" w:hAnsi="Arial" w:hint="default"/>
      </w:rPr>
    </w:lvl>
    <w:lvl w:ilvl="5" w:tplc="A7EA572E" w:tentative="1">
      <w:start w:val="1"/>
      <w:numFmt w:val="bullet"/>
      <w:lvlText w:val="•"/>
      <w:lvlJc w:val="left"/>
      <w:pPr>
        <w:tabs>
          <w:tab w:val="num" w:pos="4320"/>
        </w:tabs>
        <w:ind w:left="4320" w:hanging="360"/>
      </w:pPr>
      <w:rPr>
        <w:rFonts w:ascii="Arial" w:hAnsi="Arial" w:hint="default"/>
      </w:rPr>
    </w:lvl>
    <w:lvl w:ilvl="6" w:tplc="1BB8B440" w:tentative="1">
      <w:start w:val="1"/>
      <w:numFmt w:val="bullet"/>
      <w:lvlText w:val="•"/>
      <w:lvlJc w:val="left"/>
      <w:pPr>
        <w:tabs>
          <w:tab w:val="num" w:pos="5040"/>
        </w:tabs>
        <w:ind w:left="5040" w:hanging="360"/>
      </w:pPr>
      <w:rPr>
        <w:rFonts w:ascii="Arial" w:hAnsi="Arial" w:hint="default"/>
      </w:rPr>
    </w:lvl>
    <w:lvl w:ilvl="7" w:tplc="7BA011EE" w:tentative="1">
      <w:start w:val="1"/>
      <w:numFmt w:val="bullet"/>
      <w:lvlText w:val="•"/>
      <w:lvlJc w:val="left"/>
      <w:pPr>
        <w:tabs>
          <w:tab w:val="num" w:pos="5760"/>
        </w:tabs>
        <w:ind w:left="5760" w:hanging="360"/>
      </w:pPr>
      <w:rPr>
        <w:rFonts w:ascii="Arial" w:hAnsi="Arial" w:hint="default"/>
      </w:rPr>
    </w:lvl>
    <w:lvl w:ilvl="8" w:tplc="5EDC93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B24DCD"/>
    <w:multiLevelType w:val="hybridMultilevel"/>
    <w:tmpl w:val="6BD09CF0"/>
    <w:lvl w:ilvl="0" w:tplc="C82CCBE0">
      <w:start w:val="6"/>
      <w:numFmt w:val="bullet"/>
      <w:lvlText w:val="-"/>
      <w:lvlJc w:val="left"/>
      <w:pPr>
        <w:ind w:left="720" w:hanging="360"/>
      </w:pPr>
      <w:rPr>
        <w:rFonts w:ascii="Times New Roman" w:eastAsia="CharisSI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57243B"/>
    <w:multiLevelType w:val="hybridMultilevel"/>
    <w:tmpl w:val="8FE25440"/>
    <w:lvl w:ilvl="0" w:tplc="F91E874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204749"/>
    <w:multiLevelType w:val="multilevel"/>
    <w:tmpl w:val="17265CB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0507DD"/>
    <w:multiLevelType w:val="hybridMultilevel"/>
    <w:tmpl w:val="A4AAB542"/>
    <w:lvl w:ilvl="0" w:tplc="F856B602">
      <w:start w:val="3"/>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FD47A2"/>
    <w:multiLevelType w:val="hybridMultilevel"/>
    <w:tmpl w:val="A9E085F8"/>
    <w:lvl w:ilvl="0" w:tplc="DF1AA502">
      <w:start w:val="2"/>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A96418"/>
    <w:multiLevelType w:val="hybridMultilevel"/>
    <w:tmpl w:val="8ECA587E"/>
    <w:lvl w:ilvl="0" w:tplc="49B2BD5A">
      <w:start w:val="1"/>
      <w:numFmt w:val="bullet"/>
      <w:lvlText w:val=""/>
      <w:lvlJc w:val="left"/>
      <w:pPr>
        <w:tabs>
          <w:tab w:val="num" w:pos="720"/>
        </w:tabs>
        <w:ind w:left="720" w:hanging="360"/>
      </w:pPr>
      <w:rPr>
        <w:rFonts w:ascii="Wingdings 3" w:hAnsi="Wingdings 3" w:hint="default"/>
      </w:rPr>
    </w:lvl>
    <w:lvl w:ilvl="1" w:tplc="AFE21F76" w:tentative="1">
      <w:start w:val="1"/>
      <w:numFmt w:val="bullet"/>
      <w:lvlText w:val=""/>
      <w:lvlJc w:val="left"/>
      <w:pPr>
        <w:tabs>
          <w:tab w:val="num" w:pos="1440"/>
        </w:tabs>
        <w:ind w:left="1440" w:hanging="360"/>
      </w:pPr>
      <w:rPr>
        <w:rFonts w:ascii="Wingdings 3" w:hAnsi="Wingdings 3" w:hint="default"/>
      </w:rPr>
    </w:lvl>
    <w:lvl w:ilvl="2" w:tplc="3CAE50D8" w:tentative="1">
      <w:start w:val="1"/>
      <w:numFmt w:val="bullet"/>
      <w:lvlText w:val=""/>
      <w:lvlJc w:val="left"/>
      <w:pPr>
        <w:tabs>
          <w:tab w:val="num" w:pos="2160"/>
        </w:tabs>
        <w:ind w:left="2160" w:hanging="360"/>
      </w:pPr>
      <w:rPr>
        <w:rFonts w:ascii="Wingdings 3" w:hAnsi="Wingdings 3" w:hint="default"/>
      </w:rPr>
    </w:lvl>
    <w:lvl w:ilvl="3" w:tplc="D73469D2" w:tentative="1">
      <w:start w:val="1"/>
      <w:numFmt w:val="bullet"/>
      <w:lvlText w:val=""/>
      <w:lvlJc w:val="left"/>
      <w:pPr>
        <w:tabs>
          <w:tab w:val="num" w:pos="2880"/>
        </w:tabs>
        <w:ind w:left="2880" w:hanging="360"/>
      </w:pPr>
      <w:rPr>
        <w:rFonts w:ascii="Wingdings 3" w:hAnsi="Wingdings 3" w:hint="default"/>
      </w:rPr>
    </w:lvl>
    <w:lvl w:ilvl="4" w:tplc="F4DC6172" w:tentative="1">
      <w:start w:val="1"/>
      <w:numFmt w:val="bullet"/>
      <w:lvlText w:val=""/>
      <w:lvlJc w:val="left"/>
      <w:pPr>
        <w:tabs>
          <w:tab w:val="num" w:pos="3600"/>
        </w:tabs>
        <w:ind w:left="3600" w:hanging="360"/>
      </w:pPr>
      <w:rPr>
        <w:rFonts w:ascii="Wingdings 3" w:hAnsi="Wingdings 3" w:hint="default"/>
      </w:rPr>
    </w:lvl>
    <w:lvl w:ilvl="5" w:tplc="BFF01060" w:tentative="1">
      <w:start w:val="1"/>
      <w:numFmt w:val="bullet"/>
      <w:lvlText w:val=""/>
      <w:lvlJc w:val="left"/>
      <w:pPr>
        <w:tabs>
          <w:tab w:val="num" w:pos="4320"/>
        </w:tabs>
        <w:ind w:left="4320" w:hanging="360"/>
      </w:pPr>
      <w:rPr>
        <w:rFonts w:ascii="Wingdings 3" w:hAnsi="Wingdings 3" w:hint="default"/>
      </w:rPr>
    </w:lvl>
    <w:lvl w:ilvl="6" w:tplc="90EC1566" w:tentative="1">
      <w:start w:val="1"/>
      <w:numFmt w:val="bullet"/>
      <w:lvlText w:val=""/>
      <w:lvlJc w:val="left"/>
      <w:pPr>
        <w:tabs>
          <w:tab w:val="num" w:pos="5040"/>
        </w:tabs>
        <w:ind w:left="5040" w:hanging="360"/>
      </w:pPr>
      <w:rPr>
        <w:rFonts w:ascii="Wingdings 3" w:hAnsi="Wingdings 3" w:hint="default"/>
      </w:rPr>
    </w:lvl>
    <w:lvl w:ilvl="7" w:tplc="32183B90" w:tentative="1">
      <w:start w:val="1"/>
      <w:numFmt w:val="bullet"/>
      <w:lvlText w:val=""/>
      <w:lvlJc w:val="left"/>
      <w:pPr>
        <w:tabs>
          <w:tab w:val="num" w:pos="5760"/>
        </w:tabs>
        <w:ind w:left="5760" w:hanging="360"/>
      </w:pPr>
      <w:rPr>
        <w:rFonts w:ascii="Wingdings 3" w:hAnsi="Wingdings 3" w:hint="default"/>
      </w:rPr>
    </w:lvl>
    <w:lvl w:ilvl="8" w:tplc="711E2640"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E0531C7"/>
    <w:multiLevelType w:val="hybridMultilevel"/>
    <w:tmpl w:val="B0D09662"/>
    <w:lvl w:ilvl="0" w:tplc="45763E20">
      <w:start w:val="2"/>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2B71A8"/>
    <w:multiLevelType w:val="hybridMultilevel"/>
    <w:tmpl w:val="D7C2C5D8"/>
    <w:lvl w:ilvl="0" w:tplc="31607F3A">
      <w:start w:val="1"/>
      <w:numFmt w:val="bullet"/>
      <w:lvlText w:val="•"/>
      <w:lvlJc w:val="left"/>
      <w:pPr>
        <w:tabs>
          <w:tab w:val="num" w:pos="720"/>
        </w:tabs>
        <w:ind w:left="720" w:hanging="360"/>
      </w:pPr>
      <w:rPr>
        <w:rFonts w:ascii="Arial" w:hAnsi="Arial" w:hint="default"/>
      </w:rPr>
    </w:lvl>
    <w:lvl w:ilvl="1" w:tplc="703E58E2" w:tentative="1">
      <w:start w:val="1"/>
      <w:numFmt w:val="bullet"/>
      <w:lvlText w:val="•"/>
      <w:lvlJc w:val="left"/>
      <w:pPr>
        <w:tabs>
          <w:tab w:val="num" w:pos="1440"/>
        </w:tabs>
        <w:ind w:left="1440" w:hanging="360"/>
      </w:pPr>
      <w:rPr>
        <w:rFonts w:ascii="Arial" w:hAnsi="Arial" w:hint="default"/>
      </w:rPr>
    </w:lvl>
    <w:lvl w:ilvl="2" w:tplc="721C037E" w:tentative="1">
      <w:start w:val="1"/>
      <w:numFmt w:val="bullet"/>
      <w:lvlText w:val="•"/>
      <w:lvlJc w:val="left"/>
      <w:pPr>
        <w:tabs>
          <w:tab w:val="num" w:pos="2160"/>
        </w:tabs>
        <w:ind w:left="2160" w:hanging="360"/>
      </w:pPr>
      <w:rPr>
        <w:rFonts w:ascii="Arial" w:hAnsi="Arial" w:hint="default"/>
      </w:rPr>
    </w:lvl>
    <w:lvl w:ilvl="3" w:tplc="384ADEF0" w:tentative="1">
      <w:start w:val="1"/>
      <w:numFmt w:val="bullet"/>
      <w:lvlText w:val="•"/>
      <w:lvlJc w:val="left"/>
      <w:pPr>
        <w:tabs>
          <w:tab w:val="num" w:pos="2880"/>
        </w:tabs>
        <w:ind w:left="2880" w:hanging="360"/>
      </w:pPr>
      <w:rPr>
        <w:rFonts w:ascii="Arial" w:hAnsi="Arial" w:hint="default"/>
      </w:rPr>
    </w:lvl>
    <w:lvl w:ilvl="4" w:tplc="585E9C88" w:tentative="1">
      <w:start w:val="1"/>
      <w:numFmt w:val="bullet"/>
      <w:lvlText w:val="•"/>
      <w:lvlJc w:val="left"/>
      <w:pPr>
        <w:tabs>
          <w:tab w:val="num" w:pos="3600"/>
        </w:tabs>
        <w:ind w:left="3600" w:hanging="360"/>
      </w:pPr>
      <w:rPr>
        <w:rFonts w:ascii="Arial" w:hAnsi="Arial" w:hint="default"/>
      </w:rPr>
    </w:lvl>
    <w:lvl w:ilvl="5" w:tplc="753C1492" w:tentative="1">
      <w:start w:val="1"/>
      <w:numFmt w:val="bullet"/>
      <w:lvlText w:val="•"/>
      <w:lvlJc w:val="left"/>
      <w:pPr>
        <w:tabs>
          <w:tab w:val="num" w:pos="4320"/>
        </w:tabs>
        <w:ind w:left="4320" w:hanging="360"/>
      </w:pPr>
      <w:rPr>
        <w:rFonts w:ascii="Arial" w:hAnsi="Arial" w:hint="default"/>
      </w:rPr>
    </w:lvl>
    <w:lvl w:ilvl="6" w:tplc="8B1E9380" w:tentative="1">
      <w:start w:val="1"/>
      <w:numFmt w:val="bullet"/>
      <w:lvlText w:val="•"/>
      <w:lvlJc w:val="left"/>
      <w:pPr>
        <w:tabs>
          <w:tab w:val="num" w:pos="5040"/>
        </w:tabs>
        <w:ind w:left="5040" w:hanging="360"/>
      </w:pPr>
      <w:rPr>
        <w:rFonts w:ascii="Arial" w:hAnsi="Arial" w:hint="default"/>
      </w:rPr>
    </w:lvl>
    <w:lvl w:ilvl="7" w:tplc="187EE824" w:tentative="1">
      <w:start w:val="1"/>
      <w:numFmt w:val="bullet"/>
      <w:lvlText w:val="•"/>
      <w:lvlJc w:val="left"/>
      <w:pPr>
        <w:tabs>
          <w:tab w:val="num" w:pos="5760"/>
        </w:tabs>
        <w:ind w:left="5760" w:hanging="360"/>
      </w:pPr>
      <w:rPr>
        <w:rFonts w:ascii="Arial" w:hAnsi="Arial" w:hint="default"/>
      </w:rPr>
    </w:lvl>
    <w:lvl w:ilvl="8" w:tplc="521C79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7B23B1"/>
    <w:multiLevelType w:val="hybridMultilevel"/>
    <w:tmpl w:val="185A934E"/>
    <w:lvl w:ilvl="0" w:tplc="8334F848">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A16157"/>
    <w:multiLevelType w:val="hybridMultilevel"/>
    <w:tmpl w:val="5ADC137E"/>
    <w:lvl w:ilvl="0" w:tplc="153C0A1E">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56582A"/>
    <w:multiLevelType w:val="hybridMultilevel"/>
    <w:tmpl w:val="4A1EC318"/>
    <w:lvl w:ilvl="0" w:tplc="078E37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DE26BD"/>
    <w:multiLevelType w:val="hybridMultilevel"/>
    <w:tmpl w:val="D562B440"/>
    <w:lvl w:ilvl="0" w:tplc="BA668E1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DD2D79"/>
    <w:multiLevelType w:val="hybridMultilevel"/>
    <w:tmpl w:val="9C54C54C"/>
    <w:lvl w:ilvl="0" w:tplc="8334F848">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BD2516"/>
    <w:multiLevelType w:val="hybridMultilevel"/>
    <w:tmpl w:val="421CA28E"/>
    <w:lvl w:ilvl="0" w:tplc="9F727816">
      <w:start w:val="3"/>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E92D01"/>
    <w:multiLevelType w:val="hybridMultilevel"/>
    <w:tmpl w:val="81EA6A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D95C7E"/>
    <w:multiLevelType w:val="hybridMultilevel"/>
    <w:tmpl w:val="1486E182"/>
    <w:lvl w:ilvl="0" w:tplc="8334F848">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B7D4C30"/>
    <w:multiLevelType w:val="hybridMultilevel"/>
    <w:tmpl w:val="DE7023EA"/>
    <w:lvl w:ilvl="0" w:tplc="834ECA84">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1213B7"/>
    <w:multiLevelType w:val="hybridMultilevel"/>
    <w:tmpl w:val="5E323792"/>
    <w:lvl w:ilvl="0" w:tplc="4E1C0248">
      <w:start w:val="3"/>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E3A5312"/>
    <w:multiLevelType w:val="hybridMultilevel"/>
    <w:tmpl w:val="84D69B2C"/>
    <w:lvl w:ilvl="0" w:tplc="BA668E1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F75B74"/>
    <w:multiLevelType w:val="hybridMultilevel"/>
    <w:tmpl w:val="FEA82800"/>
    <w:lvl w:ilvl="0" w:tplc="BA668E1C">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897A1B"/>
    <w:multiLevelType w:val="hybridMultilevel"/>
    <w:tmpl w:val="2A4635D6"/>
    <w:lvl w:ilvl="0" w:tplc="A25E9008">
      <w:start w:val="13"/>
      <w:numFmt w:val="bullet"/>
      <w:lvlText w:val=""/>
      <w:lvlJc w:val="left"/>
      <w:pPr>
        <w:ind w:left="720" w:hanging="360"/>
      </w:pPr>
      <w:rPr>
        <w:rFonts w:ascii="Wingdings" w:eastAsiaTheme="minorHAnsi" w:hAnsi="Wingdings" w:cs="SvdkhmMbdbglAdvTT5ada87cc" w:hint="default"/>
        <w:sz w:val="1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6995A9B"/>
    <w:multiLevelType w:val="hybridMultilevel"/>
    <w:tmpl w:val="BB008850"/>
    <w:lvl w:ilvl="0" w:tplc="8334F8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88C1259"/>
    <w:multiLevelType w:val="hybridMultilevel"/>
    <w:tmpl w:val="CF4AC74A"/>
    <w:lvl w:ilvl="0" w:tplc="CB52A0FE">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4F431E"/>
    <w:multiLevelType w:val="hybridMultilevel"/>
    <w:tmpl w:val="54F012AC"/>
    <w:lvl w:ilvl="0" w:tplc="0FE2A4F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7426F3"/>
    <w:multiLevelType w:val="hybridMultilevel"/>
    <w:tmpl w:val="F856ABAA"/>
    <w:lvl w:ilvl="0" w:tplc="495CC65A">
      <w:start w:val="2"/>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865C17"/>
    <w:multiLevelType w:val="hybridMultilevel"/>
    <w:tmpl w:val="2C9CB9D2"/>
    <w:lvl w:ilvl="0" w:tplc="5A90B0FC">
      <w:start w:val="2"/>
      <w:numFmt w:val="bullet"/>
      <w:lvlText w:val=""/>
      <w:lvlJc w:val="left"/>
      <w:pPr>
        <w:ind w:left="720" w:hanging="360"/>
      </w:pPr>
      <w:rPr>
        <w:rFonts w:ascii="Wingdings" w:eastAsiaTheme="minorHAnsi" w:hAnsi="Wingdings" w:cs="MinionPro-Regular" w:hint="default"/>
        <w:color w:val="000000"/>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EF4BAD"/>
    <w:multiLevelType w:val="hybridMultilevel"/>
    <w:tmpl w:val="00A04292"/>
    <w:lvl w:ilvl="0" w:tplc="8334F848">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8517DFB"/>
    <w:multiLevelType w:val="hybridMultilevel"/>
    <w:tmpl w:val="39083DD8"/>
    <w:lvl w:ilvl="0" w:tplc="893066A6">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07783C"/>
    <w:multiLevelType w:val="hybridMultilevel"/>
    <w:tmpl w:val="EC480770"/>
    <w:lvl w:ilvl="0" w:tplc="CCEC21E6">
      <w:start w:val="2"/>
      <w:numFmt w:val="bullet"/>
      <w:lvlText w:val=""/>
      <w:lvlJc w:val="left"/>
      <w:pPr>
        <w:ind w:left="720" w:hanging="360"/>
      </w:pPr>
      <w:rPr>
        <w:rFonts w:ascii="Wingdings" w:eastAsiaTheme="minorHAnsi" w:hAnsi="Wingdings"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99306709">
    <w:abstractNumId w:val="1"/>
  </w:num>
  <w:num w:numId="2" w16cid:durableId="2031956306">
    <w:abstractNumId w:val="6"/>
  </w:num>
  <w:num w:numId="3" w16cid:durableId="1832866201">
    <w:abstractNumId w:val="14"/>
  </w:num>
  <w:num w:numId="4" w16cid:durableId="784614963">
    <w:abstractNumId w:val="17"/>
  </w:num>
  <w:num w:numId="5" w16cid:durableId="1372224247">
    <w:abstractNumId w:val="12"/>
  </w:num>
  <w:num w:numId="6" w16cid:durableId="562373433">
    <w:abstractNumId w:val="2"/>
  </w:num>
  <w:num w:numId="7" w16cid:durableId="525870573">
    <w:abstractNumId w:val="10"/>
  </w:num>
  <w:num w:numId="8" w16cid:durableId="254896884">
    <w:abstractNumId w:val="32"/>
  </w:num>
  <w:num w:numId="9" w16cid:durableId="1763183783">
    <w:abstractNumId w:val="9"/>
  </w:num>
  <w:num w:numId="10" w16cid:durableId="1907102887">
    <w:abstractNumId w:val="29"/>
  </w:num>
  <w:num w:numId="11" w16cid:durableId="99643567">
    <w:abstractNumId w:val="21"/>
  </w:num>
  <w:num w:numId="12" w16cid:durableId="2008896974">
    <w:abstractNumId w:val="25"/>
  </w:num>
  <w:num w:numId="13" w16cid:durableId="1868832661">
    <w:abstractNumId w:val="22"/>
  </w:num>
  <w:num w:numId="14" w16cid:durableId="1958220338">
    <w:abstractNumId w:val="23"/>
  </w:num>
  <w:num w:numId="15" w16cid:durableId="1000504296">
    <w:abstractNumId w:val="26"/>
  </w:num>
  <w:num w:numId="16" w16cid:durableId="1001467041">
    <w:abstractNumId w:val="20"/>
  </w:num>
  <w:num w:numId="17" w16cid:durableId="558058615">
    <w:abstractNumId w:val="16"/>
  </w:num>
  <w:num w:numId="18" w16cid:durableId="810513450">
    <w:abstractNumId w:val="31"/>
  </w:num>
  <w:num w:numId="19" w16cid:durableId="905795914">
    <w:abstractNumId w:val="3"/>
  </w:num>
  <w:num w:numId="20" w16cid:durableId="1403337259">
    <w:abstractNumId w:val="7"/>
  </w:num>
  <w:num w:numId="21" w16cid:durableId="1905526539">
    <w:abstractNumId w:val="11"/>
  </w:num>
  <w:num w:numId="22" w16cid:durableId="2088843328">
    <w:abstractNumId w:val="24"/>
  </w:num>
  <w:num w:numId="23" w16cid:durableId="509684989">
    <w:abstractNumId w:val="33"/>
  </w:num>
  <w:num w:numId="24" w16cid:durableId="1169254313">
    <w:abstractNumId w:val="30"/>
  </w:num>
  <w:num w:numId="25" w16cid:durableId="1741057745">
    <w:abstractNumId w:val="13"/>
  </w:num>
  <w:num w:numId="26" w16cid:durableId="277375059">
    <w:abstractNumId w:val="27"/>
  </w:num>
  <w:num w:numId="27" w16cid:durableId="1995833979">
    <w:abstractNumId w:val="0"/>
  </w:num>
  <w:num w:numId="28" w16cid:durableId="1171871075">
    <w:abstractNumId w:val="5"/>
  </w:num>
  <w:num w:numId="29" w16cid:durableId="1971354337">
    <w:abstractNumId w:val="8"/>
  </w:num>
  <w:num w:numId="30" w16cid:durableId="1672827939">
    <w:abstractNumId w:val="4"/>
  </w:num>
  <w:num w:numId="31" w16cid:durableId="1971014964">
    <w:abstractNumId w:val="19"/>
  </w:num>
  <w:num w:numId="32" w16cid:durableId="1765375553">
    <w:abstractNumId w:val="28"/>
  </w:num>
  <w:num w:numId="33" w16cid:durableId="1663582196">
    <w:abstractNumId w:val="15"/>
  </w:num>
  <w:num w:numId="34" w16cid:durableId="15991449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68"/>
    <w:rsid w:val="00000430"/>
    <w:rsid w:val="0000110B"/>
    <w:rsid w:val="00002B19"/>
    <w:rsid w:val="000047FB"/>
    <w:rsid w:val="00005C72"/>
    <w:rsid w:val="00010362"/>
    <w:rsid w:val="00011337"/>
    <w:rsid w:val="000123E9"/>
    <w:rsid w:val="000135F3"/>
    <w:rsid w:val="00016355"/>
    <w:rsid w:val="000169B0"/>
    <w:rsid w:val="00017C3C"/>
    <w:rsid w:val="00020810"/>
    <w:rsid w:val="000218F6"/>
    <w:rsid w:val="00021FFC"/>
    <w:rsid w:val="000227EB"/>
    <w:rsid w:val="00023A86"/>
    <w:rsid w:val="000252BC"/>
    <w:rsid w:val="00025609"/>
    <w:rsid w:val="000262BB"/>
    <w:rsid w:val="00027CED"/>
    <w:rsid w:val="00030CC9"/>
    <w:rsid w:val="00033C0D"/>
    <w:rsid w:val="00034232"/>
    <w:rsid w:val="0003745A"/>
    <w:rsid w:val="00040B50"/>
    <w:rsid w:val="00041AA7"/>
    <w:rsid w:val="0004372C"/>
    <w:rsid w:val="00045EA5"/>
    <w:rsid w:val="00047E59"/>
    <w:rsid w:val="000503C0"/>
    <w:rsid w:val="00050418"/>
    <w:rsid w:val="000509D0"/>
    <w:rsid w:val="00053B22"/>
    <w:rsid w:val="000555F7"/>
    <w:rsid w:val="00056C15"/>
    <w:rsid w:val="00066834"/>
    <w:rsid w:val="000728F4"/>
    <w:rsid w:val="0007370A"/>
    <w:rsid w:val="00074AA5"/>
    <w:rsid w:val="00076258"/>
    <w:rsid w:val="000806A7"/>
    <w:rsid w:val="00081BE4"/>
    <w:rsid w:val="00084326"/>
    <w:rsid w:val="00085210"/>
    <w:rsid w:val="0008537F"/>
    <w:rsid w:val="00085CD3"/>
    <w:rsid w:val="00087299"/>
    <w:rsid w:val="00092ED4"/>
    <w:rsid w:val="00092F99"/>
    <w:rsid w:val="000963B3"/>
    <w:rsid w:val="0009754A"/>
    <w:rsid w:val="00097F0C"/>
    <w:rsid w:val="000A2DC4"/>
    <w:rsid w:val="000A39AC"/>
    <w:rsid w:val="000A4929"/>
    <w:rsid w:val="000A500E"/>
    <w:rsid w:val="000A7885"/>
    <w:rsid w:val="000B181C"/>
    <w:rsid w:val="000B1D50"/>
    <w:rsid w:val="000B3A00"/>
    <w:rsid w:val="000B46D0"/>
    <w:rsid w:val="000B48DD"/>
    <w:rsid w:val="000B5C8B"/>
    <w:rsid w:val="000B7561"/>
    <w:rsid w:val="000B7669"/>
    <w:rsid w:val="000C0493"/>
    <w:rsid w:val="000C285B"/>
    <w:rsid w:val="000D1CA4"/>
    <w:rsid w:val="000D21C1"/>
    <w:rsid w:val="000D2714"/>
    <w:rsid w:val="000D4F48"/>
    <w:rsid w:val="000D6ABC"/>
    <w:rsid w:val="000E2CB2"/>
    <w:rsid w:val="000E5CD7"/>
    <w:rsid w:val="000F2669"/>
    <w:rsid w:val="000F3C8B"/>
    <w:rsid w:val="000F465D"/>
    <w:rsid w:val="000F5896"/>
    <w:rsid w:val="00100BD7"/>
    <w:rsid w:val="001024F7"/>
    <w:rsid w:val="00104944"/>
    <w:rsid w:val="001077CD"/>
    <w:rsid w:val="00110291"/>
    <w:rsid w:val="0011131E"/>
    <w:rsid w:val="00117295"/>
    <w:rsid w:val="001244CD"/>
    <w:rsid w:val="00125E62"/>
    <w:rsid w:val="001277C3"/>
    <w:rsid w:val="001300A6"/>
    <w:rsid w:val="0013143E"/>
    <w:rsid w:val="00131ECE"/>
    <w:rsid w:val="00135D1C"/>
    <w:rsid w:val="001417F3"/>
    <w:rsid w:val="0014222D"/>
    <w:rsid w:val="00145547"/>
    <w:rsid w:val="00146300"/>
    <w:rsid w:val="00146361"/>
    <w:rsid w:val="001475D5"/>
    <w:rsid w:val="0015099F"/>
    <w:rsid w:val="00150D78"/>
    <w:rsid w:val="00151611"/>
    <w:rsid w:val="00151BB2"/>
    <w:rsid w:val="0015262B"/>
    <w:rsid w:val="00155E82"/>
    <w:rsid w:val="00155FF9"/>
    <w:rsid w:val="00166F73"/>
    <w:rsid w:val="0016786F"/>
    <w:rsid w:val="00171629"/>
    <w:rsid w:val="0017171D"/>
    <w:rsid w:val="00171D10"/>
    <w:rsid w:val="00172947"/>
    <w:rsid w:val="00173F9F"/>
    <w:rsid w:val="00174A03"/>
    <w:rsid w:val="00176911"/>
    <w:rsid w:val="00182C73"/>
    <w:rsid w:val="00183C18"/>
    <w:rsid w:val="001846C3"/>
    <w:rsid w:val="00185738"/>
    <w:rsid w:val="00186BD7"/>
    <w:rsid w:val="00186F68"/>
    <w:rsid w:val="00187086"/>
    <w:rsid w:val="00190536"/>
    <w:rsid w:val="00192FEC"/>
    <w:rsid w:val="00193790"/>
    <w:rsid w:val="00193F16"/>
    <w:rsid w:val="00193FA7"/>
    <w:rsid w:val="00195058"/>
    <w:rsid w:val="001964AA"/>
    <w:rsid w:val="0019729D"/>
    <w:rsid w:val="001A1A4B"/>
    <w:rsid w:val="001A21EA"/>
    <w:rsid w:val="001A3504"/>
    <w:rsid w:val="001A5C3F"/>
    <w:rsid w:val="001A5CFC"/>
    <w:rsid w:val="001A68D4"/>
    <w:rsid w:val="001B078F"/>
    <w:rsid w:val="001B5244"/>
    <w:rsid w:val="001B7510"/>
    <w:rsid w:val="001C1970"/>
    <w:rsid w:val="001C3755"/>
    <w:rsid w:val="001C4E8A"/>
    <w:rsid w:val="001C597E"/>
    <w:rsid w:val="001C7D1C"/>
    <w:rsid w:val="001D04BC"/>
    <w:rsid w:val="001D0917"/>
    <w:rsid w:val="001D3CAD"/>
    <w:rsid w:val="001D4AFC"/>
    <w:rsid w:val="001E194C"/>
    <w:rsid w:val="001E345B"/>
    <w:rsid w:val="001E3D67"/>
    <w:rsid w:val="001F0775"/>
    <w:rsid w:val="001F1127"/>
    <w:rsid w:val="001F2380"/>
    <w:rsid w:val="001F73C9"/>
    <w:rsid w:val="00200066"/>
    <w:rsid w:val="00200E33"/>
    <w:rsid w:val="002017BC"/>
    <w:rsid w:val="002054DA"/>
    <w:rsid w:val="0020637E"/>
    <w:rsid w:val="0020775E"/>
    <w:rsid w:val="00210923"/>
    <w:rsid w:val="00214A0B"/>
    <w:rsid w:val="0021770D"/>
    <w:rsid w:val="00220E4E"/>
    <w:rsid w:val="00220F0C"/>
    <w:rsid w:val="00221167"/>
    <w:rsid w:val="002213DE"/>
    <w:rsid w:val="0022494C"/>
    <w:rsid w:val="00224BEF"/>
    <w:rsid w:val="00230022"/>
    <w:rsid w:val="00231614"/>
    <w:rsid w:val="002326E9"/>
    <w:rsid w:val="00232F6A"/>
    <w:rsid w:val="00234970"/>
    <w:rsid w:val="002349F9"/>
    <w:rsid w:val="0023508B"/>
    <w:rsid w:val="00237725"/>
    <w:rsid w:val="002407E9"/>
    <w:rsid w:val="00240A30"/>
    <w:rsid w:val="00241B0A"/>
    <w:rsid w:val="0024391B"/>
    <w:rsid w:val="00244299"/>
    <w:rsid w:val="0024525F"/>
    <w:rsid w:val="00247DCB"/>
    <w:rsid w:val="002565B1"/>
    <w:rsid w:val="00261342"/>
    <w:rsid w:val="002640EE"/>
    <w:rsid w:val="002644A0"/>
    <w:rsid w:val="00265CF1"/>
    <w:rsid w:val="00267BEB"/>
    <w:rsid w:val="00270BC8"/>
    <w:rsid w:val="00274D39"/>
    <w:rsid w:val="0027560B"/>
    <w:rsid w:val="002810CC"/>
    <w:rsid w:val="00283013"/>
    <w:rsid w:val="00283490"/>
    <w:rsid w:val="002842FA"/>
    <w:rsid w:val="002848A7"/>
    <w:rsid w:val="00285332"/>
    <w:rsid w:val="00286808"/>
    <w:rsid w:val="00287140"/>
    <w:rsid w:val="00287AC4"/>
    <w:rsid w:val="0029017C"/>
    <w:rsid w:val="00290698"/>
    <w:rsid w:val="00290EC0"/>
    <w:rsid w:val="002916B6"/>
    <w:rsid w:val="00292572"/>
    <w:rsid w:val="00293A70"/>
    <w:rsid w:val="00293DCF"/>
    <w:rsid w:val="002949E2"/>
    <w:rsid w:val="00294BA6"/>
    <w:rsid w:val="00296955"/>
    <w:rsid w:val="00297239"/>
    <w:rsid w:val="00297A5F"/>
    <w:rsid w:val="002A032F"/>
    <w:rsid w:val="002A2DA0"/>
    <w:rsid w:val="002A3563"/>
    <w:rsid w:val="002A3A74"/>
    <w:rsid w:val="002A55FA"/>
    <w:rsid w:val="002A6242"/>
    <w:rsid w:val="002B0A84"/>
    <w:rsid w:val="002B0F1F"/>
    <w:rsid w:val="002B2800"/>
    <w:rsid w:val="002B3EDB"/>
    <w:rsid w:val="002B5883"/>
    <w:rsid w:val="002B636D"/>
    <w:rsid w:val="002C0824"/>
    <w:rsid w:val="002C3B7C"/>
    <w:rsid w:val="002C3F2F"/>
    <w:rsid w:val="002C6326"/>
    <w:rsid w:val="002D07B3"/>
    <w:rsid w:val="002D0A7A"/>
    <w:rsid w:val="002D0D8E"/>
    <w:rsid w:val="002D2262"/>
    <w:rsid w:val="002D4377"/>
    <w:rsid w:val="002D44A8"/>
    <w:rsid w:val="002E1DB2"/>
    <w:rsid w:val="002E2764"/>
    <w:rsid w:val="002E3495"/>
    <w:rsid w:val="002E7CF5"/>
    <w:rsid w:val="002F1963"/>
    <w:rsid w:val="002F1B9C"/>
    <w:rsid w:val="002F3D4E"/>
    <w:rsid w:val="002F5F5E"/>
    <w:rsid w:val="002F66A7"/>
    <w:rsid w:val="002F7327"/>
    <w:rsid w:val="00302417"/>
    <w:rsid w:val="0030329B"/>
    <w:rsid w:val="003079D7"/>
    <w:rsid w:val="003100A0"/>
    <w:rsid w:val="003103F4"/>
    <w:rsid w:val="00311239"/>
    <w:rsid w:val="00311323"/>
    <w:rsid w:val="00313E90"/>
    <w:rsid w:val="00314745"/>
    <w:rsid w:val="0031575D"/>
    <w:rsid w:val="003215E8"/>
    <w:rsid w:val="0032230F"/>
    <w:rsid w:val="003270BD"/>
    <w:rsid w:val="00331676"/>
    <w:rsid w:val="0033214D"/>
    <w:rsid w:val="00332DBD"/>
    <w:rsid w:val="00333E39"/>
    <w:rsid w:val="00334304"/>
    <w:rsid w:val="00334E00"/>
    <w:rsid w:val="0033622C"/>
    <w:rsid w:val="0033689D"/>
    <w:rsid w:val="0033780F"/>
    <w:rsid w:val="00337DE4"/>
    <w:rsid w:val="00341D07"/>
    <w:rsid w:val="003425C4"/>
    <w:rsid w:val="003430C8"/>
    <w:rsid w:val="003435B9"/>
    <w:rsid w:val="00344953"/>
    <w:rsid w:val="003539B7"/>
    <w:rsid w:val="00354610"/>
    <w:rsid w:val="003573D9"/>
    <w:rsid w:val="0036236B"/>
    <w:rsid w:val="003624C9"/>
    <w:rsid w:val="00363348"/>
    <w:rsid w:val="0036375A"/>
    <w:rsid w:val="0036688F"/>
    <w:rsid w:val="003675E4"/>
    <w:rsid w:val="00367DF6"/>
    <w:rsid w:val="00370303"/>
    <w:rsid w:val="0037215C"/>
    <w:rsid w:val="003731D4"/>
    <w:rsid w:val="003737BD"/>
    <w:rsid w:val="00373D40"/>
    <w:rsid w:val="00375B44"/>
    <w:rsid w:val="00377CA7"/>
    <w:rsid w:val="0038173B"/>
    <w:rsid w:val="003876EF"/>
    <w:rsid w:val="00391D16"/>
    <w:rsid w:val="00393A87"/>
    <w:rsid w:val="003A02C2"/>
    <w:rsid w:val="003A0FD9"/>
    <w:rsid w:val="003A4E4A"/>
    <w:rsid w:val="003A68C8"/>
    <w:rsid w:val="003A6F74"/>
    <w:rsid w:val="003A7CF2"/>
    <w:rsid w:val="003B114C"/>
    <w:rsid w:val="003B38A9"/>
    <w:rsid w:val="003B396D"/>
    <w:rsid w:val="003B3F11"/>
    <w:rsid w:val="003B4EFD"/>
    <w:rsid w:val="003B578F"/>
    <w:rsid w:val="003B6D88"/>
    <w:rsid w:val="003C247E"/>
    <w:rsid w:val="003C6CB9"/>
    <w:rsid w:val="003C75B5"/>
    <w:rsid w:val="003D03C1"/>
    <w:rsid w:val="003D18CD"/>
    <w:rsid w:val="003D361D"/>
    <w:rsid w:val="003D5AD6"/>
    <w:rsid w:val="003D5F0A"/>
    <w:rsid w:val="003D69E7"/>
    <w:rsid w:val="003D7033"/>
    <w:rsid w:val="003D75EA"/>
    <w:rsid w:val="003D7908"/>
    <w:rsid w:val="003E71CC"/>
    <w:rsid w:val="003F0C1C"/>
    <w:rsid w:val="003F0D2E"/>
    <w:rsid w:val="003F112A"/>
    <w:rsid w:val="003F28F7"/>
    <w:rsid w:val="003F2A36"/>
    <w:rsid w:val="003F6A35"/>
    <w:rsid w:val="003F6A82"/>
    <w:rsid w:val="003F6DDF"/>
    <w:rsid w:val="003F785D"/>
    <w:rsid w:val="003F7B77"/>
    <w:rsid w:val="00400FBC"/>
    <w:rsid w:val="0040110F"/>
    <w:rsid w:val="00402289"/>
    <w:rsid w:val="004048D3"/>
    <w:rsid w:val="0040579D"/>
    <w:rsid w:val="00410EF0"/>
    <w:rsid w:val="00416C36"/>
    <w:rsid w:val="004171C2"/>
    <w:rsid w:val="00420570"/>
    <w:rsid w:val="004209AD"/>
    <w:rsid w:val="0042104D"/>
    <w:rsid w:val="00422CE3"/>
    <w:rsid w:val="00422DDA"/>
    <w:rsid w:val="004233C1"/>
    <w:rsid w:val="00424CFD"/>
    <w:rsid w:val="0042579A"/>
    <w:rsid w:val="00425902"/>
    <w:rsid w:val="004260F9"/>
    <w:rsid w:val="00430F8C"/>
    <w:rsid w:val="00431517"/>
    <w:rsid w:val="00431E90"/>
    <w:rsid w:val="0043217C"/>
    <w:rsid w:val="00435918"/>
    <w:rsid w:val="00442340"/>
    <w:rsid w:val="00446CF2"/>
    <w:rsid w:val="00450F2F"/>
    <w:rsid w:val="00451C7A"/>
    <w:rsid w:val="00452BAE"/>
    <w:rsid w:val="00453F46"/>
    <w:rsid w:val="0045582D"/>
    <w:rsid w:val="00455BAC"/>
    <w:rsid w:val="00460345"/>
    <w:rsid w:val="00464311"/>
    <w:rsid w:val="004646CB"/>
    <w:rsid w:val="00465F87"/>
    <w:rsid w:val="004661E5"/>
    <w:rsid w:val="0046726A"/>
    <w:rsid w:val="0047061D"/>
    <w:rsid w:val="00472CAC"/>
    <w:rsid w:val="0047430D"/>
    <w:rsid w:val="004747A0"/>
    <w:rsid w:val="00482091"/>
    <w:rsid w:val="004832D2"/>
    <w:rsid w:val="00483A0C"/>
    <w:rsid w:val="00486D96"/>
    <w:rsid w:val="004A3C14"/>
    <w:rsid w:val="004A4244"/>
    <w:rsid w:val="004A47F2"/>
    <w:rsid w:val="004A56A2"/>
    <w:rsid w:val="004A7385"/>
    <w:rsid w:val="004B2FCC"/>
    <w:rsid w:val="004B327B"/>
    <w:rsid w:val="004B3459"/>
    <w:rsid w:val="004B39C7"/>
    <w:rsid w:val="004B41FF"/>
    <w:rsid w:val="004B4831"/>
    <w:rsid w:val="004B5ECE"/>
    <w:rsid w:val="004B6C31"/>
    <w:rsid w:val="004C0A0F"/>
    <w:rsid w:val="004C0BF9"/>
    <w:rsid w:val="004C1E7B"/>
    <w:rsid w:val="004C41B3"/>
    <w:rsid w:val="004C6401"/>
    <w:rsid w:val="004D09AB"/>
    <w:rsid w:val="004D49E4"/>
    <w:rsid w:val="004E00D3"/>
    <w:rsid w:val="004E00D4"/>
    <w:rsid w:val="004E063C"/>
    <w:rsid w:val="004E4E24"/>
    <w:rsid w:val="004E5D2E"/>
    <w:rsid w:val="004E6993"/>
    <w:rsid w:val="004E6A36"/>
    <w:rsid w:val="004F2BD1"/>
    <w:rsid w:val="004F5CC9"/>
    <w:rsid w:val="004F7AAD"/>
    <w:rsid w:val="004F7EB2"/>
    <w:rsid w:val="0050056F"/>
    <w:rsid w:val="00503C0D"/>
    <w:rsid w:val="00503FDB"/>
    <w:rsid w:val="005044F8"/>
    <w:rsid w:val="005073F5"/>
    <w:rsid w:val="005075C5"/>
    <w:rsid w:val="00507922"/>
    <w:rsid w:val="00507DB8"/>
    <w:rsid w:val="0051017E"/>
    <w:rsid w:val="005101EA"/>
    <w:rsid w:val="00511D85"/>
    <w:rsid w:val="005129D3"/>
    <w:rsid w:val="005136C5"/>
    <w:rsid w:val="0052185B"/>
    <w:rsid w:val="00523BA6"/>
    <w:rsid w:val="00523F63"/>
    <w:rsid w:val="00526619"/>
    <w:rsid w:val="00530D2E"/>
    <w:rsid w:val="00530E8B"/>
    <w:rsid w:val="0053247C"/>
    <w:rsid w:val="00533BD4"/>
    <w:rsid w:val="005353C1"/>
    <w:rsid w:val="00537818"/>
    <w:rsid w:val="00545F4B"/>
    <w:rsid w:val="00550F0B"/>
    <w:rsid w:val="00551737"/>
    <w:rsid w:val="005533DB"/>
    <w:rsid w:val="005542BF"/>
    <w:rsid w:val="00556B6E"/>
    <w:rsid w:val="00557F50"/>
    <w:rsid w:val="00560887"/>
    <w:rsid w:val="00561248"/>
    <w:rsid w:val="00562FD3"/>
    <w:rsid w:val="00565DF2"/>
    <w:rsid w:val="00571A87"/>
    <w:rsid w:val="00571F88"/>
    <w:rsid w:val="00571FF3"/>
    <w:rsid w:val="00572D6E"/>
    <w:rsid w:val="00574E3F"/>
    <w:rsid w:val="00575E0A"/>
    <w:rsid w:val="00576C72"/>
    <w:rsid w:val="00577315"/>
    <w:rsid w:val="00580744"/>
    <w:rsid w:val="00584315"/>
    <w:rsid w:val="00584BD4"/>
    <w:rsid w:val="00586D93"/>
    <w:rsid w:val="005876BB"/>
    <w:rsid w:val="00590F43"/>
    <w:rsid w:val="00591EB4"/>
    <w:rsid w:val="005924BD"/>
    <w:rsid w:val="00592A6D"/>
    <w:rsid w:val="005A05A6"/>
    <w:rsid w:val="005A49A5"/>
    <w:rsid w:val="005A5A1C"/>
    <w:rsid w:val="005A65E5"/>
    <w:rsid w:val="005A7F24"/>
    <w:rsid w:val="005B09A7"/>
    <w:rsid w:val="005B1F33"/>
    <w:rsid w:val="005B2579"/>
    <w:rsid w:val="005B2934"/>
    <w:rsid w:val="005B2B0D"/>
    <w:rsid w:val="005B3367"/>
    <w:rsid w:val="005B5DDE"/>
    <w:rsid w:val="005B640F"/>
    <w:rsid w:val="005B6626"/>
    <w:rsid w:val="005B6886"/>
    <w:rsid w:val="005C12A6"/>
    <w:rsid w:val="005C17AB"/>
    <w:rsid w:val="005C2E7B"/>
    <w:rsid w:val="005C4500"/>
    <w:rsid w:val="005C475B"/>
    <w:rsid w:val="005C484E"/>
    <w:rsid w:val="005C5EE7"/>
    <w:rsid w:val="005C6B99"/>
    <w:rsid w:val="005D24DF"/>
    <w:rsid w:val="005D348E"/>
    <w:rsid w:val="005D4052"/>
    <w:rsid w:val="005D4D82"/>
    <w:rsid w:val="005D5287"/>
    <w:rsid w:val="005E15FE"/>
    <w:rsid w:val="005E36C4"/>
    <w:rsid w:val="005E380A"/>
    <w:rsid w:val="005E3A49"/>
    <w:rsid w:val="005E5518"/>
    <w:rsid w:val="005E62CE"/>
    <w:rsid w:val="005E650B"/>
    <w:rsid w:val="005E70F5"/>
    <w:rsid w:val="005E73DC"/>
    <w:rsid w:val="005F10BB"/>
    <w:rsid w:val="005F1D06"/>
    <w:rsid w:val="005F5E67"/>
    <w:rsid w:val="005F74FE"/>
    <w:rsid w:val="0060141E"/>
    <w:rsid w:val="00603A99"/>
    <w:rsid w:val="00604234"/>
    <w:rsid w:val="0061012E"/>
    <w:rsid w:val="00612E37"/>
    <w:rsid w:val="0061423C"/>
    <w:rsid w:val="0061512B"/>
    <w:rsid w:val="006241FA"/>
    <w:rsid w:val="00624258"/>
    <w:rsid w:val="0062511C"/>
    <w:rsid w:val="00626090"/>
    <w:rsid w:val="0062704D"/>
    <w:rsid w:val="00630138"/>
    <w:rsid w:val="0063074B"/>
    <w:rsid w:val="00630F75"/>
    <w:rsid w:val="006341D8"/>
    <w:rsid w:val="0063583E"/>
    <w:rsid w:val="00635CF2"/>
    <w:rsid w:val="00636B6E"/>
    <w:rsid w:val="00636E00"/>
    <w:rsid w:val="006403CB"/>
    <w:rsid w:val="00640EE5"/>
    <w:rsid w:val="0064127A"/>
    <w:rsid w:val="006420CF"/>
    <w:rsid w:val="00642E6A"/>
    <w:rsid w:val="00645403"/>
    <w:rsid w:val="0064619A"/>
    <w:rsid w:val="00646B8E"/>
    <w:rsid w:val="00646E74"/>
    <w:rsid w:val="00650D24"/>
    <w:rsid w:val="0065374D"/>
    <w:rsid w:val="006543F2"/>
    <w:rsid w:val="00655279"/>
    <w:rsid w:val="00655AA3"/>
    <w:rsid w:val="006566E7"/>
    <w:rsid w:val="00657912"/>
    <w:rsid w:val="00657A9E"/>
    <w:rsid w:val="00660604"/>
    <w:rsid w:val="00661D87"/>
    <w:rsid w:val="006664BF"/>
    <w:rsid w:val="00667511"/>
    <w:rsid w:val="00672573"/>
    <w:rsid w:val="006738B9"/>
    <w:rsid w:val="0067521A"/>
    <w:rsid w:val="00675E39"/>
    <w:rsid w:val="0067642B"/>
    <w:rsid w:val="00677F44"/>
    <w:rsid w:val="00681134"/>
    <w:rsid w:val="00681A49"/>
    <w:rsid w:val="006824D1"/>
    <w:rsid w:val="00682D4F"/>
    <w:rsid w:val="00686365"/>
    <w:rsid w:val="00687606"/>
    <w:rsid w:val="006934E7"/>
    <w:rsid w:val="00695FD1"/>
    <w:rsid w:val="0069766C"/>
    <w:rsid w:val="006A14A1"/>
    <w:rsid w:val="006A15AB"/>
    <w:rsid w:val="006A1ABF"/>
    <w:rsid w:val="006A2645"/>
    <w:rsid w:val="006A34F4"/>
    <w:rsid w:val="006A452F"/>
    <w:rsid w:val="006B2172"/>
    <w:rsid w:val="006B4861"/>
    <w:rsid w:val="006B4ACA"/>
    <w:rsid w:val="006B7502"/>
    <w:rsid w:val="006C008F"/>
    <w:rsid w:val="006C1D77"/>
    <w:rsid w:val="006C2407"/>
    <w:rsid w:val="006C242A"/>
    <w:rsid w:val="006C27EB"/>
    <w:rsid w:val="006C2B71"/>
    <w:rsid w:val="006C2E85"/>
    <w:rsid w:val="006C3715"/>
    <w:rsid w:val="006C3D6A"/>
    <w:rsid w:val="006C425D"/>
    <w:rsid w:val="006C528A"/>
    <w:rsid w:val="006C5395"/>
    <w:rsid w:val="006C571B"/>
    <w:rsid w:val="006D0C8D"/>
    <w:rsid w:val="006D356D"/>
    <w:rsid w:val="006D5493"/>
    <w:rsid w:val="006D5611"/>
    <w:rsid w:val="006D6665"/>
    <w:rsid w:val="006D671B"/>
    <w:rsid w:val="006D6ABD"/>
    <w:rsid w:val="006E0064"/>
    <w:rsid w:val="006E0261"/>
    <w:rsid w:val="006E0B34"/>
    <w:rsid w:val="006E0D6D"/>
    <w:rsid w:val="006E1BA8"/>
    <w:rsid w:val="006E2B69"/>
    <w:rsid w:val="006E322D"/>
    <w:rsid w:val="006E3EAA"/>
    <w:rsid w:val="006E4B5C"/>
    <w:rsid w:val="006E73FF"/>
    <w:rsid w:val="006F04ED"/>
    <w:rsid w:val="006F0ADC"/>
    <w:rsid w:val="006F31CF"/>
    <w:rsid w:val="006F4D82"/>
    <w:rsid w:val="006F6FB5"/>
    <w:rsid w:val="006F7D60"/>
    <w:rsid w:val="007010A8"/>
    <w:rsid w:val="007029EC"/>
    <w:rsid w:val="00703881"/>
    <w:rsid w:val="00703A7C"/>
    <w:rsid w:val="00706E38"/>
    <w:rsid w:val="00707F17"/>
    <w:rsid w:val="0071117E"/>
    <w:rsid w:val="0071262A"/>
    <w:rsid w:val="007156F1"/>
    <w:rsid w:val="007163C3"/>
    <w:rsid w:val="00717CB5"/>
    <w:rsid w:val="007215EF"/>
    <w:rsid w:val="00721E5A"/>
    <w:rsid w:val="00726294"/>
    <w:rsid w:val="00727208"/>
    <w:rsid w:val="007311B3"/>
    <w:rsid w:val="0073237D"/>
    <w:rsid w:val="00732574"/>
    <w:rsid w:val="007326C7"/>
    <w:rsid w:val="00732A7D"/>
    <w:rsid w:val="00733834"/>
    <w:rsid w:val="007341D4"/>
    <w:rsid w:val="007342B8"/>
    <w:rsid w:val="00736388"/>
    <w:rsid w:val="0073648B"/>
    <w:rsid w:val="00736DE0"/>
    <w:rsid w:val="0073708A"/>
    <w:rsid w:val="007400E4"/>
    <w:rsid w:val="00740826"/>
    <w:rsid w:val="00740E6F"/>
    <w:rsid w:val="00745B32"/>
    <w:rsid w:val="00746171"/>
    <w:rsid w:val="00746D70"/>
    <w:rsid w:val="00747AB2"/>
    <w:rsid w:val="00752AE2"/>
    <w:rsid w:val="007566C0"/>
    <w:rsid w:val="00756FE4"/>
    <w:rsid w:val="007603FA"/>
    <w:rsid w:val="007649C7"/>
    <w:rsid w:val="0076564B"/>
    <w:rsid w:val="007659B2"/>
    <w:rsid w:val="00767BFD"/>
    <w:rsid w:val="00770DD0"/>
    <w:rsid w:val="0077368D"/>
    <w:rsid w:val="00773F76"/>
    <w:rsid w:val="007743AC"/>
    <w:rsid w:val="00774A1A"/>
    <w:rsid w:val="00775C5F"/>
    <w:rsid w:val="007821D6"/>
    <w:rsid w:val="00783BD2"/>
    <w:rsid w:val="00784517"/>
    <w:rsid w:val="00787404"/>
    <w:rsid w:val="00792263"/>
    <w:rsid w:val="007930CF"/>
    <w:rsid w:val="007947C2"/>
    <w:rsid w:val="007A13DA"/>
    <w:rsid w:val="007A3B47"/>
    <w:rsid w:val="007A3C6D"/>
    <w:rsid w:val="007A54D2"/>
    <w:rsid w:val="007A6852"/>
    <w:rsid w:val="007A7611"/>
    <w:rsid w:val="007B19ED"/>
    <w:rsid w:val="007B3D2E"/>
    <w:rsid w:val="007B5139"/>
    <w:rsid w:val="007B56A4"/>
    <w:rsid w:val="007B691E"/>
    <w:rsid w:val="007B74BA"/>
    <w:rsid w:val="007B773E"/>
    <w:rsid w:val="007C272C"/>
    <w:rsid w:val="007C4A7E"/>
    <w:rsid w:val="007C506E"/>
    <w:rsid w:val="007C520E"/>
    <w:rsid w:val="007C736A"/>
    <w:rsid w:val="007D11E5"/>
    <w:rsid w:val="007D31C4"/>
    <w:rsid w:val="007D4846"/>
    <w:rsid w:val="007D5585"/>
    <w:rsid w:val="007D5635"/>
    <w:rsid w:val="007D5E60"/>
    <w:rsid w:val="007D714B"/>
    <w:rsid w:val="007D7A04"/>
    <w:rsid w:val="007E1739"/>
    <w:rsid w:val="007E2D4E"/>
    <w:rsid w:val="007E3505"/>
    <w:rsid w:val="007E3D03"/>
    <w:rsid w:val="007E4410"/>
    <w:rsid w:val="007E4C3D"/>
    <w:rsid w:val="007E557A"/>
    <w:rsid w:val="007E575B"/>
    <w:rsid w:val="007E6080"/>
    <w:rsid w:val="007E60E0"/>
    <w:rsid w:val="007E6803"/>
    <w:rsid w:val="007E6F52"/>
    <w:rsid w:val="007F2517"/>
    <w:rsid w:val="007F3F1D"/>
    <w:rsid w:val="007F6B89"/>
    <w:rsid w:val="007F6C47"/>
    <w:rsid w:val="00801962"/>
    <w:rsid w:val="0080222C"/>
    <w:rsid w:val="00804F32"/>
    <w:rsid w:val="00806A03"/>
    <w:rsid w:val="00806DD9"/>
    <w:rsid w:val="00807985"/>
    <w:rsid w:val="00813465"/>
    <w:rsid w:val="008135F5"/>
    <w:rsid w:val="00814A7F"/>
    <w:rsid w:val="00814D4B"/>
    <w:rsid w:val="008154B0"/>
    <w:rsid w:val="00816137"/>
    <w:rsid w:val="00816F12"/>
    <w:rsid w:val="0081718B"/>
    <w:rsid w:val="008200BA"/>
    <w:rsid w:val="008205CB"/>
    <w:rsid w:val="00820EE9"/>
    <w:rsid w:val="00821331"/>
    <w:rsid w:val="00823C26"/>
    <w:rsid w:val="0082461B"/>
    <w:rsid w:val="008249D0"/>
    <w:rsid w:val="00825174"/>
    <w:rsid w:val="00825F0D"/>
    <w:rsid w:val="0083241B"/>
    <w:rsid w:val="008336B3"/>
    <w:rsid w:val="00833DC3"/>
    <w:rsid w:val="0083407C"/>
    <w:rsid w:val="00840246"/>
    <w:rsid w:val="008448F6"/>
    <w:rsid w:val="00847C67"/>
    <w:rsid w:val="00847FF0"/>
    <w:rsid w:val="008522F0"/>
    <w:rsid w:val="00853007"/>
    <w:rsid w:val="00854DC6"/>
    <w:rsid w:val="008576AC"/>
    <w:rsid w:val="008578EB"/>
    <w:rsid w:val="00860B38"/>
    <w:rsid w:val="00861767"/>
    <w:rsid w:val="00861B06"/>
    <w:rsid w:val="00863E09"/>
    <w:rsid w:val="00864799"/>
    <w:rsid w:val="008650DB"/>
    <w:rsid w:val="00866374"/>
    <w:rsid w:val="008666F1"/>
    <w:rsid w:val="00867F3D"/>
    <w:rsid w:val="00873732"/>
    <w:rsid w:val="00874279"/>
    <w:rsid w:val="00881FEB"/>
    <w:rsid w:val="00882123"/>
    <w:rsid w:val="00883A8A"/>
    <w:rsid w:val="0088443C"/>
    <w:rsid w:val="00884E35"/>
    <w:rsid w:val="008852F2"/>
    <w:rsid w:val="0089277C"/>
    <w:rsid w:val="00893BA2"/>
    <w:rsid w:val="00894295"/>
    <w:rsid w:val="008947E4"/>
    <w:rsid w:val="008963AC"/>
    <w:rsid w:val="008A2EDC"/>
    <w:rsid w:val="008A3DD1"/>
    <w:rsid w:val="008B0AFB"/>
    <w:rsid w:val="008B2CF4"/>
    <w:rsid w:val="008B34A4"/>
    <w:rsid w:val="008B396E"/>
    <w:rsid w:val="008B53B5"/>
    <w:rsid w:val="008B5ECF"/>
    <w:rsid w:val="008B6367"/>
    <w:rsid w:val="008C0ACE"/>
    <w:rsid w:val="008C1A66"/>
    <w:rsid w:val="008C2CA3"/>
    <w:rsid w:val="008C318B"/>
    <w:rsid w:val="008C3C21"/>
    <w:rsid w:val="008C42C9"/>
    <w:rsid w:val="008C4793"/>
    <w:rsid w:val="008C499F"/>
    <w:rsid w:val="008C5106"/>
    <w:rsid w:val="008C5449"/>
    <w:rsid w:val="008C79DB"/>
    <w:rsid w:val="008D1265"/>
    <w:rsid w:val="008D1FA3"/>
    <w:rsid w:val="008D56DD"/>
    <w:rsid w:val="008D7144"/>
    <w:rsid w:val="008E0AD4"/>
    <w:rsid w:val="008E160E"/>
    <w:rsid w:val="008E3524"/>
    <w:rsid w:val="008E39D1"/>
    <w:rsid w:val="008E61CE"/>
    <w:rsid w:val="008E7816"/>
    <w:rsid w:val="008F028A"/>
    <w:rsid w:val="008F26F0"/>
    <w:rsid w:val="008F434A"/>
    <w:rsid w:val="008F52C8"/>
    <w:rsid w:val="008F797E"/>
    <w:rsid w:val="009005C4"/>
    <w:rsid w:val="00902445"/>
    <w:rsid w:val="009028A6"/>
    <w:rsid w:val="009037E3"/>
    <w:rsid w:val="00905852"/>
    <w:rsid w:val="00907226"/>
    <w:rsid w:val="0090731E"/>
    <w:rsid w:val="00907679"/>
    <w:rsid w:val="00907C61"/>
    <w:rsid w:val="00914476"/>
    <w:rsid w:val="00914514"/>
    <w:rsid w:val="00915889"/>
    <w:rsid w:val="0091680C"/>
    <w:rsid w:val="009170FF"/>
    <w:rsid w:val="009205F6"/>
    <w:rsid w:val="00920D65"/>
    <w:rsid w:val="009219D3"/>
    <w:rsid w:val="00923D75"/>
    <w:rsid w:val="00927131"/>
    <w:rsid w:val="009310FC"/>
    <w:rsid w:val="0093186F"/>
    <w:rsid w:val="009329A8"/>
    <w:rsid w:val="009329EB"/>
    <w:rsid w:val="009339B2"/>
    <w:rsid w:val="009347AD"/>
    <w:rsid w:val="00935092"/>
    <w:rsid w:val="00935813"/>
    <w:rsid w:val="00936768"/>
    <w:rsid w:val="0093768B"/>
    <w:rsid w:val="00940EA6"/>
    <w:rsid w:val="00940F08"/>
    <w:rsid w:val="009446D4"/>
    <w:rsid w:val="00944A19"/>
    <w:rsid w:val="00950116"/>
    <w:rsid w:val="00950F0B"/>
    <w:rsid w:val="00953693"/>
    <w:rsid w:val="0095482A"/>
    <w:rsid w:val="009559E4"/>
    <w:rsid w:val="00956870"/>
    <w:rsid w:val="00956A09"/>
    <w:rsid w:val="00960816"/>
    <w:rsid w:val="0096152B"/>
    <w:rsid w:val="009657CF"/>
    <w:rsid w:val="00971B56"/>
    <w:rsid w:val="0097700E"/>
    <w:rsid w:val="00977E87"/>
    <w:rsid w:val="00980E36"/>
    <w:rsid w:val="00982331"/>
    <w:rsid w:val="00986A2A"/>
    <w:rsid w:val="00986ABD"/>
    <w:rsid w:val="0099028D"/>
    <w:rsid w:val="00990919"/>
    <w:rsid w:val="0099168E"/>
    <w:rsid w:val="00992708"/>
    <w:rsid w:val="009935F3"/>
    <w:rsid w:val="0099537A"/>
    <w:rsid w:val="00995D49"/>
    <w:rsid w:val="0099769A"/>
    <w:rsid w:val="00997B66"/>
    <w:rsid w:val="009A1810"/>
    <w:rsid w:val="009A44B9"/>
    <w:rsid w:val="009A4EA9"/>
    <w:rsid w:val="009B1EFA"/>
    <w:rsid w:val="009B1F8E"/>
    <w:rsid w:val="009B2BA2"/>
    <w:rsid w:val="009B3F51"/>
    <w:rsid w:val="009B4782"/>
    <w:rsid w:val="009B48B8"/>
    <w:rsid w:val="009C19DD"/>
    <w:rsid w:val="009C3537"/>
    <w:rsid w:val="009C57C4"/>
    <w:rsid w:val="009C63CA"/>
    <w:rsid w:val="009C6A3D"/>
    <w:rsid w:val="009D01A2"/>
    <w:rsid w:val="009D1172"/>
    <w:rsid w:val="009D1822"/>
    <w:rsid w:val="009D1DA5"/>
    <w:rsid w:val="009D1DAA"/>
    <w:rsid w:val="009D2FB9"/>
    <w:rsid w:val="009D33CD"/>
    <w:rsid w:val="009D35D8"/>
    <w:rsid w:val="009D447E"/>
    <w:rsid w:val="009D5FF5"/>
    <w:rsid w:val="009D604E"/>
    <w:rsid w:val="009D72EB"/>
    <w:rsid w:val="009E144B"/>
    <w:rsid w:val="009E222D"/>
    <w:rsid w:val="009E3B08"/>
    <w:rsid w:val="009E4166"/>
    <w:rsid w:val="009E4B16"/>
    <w:rsid w:val="009E68B7"/>
    <w:rsid w:val="009E7568"/>
    <w:rsid w:val="009F2BB8"/>
    <w:rsid w:val="009F578C"/>
    <w:rsid w:val="00A00FD3"/>
    <w:rsid w:val="00A014E4"/>
    <w:rsid w:val="00A01FA1"/>
    <w:rsid w:val="00A02A40"/>
    <w:rsid w:val="00A07087"/>
    <w:rsid w:val="00A07201"/>
    <w:rsid w:val="00A0733F"/>
    <w:rsid w:val="00A106BB"/>
    <w:rsid w:val="00A11585"/>
    <w:rsid w:val="00A14189"/>
    <w:rsid w:val="00A15C88"/>
    <w:rsid w:val="00A167E0"/>
    <w:rsid w:val="00A16D98"/>
    <w:rsid w:val="00A17146"/>
    <w:rsid w:val="00A22FA0"/>
    <w:rsid w:val="00A236F6"/>
    <w:rsid w:val="00A248C1"/>
    <w:rsid w:val="00A24FEF"/>
    <w:rsid w:val="00A2566C"/>
    <w:rsid w:val="00A26EB2"/>
    <w:rsid w:val="00A336C0"/>
    <w:rsid w:val="00A33A26"/>
    <w:rsid w:val="00A37C46"/>
    <w:rsid w:val="00A41A37"/>
    <w:rsid w:val="00A41BB3"/>
    <w:rsid w:val="00A430EF"/>
    <w:rsid w:val="00A43FF7"/>
    <w:rsid w:val="00A46684"/>
    <w:rsid w:val="00A517D5"/>
    <w:rsid w:val="00A51E98"/>
    <w:rsid w:val="00A520F0"/>
    <w:rsid w:val="00A55F5E"/>
    <w:rsid w:val="00A57682"/>
    <w:rsid w:val="00A57760"/>
    <w:rsid w:val="00A57D79"/>
    <w:rsid w:val="00A57E42"/>
    <w:rsid w:val="00A617C0"/>
    <w:rsid w:val="00A61CFC"/>
    <w:rsid w:val="00A654AE"/>
    <w:rsid w:val="00A65E5C"/>
    <w:rsid w:val="00A710C6"/>
    <w:rsid w:val="00A7186C"/>
    <w:rsid w:val="00A72008"/>
    <w:rsid w:val="00A7402A"/>
    <w:rsid w:val="00A750C8"/>
    <w:rsid w:val="00A75489"/>
    <w:rsid w:val="00A81277"/>
    <w:rsid w:val="00A81D65"/>
    <w:rsid w:val="00A86B46"/>
    <w:rsid w:val="00A87BEC"/>
    <w:rsid w:val="00A90025"/>
    <w:rsid w:val="00A9088C"/>
    <w:rsid w:val="00A93740"/>
    <w:rsid w:val="00A9405D"/>
    <w:rsid w:val="00A97E28"/>
    <w:rsid w:val="00AA1175"/>
    <w:rsid w:val="00AA511E"/>
    <w:rsid w:val="00AA7158"/>
    <w:rsid w:val="00AA72DD"/>
    <w:rsid w:val="00AB0547"/>
    <w:rsid w:val="00AB161E"/>
    <w:rsid w:val="00AB36F7"/>
    <w:rsid w:val="00AB5655"/>
    <w:rsid w:val="00AB5EE4"/>
    <w:rsid w:val="00AB6193"/>
    <w:rsid w:val="00AC0B0B"/>
    <w:rsid w:val="00AC0BF1"/>
    <w:rsid w:val="00AC422C"/>
    <w:rsid w:val="00AC443A"/>
    <w:rsid w:val="00AC6543"/>
    <w:rsid w:val="00AC7080"/>
    <w:rsid w:val="00AC73A5"/>
    <w:rsid w:val="00AC76E0"/>
    <w:rsid w:val="00AC78F7"/>
    <w:rsid w:val="00AD1561"/>
    <w:rsid w:val="00AD1E46"/>
    <w:rsid w:val="00AD341D"/>
    <w:rsid w:val="00AD39A1"/>
    <w:rsid w:val="00AD3A20"/>
    <w:rsid w:val="00AD3A8E"/>
    <w:rsid w:val="00AD3BEF"/>
    <w:rsid w:val="00AD4529"/>
    <w:rsid w:val="00AD6CD7"/>
    <w:rsid w:val="00AE1E32"/>
    <w:rsid w:val="00AE4FC6"/>
    <w:rsid w:val="00AE7158"/>
    <w:rsid w:val="00AF0460"/>
    <w:rsid w:val="00AF1B27"/>
    <w:rsid w:val="00AF387E"/>
    <w:rsid w:val="00AF639A"/>
    <w:rsid w:val="00B00078"/>
    <w:rsid w:val="00B04940"/>
    <w:rsid w:val="00B05DAF"/>
    <w:rsid w:val="00B07156"/>
    <w:rsid w:val="00B07511"/>
    <w:rsid w:val="00B12464"/>
    <w:rsid w:val="00B12964"/>
    <w:rsid w:val="00B13656"/>
    <w:rsid w:val="00B141C7"/>
    <w:rsid w:val="00B169BB"/>
    <w:rsid w:val="00B16B43"/>
    <w:rsid w:val="00B16F30"/>
    <w:rsid w:val="00B2322A"/>
    <w:rsid w:val="00B31910"/>
    <w:rsid w:val="00B33F42"/>
    <w:rsid w:val="00B3401D"/>
    <w:rsid w:val="00B400FD"/>
    <w:rsid w:val="00B4046A"/>
    <w:rsid w:val="00B410AB"/>
    <w:rsid w:val="00B417AF"/>
    <w:rsid w:val="00B41938"/>
    <w:rsid w:val="00B42124"/>
    <w:rsid w:val="00B43751"/>
    <w:rsid w:val="00B446C8"/>
    <w:rsid w:val="00B44881"/>
    <w:rsid w:val="00B45F1F"/>
    <w:rsid w:val="00B4711F"/>
    <w:rsid w:val="00B47949"/>
    <w:rsid w:val="00B50A32"/>
    <w:rsid w:val="00B534B9"/>
    <w:rsid w:val="00B53882"/>
    <w:rsid w:val="00B53AEA"/>
    <w:rsid w:val="00B548D8"/>
    <w:rsid w:val="00B55CB2"/>
    <w:rsid w:val="00B562F7"/>
    <w:rsid w:val="00B5794A"/>
    <w:rsid w:val="00B6158A"/>
    <w:rsid w:val="00B63286"/>
    <w:rsid w:val="00B64DE7"/>
    <w:rsid w:val="00B65D5A"/>
    <w:rsid w:val="00B7542E"/>
    <w:rsid w:val="00B754E3"/>
    <w:rsid w:val="00B76382"/>
    <w:rsid w:val="00B8084F"/>
    <w:rsid w:val="00B81A27"/>
    <w:rsid w:val="00B8489A"/>
    <w:rsid w:val="00B856CC"/>
    <w:rsid w:val="00B862DC"/>
    <w:rsid w:val="00B877E6"/>
    <w:rsid w:val="00B933DC"/>
    <w:rsid w:val="00B94F7B"/>
    <w:rsid w:val="00B955C3"/>
    <w:rsid w:val="00B96211"/>
    <w:rsid w:val="00B969B6"/>
    <w:rsid w:val="00B97308"/>
    <w:rsid w:val="00BA0A4B"/>
    <w:rsid w:val="00BA0DFD"/>
    <w:rsid w:val="00BA10B6"/>
    <w:rsid w:val="00BA1AE4"/>
    <w:rsid w:val="00BA4613"/>
    <w:rsid w:val="00BA517F"/>
    <w:rsid w:val="00BA6C73"/>
    <w:rsid w:val="00BA7743"/>
    <w:rsid w:val="00BB418A"/>
    <w:rsid w:val="00BB505D"/>
    <w:rsid w:val="00BB70C7"/>
    <w:rsid w:val="00BB7773"/>
    <w:rsid w:val="00BC09E7"/>
    <w:rsid w:val="00BC0DD7"/>
    <w:rsid w:val="00BC1885"/>
    <w:rsid w:val="00BC20BF"/>
    <w:rsid w:val="00BC2894"/>
    <w:rsid w:val="00BC51D5"/>
    <w:rsid w:val="00BC6625"/>
    <w:rsid w:val="00BD060F"/>
    <w:rsid w:val="00BD311E"/>
    <w:rsid w:val="00BD3579"/>
    <w:rsid w:val="00BD3CC7"/>
    <w:rsid w:val="00BD4E9D"/>
    <w:rsid w:val="00BD6D0B"/>
    <w:rsid w:val="00BE0AAE"/>
    <w:rsid w:val="00BE244E"/>
    <w:rsid w:val="00BE5415"/>
    <w:rsid w:val="00BE78A0"/>
    <w:rsid w:val="00BE7EC3"/>
    <w:rsid w:val="00BF0D5B"/>
    <w:rsid w:val="00BF0D64"/>
    <w:rsid w:val="00BF21CB"/>
    <w:rsid w:val="00BF2D34"/>
    <w:rsid w:val="00BF3BCD"/>
    <w:rsid w:val="00BF4EC1"/>
    <w:rsid w:val="00BF632E"/>
    <w:rsid w:val="00BF6E32"/>
    <w:rsid w:val="00C02B4B"/>
    <w:rsid w:val="00C02BCD"/>
    <w:rsid w:val="00C03D5B"/>
    <w:rsid w:val="00C05C96"/>
    <w:rsid w:val="00C064AD"/>
    <w:rsid w:val="00C0691C"/>
    <w:rsid w:val="00C0736F"/>
    <w:rsid w:val="00C07ACD"/>
    <w:rsid w:val="00C117CB"/>
    <w:rsid w:val="00C11C62"/>
    <w:rsid w:val="00C122DF"/>
    <w:rsid w:val="00C14A07"/>
    <w:rsid w:val="00C14A6C"/>
    <w:rsid w:val="00C14AF5"/>
    <w:rsid w:val="00C168B7"/>
    <w:rsid w:val="00C21B61"/>
    <w:rsid w:val="00C25304"/>
    <w:rsid w:val="00C26CFD"/>
    <w:rsid w:val="00C27ABE"/>
    <w:rsid w:val="00C33147"/>
    <w:rsid w:val="00C3404F"/>
    <w:rsid w:val="00C34671"/>
    <w:rsid w:val="00C367C8"/>
    <w:rsid w:val="00C37F6C"/>
    <w:rsid w:val="00C42819"/>
    <w:rsid w:val="00C42C5C"/>
    <w:rsid w:val="00C4359A"/>
    <w:rsid w:val="00C467A2"/>
    <w:rsid w:val="00C47767"/>
    <w:rsid w:val="00C5084F"/>
    <w:rsid w:val="00C53EE5"/>
    <w:rsid w:val="00C54D63"/>
    <w:rsid w:val="00C555AE"/>
    <w:rsid w:val="00C5580E"/>
    <w:rsid w:val="00C60089"/>
    <w:rsid w:val="00C64315"/>
    <w:rsid w:val="00C64FAA"/>
    <w:rsid w:val="00C655FF"/>
    <w:rsid w:val="00C66AB3"/>
    <w:rsid w:val="00C67269"/>
    <w:rsid w:val="00C7134F"/>
    <w:rsid w:val="00C72A68"/>
    <w:rsid w:val="00C80433"/>
    <w:rsid w:val="00C821D3"/>
    <w:rsid w:val="00C82720"/>
    <w:rsid w:val="00C834E9"/>
    <w:rsid w:val="00C84925"/>
    <w:rsid w:val="00C84F26"/>
    <w:rsid w:val="00C86AD8"/>
    <w:rsid w:val="00C87714"/>
    <w:rsid w:val="00C92E9E"/>
    <w:rsid w:val="00C93F61"/>
    <w:rsid w:val="00C9486B"/>
    <w:rsid w:val="00C94CFB"/>
    <w:rsid w:val="00C95526"/>
    <w:rsid w:val="00C95E27"/>
    <w:rsid w:val="00C97D30"/>
    <w:rsid w:val="00CA0523"/>
    <w:rsid w:val="00CA14A8"/>
    <w:rsid w:val="00CA1702"/>
    <w:rsid w:val="00CA2B6F"/>
    <w:rsid w:val="00CA2EB2"/>
    <w:rsid w:val="00CA39F8"/>
    <w:rsid w:val="00CA4100"/>
    <w:rsid w:val="00CA55E4"/>
    <w:rsid w:val="00CA78F6"/>
    <w:rsid w:val="00CB103E"/>
    <w:rsid w:val="00CB39A1"/>
    <w:rsid w:val="00CB5B01"/>
    <w:rsid w:val="00CB7C46"/>
    <w:rsid w:val="00CC12EE"/>
    <w:rsid w:val="00CC25E8"/>
    <w:rsid w:val="00CC2925"/>
    <w:rsid w:val="00CC4611"/>
    <w:rsid w:val="00CC5137"/>
    <w:rsid w:val="00CC7636"/>
    <w:rsid w:val="00CD0E13"/>
    <w:rsid w:val="00CD1D68"/>
    <w:rsid w:val="00CD2BCA"/>
    <w:rsid w:val="00CD3217"/>
    <w:rsid w:val="00CD393A"/>
    <w:rsid w:val="00CD7CB1"/>
    <w:rsid w:val="00CD7EC3"/>
    <w:rsid w:val="00CE1189"/>
    <w:rsid w:val="00CE158A"/>
    <w:rsid w:val="00CE3D1D"/>
    <w:rsid w:val="00CE5851"/>
    <w:rsid w:val="00CE6D87"/>
    <w:rsid w:val="00CE7D24"/>
    <w:rsid w:val="00CE7FFA"/>
    <w:rsid w:val="00CF056B"/>
    <w:rsid w:val="00CF2C43"/>
    <w:rsid w:val="00CF5F37"/>
    <w:rsid w:val="00CF6376"/>
    <w:rsid w:val="00CF6A2F"/>
    <w:rsid w:val="00CF6C77"/>
    <w:rsid w:val="00D02C37"/>
    <w:rsid w:val="00D04366"/>
    <w:rsid w:val="00D0485A"/>
    <w:rsid w:val="00D051EC"/>
    <w:rsid w:val="00D05616"/>
    <w:rsid w:val="00D067ED"/>
    <w:rsid w:val="00D0736F"/>
    <w:rsid w:val="00D078EA"/>
    <w:rsid w:val="00D108F8"/>
    <w:rsid w:val="00D11401"/>
    <w:rsid w:val="00D11CC5"/>
    <w:rsid w:val="00D1275A"/>
    <w:rsid w:val="00D20824"/>
    <w:rsid w:val="00D222BC"/>
    <w:rsid w:val="00D225DF"/>
    <w:rsid w:val="00D25F2F"/>
    <w:rsid w:val="00D26346"/>
    <w:rsid w:val="00D26A82"/>
    <w:rsid w:val="00D27178"/>
    <w:rsid w:val="00D273F1"/>
    <w:rsid w:val="00D30258"/>
    <w:rsid w:val="00D349DA"/>
    <w:rsid w:val="00D34A2B"/>
    <w:rsid w:val="00D355E0"/>
    <w:rsid w:val="00D35F85"/>
    <w:rsid w:val="00D376BB"/>
    <w:rsid w:val="00D41E23"/>
    <w:rsid w:val="00D42265"/>
    <w:rsid w:val="00D43CE3"/>
    <w:rsid w:val="00D44168"/>
    <w:rsid w:val="00D447EE"/>
    <w:rsid w:val="00D47ACD"/>
    <w:rsid w:val="00D50B56"/>
    <w:rsid w:val="00D51673"/>
    <w:rsid w:val="00D549DA"/>
    <w:rsid w:val="00D54D8C"/>
    <w:rsid w:val="00D54EC3"/>
    <w:rsid w:val="00D55225"/>
    <w:rsid w:val="00D62E23"/>
    <w:rsid w:val="00D62F73"/>
    <w:rsid w:val="00D64556"/>
    <w:rsid w:val="00D64856"/>
    <w:rsid w:val="00D65459"/>
    <w:rsid w:val="00D677FC"/>
    <w:rsid w:val="00D7142A"/>
    <w:rsid w:val="00D750C0"/>
    <w:rsid w:val="00D75BF8"/>
    <w:rsid w:val="00D75E61"/>
    <w:rsid w:val="00D81528"/>
    <w:rsid w:val="00D817FB"/>
    <w:rsid w:val="00D8221F"/>
    <w:rsid w:val="00D8439E"/>
    <w:rsid w:val="00D86E16"/>
    <w:rsid w:val="00D90EF6"/>
    <w:rsid w:val="00D92695"/>
    <w:rsid w:val="00D92BF9"/>
    <w:rsid w:val="00D958FC"/>
    <w:rsid w:val="00D973DE"/>
    <w:rsid w:val="00DA19CD"/>
    <w:rsid w:val="00DB31B1"/>
    <w:rsid w:val="00DB3E96"/>
    <w:rsid w:val="00DB4F15"/>
    <w:rsid w:val="00DB64B7"/>
    <w:rsid w:val="00DC2D0F"/>
    <w:rsid w:val="00DC42F1"/>
    <w:rsid w:val="00DC6007"/>
    <w:rsid w:val="00DC7F8D"/>
    <w:rsid w:val="00DD2194"/>
    <w:rsid w:val="00DD62D5"/>
    <w:rsid w:val="00DE1284"/>
    <w:rsid w:val="00DE31E6"/>
    <w:rsid w:val="00DF0889"/>
    <w:rsid w:val="00DF229C"/>
    <w:rsid w:val="00DF3BF9"/>
    <w:rsid w:val="00DF3EA7"/>
    <w:rsid w:val="00DF406D"/>
    <w:rsid w:val="00DF5E51"/>
    <w:rsid w:val="00DF75B1"/>
    <w:rsid w:val="00DF7A8E"/>
    <w:rsid w:val="00E0350F"/>
    <w:rsid w:val="00E03B68"/>
    <w:rsid w:val="00E0497D"/>
    <w:rsid w:val="00E04ACC"/>
    <w:rsid w:val="00E050A5"/>
    <w:rsid w:val="00E05E55"/>
    <w:rsid w:val="00E158C6"/>
    <w:rsid w:val="00E159F9"/>
    <w:rsid w:val="00E20C7C"/>
    <w:rsid w:val="00E21D7E"/>
    <w:rsid w:val="00E222A5"/>
    <w:rsid w:val="00E2706E"/>
    <w:rsid w:val="00E2776D"/>
    <w:rsid w:val="00E318E4"/>
    <w:rsid w:val="00E326FE"/>
    <w:rsid w:val="00E377DF"/>
    <w:rsid w:val="00E40DC4"/>
    <w:rsid w:val="00E45077"/>
    <w:rsid w:val="00E45861"/>
    <w:rsid w:val="00E471E0"/>
    <w:rsid w:val="00E47509"/>
    <w:rsid w:val="00E52E02"/>
    <w:rsid w:val="00E53C46"/>
    <w:rsid w:val="00E5521D"/>
    <w:rsid w:val="00E55C80"/>
    <w:rsid w:val="00E609A8"/>
    <w:rsid w:val="00E60E44"/>
    <w:rsid w:val="00E62717"/>
    <w:rsid w:val="00E637C8"/>
    <w:rsid w:val="00E64085"/>
    <w:rsid w:val="00E64C39"/>
    <w:rsid w:val="00E67DC5"/>
    <w:rsid w:val="00E71934"/>
    <w:rsid w:val="00E72777"/>
    <w:rsid w:val="00E74200"/>
    <w:rsid w:val="00E76749"/>
    <w:rsid w:val="00E779F3"/>
    <w:rsid w:val="00E807CD"/>
    <w:rsid w:val="00E81908"/>
    <w:rsid w:val="00E8324B"/>
    <w:rsid w:val="00E85041"/>
    <w:rsid w:val="00E869FD"/>
    <w:rsid w:val="00E90B3F"/>
    <w:rsid w:val="00E90FFF"/>
    <w:rsid w:val="00E91D42"/>
    <w:rsid w:val="00E91E40"/>
    <w:rsid w:val="00E92F49"/>
    <w:rsid w:val="00E94F68"/>
    <w:rsid w:val="00EA25AA"/>
    <w:rsid w:val="00EA5071"/>
    <w:rsid w:val="00EA549A"/>
    <w:rsid w:val="00EA783F"/>
    <w:rsid w:val="00EB2B48"/>
    <w:rsid w:val="00EB327A"/>
    <w:rsid w:val="00EB3F38"/>
    <w:rsid w:val="00EB52E3"/>
    <w:rsid w:val="00EB66CF"/>
    <w:rsid w:val="00EB6E96"/>
    <w:rsid w:val="00EC00B0"/>
    <w:rsid w:val="00EC19AA"/>
    <w:rsid w:val="00EC538D"/>
    <w:rsid w:val="00EC5C4E"/>
    <w:rsid w:val="00ED0D62"/>
    <w:rsid w:val="00ED10F0"/>
    <w:rsid w:val="00ED30C1"/>
    <w:rsid w:val="00ED4562"/>
    <w:rsid w:val="00ED5040"/>
    <w:rsid w:val="00ED50D8"/>
    <w:rsid w:val="00ED6F16"/>
    <w:rsid w:val="00EE0F3A"/>
    <w:rsid w:val="00EE16CC"/>
    <w:rsid w:val="00EE42EF"/>
    <w:rsid w:val="00EE6AC1"/>
    <w:rsid w:val="00EE7339"/>
    <w:rsid w:val="00EF0466"/>
    <w:rsid w:val="00EF19EE"/>
    <w:rsid w:val="00EF210C"/>
    <w:rsid w:val="00EF2717"/>
    <w:rsid w:val="00EF620B"/>
    <w:rsid w:val="00F03BAE"/>
    <w:rsid w:val="00F0700B"/>
    <w:rsid w:val="00F077BF"/>
    <w:rsid w:val="00F10B10"/>
    <w:rsid w:val="00F12965"/>
    <w:rsid w:val="00F153FD"/>
    <w:rsid w:val="00F16681"/>
    <w:rsid w:val="00F17848"/>
    <w:rsid w:val="00F20834"/>
    <w:rsid w:val="00F21AAF"/>
    <w:rsid w:val="00F22CF6"/>
    <w:rsid w:val="00F23C49"/>
    <w:rsid w:val="00F24860"/>
    <w:rsid w:val="00F25818"/>
    <w:rsid w:val="00F2652A"/>
    <w:rsid w:val="00F26EF6"/>
    <w:rsid w:val="00F3018D"/>
    <w:rsid w:val="00F320C3"/>
    <w:rsid w:val="00F3214B"/>
    <w:rsid w:val="00F33AA9"/>
    <w:rsid w:val="00F36507"/>
    <w:rsid w:val="00F36613"/>
    <w:rsid w:val="00F37696"/>
    <w:rsid w:val="00F376D4"/>
    <w:rsid w:val="00F40CEF"/>
    <w:rsid w:val="00F416BC"/>
    <w:rsid w:val="00F445FE"/>
    <w:rsid w:val="00F45460"/>
    <w:rsid w:val="00F45F19"/>
    <w:rsid w:val="00F4778B"/>
    <w:rsid w:val="00F54134"/>
    <w:rsid w:val="00F55130"/>
    <w:rsid w:val="00F63D88"/>
    <w:rsid w:val="00F71041"/>
    <w:rsid w:val="00F71853"/>
    <w:rsid w:val="00F72F81"/>
    <w:rsid w:val="00F739A1"/>
    <w:rsid w:val="00F73E28"/>
    <w:rsid w:val="00F74338"/>
    <w:rsid w:val="00F846E7"/>
    <w:rsid w:val="00F87416"/>
    <w:rsid w:val="00F87465"/>
    <w:rsid w:val="00F90350"/>
    <w:rsid w:val="00F9114A"/>
    <w:rsid w:val="00F93033"/>
    <w:rsid w:val="00F9403F"/>
    <w:rsid w:val="00F9422B"/>
    <w:rsid w:val="00F9495C"/>
    <w:rsid w:val="00FA0196"/>
    <w:rsid w:val="00FA12B2"/>
    <w:rsid w:val="00FA3033"/>
    <w:rsid w:val="00FA3F9F"/>
    <w:rsid w:val="00FA4C06"/>
    <w:rsid w:val="00FA57AC"/>
    <w:rsid w:val="00FA5CF4"/>
    <w:rsid w:val="00FB131F"/>
    <w:rsid w:val="00FB2908"/>
    <w:rsid w:val="00FB45A2"/>
    <w:rsid w:val="00FB4E9B"/>
    <w:rsid w:val="00FB6D12"/>
    <w:rsid w:val="00FB75C7"/>
    <w:rsid w:val="00FC4758"/>
    <w:rsid w:val="00FC7C8B"/>
    <w:rsid w:val="00FD0981"/>
    <w:rsid w:val="00FD0DE2"/>
    <w:rsid w:val="00FD1BE6"/>
    <w:rsid w:val="00FD473A"/>
    <w:rsid w:val="00FD5615"/>
    <w:rsid w:val="00FD577F"/>
    <w:rsid w:val="00FD607F"/>
    <w:rsid w:val="00FD691C"/>
    <w:rsid w:val="00FD7948"/>
    <w:rsid w:val="00FD7E78"/>
    <w:rsid w:val="00FE6709"/>
    <w:rsid w:val="00FE6C85"/>
    <w:rsid w:val="00FE6CA8"/>
    <w:rsid w:val="00FF0F77"/>
    <w:rsid w:val="00FF115B"/>
    <w:rsid w:val="00FF1C76"/>
    <w:rsid w:val="00FF5DEA"/>
    <w:rsid w:val="00FF7C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1B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US"/>
    </w:rPr>
  </w:style>
  <w:style w:type="paragraph" w:styleId="Nadpis1">
    <w:name w:val="heading 1"/>
    <w:basedOn w:val="Normln"/>
    <w:next w:val="Normln"/>
    <w:link w:val="Nadpis1Char"/>
    <w:uiPriority w:val="9"/>
    <w:qFormat/>
    <w:rsid w:val="009205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D822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1475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36768"/>
    <w:rPr>
      <w:color w:val="0563C1" w:themeColor="hyperlink"/>
      <w:u w:val="single"/>
    </w:rPr>
  </w:style>
  <w:style w:type="paragraph" w:styleId="Odstavecseseznamem">
    <w:name w:val="List Paragraph"/>
    <w:basedOn w:val="Normln"/>
    <w:uiPriority w:val="34"/>
    <w:qFormat/>
    <w:rsid w:val="00CE3D1D"/>
    <w:pPr>
      <w:ind w:left="720"/>
      <w:contextualSpacing/>
    </w:pPr>
  </w:style>
  <w:style w:type="paragraph" w:styleId="Textbubliny">
    <w:name w:val="Balloon Text"/>
    <w:basedOn w:val="Normln"/>
    <w:link w:val="TextbublinyChar"/>
    <w:uiPriority w:val="99"/>
    <w:semiHidden/>
    <w:unhideWhenUsed/>
    <w:rsid w:val="0033430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4304"/>
    <w:rPr>
      <w:rFonts w:ascii="Segoe UI" w:hAnsi="Segoe UI" w:cs="Segoe UI"/>
      <w:sz w:val="18"/>
      <w:szCs w:val="18"/>
    </w:rPr>
  </w:style>
  <w:style w:type="character" w:customStyle="1" w:styleId="Nadpis2Char">
    <w:name w:val="Nadpis 2 Char"/>
    <w:basedOn w:val="Standardnpsmoodstavce"/>
    <w:link w:val="Nadpis2"/>
    <w:uiPriority w:val="9"/>
    <w:rsid w:val="00D8221F"/>
    <w:rPr>
      <w:rFonts w:asciiTheme="majorHAnsi" w:eastAsiaTheme="majorEastAsia" w:hAnsiTheme="majorHAnsi" w:cstheme="majorBidi"/>
      <w:color w:val="2F5496" w:themeColor="accent1" w:themeShade="BF"/>
      <w:sz w:val="26"/>
      <w:szCs w:val="26"/>
    </w:rPr>
  </w:style>
  <w:style w:type="paragraph" w:styleId="Textpoznpodarou">
    <w:name w:val="footnote text"/>
    <w:basedOn w:val="Normln"/>
    <w:link w:val="TextpoznpodarouChar"/>
    <w:uiPriority w:val="99"/>
    <w:semiHidden/>
    <w:unhideWhenUsed/>
    <w:rsid w:val="000135F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135F3"/>
    <w:rPr>
      <w:sz w:val="20"/>
      <w:szCs w:val="20"/>
    </w:rPr>
  </w:style>
  <w:style w:type="character" w:styleId="Znakapoznpodarou">
    <w:name w:val="footnote reference"/>
    <w:basedOn w:val="Standardnpsmoodstavce"/>
    <w:uiPriority w:val="99"/>
    <w:semiHidden/>
    <w:unhideWhenUsed/>
    <w:rsid w:val="000135F3"/>
    <w:rPr>
      <w:vertAlign w:val="superscript"/>
    </w:rPr>
  </w:style>
  <w:style w:type="character" w:styleId="Nevyeenzmnka">
    <w:name w:val="Unresolved Mention"/>
    <w:basedOn w:val="Standardnpsmoodstavce"/>
    <w:uiPriority w:val="99"/>
    <w:semiHidden/>
    <w:unhideWhenUsed/>
    <w:rsid w:val="006F7D60"/>
    <w:rPr>
      <w:color w:val="605E5C"/>
      <w:shd w:val="clear" w:color="auto" w:fill="E1DFDD"/>
    </w:rPr>
  </w:style>
  <w:style w:type="paragraph" w:styleId="Zhlav">
    <w:name w:val="header"/>
    <w:basedOn w:val="Normln"/>
    <w:link w:val="ZhlavChar"/>
    <w:uiPriority w:val="99"/>
    <w:unhideWhenUsed/>
    <w:rsid w:val="00E742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4200"/>
  </w:style>
  <w:style w:type="paragraph" w:styleId="Zpat">
    <w:name w:val="footer"/>
    <w:basedOn w:val="Normln"/>
    <w:link w:val="ZpatChar"/>
    <w:uiPriority w:val="99"/>
    <w:unhideWhenUsed/>
    <w:rsid w:val="00E74200"/>
    <w:pPr>
      <w:tabs>
        <w:tab w:val="center" w:pos="4536"/>
        <w:tab w:val="right" w:pos="9072"/>
      </w:tabs>
      <w:spacing w:after="0" w:line="240" w:lineRule="auto"/>
    </w:pPr>
  </w:style>
  <w:style w:type="character" w:customStyle="1" w:styleId="ZpatChar">
    <w:name w:val="Zápatí Char"/>
    <w:basedOn w:val="Standardnpsmoodstavce"/>
    <w:link w:val="Zpat"/>
    <w:uiPriority w:val="99"/>
    <w:rsid w:val="00E74200"/>
  </w:style>
  <w:style w:type="character" w:customStyle="1" w:styleId="Nadpis3Char">
    <w:name w:val="Nadpis 3 Char"/>
    <w:basedOn w:val="Standardnpsmoodstavce"/>
    <w:link w:val="Nadpis3"/>
    <w:uiPriority w:val="9"/>
    <w:rsid w:val="001475D5"/>
    <w:rPr>
      <w:rFonts w:asciiTheme="majorHAnsi" w:eastAsiaTheme="majorEastAsia" w:hAnsiTheme="majorHAnsi" w:cstheme="majorBidi"/>
      <w:color w:val="1F3763" w:themeColor="accent1" w:themeShade="7F"/>
      <w:sz w:val="24"/>
      <w:szCs w:val="24"/>
    </w:rPr>
  </w:style>
  <w:style w:type="paragraph" w:styleId="Normlnweb">
    <w:name w:val="Normal (Web)"/>
    <w:basedOn w:val="Normln"/>
    <w:uiPriority w:val="99"/>
    <w:semiHidden/>
    <w:unhideWhenUsed/>
    <w:rsid w:val="00923D7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0047FB"/>
    <w:rPr>
      <w:color w:val="954F72" w:themeColor="followedHyperlink"/>
      <w:u w:val="single"/>
    </w:rPr>
  </w:style>
  <w:style w:type="character" w:customStyle="1" w:styleId="Nadpis1Char">
    <w:name w:val="Nadpis 1 Char"/>
    <w:basedOn w:val="Standardnpsmoodstavce"/>
    <w:link w:val="Nadpis1"/>
    <w:uiPriority w:val="9"/>
    <w:rsid w:val="009205F6"/>
    <w:rPr>
      <w:rFonts w:asciiTheme="majorHAnsi" w:eastAsiaTheme="majorEastAsia" w:hAnsiTheme="majorHAnsi" w:cstheme="majorBidi"/>
      <w:color w:val="2F5496" w:themeColor="accent1" w:themeShade="BF"/>
      <w:sz w:val="32"/>
      <w:szCs w:val="32"/>
    </w:rPr>
  </w:style>
  <w:style w:type="paragraph" w:customStyle="1" w:styleId="Default">
    <w:name w:val="Default"/>
    <w:rsid w:val="00297A5F"/>
    <w:pPr>
      <w:autoSpaceDE w:val="0"/>
      <w:autoSpaceDN w:val="0"/>
      <w:adjustRightInd w:val="0"/>
      <w:spacing w:after="0" w:line="240" w:lineRule="auto"/>
    </w:pPr>
    <w:rPr>
      <w:rFonts w:ascii="ITC Symbol Std Medium" w:hAnsi="ITC Symbol Std Medium" w:cs="ITC Symbol Std Medium"/>
      <w:color w:val="000000"/>
      <w:sz w:val="24"/>
      <w:szCs w:val="24"/>
    </w:rPr>
  </w:style>
  <w:style w:type="character" w:customStyle="1" w:styleId="A5">
    <w:name w:val="A5"/>
    <w:uiPriority w:val="99"/>
    <w:rsid w:val="00283013"/>
    <w:rPr>
      <w:rFonts w:ascii="ITC Symbol Std Book" w:hAnsi="ITC Symbol Std Book" w:cs="ITC Symbol Std Book"/>
      <w:color w:val="000000"/>
      <w:sz w:val="14"/>
      <w:szCs w:val="14"/>
    </w:rPr>
  </w:style>
  <w:style w:type="paragraph" w:customStyle="1" w:styleId="Pa25">
    <w:name w:val="Pa25"/>
    <w:basedOn w:val="Default"/>
    <w:next w:val="Default"/>
    <w:uiPriority w:val="99"/>
    <w:rsid w:val="00CB103E"/>
    <w:pPr>
      <w:spacing w:line="120" w:lineRule="atLeast"/>
    </w:pPr>
    <w:rPr>
      <w:rFonts w:cstheme="minorBidi"/>
      <w:color w:val="auto"/>
    </w:rPr>
  </w:style>
  <w:style w:type="character" w:customStyle="1" w:styleId="A1">
    <w:name w:val="A1"/>
    <w:uiPriority w:val="99"/>
    <w:rsid w:val="00CB103E"/>
    <w:rPr>
      <w:rFonts w:cs="Minion Pro"/>
      <w:color w:val="000000"/>
      <w:sz w:val="10"/>
      <w:szCs w:val="10"/>
    </w:rPr>
  </w:style>
  <w:style w:type="character" w:customStyle="1" w:styleId="A2">
    <w:name w:val="A2"/>
    <w:uiPriority w:val="99"/>
    <w:rsid w:val="00550F0B"/>
    <w:rPr>
      <w:rFonts w:cs="Minion Pro"/>
      <w:color w:val="000000"/>
      <w:sz w:val="10"/>
      <w:szCs w:val="10"/>
    </w:rPr>
  </w:style>
  <w:style w:type="character" w:customStyle="1" w:styleId="A3">
    <w:name w:val="A3"/>
    <w:uiPriority w:val="99"/>
    <w:rsid w:val="00732A7D"/>
    <w:rPr>
      <w:rFonts w:ascii="ITC Symbol Std Book" w:hAnsi="ITC Symbol Std Book" w:cs="ITC Symbol Std Book"/>
      <w:color w:val="000000"/>
      <w:sz w:val="14"/>
      <w:szCs w:val="14"/>
    </w:rPr>
  </w:style>
  <w:style w:type="character" w:styleId="Odkaznakoment">
    <w:name w:val="annotation reference"/>
    <w:basedOn w:val="Standardnpsmoodstavce"/>
    <w:uiPriority w:val="99"/>
    <w:semiHidden/>
    <w:unhideWhenUsed/>
    <w:rsid w:val="00AD3A20"/>
    <w:rPr>
      <w:sz w:val="16"/>
      <w:szCs w:val="16"/>
    </w:rPr>
  </w:style>
  <w:style w:type="paragraph" w:styleId="Textkomente">
    <w:name w:val="annotation text"/>
    <w:basedOn w:val="Normln"/>
    <w:link w:val="TextkomenteChar"/>
    <w:uiPriority w:val="99"/>
    <w:unhideWhenUsed/>
    <w:rsid w:val="00AD3A20"/>
    <w:pPr>
      <w:spacing w:line="240" w:lineRule="auto"/>
    </w:pPr>
    <w:rPr>
      <w:sz w:val="20"/>
      <w:szCs w:val="20"/>
    </w:rPr>
  </w:style>
  <w:style w:type="character" w:customStyle="1" w:styleId="TextkomenteChar">
    <w:name w:val="Text komentáře Char"/>
    <w:basedOn w:val="Standardnpsmoodstavce"/>
    <w:link w:val="Textkomente"/>
    <w:uiPriority w:val="99"/>
    <w:rsid w:val="00AD3A20"/>
    <w:rPr>
      <w:sz w:val="20"/>
      <w:szCs w:val="20"/>
    </w:rPr>
  </w:style>
  <w:style w:type="paragraph" w:styleId="Pedmtkomente">
    <w:name w:val="annotation subject"/>
    <w:basedOn w:val="Textkomente"/>
    <w:next w:val="Textkomente"/>
    <w:link w:val="PedmtkomenteChar"/>
    <w:uiPriority w:val="99"/>
    <w:semiHidden/>
    <w:unhideWhenUsed/>
    <w:rsid w:val="00AD3A20"/>
    <w:rPr>
      <w:b/>
      <w:bCs/>
    </w:rPr>
  </w:style>
  <w:style w:type="character" w:customStyle="1" w:styleId="PedmtkomenteChar">
    <w:name w:val="Předmět komentáře Char"/>
    <w:basedOn w:val="TextkomenteChar"/>
    <w:link w:val="Pedmtkomente"/>
    <w:uiPriority w:val="99"/>
    <w:semiHidden/>
    <w:rsid w:val="00AD3A20"/>
    <w:rPr>
      <w:b/>
      <w:bCs/>
      <w:sz w:val="20"/>
      <w:szCs w:val="20"/>
    </w:rPr>
  </w:style>
  <w:style w:type="paragraph" w:styleId="Revize">
    <w:name w:val="Revision"/>
    <w:hidden/>
    <w:uiPriority w:val="99"/>
    <w:semiHidden/>
    <w:rsid w:val="00D26A82"/>
    <w:pPr>
      <w:spacing w:after="0" w:line="240" w:lineRule="auto"/>
    </w:pPr>
  </w:style>
  <w:style w:type="table" w:styleId="Mkatabulky">
    <w:name w:val="Table Grid"/>
    <w:basedOn w:val="Normlntabulka"/>
    <w:uiPriority w:val="39"/>
    <w:rsid w:val="00A52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80648">
      <w:bodyDiv w:val="1"/>
      <w:marLeft w:val="0"/>
      <w:marRight w:val="0"/>
      <w:marTop w:val="0"/>
      <w:marBottom w:val="0"/>
      <w:divBdr>
        <w:top w:val="none" w:sz="0" w:space="0" w:color="auto"/>
        <w:left w:val="none" w:sz="0" w:space="0" w:color="auto"/>
        <w:bottom w:val="none" w:sz="0" w:space="0" w:color="auto"/>
        <w:right w:val="none" w:sz="0" w:space="0" w:color="auto"/>
      </w:divBdr>
      <w:divsChild>
        <w:div w:id="974791762">
          <w:marLeft w:val="1080"/>
          <w:marRight w:val="0"/>
          <w:marTop w:val="100"/>
          <w:marBottom w:val="0"/>
          <w:divBdr>
            <w:top w:val="none" w:sz="0" w:space="0" w:color="auto"/>
            <w:left w:val="none" w:sz="0" w:space="0" w:color="auto"/>
            <w:bottom w:val="none" w:sz="0" w:space="0" w:color="auto"/>
            <w:right w:val="none" w:sz="0" w:space="0" w:color="auto"/>
          </w:divBdr>
        </w:div>
        <w:div w:id="1367489050">
          <w:marLeft w:val="1080"/>
          <w:marRight w:val="0"/>
          <w:marTop w:val="100"/>
          <w:marBottom w:val="0"/>
          <w:divBdr>
            <w:top w:val="none" w:sz="0" w:space="0" w:color="auto"/>
            <w:left w:val="none" w:sz="0" w:space="0" w:color="auto"/>
            <w:bottom w:val="none" w:sz="0" w:space="0" w:color="auto"/>
            <w:right w:val="none" w:sz="0" w:space="0" w:color="auto"/>
          </w:divBdr>
        </w:div>
      </w:divsChild>
    </w:div>
    <w:div w:id="967200870">
      <w:bodyDiv w:val="1"/>
      <w:marLeft w:val="0"/>
      <w:marRight w:val="0"/>
      <w:marTop w:val="0"/>
      <w:marBottom w:val="0"/>
      <w:divBdr>
        <w:top w:val="none" w:sz="0" w:space="0" w:color="auto"/>
        <w:left w:val="none" w:sz="0" w:space="0" w:color="auto"/>
        <w:bottom w:val="none" w:sz="0" w:space="0" w:color="auto"/>
        <w:right w:val="none" w:sz="0" w:space="0" w:color="auto"/>
      </w:divBdr>
    </w:div>
    <w:div w:id="1674182947">
      <w:bodyDiv w:val="1"/>
      <w:marLeft w:val="0"/>
      <w:marRight w:val="0"/>
      <w:marTop w:val="0"/>
      <w:marBottom w:val="0"/>
      <w:divBdr>
        <w:top w:val="none" w:sz="0" w:space="0" w:color="auto"/>
        <w:left w:val="none" w:sz="0" w:space="0" w:color="auto"/>
        <w:bottom w:val="none" w:sz="0" w:space="0" w:color="auto"/>
        <w:right w:val="none" w:sz="0" w:space="0" w:color="auto"/>
      </w:divBdr>
    </w:div>
    <w:div w:id="1887444653">
      <w:bodyDiv w:val="1"/>
      <w:marLeft w:val="0"/>
      <w:marRight w:val="0"/>
      <w:marTop w:val="0"/>
      <w:marBottom w:val="0"/>
      <w:divBdr>
        <w:top w:val="none" w:sz="0" w:space="0" w:color="auto"/>
        <w:left w:val="none" w:sz="0" w:space="0" w:color="auto"/>
        <w:bottom w:val="none" w:sz="0" w:space="0" w:color="auto"/>
        <w:right w:val="none" w:sz="0" w:space="0" w:color="auto"/>
      </w:divBdr>
    </w:div>
    <w:div w:id="204539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ch@flu.ca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745BE-C130-4E0B-8B95-36F4046A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24480</Words>
  <Characters>139539</Characters>
  <Application>Microsoft Office Word</Application>
  <DocSecurity>0</DocSecurity>
  <Lines>1162</Lines>
  <Paragraphs>327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2025-10-24T07:33:00Z</dcterms:created>
  <dcterms:modified xsi:type="dcterms:W3CDTF">2025-10-24T14:33:00Z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http://www.zotero.org/styles/biology-and-philosophy</vt:lpwstr>
  </property>
  <property fmtid="{D5CDD505-2E9C-101B-9397-08002B2CF9AE}" pid="11" name="Mendeley Recent Style Name 4_1">
    <vt:lpwstr>Biology &amp; Philosophy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http://www.zotero.org/styles/immunological-reviews</vt:lpwstr>
  </property>
  <property fmtid="{D5CDD505-2E9C-101B-9397-08002B2CF9AE}" pid="19" name="Mendeley Recent Style Name 8_1">
    <vt:lpwstr>Immunological Reviews</vt:lpwstr>
  </property>
  <property fmtid="{D5CDD505-2E9C-101B-9397-08002B2CF9AE}" pid="20" name="Mendeley Recent Style Id 9_1">
    <vt:lpwstr>http://www.zotero.org/styles/studies-in-history-and-philosophy-of-science</vt:lpwstr>
  </property>
  <property fmtid="{D5CDD505-2E9C-101B-9397-08002B2CF9AE}" pid="21" name="Mendeley Recent Style Name 9_1">
    <vt:lpwstr>Studies in History and Philosophy of Science</vt:lpwstr>
  </property>
  <property fmtid="{D5CDD505-2E9C-101B-9397-08002B2CF9AE}" pid="22" name="Mendeley Document_1">
    <vt:lpwstr>True</vt:lpwstr>
  </property>
  <property fmtid="{D5CDD505-2E9C-101B-9397-08002B2CF9AE}" pid="23" name="Mendeley Unique User Id_1">
    <vt:lpwstr>077752fa-9b5f-3472-93f0-0cac148dac33</vt:lpwstr>
  </property>
  <property fmtid="{D5CDD505-2E9C-101B-9397-08002B2CF9AE}" pid="24" name="Mendeley Citation Style_1">
    <vt:lpwstr>http://www.zotero.org/styles/apa</vt:lpwstr>
  </property>
</Properties>
</file>