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1FBD" w14:textId="7A19E539" w:rsidR="008D481E" w:rsidRPr="00640A1D" w:rsidRDefault="00272512" w:rsidP="2D4579B3">
      <w:pPr>
        <w:jc w:val="center"/>
        <w:rPr>
          <w:sz w:val="36"/>
          <w:szCs w:val="36"/>
        </w:rPr>
      </w:pPr>
      <w:r w:rsidRPr="00640A1D">
        <w:rPr>
          <w:sz w:val="32"/>
          <w:szCs w:val="32"/>
        </w:rPr>
        <w:t>An Inductive</w:t>
      </w:r>
      <w:r w:rsidR="000F3231" w:rsidRPr="00640A1D">
        <w:rPr>
          <w:sz w:val="32"/>
          <w:szCs w:val="32"/>
        </w:rPr>
        <w:t xml:space="preserve"> </w:t>
      </w:r>
      <w:r w:rsidR="2D4579B3" w:rsidRPr="00640A1D">
        <w:rPr>
          <w:sz w:val="32"/>
          <w:szCs w:val="32"/>
        </w:rPr>
        <w:t>No-Miracles Argument</w:t>
      </w:r>
    </w:p>
    <w:p w14:paraId="645C25E6" w14:textId="216B0463" w:rsidR="00FE2D25" w:rsidRDefault="00B40AD5" w:rsidP="00FE2D25">
      <w:pPr>
        <w:jc w:val="center"/>
      </w:pPr>
      <w:r>
        <w:t>Luke Golemon</w:t>
      </w:r>
    </w:p>
    <w:p w14:paraId="18ED9CD4" w14:textId="77777777" w:rsidR="00B753D6" w:rsidRDefault="00B753D6" w:rsidP="00B753D6">
      <w:pPr>
        <w:pStyle w:val="Header"/>
      </w:pPr>
    </w:p>
    <w:p w14:paraId="6FC2EF17" w14:textId="1D95DA8A" w:rsidR="00B753D6" w:rsidRDefault="00B753D6" w:rsidP="00B753D6">
      <w:pPr>
        <w:pStyle w:val="Header"/>
      </w:pPr>
      <w:r>
        <w:t xml:space="preserve">Penultimate draft; final version forthcoming in </w:t>
      </w:r>
      <w:r w:rsidRPr="00B753D6">
        <w:rPr>
          <w:i/>
          <w:iCs/>
        </w:rPr>
        <w:t>Synthese</w:t>
      </w:r>
      <w:r>
        <w:t xml:space="preserve">. </w:t>
      </w:r>
      <w:r w:rsidRPr="00B753D6">
        <w:t>Please</w:t>
      </w:r>
      <w:r>
        <w:t xml:space="preserve"> cite published version when available. </w:t>
      </w:r>
    </w:p>
    <w:p w14:paraId="6615DCC2" w14:textId="77777777" w:rsidR="00B753D6" w:rsidRPr="00640A1D" w:rsidRDefault="00B753D6" w:rsidP="00FE2D25">
      <w:pPr>
        <w:jc w:val="center"/>
      </w:pPr>
    </w:p>
    <w:p w14:paraId="11E2393D" w14:textId="38D5C4F2" w:rsidR="00B035D5" w:rsidRPr="00640A1D" w:rsidRDefault="00B035D5" w:rsidP="00B035D5">
      <w:r w:rsidRPr="00640A1D">
        <w:rPr>
          <w:b/>
          <w:bCs/>
        </w:rPr>
        <w:t>Abstract (</w:t>
      </w:r>
      <w:r w:rsidR="0055723C" w:rsidRPr="00640A1D">
        <w:rPr>
          <w:b/>
          <w:bCs/>
        </w:rPr>
        <w:t>13</w:t>
      </w:r>
      <w:r w:rsidR="00D0028B" w:rsidRPr="00640A1D">
        <w:rPr>
          <w:b/>
          <w:bCs/>
        </w:rPr>
        <w:t>7</w:t>
      </w:r>
      <w:r w:rsidRPr="00640A1D">
        <w:rPr>
          <w:b/>
          <w:bCs/>
        </w:rPr>
        <w:t>w):</w:t>
      </w:r>
      <w:r w:rsidRPr="00640A1D">
        <w:t xml:space="preserve"> </w:t>
      </w:r>
      <w:r w:rsidR="0055723C" w:rsidRPr="00640A1D">
        <w:t xml:space="preserve">This paper defends the spirit of Golemon and Graber’s Deductive No-Miracles Argument (DNMA) for scientific realism against Kok Yong Lee’s recent criticisms. While Lee argues that the DNMA </w:t>
      </w:r>
      <w:r w:rsidR="00B17123" w:rsidRPr="00640A1D">
        <w:t>is inva</w:t>
      </w:r>
      <w:r w:rsidR="0055723C" w:rsidRPr="00640A1D">
        <w:t>lid or lead</w:t>
      </w:r>
      <w:r w:rsidR="00B17123" w:rsidRPr="00640A1D">
        <w:t>s</w:t>
      </w:r>
      <w:r w:rsidR="0055723C" w:rsidRPr="00640A1D">
        <w:t xml:space="preserve"> to</w:t>
      </w:r>
      <w:r w:rsidR="00B17123" w:rsidRPr="00640A1D">
        <w:t xml:space="preserve"> a</w:t>
      </w:r>
      <w:r w:rsidR="0055723C" w:rsidRPr="00640A1D">
        <w:t xml:space="preserve"> collapse in probability assignments, I develop a revised </w:t>
      </w:r>
      <w:r w:rsidR="001C7BE2" w:rsidRPr="00640A1D">
        <w:t>Inductive</w:t>
      </w:r>
      <w:r w:rsidR="0055723C" w:rsidRPr="00640A1D">
        <w:t xml:space="preserve"> No-Miracles Argument (</w:t>
      </w:r>
      <w:r w:rsidR="001C7BE2" w:rsidRPr="00640A1D">
        <w:t>I</w:t>
      </w:r>
      <w:r w:rsidR="0055723C" w:rsidRPr="00640A1D">
        <w:t xml:space="preserve">NMA) that preserves logical strength without relying on abductive inference or explanatory premises. By introducing an “approximately equal” probabilistic operator (≈), I show how probabilistic reasoning can license </w:t>
      </w:r>
      <w:r w:rsidR="00A52751" w:rsidRPr="00640A1D">
        <w:t>a strong inductive</w:t>
      </w:r>
      <w:r w:rsidR="0055723C" w:rsidRPr="00640A1D">
        <w:t xml:space="preserve"> inference without collapsing probability calculus. The resulting </w:t>
      </w:r>
      <w:r w:rsidR="001C7BE2" w:rsidRPr="00640A1D">
        <w:t>I</w:t>
      </w:r>
      <w:r w:rsidR="0055723C" w:rsidRPr="00640A1D">
        <w:t>NMA satisfies the desiderata motivating the DNMA and clarifies how probabilistic reasoning can underwrite realist inference without appeal to explanatory virtue. Moreover, the structure argued for seems ripe for use in other contexts where avoiding abduction in lieu of less theory-laden probability is attractive, such as fine-tuning arguments and evolutionary debunking arguments.</w:t>
      </w:r>
    </w:p>
    <w:p w14:paraId="6576D4F8" w14:textId="026B9A03" w:rsidR="0046634F" w:rsidRPr="00640A1D" w:rsidRDefault="0046634F" w:rsidP="00B035D5">
      <w:pPr>
        <w:pBdr>
          <w:bottom w:val="single" w:sz="12" w:space="1" w:color="auto"/>
        </w:pBdr>
      </w:pPr>
      <w:r w:rsidRPr="00B40AD5">
        <w:rPr>
          <w:b/>
          <w:bCs/>
        </w:rPr>
        <w:t>Keywords</w:t>
      </w:r>
      <w:r w:rsidRPr="00640A1D">
        <w:t xml:space="preserve">: </w:t>
      </w:r>
      <w:r w:rsidR="00B17123" w:rsidRPr="00640A1D">
        <w:t>NMA</w:t>
      </w:r>
      <w:r w:rsidRPr="00640A1D">
        <w:t xml:space="preserve">, </w:t>
      </w:r>
      <w:r w:rsidR="001C7BE2" w:rsidRPr="00640A1D">
        <w:t>induction</w:t>
      </w:r>
      <w:r w:rsidRPr="00640A1D">
        <w:t>, probability, deduction</w:t>
      </w:r>
      <w:r w:rsidR="00B17123" w:rsidRPr="00640A1D">
        <w:t>, abduction</w:t>
      </w:r>
    </w:p>
    <w:p w14:paraId="15FEF4CF" w14:textId="77777777" w:rsidR="00620A02" w:rsidRPr="00640A1D" w:rsidRDefault="00620A02" w:rsidP="00B035D5"/>
    <w:p w14:paraId="70F4F54D" w14:textId="154A102C" w:rsidR="00FE2D25" w:rsidRPr="00640A1D" w:rsidRDefault="2D4579B3" w:rsidP="2D4579B3">
      <w:pPr>
        <w:pStyle w:val="ListParagraph"/>
        <w:numPr>
          <w:ilvl w:val="0"/>
          <w:numId w:val="4"/>
        </w:numPr>
        <w:rPr>
          <w:b/>
          <w:bCs/>
        </w:rPr>
      </w:pPr>
      <w:r w:rsidRPr="00640A1D">
        <w:rPr>
          <w:b/>
          <w:bCs/>
        </w:rPr>
        <w:t>Introduction</w:t>
      </w:r>
    </w:p>
    <w:p w14:paraId="6921C3F8" w14:textId="6EA598CF" w:rsidR="00442C49" w:rsidRPr="00640A1D" w:rsidRDefault="00442C49" w:rsidP="00FE2D25">
      <w:r w:rsidRPr="00640A1D">
        <w:t>No-Miracles Arguments (NMA</w:t>
      </w:r>
      <w:r w:rsidR="00833052" w:rsidRPr="00640A1D">
        <w:t>s</w:t>
      </w:r>
      <w:r w:rsidRPr="00640A1D">
        <w:t>)</w:t>
      </w:r>
      <w:r w:rsidR="00833052" w:rsidRPr="00640A1D">
        <w:t xml:space="preserve"> </w:t>
      </w:r>
      <w:r w:rsidR="00A95735" w:rsidRPr="00640A1D">
        <w:t>defending</w:t>
      </w:r>
      <w:r w:rsidR="00833052" w:rsidRPr="00640A1D">
        <w:t xml:space="preserve"> scientific realism</w:t>
      </w:r>
      <w:r w:rsidRPr="00640A1D">
        <w:t xml:space="preserve"> began with Putnam, who argue</w:t>
      </w:r>
      <w:r w:rsidR="00833052" w:rsidRPr="00640A1D">
        <w:t>d</w:t>
      </w:r>
      <w:r w:rsidRPr="00640A1D">
        <w:t xml:space="preserve"> that the predictive success of scientific theories is best explained by their truth and </w:t>
      </w:r>
      <w:r w:rsidR="00181569">
        <w:t xml:space="preserve">that </w:t>
      </w:r>
      <w:r w:rsidRPr="00640A1D">
        <w:t>alternative explanations are “miraculous”—and therefore unbelievable</w:t>
      </w:r>
      <w:r w:rsidR="004D11ED" w:rsidRPr="00640A1D">
        <w:t xml:space="preserve"> </w:t>
      </w:r>
      <w:r w:rsidR="004D11ED" w:rsidRPr="00640A1D">
        <w:fldChar w:fldCharType="begin"/>
      </w:r>
      <w:r w:rsidR="008022C3" w:rsidRPr="00640A1D">
        <w:instrText xml:space="preserve"> ADDIN ZOTERO_ITEM CSL_CITATION {"citationID":"3bJvpDjh","properties":{"formattedCitation":"(Putnam 1979, chap. 4)","plainCitation":"(Putnam 1979, chap. 4)","noteIndex":0},"citationItems":[{"id":729,"uris":["http://zotero.org/users/13148001/items/2TTDHPXE"],"itemData":{"id":729,"type":"book","DOI":"10.1017/CBO9780511625268","edition":"2","ISBN":"978-0-521-22553-3","license":"https://www.cambridge.org/core/terms","publisher":"Cambridge University Press","source":"DOI.org (Crossref)","title":"Mathematics, Matter and Method: Philosophical Papers","title-short":"Mathematics, Matter and Method","URL":"https://www.cambridge.org/core/product/identifier/9780511625268/type/book","author":[{"family":"Putnam","given":"Hilary"}],"accessed":{"date-parts":[["2025",12,15]]},"issued":{"date-parts":[["1979",4,30]]}},"locator":"4","label":"chapter"}],"schema":"https://github.com/citation-style-language/schema/raw/master/csl-citation.json"} </w:instrText>
      </w:r>
      <w:r w:rsidR="004D11ED" w:rsidRPr="00640A1D">
        <w:fldChar w:fldCharType="separate"/>
      </w:r>
      <w:r w:rsidR="004D11ED" w:rsidRPr="00640A1D">
        <w:t>(Putnam 1979, chap. 4)</w:t>
      </w:r>
      <w:r w:rsidR="004D11ED" w:rsidRPr="00640A1D">
        <w:fldChar w:fldCharType="end"/>
      </w:r>
      <w:r w:rsidRPr="00640A1D">
        <w:t>.</w:t>
      </w:r>
      <w:r w:rsidR="004D11ED" w:rsidRPr="00640A1D">
        <w:t xml:space="preserve"> This reliance on the best explanation—inference to the best explanation (IBE) or abduction—is the</w:t>
      </w:r>
      <w:r w:rsidR="00833052" w:rsidRPr="00640A1D">
        <w:t xml:space="preserve"> primary</w:t>
      </w:r>
      <w:r w:rsidR="004D11ED" w:rsidRPr="00640A1D">
        <w:t xml:space="preserve"> site of</w:t>
      </w:r>
      <w:r w:rsidRPr="00640A1D">
        <w:t xml:space="preserve"> </w:t>
      </w:r>
      <w:r w:rsidR="00833052" w:rsidRPr="00640A1D">
        <w:t xml:space="preserve">its most </w:t>
      </w:r>
      <w:r w:rsidRPr="00640A1D">
        <w:t>serious criticism</w:t>
      </w:r>
      <w:r w:rsidR="004D11ED" w:rsidRPr="00640A1D">
        <w:t xml:space="preserve"> </w:t>
      </w:r>
      <w:r w:rsidR="004D11ED" w:rsidRPr="00640A1D">
        <w:fldChar w:fldCharType="begin"/>
      </w:r>
      <w:r w:rsidR="002D2C5B" w:rsidRPr="00640A1D">
        <w:instrText xml:space="preserve"> ADDIN ZOTERO_ITEM CSL_CITATION {"citationID":"444tYplM","properties":{"formattedCitation":"(see, e.g., Fraassen 1980; Laudan 1981; Fine 1986)","plainCitation":"(see, e.g., Fraassen 1980; Laudan 1981; Fine 1986)","noteIndex":0},"citationItems":[{"id":365,"uris":["http://zotero.org/users/13148001/items/5UKRKQ66"],"itemData":{"id":365,"type":"book","publisher":"Oxford University Press","publisher-place":"Oxford, UK","title":"The Scientific Image","author":[{"family":"Fraassen","given":"Bas","dropping-particle":"van"}],"issued":{"date-parts":[["1980"]]}},"prefix":"see, e.g., "},{"id":78,"uris":["http://zotero.org/users/13148001/items/7Q87GB7K"],"itemData":{"id":78,"type":"article-journal","abstract":"[This essay contains a partial exploration of some key concepts associated with the epistemology of realist philosophies of science. It shows that neither reference nor approximate truth will do the explanatory jobs that realists expect of them. Equally, several widely-held realist theses about the nature of inter-theoretic relations and scientific progress are scrutinized and found wanting. Finally, it is argued that the history of science, far from confirming scientific realism, decisively confutes several extant versions of avowedly 'naturalistic' forms of scientific realism.]","archive":"JSTOR","container-title":"Philosophy of Science","ISSN":"00318248, 1539767X","issue":"1","page":"19-49","publisher":"[Cambridge University Press, The University of Chicago Press, Philosophy of Science Association]","title":"A Confutation of Convergent Realism","volume":"48","author":[{"family":"Laudan","given":"Larry"}],"issued":{"date-parts":[["1981"]]}}},{"id":635,"uris":["http://zotero.org/users/13148001/items/3MPKM5UY"],"itemData":{"id":635,"type":"chapter","container-title":"The Shaky Game","publisher":"The University of Chicago Press","publisher-place":"Chicago","title":"The Natural Ontological Attitude","author":[{"family":"Fine","given":"Arthur"}],"issued":{"date-parts":[["1986"]]}}}],"schema":"https://github.com/citation-style-language/schema/raw/master/csl-citation.json"} </w:instrText>
      </w:r>
      <w:r w:rsidR="004D11ED" w:rsidRPr="00640A1D">
        <w:fldChar w:fldCharType="separate"/>
      </w:r>
      <w:r w:rsidR="008022C3" w:rsidRPr="00640A1D">
        <w:t>(see, e.g., Fraassen 1980; Laudan 1981; Fine 1986)</w:t>
      </w:r>
      <w:r w:rsidR="004D11ED" w:rsidRPr="00640A1D">
        <w:fldChar w:fldCharType="end"/>
      </w:r>
      <w:r w:rsidR="004D11ED" w:rsidRPr="00640A1D">
        <w:t xml:space="preserve">. </w:t>
      </w:r>
    </w:p>
    <w:p w14:paraId="13A262FE" w14:textId="7CEC3D1C" w:rsidR="00833052" w:rsidRPr="00640A1D" w:rsidRDefault="004D11ED" w:rsidP="00FE2D25">
      <w:r w:rsidRPr="00640A1D">
        <w:lastRenderedPageBreak/>
        <w:tab/>
      </w:r>
      <w:r w:rsidR="001771FA" w:rsidRPr="00640A1D">
        <w:t>T</w:t>
      </w:r>
      <w:r w:rsidRPr="00640A1D">
        <w:t>he core of the NMA</w:t>
      </w:r>
      <w:r w:rsidR="001771FA" w:rsidRPr="00640A1D">
        <w:t>, however,</w:t>
      </w:r>
      <w:r w:rsidRPr="00640A1D">
        <w:t xml:space="preserve"> can be stated perspicuously in probabilistic and inductive (rather than abductive) terms, thereby avoiding the typical criticisms to the abductive NMA</w:t>
      </w:r>
      <w:r w:rsidR="00181569">
        <w:t>: i</w:t>
      </w:r>
      <w:r w:rsidR="00833052" w:rsidRPr="00640A1D">
        <w:t>t</w:t>
      </w:r>
      <w:r w:rsidR="00181569">
        <w:t xml:space="preserve"> </w:t>
      </w:r>
      <w:r w:rsidR="00833052" w:rsidRPr="00640A1D">
        <w:t xml:space="preserve">is hard to successfully predict what will happen if one knows </w:t>
      </w:r>
      <w:r w:rsidR="00862B24" w:rsidRPr="00640A1D">
        <w:t>little-to-nothing</w:t>
      </w:r>
      <w:r w:rsidR="00833052" w:rsidRPr="00640A1D">
        <w:t xml:space="preserve"> about what is going on. </w:t>
      </w:r>
      <w:r w:rsidR="00862B24" w:rsidRPr="00640A1D">
        <w:t>To put it another way,</w:t>
      </w:r>
      <w:r w:rsidR="00833052" w:rsidRPr="00640A1D">
        <w:t xml:space="preserve"> any random prediction is unlikely to be a successful prediction. Now, some predictions are easier or harder than others for a variety of reasons.</w:t>
      </w:r>
      <w:r w:rsidR="00862B24" w:rsidRPr="00640A1D">
        <w:rPr>
          <w:rStyle w:val="FootnoteReference"/>
        </w:rPr>
        <w:footnoteReference w:id="1"/>
      </w:r>
      <w:r w:rsidR="00862B24" w:rsidRPr="00640A1D">
        <w:t xml:space="preserve"> </w:t>
      </w:r>
      <w:r w:rsidR="00833052" w:rsidRPr="00640A1D">
        <w:t xml:space="preserve">If someone does successfully predict what happens, there are </w:t>
      </w:r>
      <w:r w:rsidR="006B2E28" w:rsidRPr="00640A1D">
        <w:t>two</w:t>
      </w:r>
      <w:r w:rsidR="00833052" w:rsidRPr="00640A1D">
        <w:t xml:space="preserve"> possibilities. First, </w:t>
      </w:r>
      <w:r w:rsidR="006B2E28" w:rsidRPr="00640A1D">
        <w:t xml:space="preserve">it could be a lucky guess—a successful prediction without reliably modeling what is going on. Second, it could be that one </w:t>
      </w:r>
      <w:r w:rsidR="006B2E28" w:rsidRPr="00640A1D">
        <w:rPr>
          <w:i/>
          <w:iCs/>
        </w:rPr>
        <w:t>is</w:t>
      </w:r>
      <w:r w:rsidR="006B2E28" w:rsidRPr="00640A1D">
        <w:t xml:space="preserve"> reliably modeling what is going </w:t>
      </w:r>
      <w:proofErr w:type="gramStart"/>
      <w:r w:rsidR="006B2E28" w:rsidRPr="00640A1D">
        <w:t>on, and</w:t>
      </w:r>
      <w:proofErr w:type="gramEnd"/>
      <w:r w:rsidR="006B2E28" w:rsidRPr="00640A1D">
        <w:t xml:space="preserve"> can therefore predict it. Suppose we have a set of </w:t>
      </w:r>
      <w:proofErr w:type="gramStart"/>
      <w:r w:rsidR="006B2E28" w:rsidRPr="00640A1D">
        <w:t>novel</w:t>
      </w:r>
      <w:proofErr w:type="gramEnd"/>
      <w:r w:rsidR="006B2E28" w:rsidRPr="00640A1D">
        <w:t>, successful, independent predictions from a scientific model. While it is possible that each was simply a lucky guess, this would be something of a probabilistic miracle. It is much more likely—indeed, if such sets exist, overwhelmingly likely—that the scientific model is approximately true.</w:t>
      </w:r>
      <w:r w:rsidR="006B2E28" w:rsidRPr="00640A1D">
        <w:rPr>
          <w:rStyle w:val="FootnoteReference"/>
        </w:rPr>
        <w:footnoteReference w:id="2"/>
      </w:r>
    </w:p>
    <w:p w14:paraId="7D84AF6E" w14:textId="1ABE7674" w:rsidR="00FE2D25" w:rsidRPr="00640A1D" w:rsidRDefault="004E0385" w:rsidP="00C87FB5">
      <w:pPr>
        <w:ind w:firstLine="720"/>
      </w:pPr>
      <w:r w:rsidRPr="00640A1D">
        <w:t xml:space="preserve">Recently, </w:t>
      </w:r>
      <w:r w:rsidR="004D11ED" w:rsidRPr="00640A1D">
        <w:t>Abraham Graber</w:t>
      </w:r>
      <w:r w:rsidR="00B40AD5">
        <w:t xml:space="preserve"> and I</w:t>
      </w:r>
      <w:r w:rsidR="004D11ED" w:rsidRPr="00640A1D">
        <w:t xml:space="preserve"> </w:t>
      </w:r>
      <w:r w:rsidR="00C87FB5" w:rsidRPr="00640A1D">
        <w:t>(</w:t>
      </w:r>
      <w:r w:rsidR="00B40AD5">
        <w:t xml:space="preserve">henceforth </w:t>
      </w:r>
      <w:r w:rsidR="00C87FB5" w:rsidRPr="00640A1D">
        <w:t>G&amp;G)</w:t>
      </w:r>
      <w:r w:rsidR="004441FA">
        <w:rPr>
          <w:rStyle w:val="FootnoteReference"/>
        </w:rPr>
        <w:footnoteReference w:id="3"/>
      </w:r>
      <w:r w:rsidR="00C87FB5" w:rsidRPr="00640A1D">
        <w:t xml:space="preserve"> </w:t>
      </w:r>
      <w:r w:rsidR="004D11ED" w:rsidRPr="00640A1D">
        <w:t>attempt</w:t>
      </w:r>
      <w:r w:rsidRPr="00640A1D">
        <w:t>ed</w:t>
      </w:r>
      <w:r w:rsidR="004D11ED" w:rsidRPr="00640A1D">
        <w:t xml:space="preserve"> to </w:t>
      </w:r>
      <w:r w:rsidR="000B3FB6" w:rsidRPr="00640A1D">
        <w:t>capture this intuitive</w:t>
      </w:r>
      <w:r w:rsidR="00C87FB5" w:rsidRPr="00640A1D">
        <w:t>, probabilistic</w:t>
      </w:r>
      <w:r w:rsidR="000B3FB6" w:rsidRPr="00640A1D">
        <w:t xml:space="preserve"> formulation</w:t>
      </w:r>
      <w:r w:rsidR="00C87FB5" w:rsidRPr="00640A1D">
        <w:t xml:space="preserve"> in deductive argumentative form (</w:t>
      </w:r>
      <w:r w:rsidR="00B40AD5">
        <w:t>thus</w:t>
      </w:r>
      <w:r w:rsidR="00B40AD5" w:rsidRPr="00640A1D">
        <w:t xml:space="preserve"> </w:t>
      </w:r>
      <w:r w:rsidR="00B40AD5">
        <w:t>our</w:t>
      </w:r>
      <w:r w:rsidR="00C87FB5" w:rsidRPr="00640A1D">
        <w:t xml:space="preserve"> moniker </w:t>
      </w:r>
      <w:r w:rsidR="00764BB2" w:rsidRPr="00640A1D">
        <w:t>Deductive NMA, or “</w:t>
      </w:r>
      <w:r w:rsidR="00C87FB5" w:rsidRPr="00640A1D">
        <w:t>DNMA”) with the intention of avoiding the problems that attend abductive formulations, but</w:t>
      </w:r>
      <w:r w:rsidRPr="00640A1D">
        <w:t xml:space="preserve"> the attempt</w:t>
      </w:r>
      <w:r w:rsidR="00C87FB5" w:rsidRPr="00640A1D">
        <w:t xml:space="preserve"> </w:t>
      </w:r>
      <w:r w:rsidR="004D7BC0">
        <w:t>was</w:t>
      </w:r>
      <w:r w:rsidR="004441FA">
        <w:t xml:space="preserve"> powerfully</w:t>
      </w:r>
      <w:r w:rsidR="00C87FB5" w:rsidRPr="00640A1D">
        <w:t xml:space="preserve"> criticized by Kok Yong Lee</w:t>
      </w:r>
      <w:r w:rsidR="004D7BC0">
        <w:t xml:space="preserve"> </w:t>
      </w:r>
      <w:r w:rsidR="004D7BC0">
        <w:fldChar w:fldCharType="begin"/>
      </w:r>
      <w:r w:rsidR="004D7BC0">
        <w:instrText xml:space="preserve"> ADDIN ZOTERO_ITEM CSL_CITATION {"citationID":"QCFpUSzO","properties":{"formattedCitation":"(2025)","plainCitation":"(2025)","noteIndex":0},"citationItems":[{"id":1,"uris":["http://zotero.org/users/13148001/items/DKFDRUHI"],"itemData":{"id":1,"type":"article-journal","container-title":"Synthese","DOI":"10.1007/s11229-025-05144-x","ISSN":"1573-0964","issue":"1","journalAbbreviation":"Synthese","language":"en","page":"40","source":"DOI.org (Crossref)","title":"A critical examination of Golemon and Graber’s deductive No-Miracle Argument","volume":"206","author":[{"family":"Lee","given":"Kok Yong"}],"issued":{"date-parts":[["2025",7,3]]}},"suppress-author":true}],"schema":"https://github.com/citation-style-language/schema/raw/master/csl-citation.json"} </w:instrText>
      </w:r>
      <w:r w:rsidR="004D7BC0">
        <w:fldChar w:fldCharType="separate"/>
      </w:r>
      <w:r w:rsidR="004D7BC0" w:rsidRPr="004D7BC0">
        <w:t>(2025)</w:t>
      </w:r>
      <w:r w:rsidR="004D7BC0">
        <w:fldChar w:fldCharType="end"/>
      </w:r>
      <w:r w:rsidR="7E1EA63C" w:rsidRPr="00640A1D">
        <w:t>. While the criticism levied at</w:t>
      </w:r>
      <w:r w:rsidR="00181569">
        <w:t xml:space="preserve"> the</w:t>
      </w:r>
      <w:r w:rsidR="7E1EA63C" w:rsidRPr="00640A1D">
        <w:t xml:space="preserve"> </w:t>
      </w:r>
      <w:r w:rsidR="00181569">
        <w:t>D</w:t>
      </w:r>
      <w:r w:rsidR="7E1EA63C" w:rsidRPr="00640A1D">
        <w:t xml:space="preserve">NMA is powerful, I </w:t>
      </w:r>
      <w:r w:rsidR="00C87FB5" w:rsidRPr="00640A1D">
        <w:t>argue</w:t>
      </w:r>
      <w:r w:rsidR="7E1EA63C" w:rsidRPr="00640A1D">
        <w:t xml:space="preserve"> the spirit of the proposal is rescuable.</w:t>
      </w:r>
    </w:p>
    <w:p w14:paraId="4B2226CD" w14:textId="3976D67F" w:rsidR="00FE2D25" w:rsidRPr="00640A1D" w:rsidRDefault="00A95735" w:rsidP="2D4579B3">
      <w:pPr>
        <w:pStyle w:val="ListParagraph"/>
        <w:numPr>
          <w:ilvl w:val="0"/>
          <w:numId w:val="4"/>
        </w:numPr>
        <w:rPr>
          <w:b/>
          <w:bCs/>
        </w:rPr>
      </w:pPr>
      <w:r w:rsidRPr="00640A1D">
        <w:rPr>
          <w:b/>
          <w:bCs/>
        </w:rPr>
        <w:t>The</w:t>
      </w:r>
      <w:r w:rsidR="2D4579B3" w:rsidRPr="00640A1D">
        <w:rPr>
          <w:b/>
          <w:bCs/>
        </w:rPr>
        <w:t xml:space="preserve"> DNMA </w:t>
      </w:r>
      <w:proofErr w:type="gramStart"/>
      <w:r w:rsidR="2D4579B3" w:rsidRPr="00640A1D">
        <w:rPr>
          <w:b/>
          <w:bCs/>
        </w:rPr>
        <w:t>critici</w:t>
      </w:r>
      <w:r w:rsidRPr="00640A1D">
        <w:rPr>
          <w:b/>
          <w:bCs/>
        </w:rPr>
        <w:t>zed</w:t>
      </w:r>
      <w:proofErr w:type="gramEnd"/>
    </w:p>
    <w:p w14:paraId="3AD2EDCE" w14:textId="17D2FB09" w:rsidR="00386010" w:rsidRPr="00640A1D" w:rsidRDefault="5EE23D94" w:rsidP="00386010">
      <w:pPr>
        <w:ind w:firstLine="720"/>
      </w:pPr>
      <w:r w:rsidRPr="00640A1D">
        <w:t>G&amp;G hope</w:t>
      </w:r>
      <w:r w:rsidR="00181569">
        <w:t>d</w:t>
      </w:r>
      <w:r w:rsidRPr="00640A1D">
        <w:t xml:space="preserve"> to sidestep </w:t>
      </w:r>
      <w:r w:rsidR="000B79C0" w:rsidRPr="00640A1D">
        <w:t>classic</w:t>
      </w:r>
      <w:r w:rsidRPr="00640A1D">
        <w:t xml:space="preserve"> criticisms by </w:t>
      </w:r>
      <w:r w:rsidR="008A754E" w:rsidRPr="00640A1D">
        <w:t>avoiding abduction</w:t>
      </w:r>
      <w:r w:rsidR="00764BB2" w:rsidRPr="00640A1D">
        <w:t>,</w:t>
      </w:r>
      <w:r w:rsidRPr="00640A1D">
        <w:t xml:space="preserve"> deduc</w:t>
      </w:r>
      <w:r w:rsidR="00764BB2" w:rsidRPr="00640A1D">
        <w:t>ing</w:t>
      </w:r>
      <w:r w:rsidRPr="00640A1D">
        <w:t xml:space="preserve"> rather than </w:t>
      </w:r>
      <w:proofErr w:type="gramStart"/>
      <w:r w:rsidRPr="00640A1D">
        <w:t>abduc</w:t>
      </w:r>
      <w:r w:rsidR="00764BB2" w:rsidRPr="00640A1D">
        <w:t>ing</w:t>
      </w:r>
      <w:proofErr w:type="gramEnd"/>
      <w:r w:rsidRPr="00640A1D">
        <w:t xml:space="preserve"> and rely</w:t>
      </w:r>
      <w:r w:rsidR="00466D4E" w:rsidRPr="00640A1D">
        <w:t>ing</w:t>
      </w:r>
      <w:r w:rsidRPr="00640A1D">
        <w:t xml:space="preserve"> on probability rather than explanation. </w:t>
      </w:r>
      <w:r w:rsidR="000B79C0" w:rsidRPr="00640A1D">
        <w:t>Therefore, neither their NMA nor mine should contain</w:t>
      </w:r>
      <w:r w:rsidRPr="00640A1D">
        <w:t xml:space="preserve"> </w:t>
      </w:r>
      <w:r w:rsidR="00CE65E2" w:rsidRPr="00640A1D">
        <w:t>abductive argumentative structure</w:t>
      </w:r>
      <w:r w:rsidR="000B79C0" w:rsidRPr="00640A1D">
        <w:t xml:space="preserve"> or</w:t>
      </w:r>
      <w:r w:rsidRPr="00640A1D">
        <w:t xml:space="preserve"> premises </w:t>
      </w:r>
      <w:r w:rsidR="000B79C0" w:rsidRPr="00640A1D">
        <w:t>that</w:t>
      </w:r>
      <w:r w:rsidRPr="00640A1D">
        <w:t xml:space="preserve"> rely on explanation. Whether deduction is the best </w:t>
      </w:r>
      <w:r w:rsidR="001771FA" w:rsidRPr="00640A1D">
        <w:t>method</w:t>
      </w:r>
      <w:r w:rsidRPr="00640A1D">
        <w:t xml:space="preserve"> </w:t>
      </w:r>
      <w:r w:rsidR="001771FA" w:rsidRPr="00640A1D">
        <w:t>to fulfill t</w:t>
      </w:r>
      <w:r w:rsidRPr="00640A1D">
        <w:t xml:space="preserve">hese criteria </w:t>
      </w:r>
      <w:r w:rsidR="00C5312B">
        <w:t>will</w:t>
      </w:r>
      <w:r w:rsidR="00CE65E2" w:rsidRPr="00640A1D">
        <w:t xml:space="preserve"> be investigated shortly</w:t>
      </w:r>
      <w:r w:rsidRPr="00640A1D">
        <w:t xml:space="preserve">.  </w:t>
      </w:r>
    </w:p>
    <w:p w14:paraId="219CFD58" w14:textId="52D47814" w:rsidR="00386010" w:rsidRPr="00640A1D" w:rsidRDefault="00B42D95" w:rsidP="00386010">
      <w:pPr>
        <w:ind w:firstLine="720"/>
      </w:pPr>
      <w:r w:rsidRPr="00640A1D">
        <w:lastRenderedPageBreak/>
        <w:t>G&amp;G</w:t>
      </w:r>
      <w:r w:rsidR="5EE23D94" w:rsidRPr="00640A1D">
        <w:t xml:space="preserve"> begin with the same striking feature</w:t>
      </w:r>
      <w:r w:rsidRPr="00640A1D">
        <w:t xml:space="preserve"> as the traditional NMAs</w:t>
      </w:r>
      <w:r w:rsidR="5EE23D94" w:rsidRPr="00640A1D">
        <w:t xml:space="preserve">: </w:t>
      </w:r>
      <w:r w:rsidRPr="00640A1D">
        <w:t xml:space="preserve">mature </w:t>
      </w:r>
      <w:r w:rsidR="5EE23D94" w:rsidRPr="00640A1D">
        <w:t>science</w:t>
      </w:r>
      <w:r w:rsidRPr="00640A1D">
        <w:t>s</w:t>
      </w:r>
      <w:r w:rsidR="5EE23D94" w:rsidRPr="00640A1D">
        <w:t xml:space="preserve"> </w:t>
      </w:r>
      <w:r w:rsidRPr="00640A1D">
        <w:t>are very</w:t>
      </w:r>
      <w:r w:rsidR="5EE23D94" w:rsidRPr="00640A1D">
        <w:t xml:space="preserve"> predictively successful. But instead</w:t>
      </w:r>
      <w:r w:rsidR="000B79C0" w:rsidRPr="00640A1D">
        <w:t xml:space="preserve"> of</w:t>
      </w:r>
      <w:r w:rsidR="5EE23D94" w:rsidRPr="00640A1D">
        <w:t xml:space="preserve"> </w:t>
      </w:r>
      <w:r w:rsidR="000B79C0" w:rsidRPr="00640A1D">
        <w:t>using</w:t>
      </w:r>
      <w:r w:rsidR="5EE23D94" w:rsidRPr="00640A1D">
        <w:t xml:space="preserve"> explanation</w:t>
      </w:r>
      <w:r w:rsidR="000B79C0" w:rsidRPr="00640A1D">
        <w:t xml:space="preserve"> directly</w:t>
      </w:r>
      <w:r w:rsidR="5EE23D94" w:rsidRPr="00640A1D">
        <w:t xml:space="preserve">, they examine reliable prediction. </w:t>
      </w:r>
      <w:r w:rsidR="000B79C0" w:rsidRPr="00640A1D">
        <w:t>To</w:t>
      </w:r>
      <w:r w:rsidR="5EE23D94" w:rsidRPr="00640A1D">
        <w:t xml:space="preserve"> reliably predict—that is, have a true prediction—one must either get lucky or have a </w:t>
      </w:r>
      <w:r w:rsidR="00CE65E2" w:rsidRPr="00640A1D">
        <w:t xml:space="preserve">real </w:t>
      </w:r>
      <w:r w:rsidR="5EE23D94" w:rsidRPr="00640A1D">
        <w:t>grasp on the mechanism at play.</w:t>
      </w:r>
      <w:r w:rsidR="00386010" w:rsidRPr="00640A1D">
        <w:rPr>
          <w:rStyle w:val="FootnoteReference"/>
        </w:rPr>
        <w:footnoteReference w:id="4"/>
      </w:r>
      <w:r w:rsidR="5EE23D94" w:rsidRPr="00640A1D">
        <w:t xml:space="preserve"> Can we tell the difference between </w:t>
      </w:r>
      <w:r w:rsidRPr="00640A1D">
        <w:t>mere luck and true understanding</w:t>
      </w:r>
      <w:r w:rsidR="5EE23D94" w:rsidRPr="00640A1D">
        <w:t xml:space="preserve"> just from predictive success alone? Not with certainty—but with some probability. </w:t>
      </w:r>
    </w:p>
    <w:p w14:paraId="0028D509" w14:textId="3CD4B1A3" w:rsidR="002B2CE2" w:rsidRPr="00640A1D" w:rsidRDefault="5EE23D94" w:rsidP="002B2CE2">
      <w:pPr>
        <w:ind w:firstLine="720"/>
      </w:pPr>
      <w:r w:rsidRPr="00640A1D">
        <w:t xml:space="preserve">A brief reflection on what </w:t>
      </w:r>
      <w:r w:rsidR="00CB45BE" w:rsidRPr="00640A1D">
        <w:t>“</w:t>
      </w:r>
      <w:r w:rsidRPr="00640A1D">
        <w:t>lucky</w:t>
      </w:r>
      <w:r w:rsidR="00CB45BE" w:rsidRPr="00640A1D">
        <w:t>”</w:t>
      </w:r>
      <w:r w:rsidRPr="00640A1D">
        <w:t xml:space="preserve"> means in this context </w:t>
      </w:r>
      <w:r w:rsidR="00F70F30" w:rsidRPr="00640A1D">
        <w:t>must</w:t>
      </w:r>
      <w:r w:rsidRPr="00640A1D">
        <w:t xml:space="preserve"> suffice. Suppose a cannon is placed at angle θ and shoots a ball of </w:t>
      </w:r>
      <w:r w:rsidR="00F70F30" w:rsidRPr="00640A1D">
        <w:t xml:space="preserve">some </w:t>
      </w:r>
      <w:r w:rsidRPr="00640A1D">
        <w:t xml:space="preserve">mass at velocity </w:t>
      </w:r>
      <w:r w:rsidRPr="00640A1D">
        <w:rPr>
          <w:i/>
          <w:iCs/>
        </w:rPr>
        <w:t>v</w:t>
      </w:r>
      <w:r w:rsidRPr="00640A1D">
        <w:t xml:space="preserve">. Given the Earth’s gravitational pull </w:t>
      </w:r>
      <w:r w:rsidR="00CB45BE" w:rsidRPr="00640A1D">
        <w:t>and</w:t>
      </w:r>
      <w:r w:rsidRPr="00640A1D">
        <w:t xml:space="preserve"> ignoring air resistance, we can model its trajectory in Cartesian form:</w:t>
      </w:r>
    </w:p>
    <w:p w14:paraId="3A2623A2" w14:textId="39816907" w:rsidR="002B2CE2" w:rsidRPr="00640A1D" w:rsidRDefault="002B2CE2" w:rsidP="002B2CE2">
      <w:pPr>
        <w:ind w:firstLine="720"/>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=x</m:t>
          </m:r>
          <m:func>
            <m:funcPr>
              <m:ctrlPr>
                <w:rPr>
                  <w:rFonts w:ascii="Cambria Math" w:hAnsi="Cambria Math"/>
                  <w:i/>
                </w:rPr>
              </m:ctrlPr>
            </m:funcPr>
            <m:fName>
              <m:r>
                <m:rPr>
                  <m:sty m:val="p"/>
                </m:rPr>
                <w:rPr>
                  <w:rFonts w:ascii="Cambria Math" w:hAnsi="Cambria Math"/>
                </w:rPr>
                <m:t>tan</m:t>
              </m:r>
            </m:fName>
            <m:e>
              <m:r>
                <m:rPr>
                  <m:sty m:val="p"/>
                </m:rPr>
                <w:rPr>
                  <w:rFonts w:ascii="Cambria Math" w:hAnsi="Cambria Math"/>
                </w:rPr>
                <m:t>θ</m:t>
              </m:r>
            </m:e>
          </m:func>
          <m:r>
            <w:rPr>
              <w:rFonts w:ascii="Cambria Math" w:hAnsi="Cambria Math"/>
            </w:rPr>
            <m:t>-</m:t>
          </m:r>
          <m:f>
            <m:fPr>
              <m:ctrlPr>
                <w:rPr>
                  <w:rFonts w:ascii="Cambria Math" w:hAnsi="Cambria Math"/>
                  <w:i/>
                </w:rPr>
              </m:ctrlPr>
            </m:fPr>
            <m:num>
              <m:r>
                <w:rPr>
                  <w:rFonts w:ascii="Cambria Math" w:hAnsi="Cambria Math"/>
                </w:rPr>
                <m:t>g</m:t>
              </m:r>
            </m:num>
            <m:den>
              <m:r>
                <w:rPr>
                  <w:rFonts w:ascii="Cambria Math" w:hAnsi="Cambria Math"/>
                </w:rPr>
                <m:t>2</m:t>
              </m:r>
              <m:sSup>
                <m:sSupPr>
                  <m:ctrlPr>
                    <w:rPr>
                      <w:rFonts w:ascii="Cambria Math" w:hAnsi="Cambria Math"/>
                      <w:i/>
                    </w:rPr>
                  </m:ctrlPr>
                </m:sSupPr>
                <m:e>
                  <m:r>
                    <w:rPr>
                      <w:rFonts w:ascii="Cambria Math" w:hAnsi="Cambria Math"/>
                    </w:rPr>
                    <m:t>v</m:t>
                  </m:r>
                </m:e>
                <m:sup>
                  <m:r>
                    <w:rPr>
                      <w:rFonts w:ascii="Cambria Math" w:hAnsi="Cambria Math"/>
                    </w:rPr>
                    <m:t>2</m:t>
                  </m:r>
                </m:sup>
              </m:sSup>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ctrlPr>
                        <w:rPr>
                          <w:rFonts w:ascii="Cambria Math" w:hAnsi="Cambria Math"/>
                        </w:rPr>
                      </m:ctrlPr>
                    </m:e>
                    <m:sup>
                      <m:r>
                        <w:rPr>
                          <w:rFonts w:ascii="Cambria Math" w:hAnsi="Cambria Math"/>
                        </w:rPr>
                        <m:t>2</m:t>
                      </m:r>
                      <m:ctrlPr>
                        <w:rPr>
                          <w:rFonts w:ascii="Cambria Math" w:hAnsi="Cambria Math"/>
                        </w:rPr>
                      </m:ctrlPr>
                    </m:sup>
                  </m:sSup>
                </m:fName>
                <m:e>
                  <m:r>
                    <m:rPr>
                      <m:sty m:val="p"/>
                    </m:rPr>
                    <w:rPr>
                      <w:rFonts w:ascii="Cambria Math" w:hAnsi="Cambria Math"/>
                    </w:rPr>
                    <m:t>θ</m:t>
                  </m:r>
                </m:e>
              </m:func>
            </m:den>
          </m:f>
          <m:sSup>
            <m:sSupPr>
              <m:ctrlPr>
                <w:rPr>
                  <w:rFonts w:ascii="Cambria Math" w:hAnsi="Cambria Math"/>
                  <w:i/>
                </w:rPr>
              </m:ctrlPr>
            </m:sSupPr>
            <m:e>
              <m:r>
                <w:rPr>
                  <w:rFonts w:ascii="Cambria Math" w:hAnsi="Cambria Math"/>
                </w:rPr>
                <m:t>x</m:t>
              </m:r>
            </m:e>
            <m:sup>
              <m:r>
                <w:rPr>
                  <w:rFonts w:ascii="Cambria Math" w:hAnsi="Cambria Math"/>
                </w:rPr>
                <m:t>2</m:t>
              </m:r>
            </m:sup>
          </m:sSup>
        </m:oMath>
      </m:oMathPara>
    </w:p>
    <w:p w14:paraId="7B471A3A" w14:textId="44BFB00A" w:rsidR="002B2CE2" w:rsidRPr="00640A1D" w:rsidRDefault="002B2CE2" w:rsidP="00386010">
      <w:pPr>
        <w:ind w:firstLine="720"/>
      </w:pPr>
      <w:r w:rsidRPr="00640A1D">
        <w:t>With this equation, one can reliably predict where the cannonball will land. By contrast, without this equation</w:t>
      </w:r>
      <w:r w:rsidR="00632BD6" w:rsidRPr="00640A1D">
        <w:t xml:space="preserve"> or anything similar</w:t>
      </w:r>
      <w:r w:rsidRPr="00640A1D">
        <w:t>,</w:t>
      </w:r>
      <w:r w:rsidR="00632BD6" w:rsidRPr="00640A1D">
        <w:rPr>
          <w:rStyle w:val="FootnoteReference"/>
        </w:rPr>
        <w:footnoteReference w:id="5"/>
      </w:r>
      <w:r w:rsidRPr="00640A1D">
        <w:t xml:space="preserve"> one’s prediction of where it will land </w:t>
      </w:r>
      <w:r w:rsidR="00632BD6" w:rsidRPr="00640A1D">
        <w:t>will be a matter of luck.</w:t>
      </w:r>
      <w:r w:rsidRPr="00640A1D">
        <w:t xml:space="preserve"> To get ‘lucky’ is to predict truthfully but not reliably. </w:t>
      </w:r>
      <w:r w:rsidR="00632BD6" w:rsidRPr="00640A1D">
        <w:t xml:space="preserve">But just what is the probability of getting lucky? G&amp;G </w:t>
      </w:r>
      <w:r w:rsidR="002828B4" w:rsidRPr="00640A1D">
        <w:t>assert</w:t>
      </w:r>
      <w:r w:rsidR="00632BD6" w:rsidRPr="00640A1D">
        <w:t xml:space="preserve"> that it is the base rate.</w:t>
      </w:r>
      <w:r w:rsidR="002828B4" w:rsidRPr="00640A1D">
        <w:rPr>
          <w:rStyle w:val="FootnoteReference"/>
        </w:rPr>
        <w:footnoteReference w:id="6"/>
      </w:r>
      <w:r w:rsidR="00632BD6" w:rsidRPr="00640A1D">
        <w:t xml:space="preserve"> Suppose we cap the cannon’s maximum range at 100m and allow predictions by the meter. With no prior knowledge of how powerful the cannon is, each meter is a possible guess and the chances of correctly predicting the ball’s distance is approximately 1 in 100. If, however, </w:t>
      </w:r>
      <w:r w:rsidR="0049312A">
        <w:t>one</w:t>
      </w:r>
      <w:r w:rsidR="00632BD6" w:rsidRPr="00640A1D">
        <w:t xml:space="preserve"> know</w:t>
      </w:r>
      <w:r w:rsidR="0049312A">
        <w:t>s</w:t>
      </w:r>
      <w:r w:rsidR="00632BD6" w:rsidRPr="00640A1D">
        <w:t xml:space="preserve"> the exit velocity of the cannonball and its angle of exit, </w:t>
      </w:r>
      <w:r w:rsidR="0049312A">
        <w:t>one can</w:t>
      </w:r>
      <w:r w:rsidR="00632BD6" w:rsidRPr="00640A1D">
        <w:t xml:space="preserve"> use the above equation to </w:t>
      </w:r>
      <w:r w:rsidR="0049312A">
        <w:t>determine</w:t>
      </w:r>
      <w:r w:rsidR="00632BD6" w:rsidRPr="00640A1D">
        <w:t xml:space="preserve"> </w:t>
      </w:r>
      <w:r w:rsidR="0049312A">
        <w:t xml:space="preserve">the </w:t>
      </w:r>
      <w:r w:rsidR="0057082F" w:rsidRPr="00640A1D">
        <w:t>meter</w:t>
      </w:r>
      <w:r w:rsidR="00632BD6" w:rsidRPr="00640A1D">
        <w:t xml:space="preserve"> it will </w:t>
      </w:r>
      <w:r w:rsidR="0049312A">
        <w:t>strike</w:t>
      </w:r>
      <w:r w:rsidR="00632BD6" w:rsidRPr="00640A1D">
        <w:t xml:space="preserve">. If lucky guesses in this prediction game have a base-rate of 1/100, then we can </w:t>
      </w:r>
      <w:r w:rsidR="0049312A">
        <w:t xml:space="preserve">discover </w:t>
      </w:r>
      <w:r w:rsidR="00632BD6" w:rsidRPr="00640A1D">
        <w:t xml:space="preserve">whether someone knows the relevant information to a very high degree of likelihood by playing the game </w:t>
      </w:r>
      <w:r w:rsidR="000B79C0" w:rsidRPr="00640A1D">
        <w:t>repeatedly</w:t>
      </w:r>
      <w:r w:rsidR="00632BD6" w:rsidRPr="00640A1D">
        <w:t xml:space="preserve">. If someone </w:t>
      </w:r>
      <w:r w:rsidR="000B79C0" w:rsidRPr="00640A1D">
        <w:t>is reliably correct</w:t>
      </w:r>
      <w:r w:rsidR="00632BD6" w:rsidRPr="00640A1D">
        <w:t xml:space="preserve">, </w:t>
      </w:r>
      <w:r w:rsidR="00632BD6" w:rsidRPr="00640A1D">
        <w:lastRenderedPageBreak/>
        <w:t xml:space="preserve">the probability </w:t>
      </w:r>
      <w:r w:rsidR="000B79C0" w:rsidRPr="00640A1D">
        <w:t>of mere luck</w:t>
      </w:r>
      <w:r w:rsidR="00632BD6" w:rsidRPr="00640A1D">
        <w:t xml:space="preserve"> decreases dramatically. Even on the first prediction, the probability that they just had a lucky guess is 1/100, which means that there is a 99/100 chance that they are not just luckily guessing. </w:t>
      </w:r>
      <w:r w:rsidR="007E577E" w:rsidRPr="00640A1D">
        <w:t>N</w:t>
      </w:r>
      <w:r w:rsidR="00632BD6" w:rsidRPr="00640A1D">
        <w:t xml:space="preserve">ot </w:t>
      </w:r>
      <w:proofErr w:type="gramStart"/>
      <w:r w:rsidR="00632BD6" w:rsidRPr="00640A1D">
        <w:t>all of</w:t>
      </w:r>
      <w:proofErr w:type="gramEnd"/>
      <w:r w:rsidR="00632BD6" w:rsidRPr="00640A1D">
        <w:t xml:space="preserve"> that 99</w:t>
      </w:r>
      <w:r w:rsidR="007E577E" w:rsidRPr="00640A1D">
        <w:t>%</w:t>
      </w:r>
      <w:r w:rsidR="00632BD6" w:rsidRPr="00640A1D">
        <w:t xml:space="preserve"> is that they know how to calculate the location of the ball. It includes possibilities like </w:t>
      </w:r>
      <w:r w:rsidR="0049312A">
        <w:t>c</w:t>
      </w:r>
      <w:r w:rsidR="00632BD6" w:rsidRPr="00640A1D">
        <w:t xml:space="preserve">heating, intuition, and so on. But the probability </w:t>
      </w:r>
      <w:r w:rsidR="00B42D95" w:rsidRPr="00640A1D">
        <w:t>of pure luck</w:t>
      </w:r>
      <w:r w:rsidR="00632BD6" w:rsidRPr="00640A1D">
        <w:t xml:space="preserve"> is 1/100. And if they (independently) get it right the second time, we multiply the base rates for a lucky guess together: (1/</w:t>
      </w:r>
      <w:proofErr w:type="gramStart"/>
      <w:r w:rsidR="00632BD6" w:rsidRPr="00640A1D">
        <w:t>100)(</w:t>
      </w:r>
      <w:proofErr w:type="gramEnd"/>
      <w:r w:rsidR="00632BD6" w:rsidRPr="00640A1D">
        <w:t xml:space="preserve">1/100) = 1/10,000. So now the probability </w:t>
      </w:r>
      <w:r w:rsidR="008A754E" w:rsidRPr="00640A1D">
        <w:t>of mere</w:t>
      </w:r>
      <w:r w:rsidR="00632BD6" w:rsidRPr="00640A1D">
        <w:t xml:space="preserve"> luck is </w:t>
      </w:r>
      <w:proofErr w:type="gramStart"/>
      <w:r w:rsidR="00632BD6" w:rsidRPr="00640A1D">
        <w:t>tiny, and</w:t>
      </w:r>
      <w:proofErr w:type="gramEnd"/>
      <w:r w:rsidR="00632BD6" w:rsidRPr="00640A1D">
        <w:t xml:space="preserve"> will continue to decrease as the reliable predictor </w:t>
      </w:r>
      <w:r w:rsidR="00A95735" w:rsidRPr="00640A1D">
        <w:t>continues succeeding</w:t>
      </w:r>
      <w:r w:rsidR="00632BD6" w:rsidRPr="00640A1D">
        <w:t xml:space="preserve">. </w:t>
      </w:r>
    </w:p>
    <w:p w14:paraId="56127F14" w14:textId="18548C49" w:rsidR="00386010" w:rsidRPr="00640A1D" w:rsidRDefault="00542C1A" w:rsidP="00386010">
      <w:pPr>
        <w:ind w:firstLine="720"/>
      </w:pPr>
      <w:r w:rsidRPr="00640A1D">
        <w:t>So, g</w:t>
      </w:r>
      <w:r w:rsidR="00711F46" w:rsidRPr="00640A1D">
        <w:t>iven the science</w:t>
      </w:r>
      <w:r w:rsidR="008A754E" w:rsidRPr="00640A1D">
        <w:t>s</w:t>
      </w:r>
      <w:r w:rsidR="00711F46" w:rsidRPr="00640A1D">
        <w:t xml:space="preserve">’ predictive success, it is very unlikely that science is just getting lucky. </w:t>
      </w:r>
      <w:r w:rsidR="000F3770" w:rsidRPr="00640A1D">
        <w:t xml:space="preserve">Pure luck is the </w:t>
      </w:r>
      <w:r w:rsidR="00711F46" w:rsidRPr="00640A1D">
        <w:t>“miracle”</w:t>
      </w:r>
      <w:r w:rsidR="000F3770" w:rsidRPr="00640A1D">
        <w:t xml:space="preserve"> in their version of the No Miracles Argument</w:t>
      </w:r>
      <w:r w:rsidR="00711F46" w:rsidRPr="00640A1D">
        <w:t xml:space="preserve">: it would be a miracle if, against all odds, science has just been getting lucky with their predictive successes. </w:t>
      </w:r>
      <w:r w:rsidRPr="00640A1D">
        <w:t>G&amp;G</w:t>
      </w:r>
      <w:r w:rsidR="00711F46" w:rsidRPr="00640A1D">
        <w:t xml:space="preserve"> formalize their argument</w:t>
      </w:r>
      <w:r w:rsidR="0057082F" w:rsidRPr="00640A1D">
        <w:t xml:space="preserve"> deductively</w:t>
      </w:r>
      <w:r w:rsidR="00711F46" w:rsidRPr="00640A1D">
        <w:t xml:space="preserve"> as follows: </w:t>
      </w:r>
    </w:p>
    <w:p w14:paraId="6D5282E9" w14:textId="1D64C1D9" w:rsidR="006678E8" w:rsidRPr="00640A1D" w:rsidRDefault="006678E8" w:rsidP="006678E8">
      <w:r w:rsidRPr="00640A1D">
        <w:t>(DNMA)</w:t>
      </w:r>
    </w:p>
    <w:p w14:paraId="6ECB6ACC" w14:textId="77777777" w:rsidR="00386010" w:rsidRPr="00640A1D" w:rsidRDefault="00386010" w:rsidP="00386010">
      <w:pPr>
        <w:pStyle w:val="ListParagraph"/>
        <w:numPr>
          <w:ilvl w:val="3"/>
          <w:numId w:val="5"/>
        </w:numPr>
        <w:ind w:left="1080"/>
        <w:rPr>
          <w:rFonts w:eastAsia="Garamond"/>
        </w:rPr>
      </w:pPr>
      <w:bookmarkStart w:id="0" w:name="_Hlk122531316"/>
      <w:r w:rsidRPr="00640A1D">
        <w:t xml:space="preserve">If T were false, then </w:t>
      </w:r>
      <w:r w:rsidRPr="00640A1D">
        <w:rPr>
          <w:rFonts w:eastAsia="Garamond"/>
        </w:rPr>
        <w:t xml:space="preserve">the probability that T is a theory from which one has reasoned to a successful prediction (i.e., predicted), </w:t>
      </w:r>
      <w:proofErr w:type="spellStart"/>
      <w:r w:rsidRPr="00640A1D">
        <w:rPr>
          <w:rFonts w:eastAsia="Garamond"/>
        </w:rPr>
        <w:t>Pr</w:t>
      </w:r>
      <w:r w:rsidRPr="00640A1D">
        <w:rPr>
          <w:rFonts w:eastAsia="Garamond"/>
          <w:vertAlign w:val="subscript"/>
        </w:rPr>
        <w:t>m</w:t>
      </w:r>
      <w:proofErr w:type="spellEnd"/>
      <w:r w:rsidRPr="00640A1D">
        <w:rPr>
          <w:rFonts w:eastAsia="Garamond"/>
        </w:rPr>
        <w:t xml:space="preserve">, is equivalent to the base rate of </w:t>
      </w:r>
      <w:proofErr w:type="spellStart"/>
      <w:r w:rsidRPr="00640A1D">
        <w:rPr>
          <w:rFonts w:eastAsia="Garamond"/>
        </w:rPr>
        <w:t>Pr</w:t>
      </w:r>
      <w:r w:rsidRPr="00640A1D">
        <w:rPr>
          <w:rFonts w:eastAsia="Garamond"/>
          <w:vertAlign w:val="subscript"/>
        </w:rPr>
        <w:t>m</w:t>
      </w:r>
      <w:proofErr w:type="spellEnd"/>
      <w:r w:rsidRPr="00640A1D">
        <w:rPr>
          <w:rFonts w:eastAsia="Garamond"/>
        </w:rPr>
        <w:t xml:space="preserve"> occurring, </w:t>
      </w:r>
      <w:proofErr w:type="spellStart"/>
      <w:r w:rsidRPr="00640A1D">
        <w:rPr>
          <w:rFonts w:eastAsia="Garamond"/>
        </w:rPr>
        <w:t>Br</w:t>
      </w:r>
      <w:r w:rsidRPr="00640A1D">
        <w:rPr>
          <w:rFonts w:eastAsia="Garamond"/>
          <w:vertAlign w:val="subscript"/>
        </w:rPr>
        <w:t>m</w:t>
      </w:r>
      <w:proofErr w:type="spellEnd"/>
      <w:r w:rsidRPr="00640A1D">
        <w:rPr>
          <w:rFonts w:eastAsia="Garamond"/>
        </w:rPr>
        <w:t>. [</w:t>
      </w:r>
      <w:r w:rsidRPr="00640A1D">
        <w:t>premise, §3.1</w:t>
      </w:r>
      <w:r w:rsidRPr="00640A1D">
        <w:rPr>
          <w:rFonts w:eastAsia="Garamond"/>
        </w:rPr>
        <w:t>]</w:t>
      </w:r>
    </w:p>
    <w:p w14:paraId="0CCCF43F" w14:textId="77777777" w:rsidR="00386010" w:rsidRPr="00640A1D" w:rsidRDefault="00386010" w:rsidP="00386010">
      <w:pPr>
        <w:pStyle w:val="ListParagraph"/>
        <w:numPr>
          <w:ilvl w:val="3"/>
          <w:numId w:val="5"/>
        </w:numPr>
        <w:ind w:left="1080"/>
        <w:rPr>
          <w:rFonts w:eastAsia="Garamond"/>
        </w:rPr>
      </w:pPr>
      <w:bookmarkStart w:id="1" w:name="_Hlk122532118"/>
      <w:r w:rsidRPr="00640A1D">
        <w:rPr>
          <w:rFonts w:eastAsia="Garamond"/>
        </w:rPr>
        <w:t>If T were false, then the probability that T is a theory from which one has reasoned to (i.e., predicted) each true, novel, improbable,</w:t>
      </w:r>
      <w:r w:rsidRPr="00640A1D">
        <w:rPr>
          <w:rStyle w:val="FootnoteReference"/>
          <w:rFonts w:eastAsia="Garamond"/>
        </w:rPr>
        <w:footnoteReference w:id="7"/>
      </w:r>
      <w:r w:rsidRPr="00640A1D">
        <w:rPr>
          <w:rFonts w:eastAsia="Garamond"/>
        </w:rPr>
        <w:t xml:space="preserve"> and independent prediction are probabilistically independent. [premise, </w:t>
      </w:r>
      <w:r w:rsidRPr="00640A1D">
        <w:t>§3.2</w:t>
      </w:r>
      <w:r w:rsidRPr="00640A1D">
        <w:rPr>
          <w:rFonts w:eastAsia="Garamond"/>
        </w:rPr>
        <w:t>]</w:t>
      </w:r>
    </w:p>
    <w:p w14:paraId="2DC2D5B3" w14:textId="77777777" w:rsidR="00386010" w:rsidRPr="00640A1D" w:rsidRDefault="00386010" w:rsidP="00386010">
      <w:pPr>
        <w:pStyle w:val="ListParagraph"/>
        <w:numPr>
          <w:ilvl w:val="3"/>
          <w:numId w:val="5"/>
        </w:numPr>
        <w:ind w:left="1080"/>
        <w:rPr>
          <w:rFonts w:eastAsia="Garamond"/>
        </w:rPr>
      </w:pPr>
      <w:r w:rsidRPr="00640A1D">
        <w:rPr>
          <w:rFonts w:eastAsia="Garamond"/>
        </w:rPr>
        <w:t xml:space="preserve">If T were false, then the probability that T is a theory from which one has reasoned to (i.e., predicted) </w:t>
      </w:r>
      <w:proofErr w:type="gramStart"/>
      <w:r w:rsidRPr="00640A1D">
        <w:rPr>
          <w:rFonts w:eastAsia="Garamond"/>
        </w:rPr>
        <w:t>a large number of</w:t>
      </w:r>
      <w:proofErr w:type="gramEnd"/>
      <w:r w:rsidRPr="00640A1D">
        <w:rPr>
          <w:rFonts w:eastAsia="Garamond"/>
        </w:rPr>
        <w:t xml:space="preserve"> true, novel, improbable, and independent predictions, Pr</w:t>
      </w:r>
      <w:r w:rsidRPr="00640A1D">
        <w:rPr>
          <w:rFonts w:eastAsia="Garamond"/>
          <w:vertAlign w:val="subscript"/>
        </w:rPr>
        <w:t>1</w:t>
      </w:r>
      <w:r w:rsidRPr="00640A1D">
        <w:rPr>
          <w:rFonts w:eastAsia="Garamond"/>
        </w:rPr>
        <w:t>, Pr</w:t>
      </w:r>
      <w:r w:rsidRPr="00640A1D">
        <w:rPr>
          <w:rFonts w:eastAsia="Garamond"/>
          <w:vertAlign w:val="subscript"/>
        </w:rPr>
        <w:t>2</w:t>
      </w:r>
      <w:r w:rsidRPr="00640A1D">
        <w:rPr>
          <w:rFonts w:eastAsia="Garamond"/>
        </w:rPr>
        <w:t>, … Pr</w:t>
      </w:r>
      <w:r w:rsidRPr="00640A1D">
        <w:rPr>
          <w:rFonts w:eastAsia="Garamond"/>
          <w:vertAlign w:val="subscript"/>
        </w:rPr>
        <w:t>n</w:t>
      </w:r>
      <w:r w:rsidRPr="00640A1D">
        <w:rPr>
          <w:rFonts w:eastAsia="Garamond"/>
        </w:rPr>
        <w:t>, is equivalent to (Br</w:t>
      </w:r>
      <w:r w:rsidRPr="00640A1D">
        <w:rPr>
          <w:rFonts w:eastAsia="Garamond"/>
          <w:vertAlign w:val="subscript"/>
        </w:rPr>
        <w:t>1</w:t>
      </w:r>
      <w:r w:rsidRPr="00640A1D">
        <w:rPr>
          <w:rFonts w:eastAsia="Garamond"/>
        </w:rPr>
        <w:t xml:space="preserve"> * Br</w:t>
      </w:r>
      <w:r w:rsidRPr="00640A1D">
        <w:rPr>
          <w:rFonts w:eastAsia="Garamond"/>
          <w:vertAlign w:val="subscript"/>
        </w:rPr>
        <w:t xml:space="preserve">2 </w:t>
      </w:r>
      <w:r w:rsidRPr="00640A1D">
        <w:rPr>
          <w:rFonts w:eastAsia="Garamond"/>
        </w:rPr>
        <w:t>* Br</w:t>
      </w:r>
      <w:r w:rsidRPr="00640A1D">
        <w:rPr>
          <w:rFonts w:eastAsia="Garamond"/>
          <w:vertAlign w:val="subscript"/>
        </w:rPr>
        <w:t>3</w:t>
      </w:r>
      <w:r w:rsidRPr="00640A1D">
        <w:rPr>
          <w:rFonts w:eastAsia="Garamond"/>
        </w:rPr>
        <w:t xml:space="preserve"> … * </w:t>
      </w:r>
      <w:proofErr w:type="spellStart"/>
      <w:r w:rsidRPr="00640A1D">
        <w:rPr>
          <w:rFonts w:eastAsia="Garamond"/>
        </w:rPr>
        <w:t>Br</w:t>
      </w:r>
      <w:r w:rsidRPr="00640A1D">
        <w:rPr>
          <w:rFonts w:eastAsia="Garamond"/>
          <w:vertAlign w:val="subscript"/>
        </w:rPr>
        <w:t>n</w:t>
      </w:r>
      <w:proofErr w:type="spellEnd"/>
      <w:r w:rsidRPr="00640A1D">
        <w:rPr>
          <w:rFonts w:eastAsia="Garamond"/>
        </w:rPr>
        <w:t>). [</w:t>
      </w:r>
      <w:r w:rsidRPr="00640A1D">
        <w:t>1, 2, probability</w:t>
      </w:r>
      <w:r w:rsidRPr="00640A1D">
        <w:rPr>
          <w:rFonts w:eastAsia="Garamond"/>
        </w:rPr>
        <w:t>]</w:t>
      </w:r>
    </w:p>
    <w:p w14:paraId="268D1270" w14:textId="77777777" w:rsidR="00386010" w:rsidRPr="00640A1D" w:rsidRDefault="00386010" w:rsidP="00386010">
      <w:pPr>
        <w:pStyle w:val="ListParagraph"/>
        <w:numPr>
          <w:ilvl w:val="3"/>
          <w:numId w:val="5"/>
        </w:numPr>
        <w:ind w:left="1080"/>
        <w:rPr>
          <w:rFonts w:eastAsia="Garamond"/>
        </w:rPr>
      </w:pPr>
      <w:bookmarkStart w:id="2" w:name="_Hlk122532139"/>
      <w:bookmarkEnd w:id="1"/>
      <w:r w:rsidRPr="00640A1D">
        <w:rPr>
          <w:rFonts w:eastAsia="Garamond"/>
        </w:rPr>
        <w:lastRenderedPageBreak/>
        <w:t xml:space="preserve">If T were false, then it is prohibitively improbable that T is a theory from which one has reasoned to (i.e., predicted) </w:t>
      </w:r>
      <w:proofErr w:type="gramStart"/>
      <w:r w:rsidRPr="00640A1D">
        <w:rPr>
          <w:rFonts w:eastAsia="Garamond"/>
        </w:rPr>
        <w:t>a large number of</w:t>
      </w:r>
      <w:proofErr w:type="gramEnd"/>
      <w:r w:rsidRPr="00640A1D">
        <w:rPr>
          <w:rFonts w:eastAsia="Garamond"/>
        </w:rPr>
        <w:t xml:space="preserve"> true, novel, improbable, and independent predictions. [</w:t>
      </w:r>
      <w:r w:rsidRPr="00640A1D">
        <w:t>3, probability</w:t>
      </w:r>
      <w:r w:rsidRPr="00640A1D">
        <w:rPr>
          <w:rFonts w:eastAsia="Garamond"/>
        </w:rPr>
        <w:t>]</w:t>
      </w:r>
    </w:p>
    <w:p w14:paraId="0D09276F" w14:textId="77777777" w:rsidR="00386010" w:rsidRPr="00640A1D" w:rsidRDefault="00386010" w:rsidP="00386010">
      <w:pPr>
        <w:pStyle w:val="ListParagraph"/>
        <w:numPr>
          <w:ilvl w:val="3"/>
          <w:numId w:val="5"/>
        </w:numPr>
        <w:ind w:left="1080"/>
        <w:rPr>
          <w:rFonts w:eastAsia="Garamond"/>
        </w:rPr>
      </w:pPr>
      <w:bookmarkStart w:id="3" w:name="_Hlk122532188"/>
      <w:bookmarkEnd w:id="2"/>
      <w:proofErr w:type="spellStart"/>
      <w:r w:rsidRPr="00640A1D">
        <w:t>T</w:t>
      </w:r>
      <w:proofErr w:type="spellEnd"/>
      <w:r w:rsidRPr="00640A1D">
        <w:t xml:space="preserve"> is true or it is prohibitively improbable that scientists have made </w:t>
      </w:r>
      <w:proofErr w:type="gramStart"/>
      <w:r w:rsidRPr="00640A1D">
        <w:rPr>
          <w:rFonts w:eastAsia="Garamond"/>
        </w:rPr>
        <w:t>a large number of</w:t>
      </w:r>
      <w:proofErr w:type="gramEnd"/>
      <w:r w:rsidRPr="00640A1D">
        <w:rPr>
          <w:rFonts w:eastAsia="Garamond"/>
        </w:rPr>
        <w:t xml:space="preserve"> true, novel, improbable, and independent predictions, Pr</w:t>
      </w:r>
      <w:r w:rsidRPr="00640A1D">
        <w:rPr>
          <w:rFonts w:eastAsia="Garamond"/>
          <w:vertAlign w:val="subscript"/>
        </w:rPr>
        <w:t>1</w:t>
      </w:r>
      <w:r w:rsidRPr="00640A1D">
        <w:rPr>
          <w:rFonts w:eastAsia="Garamond"/>
        </w:rPr>
        <w:t>, Pr</w:t>
      </w:r>
      <w:r w:rsidRPr="00640A1D">
        <w:rPr>
          <w:rFonts w:eastAsia="Garamond"/>
          <w:vertAlign w:val="subscript"/>
        </w:rPr>
        <w:t>2</w:t>
      </w:r>
      <w:r w:rsidRPr="00640A1D">
        <w:rPr>
          <w:rFonts w:eastAsia="Garamond"/>
        </w:rPr>
        <w:t>, … Pr</w:t>
      </w:r>
      <w:r w:rsidRPr="00640A1D">
        <w:rPr>
          <w:rFonts w:eastAsia="Garamond"/>
          <w:vertAlign w:val="subscript"/>
        </w:rPr>
        <w:t>n</w:t>
      </w:r>
      <w:r w:rsidRPr="00640A1D">
        <w:t xml:space="preserve"> by reasoning from T. [4, LEM]</w:t>
      </w:r>
    </w:p>
    <w:bookmarkEnd w:id="3"/>
    <w:p w14:paraId="333A9183" w14:textId="77777777" w:rsidR="00386010" w:rsidRPr="00640A1D" w:rsidRDefault="00386010" w:rsidP="00386010">
      <w:pPr>
        <w:pStyle w:val="ListParagraph"/>
        <w:numPr>
          <w:ilvl w:val="3"/>
          <w:numId w:val="5"/>
        </w:numPr>
        <w:ind w:left="1080"/>
        <w:rPr>
          <w:rFonts w:eastAsia="Garamond"/>
        </w:rPr>
      </w:pPr>
      <w:r w:rsidRPr="00640A1D">
        <w:t xml:space="preserve">Scientists have made </w:t>
      </w:r>
      <w:proofErr w:type="gramStart"/>
      <w:r w:rsidRPr="00640A1D">
        <w:rPr>
          <w:rFonts w:eastAsia="Garamond"/>
        </w:rPr>
        <w:t>a large number of</w:t>
      </w:r>
      <w:proofErr w:type="gramEnd"/>
      <w:r w:rsidRPr="00640A1D">
        <w:rPr>
          <w:rFonts w:eastAsia="Garamond"/>
        </w:rPr>
        <w:t xml:space="preserve"> true, novel, improbable, and independent predictions, Pr</w:t>
      </w:r>
      <w:r w:rsidRPr="00640A1D">
        <w:rPr>
          <w:rFonts w:eastAsia="Garamond"/>
          <w:vertAlign w:val="subscript"/>
        </w:rPr>
        <w:t>1</w:t>
      </w:r>
      <w:r w:rsidRPr="00640A1D">
        <w:rPr>
          <w:rFonts w:eastAsia="Garamond"/>
        </w:rPr>
        <w:t>, Pr</w:t>
      </w:r>
      <w:r w:rsidRPr="00640A1D">
        <w:rPr>
          <w:rFonts w:eastAsia="Garamond"/>
          <w:vertAlign w:val="subscript"/>
        </w:rPr>
        <w:t>2</w:t>
      </w:r>
      <w:r w:rsidRPr="00640A1D">
        <w:rPr>
          <w:rFonts w:eastAsia="Garamond"/>
        </w:rPr>
        <w:t>, … Pr</w:t>
      </w:r>
      <w:r w:rsidRPr="00640A1D">
        <w:rPr>
          <w:rFonts w:eastAsia="Garamond"/>
          <w:vertAlign w:val="subscript"/>
        </w:rPr>
        <w:t>n</w:t>
      </w:r>
      <w:r w:rsidRPr="00640A1D">
        <w:t>, by reasoning from T. [premise]</w:t>
      </w:r>
    </w:p>
    <w:bookmarkEnd w:id="0"/>
    <w:p w14:paraId="6F79091C" w14:textId="2E82635A" w:rsidR="00711F46" w:rsidRPr="00640A1D" w:rsidRDefault="00386010" w:rsidP="00711F46">
      <w:pPr>
        <w:pStyle w:val="ListParagraph"/>
        <w:numPr>
          <w:ilvl w:val="3"/>
          <w:numId w:val="5"/>
        </w:numPr>
        <w:ind w:left="1080"/>
        <w:rPr>
          <w:rFonts w:eastAsia="Garamond"/>
        </w:rPr>
      </w:pPr>
      <w:r w:rsidRPr="00640A1D">
        <w:t>Therefore, T is exceedingly likely to be true [5, 6, disjunctive syllogism]</w:t>
      </w:r>
      <w:r w:rsidR="000F3770" w:rsidRPr="00640A1D">
        <w:t xml:space="preserve"> </w:t>
      </w:r>
      <w:r w:rsidR="000F3770" w:rsidRPr="00640A1D">
        <w:fldChar w:fldCharType="begin"/>
      </w:r>
      <w:r w:rsidR="00542C1A" w:rsidRPr="00640A1D">
        <w:instrText xml:space="preserve"> ADDIN ZOTERO_ITEM CSL_CITATION {"citationID":"wmDdo59W","properties":{"formattedCitation":"(Golemon and Graber 2023, 7)","plainCitation":"(Golemon and Graber 2023, 7)","noteIndex":0},"citationItems":[{"id":428,"uris":["http://zotero.org/users/13148001/items/YZHLCEN3"],"itemData":{"id":428,"type":"article-journal","container-title":"Synthese","DOI":"https://doi.org/10.1007/s11229-023-04078-6","page":"1-26","title":"A Deductive Variation on the No Miracles Argument","volume":"201","author":[{"family":"Golemon","given":"Luke"},{"family":"Graber","given":"Abraham"}],"issued":{"date-parts":[["2023"]]}},"locator":"7","label":"page"}],"schema":"https://github.com/citation-style-language/schema/raw/master/csl-citation.json"} </w:instrText>
      </w:r>
      <w:r w:rsidR="000F3770" w:rsidRPr="00640A1D">
        <w:fldChar w:fldCharType="separate"/>
      </w:r>
      <w:r w:rsidR="000F3770" w:rsidRPr="00640A1D">
        <w:t>(Golemon and Graber 2023, 7)</w:t>
      </w:r>
      <w:r w:rsidR="000F3770" w:rsidRPr="00640A1D">
        <w:fldChar w:fldCharType="end"/>
      </w:r>
    </w:p>
    <w:p w14:paraId="462C36AC" w14:textId="7ABE65B4" w:rsidR="00386010" w:rsidRPr="00640A1D" w:rsidRDefault="00B45F4D" w:rsidP="00711F46">
      <w:pPr>
        <w:ind w:firstLine="720"/>
      </w:pPr>
      <w:r w:rsidRPr="00640A1D">
        <w:t>Colloquially, t</w:t>
      </w:r>
      <w:r w:rsidR="00711F46" w:rsidRPr="00640A1D">
        <w:t>hey argue that if a theory were false, then the probability of having successfully used it for prediction is essentially the base rate of successful prediction. But considering the number of successful predictions in our best scientific theories, this is exceedingly unlikely. Thus, the relevant theories are exceedingly likely to be</w:t>
      </w:r>
      <w:r w:rsidR="00CB45BE" w:rsidRPr="00640A1D">
        <w:t xml:space="preserve"> (approximately)</w:t>
      </w:r>
      <w:r w:rsidR="00711F46" w:rsidRPr="00640A1D">
        <w:t xml:space="preserve"> true. </w:t>
      </w:r>
    </w:p>
    <w:p w14:paraId="057174DD" w14:textId="29472511" w:rsidR="00711F46" w:rsidRPr="00640A1D" w:rsidRDefault="7E1EA63C" w:rsidP="7E1EA63C">
      <w:pPr>
        <w:ind w:firstLine="720"/>
      </w:pPr>
      <w:r w:rsidRPr="00640A1D">
        <w:t xml:space="preserve">Kok Yong Lee </w:t>
      </w:r>
      <w:r w:rsidR="00711F46" w:rsidRPr="00640A1D">
        <w:fldChar w:fldCharType="begin"/>
      </w:r>
      <w:r w:rsidR="00542C1A" w:rsidRPr="00640A1D">
        <w:instrText xml:space="preserve"> ADDIN ZOTERO_ITEM CSL_CITATION {"citationID":"l9kTZerm","properties":{"formattedCitation":"(2025)","plainCitation":"(2025)","noteIndex":0},"citationItems":[{"id":1,"uris":["http://zotero.org/users/13148001/items/DKFDRUHI"],"itemData":{"id":1,"type":"article-journal","container-title":"Synthese","DOI":"10.1007/s11229-025-05144-x","ISSN":"1573-0964","issue":"1","journalAbbreviation":"Synthese","language":"en","page":"40","source":"DOI.org (Crossref)","title":"A critical examination of Golemon and Graber’s deductive No-Miracle Argument","volume":"206","author":[{"family":"Lee","given":"Kok Yong"}],"issued":{"date-parts":[["2025",7,3]]}},"label":"page","suppress-author":true}],"schema":"https://github.com/citation-style-language/schema/raw/master/csl-citation.json"} </w:instrText>
      </w:r>
      <w:r w:rsidR="00711F46" w:rsidRPr="00640A1D">
        <w:fldChar w:fldCharType="separate"/>
      </w:r>
      <w:r w:rsidRPr="00640A1D">
        <w:t>(2025)</w:t>
      </w:r>
      <w:r w:rsidR="00711F46" w:rsidRPr="00640A1D">
        <w:fldChar w:fldCharType="end"/>
      </w:r>
      <w:r w:rsidRPr="00640A1D">
        <w:t xml:space="preserve"> argues persuasively that the argument</w:t>
      </w:r>
      <w:r w:rsidR="00B86B63" w:rsidRPr="00640A1D">
        <w:t xml:space="preserve"> fails </w:t>
      </w:r>
      <w:r w:rsidRPr="00640A1D">
        <w:t xml:space="preserve">as </w:t>
      </w:r>
      <w:r w:rsidR="00B86B63" w:rsidRPr="00640A1D">
        <w:t>written</w:t>
      </w:r>
      <w:r w:rsidRPr="00640A1D">
        <w:t xml:space="preserve">. </w:t>
      </w:r>
      <w:r w:rsidR="00542C1A" w:rsidRPr="00640A1D">
        <w:t xml:space="preserve">First, making the NMA formally deductive does not necessarily make the argument superior, for any argument can be trivially transformed into a deductive form. Instead, all that matters is if the premises are true and the inferences, valid. </w:t>
      </w:r>
      <w:r w:rsidR="00E1688F" w:rsidRPr="00640A1D">
        <w:t xml:space="preserve">G&amp;G’s argument was unnecessarily </w:t>
      </w:r>
      <w:r w:rsidR="0049312A">
        <w:t>fixated</w:t>
      </w:r>
      <w:r w:rsidR="00E1688F" w:rsidRPr="00640A1D">
        <w:t xml:space="preserve"> on deduction; a strong inference is required, but probability and induction are more felicitous to the relevant inference. </w:t>
      </w:r>
      <w:r w:rsidR="00542C1A" w:rsidRPr="00640A1D">
        <w:t>I bear this in mind when I reconstruct the argument in §</w:t>
      </w:r>
      <w:r w:rsidR="00DD7ACA" w:rsidRPr="00640A1D">
        <w:t>3</w:t>
      </w:r>
      <w:r w:rsidR="00542C1A" w:rsidRPr="00640A1D">
        <w:t>. Second, Lee</w:t>
      </w:r>
      <w:r w:rsidRPr="00640A1D">
        <w:t xml:space="preserve"> claims that the premises </w:t>
      </w:r>
      <w:r w:rsidR="00604E9C" w:rsidRPr="00640A1D">
        <w:t>admit</w:t>
      </w:r>
      <w:r w:rsidRPr="00640A1D">
        <w:t xml:space="preserve"> two different readings, each undesirable. I argue a</w:t>
      </w:r>
      <w:r w:rsidR="007E577E" w:rsidRPr="00640A1D">
        <w:t>n inductive,</w:t>
      </w:r>
      <w:r w:rsidRPr="00640A1D">
        <w:t xml:space="preserve"> probabilistic NMA (</w:t>
      </w:r>
      <w:r w:rsidR="001C7BE2" w:rsidRPr="00640A1D">
        <w:t>I</w:t>
      </w:r>
      <w:r w:rsidRPr="00640A1D">
        <w:t xml:space="preserve">NMA) of some kind </w:t>
      </w:r>
      <w:r w:rsidR="001771FA" w:rsidRPr="00640A1D">
        <w:t>avoid</w:t>
      </w:r>
      <w:r w:rsidR="00901E2A" w:rsidRPr="00640A1D">
        <w:t>s</w:t>
      </w:r>
      <w:r w:rsidR="001771FA" w:rsidRPr="00640A1D">
        <w:t xml:space="preserve"> Lee’s criticisms</w:t>
      </w:r>
      <w:r w:rsidRPr="00640A1D">
        <w:t>, even</w:t>
      </w:r>
      <w:r w:rsidR="00B86B63" w:rsidRPr="00640A1D">
        <w:t xml:space="preserve"> if</w:t>
      </w:r>
      <w:r w:rsidRPr="00640A1D">
        <w:t xml:space="preserve"> G&amp;G’s argument </w:t>
      </w:r>
      <w:r w:rsidR="001771FA" w:rsidRPr="00640A1D">
        <w:t>falls to them</w:t>
      </w:r>
      <w:r w:rsidRPr="00640A1D">
        <w:t xml:space="preserve">. </w:t>
      </w:r>
      <w:r w:rsidR="00204F02" w:rsidRPr="00640A1D">
        <w:t>I now turn to</w:t>
      </w:r>
      <w:r w:rsidRPr="00640A1D">
        <w:t xml:space="preserve"> Lee’s objections.</w:t>
      </w:r>
    </w:p>
    <w:p w14:paraId="77556070" w14:textId="57D17550" w:rsidR="00711F46" w:rsidRPr="00640A1D" w:rsidRDefault="00711F46" w:rsidP="00711F46">
      <w:pPr>
        <w:ind w:firstLine="720"/>
      </w:pPr>
      <w:r w:rsidRPr="00640A1D">
        <w:t xml:space="preserve">Lee asks us to consider the first premise from above: </w:t>
      </w:r>
    </w:p>
    <w:p w14:paraId="22AA4633" w14:textId="77777777" w:rsidR="00711F46" w:rsidRPr="00640A1D" w:rsidRDefault="00711F46" w:rsidP="00711F46">
      <w:pPr>
        <w:pStyle w:val="ListParagraph"/>
        <w:numPr>
          <w:ilvl w:val="0"/>
          <w:numId w:val="6"/>
        </w:numPr>
        <w:rPr>
          <w:rFonts w:eastAsia="Garamond"/>
        </w:rPr>
      </w:pPr>
      <w:r w:rsidRPr="00640A1D">
        <w:lastRenderedPageBreak/>
        <w:t xml:space="preserve">If T were false, then </w:t>
      </w:r>
      <w:r w:rsidRPr="00640A1D">
        <w:rPr>
          <w:rFonts w:eastAsia="Garamond"/>
        </w:rPr>
        <w:t xml:space="preserve">the probability that T is a theory from which one has reasoned to a successful prediction (i.e., predicted), </w:t>
      </w:r>
      <w:proofErr w:type="spellStart"/>
      <w:r w:rsidRPr="00640A1D">
        <w:rPr>
          <w:rFonts w:eastAsia="Garamond"/>
        </w:rPr>
        <w:t>Pr</w:t>
      </w:r>
      <w:r w:rsidRPr="00640A1D">
        <w:rPr>
          <w:rFonts w:eastAsia="Garamond"/>
          <w:vertAlign w:val="subscript"/>
        </w:rPr>
        <w:t>m</w:t>
      </w:r>
      <w:proofErr w:type="spellEnd"/>
      <w:r w:rsidRPr="00640A1D">
        <w:rPr>
          <w:rFonts w:eastAsia="Garamond"/>
        </w:rPr>
        <w:t xml:space="preserve">, is equivalent to the base rate of </w:t>
      </w:r>
      <w:proofErr w:type="spellStart"/>
      <w:r w:rsidRPr="00640A1D">
        <w:rPr>
          <w:rFonts w:eastAsia="Garamond"/>
        </w:rPr>
        <w:t>Pr</w:t>
      </w:r>
      <w:r w:rsidRPr="00640A1D">
        <w:rPr>
          <w:rFonts w:eastAsia="Garamond"/>
          <w:vertAlign w:val="subscript"/>
        </w:rPr>
        <w:t>m</w:t>
      </w:r>
      <w:proofErr w:type="spellEnd"/>
      <w:r w:rsidRPr="00640A1D">
        <w:rPr>
          <w:rFonts w:eastAsia="Garamond"/>
        </w:rPr>
        <w:t xml:space="preserve"> occurring, </w:t>
      </w:r>
      <w:proofErr w:type="spellStart"/>
      <w:r w:rsidRPr="00640A1D">
        <w:rPr>
          <w:rFonts w:eastAsia="Garamond"/>
        </w:rPr>
        <w:t>Br</w:t>
      </w:r>
      <w:r w:rsidRPr="00640A1D">
        <w:rPr>
          <w:rFonts w:eastAsia="Garamond"/>
          <w:vertAlign w:val="subscript"/>
        </w:rPr>
        <w:t>m</w:t>
      </w:r>
      <w:proofErr w:type="spellEnd"/>
      <w:r w:rsidRPr="00640A1D">
        <w:rPr>
          <w:rFonts w:eastAsia="Garamond"/>
        </w:rPr>
        <w:t>. [</w:t>
      </w:r>
      <w:r w:rsidRPr="00640A1D">
        <w:t>premise, §3.1</w:t>
      </w:r>
      <w:r w:rsidRPr="00640A1D">
        <w:rPr>
          <w:rFonts w:eastAsia="Garamond"/>
        </w:rPr>
        <w:t>]</w:t>
      </w:r>
    </w:p>
    <w:p w14:paraId="46140E4C" w14:textId="7FCF326F" w:rsidR="00711F46" w:rsidRPr="00640A1D" w:rsidRDefault="00711F46" w:rsidP="00711F46">
      <w:pPr>
        <w:ind w:firstLine="720"/>
      </w:pPr>
      <w:r w:rsidRPr="00640A1D">
        <w:t xml:space="preserve">There are two interpretations we might make of this premise. On the first, it would be a conditional probability claim: </w:t>
      </w:r>
    </w:p>
    <w:p w14:paraId="27C7F2A3" w14:textId="461F1A90" w:rsidR="7B59B1B3" w:rsidRPr="00640A1D" w:rsidRDefault="76680C82" w:rsidP="7B59B1B3">
      <w:pPr>
        <w:ind w:left="720"/>
        <w:rPr>
          <w:rFonts w:eastAsia="Garamond"/>
        </w:rPr>
      </w:pPr>
      <w:r w:rsidRPr="00640A1D">
        <w:rPr>
          <w:rFonts w:eastAsia="Garamond"/>
        </w:rPr>
        <w:t xml:space="preserve">(D1*) </w:t>
      </w:r>
      <w:r w:rsidR="7B59B1B3" w:rsidRPr="00640A1D">
        <w:tab/>
      </w:r>
      <w:proofErr w:type="spellStart"/>
      <w:proofErr w:type="gramStart"/>
      <w:r w:rsidRPr="00640A1D">
        <w:rPr>
          <w:rFonts w:eastAsia="Garamond"/>
        </w:rPr>
        <w:t>Pr</w:t>
      </w:r>
      <w:proofErr w:type="spellEnd"/>
      <w:r w:rsidRPr="00640A1D">
        <w:rPr>
          <w:rFonts w:eastAsia="Garamond"/>
        </w:rPr>
        <w:t>(</w:t>
      </w:r>
      <w:proofErr w:type="gramEnd"/>
      <w:r w:rsidRPr="00640A1D">
        <w:rPr>
          <w:rFonts w:eastAsia="Garamond"/>
        </w:rPr>
        <w:t>S|</w:t>
      </w:r>
      <w:r w:rsidRPr="00640A1D">
        <w:rPr>
          <w:rFonts w:eastAsia="Garamond" w:cs="Garamond"/>
        </w:rPr>
        <w:t>¬</w:t>
      </w:r>
      <w:r w:rsidRPr="00640A1D">
        <w:rPr>
          <w:rFonts w:eastAsia="Garamond"/>
        </w:rPr>
        <w:t xml:space="preserve"> T) = </w:t>
      </w:r>
      <w:proofErr w:type="spellStart"/>
      <w:r w:rsidRPr="00640A1D">
        <w:rPr>
          <w:rFonts w:eastAsia="Garamond"/>
        </w:rPr>
        <w:t>Pr</w:t>
      </w:r>
      <w:proofErr w:type="spellEnd"/>
      <w:r w:rsidRPr="00640A1D">
        <w:rPr>
          <w:rFonts w:eastAsia="Garamond"/>
        </w:rPr>
        <w:t>(S)</w:t>
      </w:r>
    </w:p>
    <w:p w14:paraId="6634EA27" w14:textId="5FAD4317" w:rsidR="00711F46" w:rsidRPr="00640A1D" w:rsidRDefault="2065C1A9" w:rsidP="0049312A">
      <w:pPr>
        <w:ind w:firstLine="720"/>
        <w:rPr>
          <w:rFonts w:eastAsia="Garamond"/>
        </w:rPr>
      </w:pPr>
      <w:r w:rsidRPr="00640A1D">
        <w:rPr>
          <w:rFonts w:eastAsia="Garamond"/>
        </w:rPr>
        <w:t>This is a simple</w:t>
      </w:r>
      <w:r w:rsidR="0049312A">
        <w:rPr>
          <w:rFonts w:eastAsia="Garamond"/>
        </w:rPr>
        <w:t xml:space="preserve"> and intuitive</w:t>
      </w:r>
      <w:r w:rsidRPr="00640A1D">
        <w:rPr>
          <w:rFonts w:eastAsia="Garamond"/>
        </w:rPr>
        <w:t xml:space="preserve"> probabilistic analysis, as Lee points out (</w:t>
      </w:r>
      <w:r w:rsidR="00B86B63" w:rsidRPr="00640A1D">
        <w:rPr>
          <w:rFonts w:eastAsia="Garamond"/>
        </w:rPr>
        <w:t xml:space="preserve">2025, </w:t>
      </w:r>
      <w:r w:rsidRPr="00640A1D">
        <w:rPr>
          <w:rFonts w:eastAsia="Garamond"/>
        </w:rPr>
        <w:t xml:space="preserve">5): the theory being false does not affect the probability of a successful prediction; instead, it is simply unchanged, which we term the base rate. </w:t>
      </w:r>
      <w:r w:rsidR="29001429" w:rsidRPr="00640A1D">
        <w:rPr>
          <w:rFonts w:eastAsia="Garamond"/>
        </w:rPr>
        <w:t>On the second</w:t>
      </w:r>
      <w:r w:rsidR="0049312A">
        <w:rPr>
          <w:rFonts w:eastAsia="Garamond"/>
        </w:rPr>
        <w:t xml:space="preserve"> interpretation</w:t>
      </w:r>
      <w:r w:rsidR="29001429" w:rsidRPr="00640A1D">
        <w:rPr>
          <w:rFonts w:eastAsia="Garamond"/>
        </w:rPr>
        <w:t xml:space="preserve">, the sentence is a conditional: </w:t>
      </w:r>
    </w:p>
    <w:p w14:paraId="21961EDC" w14:textId="1AD83443" w:rsidR="00711F46" w:rsidRPr="00640A1D" w:rsidRDefault="76680C82" w:rsidP="00711F46">
      <w:pPr>
        <w:ind w:left="720"/>
        <w:rPr>
          <w:rFonts w:eastAsia="Garamond"/>
        </w:rPr>
      </w:pPr>
      <w:r w:rsidRPr="00640A1D">
        <w:rPr>
          <w:rFonts w:eastAsia="Garamond"/>
        </w:rPr>
        <w:t xml:space="preserve">(D1**) </w:t>
      </w:r>
      <w:r w:rsidR="00711F46" w:rsidRPr="00640A1D">
        <w:tab/>
      </w:r>
      <w:r w:rsidRPr="00640A1D">
        <w:rPr>
          <w:rFonts w:eastAsia="Garamond"/>
        </w:rPr>
        <w:t xml:space="preserve">If </w:t>
      </w:r>
      <w:r w:rsidRPr="00640A1D">
        <w:rPr>
          <w:rFonts w:eastAsia="Garamond" w:cs="Garamond"/>
        </w:rPr>
        <w:t>¬</w:t>
      </w:r>
      <w:r w:rsidRPr="00640A1D">
        <w:rPr>
          <w:rFonts w:eastAsia="Garamond"/>
        </w:rPr>
        <w:t xml:space="preserve"> T, then </w:t>
      </w:r>
      <w:proofErr w:type="spellStart"/>
      <w:r w:rsidRPr="00640A1D">
        <w:rPr>
          <w:rFonts w:eastAsia="Garamond"/>
        </w:rPr>
        <w:t>Pr</w:t>
      </w:r>
      <w:proofErr w:type="spellEnd"/>
      <w:r w:rsidRPr="00640A1D">
        <w:rPr>
          <w:rFonts w:eastAsia="Garamond"/>
        </w:rPr>
        <w:t xml:space="preserve">(S|T) = </w:t>
      </w:r>
      <w:proofErr w:type="spellStart"/>
      <w:r w:rsidRPr="00640A1D">
        <w:rPr>
          <w:rFonts w:eastAsia="Garamond"/>
        </w:rPr>
        <w:t>Pr</w:t>
      </w:r>
      <w:proofErr w:type="spellEnd"/>
      <w:r w:rsidRPr="00640A1D">
        <w:rPr>
          <w:rFonts w:eastAsia="Garamond"/>
        </w:rPr>
        <w:t>(S)</w:t>
      </w:r>
    </w:p>
    <w:p w14:paraId="5737623B" w14:textId="258E8E63" w:rsidR="13CDCBED" w:rsidRPr="00640A1D" w:rsidRDefault="7B59B1B3" w:rsidP="13CDCBED">
      <w:pPr>
        <w:ind w:firstLine="720"/>
      </w:pPr>
      <w:r w:rsidRPr="00640A1D">
        <w:rPr>
          <w:rFonts w:eastAsia="Garamond"/>
        </w:rPr>
        <w:t xml:space="preserve">Here, the premise is a conditional claim whose antecedent is </w:t>
      </w:r>
      <w:proofErr w:type="spellStart"/>
      <w:r w:rsidRPr="00640A1D">
        <w:rPr>
          <w:rFonts w:eastAsia="Garamond"/>
        </w:rPr>
        <w:t>nonprobabilistic</w:t>
      </w:r>
      <w:proofErr w:type="spellEnd"/>
      <w:r w:rsidRPr="00640A1D">
        <w:rPr>
          <w:rFonts w:eastAsia="Garamond"/>
        </w:rPr>
        <w:t xml:space="preserve"> and the consequent is probabilistic. </w:t>
      </w:r>
      <w:r w:rsidR="00D128B2" w:rsidRPr="00640A1D">
        <w:rPr>
          <w:rFonts w:eastAsia="Garamond"/>
        </w:rPr>
        <w:t xml:space="preserve">The premise’s conditional relationship between </w:t>
      </w:r>
      <w:proofErr w:type="spellStart"/>
      <w:r w:rsidR="00D128B2" w:rsidRPr="00640A1D">
        <w:rPr>
          <w:rFonts w:eastAsia="Garamond"/>
        </w:rPr>
        <w:t>nonprobabilistic</w:t>
      </w:r>
      <w:proofErr w:type="spellEnd"/>
      <w:r w:rsidR="00D128B2" w:rsidRPr="00640A1D">
        <w:rPr>
          <w:rFonts w:eastAsia="Garamond"/>
        </w:rPr>
        <w:t xml:space="preserve"> and probabilistic claims is simply strange. Moreover, it</w:t>
      </w:r>
      <w:r w:rsidRPr="00640A1D">
        <w:rPr>
          <w:rFonts w:eastAsia="Garamond"/>
        </w:rPr>
        <w:t xml:space="preserve"> comes with a slew of</w:t>
      </w:r>
      <w:r w:rsidR="00D128B2" w:rsidRPr="00640A1D">
        <w:rPr>
          <w:rFonts w:eastAsia="Garamond"/>
        </w:rPr>
        <w:t xml:space="preserve"> other, unrelated</w:t>
      </w:r>
      <w:r w:rsidRPr="00640A1D">
        <w:rPr>
          <w:rFonts w:eastAsia="Garamond"/>
        </w:rPr>
        <w:t xml:space="preserve"> problems, but</w:t>
      </w:r>
      <w:r w:rsidR="004C728D" w:rsidRPr="00640A1D">
        <w:rPr>
          <w:rFonts w:eastAsia="Garamond"/>
        </w:rPr>
        <w:t xml:space="preserve"> I will not dwell on them. </w:t>
      </w:r>
      <w:r w:rsidR="000F3770" w:rsidRPr="00640A1D">
        <w:rPr>
          <w:rFonts w:eastAsia="Garamond"/>
        </w:rPr>
        <w:t>S</w:t>
      </w:r>
      <w:r w:rsidR="004C728D" w:rsidRPr="00640A1D">
        <w:rPr>
          <w:rFonts w:eastAsia="Garamond"/>
        </w:rPr>
        <w:t>uffice to say</w:t>
      </w:r>
      <w:r w:rsidR="00D128B2" w:rsidRPr="00640A1D">
        <w:rPr>
          <w:rFonts w:eastAsia="Garamond"/>
        </w:rPr>
        <w:t xml:space="preserve"> that</w:t>
      </w:r>
      <w:r w:rsidR="004C728D" w:rsidRPr="00640A1D">
        <w:rPr>
          <w:rFonts w:eastAsia="Garamond"/>
        </w:rPr>
        <w:t xml:space="preserve"> </w:t>
      </w:r>
      <w:r w:rsidR="00D128B2" w:rsidRPr="00640A1D">
        <w:rPr>
          <w:rFonts w:eastAsia="Garamond"/>
        </w:rPr>
        <w:t>(D1*) and (D1**)</w:t>
      </w:r>
      <w:r w:rsidR="13CDCBED" w:rsidRPr="00640A1D">
        <w:rPr>
          <w:rFonts w:eastAsia="Garamond"/>
        </w:rPr>
        <w:t xml:space="preserve"> are two very different interpretations of G&amp;G’s first premise. Lee claims</w:t>
      </w:r>
      <w:r w:rsidR="00604E9C" w:rsidRPr="00640A1D">
        <w:rPr>
          <w:rFonts w:eastAsia="Garamond"/>
        </w:rPr>
        <w:t xml:space="preserve"> </w:t>
      </w:r>
      <w:r w:rsidR="004C728D" w:rsidRPr="00640A1D">
        <w:rPr>
          <w:rFonts w:eastAsia="Garamond"/>
        </w:rPr>
        <w:t>that</w:t>
      </w:r>
      <w:r w:rsidR="13CDCBED" w:rsidRPr="00640A1D">
        <w:rPr>
          <w:rFonts w:eastAsia="Garamond"/>
        </w:rPr>
        <w:t xml:space="preserve"> both are problematic. </w:t>
      </w:r>
      <w:r w:rsidR="004C728D" w:rsidRPr="00640A1D">
        <w:rPr>
          <w:rFonts w:eastAsia="Garamond"/>
        </w:rPr>
        <w:t xml:space="preserve">I concur with Lee that the second </w:t>
      </w:r>
      <w:r w:rsidR="13CDCBED" w:rsidRPr="00640A1D">
        <w:rPr>
          <w:rFonts w:eastAsia="Garamond"/>
        </w:rPr>
        <w:t>interpretation results in the relevant premises becoming “clearly false” (</w:t>
      </w:r>
      <w:r w:rsidR="00B86B63" w:rsidRPr="00640A1D">
        <w:rPr>
          <w:rFonts w:eastAsia="Garamond"/>
        </w:rPr>
        <w:t xml:space="preserve">2025, </w:t>
      </w:r>
      <w:r w:rsidR="13CDCBED" w:rsidRPr="00640A1D">
        <w:rPr>
          <w:rFonts w:eastAsia="Garamond"/>
        </w:rPr>
        <w:t xml:space="preserve">7). Thus, I will focus only on </w:t>
      </w:r>
      <w:r w:rsidR="004C728D" w:rsidRPr="00640A1D">
        <w:rPr>
          <w:rFonts w:eastAsia="Garamond"/>
        </w:rPr>
        <w:t>finding an adequate species of the first</w:t>
      </w:r>
      <w:r w:rsidR="13CDCBED" w:rsidRPr="00640A1D">
        <w:rPr>
          <w:rFonts w:eastAsia="Garamond"/>
        </w:rPr>
        <w:t xml:space="preserve"> interpretation. </w:t>
      </w:r>
      <w:r w:rsidR="004C728D" w:rsidRPr="00640A1D">
        <w:rPr>
          <w:rFonts w:eastAsia="Garamond"/>
        </w:rPr>
        <w:t>So, u</w:t>
      </w:r>
      <w:r w:rsidR="13CDCBED" w:rsidRPr="00640A1D">
        <w:t>sing the interpretation suggested by Lee, we can re-present part of the argument</w:t>
      </w:r>
      <w:r w:rsidR="003218DF" w:rsidRPr="00640A1D">
        <w:t xml:space="preserve">. Following Lee, let U </w:t>
      </w:r>
      <w:r w:rsidR="00CB45BE" w:rsidRPr="00640A1D">
        <w:t>be G&amp;G’s premise</w:t>
      </w:r>
      <w:r w:rsidR="00B86B63" w:rsidRPr="00640A1D">
        <w:t xml:space="preserve"> </w:t>
      </w:r>
      <w:r w:rsidR="00CB45BE" w:rsidRPr="00640A1D">
        <w:t>“</w:t>
      </w:r>
      <w:r w:rsidR="003218DF" w:rsidRPr="00640A1D">
        <w:t xml:space="preserve">T is a theory from which one has reasoned (i.e., predicted) a large number of </w:t>
      </w:r>
      <w:r w:rsidR="00FA4796" w:rsidRPr="00640A1D">
        <w:t>successful (that is, true)</w:t>
      </w:r>
      <w:r w:rsidR="003218DF" w:rsidRPr="00640A1D">
        <w:t>, novel, improbable, and independent predictions</w:t>
      </w:r>
      <w:r w:rsidR="00CB45BE" w:rsidRPr="00640A1D">
        <w:t>” (5)</w:t>
      </w:r>
      <w:r w:rsidR="13CDCBED" w:rsidRPr="00640A1D">
        <w:t xml:space="preserve">: </w:t>
      </w:r>
    </w:p>
    <w:p w14:paraId="1C1EA70F" w14:textId="696A9919" w:rsidR="13CDCBED" w:rsidRPr="00640A1D" w:rsidRDefault="76680C82" w:rsidP="13CDCBED">
      <w:pPr>
        <w:ind w:firstLine="720"/>
        <w:rPr>
          <w:rFonts w:eastAsia="Garamond"/>
        </w:rPr>
      </w:pPr>
      <w:r w:rsidRPr="00640A1D">
        <w:t xml:space="preserve">(D1*) </w:t>
      </w:r>
      <w:proofErr w:type="spellStart"/>
      <w:proofErr w:type="gramStart"/>
      <w:r w:rsidRPr="00640A1D">
        <w:rPr>
          <w:rFonts w:eastAsia="Garamond"/>
        </w:rPr>
        <w:t>Pr</w:t>
      </w:r>
      <w:proofErr w:type="spellEnd"/>
      <w:r w:rsidRPr="00640A1D">
        <w:rPr>
          <w:rFonts w:eastAsia="Garamond"/>
        </w:rPr>
        <w:t>(</w:t>
      </w:r>
      <w:proofErr w:type="gramEnd"/>
      <w:r w:rsidRPr="00640A1D">
        <w:rPr>
          <w:rFonts w:eastAsia="Garamond"/>
        </w:rPr>
        <w:t>S|</w:t>
      </w:r>
      <w:r w:rsidR="00901E2A" w:rsidRPr="00640A1D">
        <w:rPr>
          <w:rFonts w:eastAsia="Garamond" w:cs="Garamond"/>
        </w:rPr>
        <w:t>¬</w:t>
      </w:r>
      <w:r w:rsidR="00901E2A" w:rsidRPr="00640A1D">
        <w:rPr>
          <w:rFonts w:eastAsia="Garamond"/>
        </w:rPr>
        <w:t xml:space="preserve"> </w:t>
      </w:r>
      <w:r w:rsidRPr="00640A1D">
        <w:rPr>
          <w:rFonts w:eastAsia="Garamond"/>
        </w:rPr>
        <w:t xml:space="preserve">T) = </w:t>
      </w:r>
      <w:proofErr w:type="spellStart"/>
      <w:r w:rsidRPr="00640A1D">
        <w:rPr>
          <w:rFonts w:eastAsia="Garamond"/>
        </w:rPr>
        <w:t>Pr</w:t>
      </w:r>
      <w:proofErr w:type="spellEnd"/>
      <w:r w:rsidRPr="00640A1D">
        <w:rPr>
          <w:rFonts w:eastAsia="Garamond"/>
        </w:rPr>
        <w:t>(S)</w:t>
      </w:r>
    </w:p>
    <w:p w14:paraId="4957091E" w14:textId="1CC18DC5" w:rsidR="13CDCBED" w:rsidRPr="00640A1D" w:rsidRDefault="76680C82" w:rsidP="13CDCBED">
      <w:pPr>
        <w:ind w:firstLine="720"/>
      </w:pPr>
      <w:r w:rsidRPr="00640A1D">
        <w:t xml:space="preserve">(D2*) </w:t>
      </w:r>
      <w:proofErr w:type="spellStart"/>
      <w:proofErr w:type="gramStart"/>
      <w:r w:rsidRPr="00640A1D">
        <w:rPr>
          <w:rFonts w:eastAsia="Garamond" w:cs="Garamond"/>
        </w:rPr>
        <w:t>Pr</w:t>
      </w:r>
      <w:proofErr w:type="spellEnd"/>
      <w:r w:rsidRPr="00640A1D">
        <w:rPr>
          <w:rFonts w:eastAsia="Garamond" w:cs="Garamond"/>
        </w:rPr>
        <w:t>(</w:t>
      </w:r>
      <w:proofErr w:type="gramEnd"/>
      <w:r w:rsidRPr="00640A1D">
        <w:rPr>
          <w:rFonts w:eastAsia="Garamond" w:cs="Garamond"/>
        </w:rPr>
        <w:t>S</w:t>
      </w:r>
      <w:r w:rsidRPr="00640A1D">
        <w:rPr>
          <w:rFonts w:ascii="Cambria Math" w:eastAsia="Garamond" w:hAnsi="Cambria Math" w:cs="Cambria Math"/>
        </w:rPr>
        <w:t>₁</w:t>
      </w:r>
      <w:r w:rsidRPr="00640A1D">
        <w:rPr>
          <w:rFonts w:eastAsia="Garamond" w:cs="Garamond"/>
        </w:rPr>
        <w:t xml:space="preserve"> &amp; … &amp; S</w:t>
      </w:r>
      <w:r w:rsidRPr="00640A1D">
        <w:rPr>
          <w:rFonts w:ascii="Cambria Math" w:eastAsia="Garamond" w:hAnsi="Cambria Math" w:cs="Cambria Math"/>
        </w:rPr>
        <w:t>ₙ</w:t>
      </w:r>
      <w:r w:rsidRPr="00640A1D">
        <w:rPr>
          <w:rFonts w:eastAsia="Garamond" w:cs="Garamond"/>
        </w:rPr>
        <w:t xml:space="preserve">|¬ T) = </w:t>
      </w:r>
      <w:proofErr w:type="spellStart"/>
      <w:r w:rsidRPr="00640A1D">
        <w:rPr>
          <w:rFonts w:eastAsia="Garamond" w:cs="Garamond"/>
        </w:rPr>
        <w:t>Pr</w:t>
      </w:r>
      <w:proofErr w:type="spellEnd"/>
      <w:r w:rsidRPr="00640A1D">
        <w:rPr>
          <w:rFonts w:eastAsia="Garamond" w:cs="Garamond"/>
        </w:rPr>
        <w:t>(S</w:t>
      </w:r>
      <w:r w:rsidRPr="00640A1D">
        <w:rPr>
          <w:rFonts w:ascii="Cambria Math" w:eastAsia="Garamond" w:hAnsi="Cambria Math" w:cs="Cambria Math"/>
        </w:rPr>
        <w:t>₁</w:t>
      </w:r>
      <w:r w:rsidRPr="00640A1D">
        <w:rPr>
          <w:rFonts w:eastAsia="Garamond" w:cs="Garamond"/>
        </w:rPr>
        <w:t xml:space="preserve">|¬ T) × … × </w:t>
      </w:r>
      <w:proofErr w:type="spellStart"/>
      <w:r w:rsidRPr="00640A1D">
        <w:rPr>
          <w:rFonts w:eastAsia="Garamond" w:cs="Garamond"/>
        </w:rPr>
        <w:t>Pr</w:t>
      </w:r>
      <w:proofErr w:type="spellEnd"/>
      <w:r w:rsidRPr="00640A1D">
        <w:rPr>
          <w:rFonts w:eastAsia="Garamond" w:cs="Garamond"/>
        </w:rPr>
        <w:t>(S</w:t>
      </w:r>
      <w:r w:rsidRPr="00640A1D">
        <w:rPr>
          <w:rFonts w:ascii="Cambria Math" w:eastAsia="Garamond" w:hAnsi="Cambria Math" w:cs="Cambria Math"/>
        </w:rPr>
        <w:t>ₙ</w:t>
      </w:r>
      <w:r w:rsidRPr="00640A1D">
        <w:rPr>
          <w:rFonts w:eastAsia="Garamond" w:cs="Garamond"/>
        </w:rPr>
        <w:t>|¬ T)</w:t>
      </w:r>
    </w:p>
    <w:p w14:paraId="1EA55E3C" w14:textId="0947235E" w:rsidR="13CDCBED" w:rsidRPr="00640A1D" w:rsidRDefault="76680C82" w:rsidP="13CDCBED">
      <w:pPr>
        <w:ind w:firstLine="720"/>
      </w:pPr>
      <w:r w:rsidRPr="00640A1D">
        <w:t xml:space="preserve">(D3*) </w:t>
      </w:r>
      <w:proofErr w:type="spellStart"/>
      <w:proofErr w:type="gramStart"/>
      <w:r w:rsidRPr="00640A1D">
        <w:rPr>
          <w:rFonts w:eastAsia="Garamond" w:cs="Garamond"/>
        </w:rPr>
        <w:t>Pr</w:t>
      </w:r>
      <w:proofErr w:type="spellEnd"/>
      <w:r w:rsidRPr="00640A1D">
        <w:rPr>
          <w:rFonts w:eastAsia="Garamond" w:cs="Garamond"/>
        </w:rPr>
        <w:t>(</w:t>
      </w:r>
      <w:proofErr w:type="gramEnd"/>
      <w:r w:rsidRPr="00640A1D">
        <w:rPr>
          <w:rFonts w:eastAsia="Garamond" w:cs="Garamond"/>
        </w:rPr>
        <w:t>S</w:t>
      </w:r>
      <w:r w:rsidRPr="00640A1D">
        <w:rPr>
          <w:rFonts w:ascii="Cambria Math" w:eastAsia="Garamond" w:hAnsi="Cambria Math" w:cs="Cambria Math"/>
        </w:rPr>
        <w:t>₁</w:t>
      </w:r>
      <w:r w:rsidRPr="00640A1D">
        <w:rPr>
          <w:rFonts w:eastAsia="Garamond" w:cs="Garamond"/>
        </w:rPr>
        <w:t xml:space="preserve"> &amp; … &amp; S</w:t>
      </w:r>
      <w:r w:rsidRPr="00640A1D">
        <w:rPr>
          <w:rFonts w:ascii="Cambria Math" w:eastAsia="Garamond" w:hAnsi="Cambria Math" w:cs="Cambria Math"/>
        </w:rPr>
        <w:t>ₙ</w:t>
      </w:r>
      <w:r w:rsidRPr="00640A1D">
        <w:rPr>
          <w:rFonts w:eastAsia="Garamond" w:cs="Garamond"/>
        </w:rPr>
        <w:t xml:space="preserve">|¬ T) = </w:t>
      </w:r>
      <w:proofErr w:type="spellStart"/>
      <w:r w:rsidRPr="00640A1D">
        <w:rPr>
          <w:rFonts w:eastAsia="Garamond" w:cs="Garamond"/>
        </w:rPr>
        <w:t>Pr</w:t>
      </w:r>
      <w:proofErr w:type="spellEnd"/>
      <w:r w:rsidRPr="00640A1D">
        <w:rPr>
          <w:rFonts w:eastAsia="Garamond" w:cs="Garamond"/>
        </w:rPr>
        <w:t>(S</w:t>
      </w:r>
      <w:r w:rsidRPr="00640A1D">
        <w:rPr>
          <w:rFonts w:ascii="Cambria Math" w:eastAsia="Garamond" w:hAnsi="Cambria Math" w:cs="Cambria Math"/>
        </w:rPr>
        <w:t>₁</w:t>
      </w:r>
      <w:r w:rsidRPr="00640A1D">
        <w:rPr>
          <w:rFonts w:eastAsia="Garamond" w:cs="Garamond"/>
        </w:rPr>
        <w:t xml:space="preserve">) × … × </w:t>
      </w:r>
      <w:proofErr w:type="spellStart"/>
      <w:r w:rsidRPr="00640A1D">
        <w:rPr>
          <w:rFonts w:eastAsia="Garamond" w:cs="Garamond"/>
        </w:rPr>
        <w:t>Pr</w:t>
      </w:r>
      <w:proofErr w:type="spellEnd"/>
      <w:r w:rsidRPr="00640A1D">
        <w:rPr>
          <w:rFonts w:eastAsia="Garamond" w:cs="Garamond"/>
        </w:rPr>
        <w:t>(S</w:t>
      </w:r>
      <w:r w:rsidRPr="00640A1D">
        <w:rPr>
          <w:rFonts w:ascii="Cambria Math" w:eastAsia="Garamond" w:hAnsi="Cambria Math" w:cs="Cambria Math"/>
        </w:rPr>
        <w:t>ₙ</w:t>
      </w:r>
      <w:r w:rsidRPr="00640A1D">
        <w:rPr>
          <w:rFonts w:eastAsia="Garamond" w:cs="Garamond"/>
        </w:rPr>
        <w:t>)</w:t>
      </w:r>
    </w:p>
    <w:p w14:paraId="2B7B6FC6" w14:textId="37485E67" w:rsidR="13CDCBED" w:rsidRPr="00640A1D" w:rsidRDefault="76680C82" w:rsidP="13CDCBED">
      <w:pPr>
        <w:ind w:firstLine="720"/>
      </w:pPr>
      <w:r w:rsidRPr="00640A1D">
        <w:t xml:space="preserve">(D4*) </w:t>
      </w:r>
      <w:proofErr w:type="spellStart"/>
      <w:proofErr w:type="gramStart"/>
      <w:r w:rsidRPr="00640A1D">
        <w:rPr>
          <w:rFonts w:eastAsia="Garamond" w:cs="Garamond"/>
        </w:rPr>
        <w:t>Pr</w:t>
      </w:r>
      <w:proofErr w:type="spellEnd"/>
      <w:r w:rsidRPr="00640A1D">
        <w:rPr>
          <w:rFonts w:eastAsia="Garamond" w:cs="Garamond"/>
        </w:rPr>
        <w:t>(</w:t>
      </w:r>
      <w:proofErr w:type="gramEnd"/>
      <w:r w:rsidRPr="00640A1D">
        <w:rPr>
          <w:rFonts w:eastAsia="Garamond" w:cs="Garamond"/>
        </w:rPr>
        <w:t>U|¬ T) is prohibitively low.</w:t>
      </w:r>
    </w:p>
    <w:p w14:paraId="0827768C" w14:textId="016B8F2C" w:rsidR="13CDCBED" w:rsidRPr="00640A1D" w:rsidRDefault="76680C82" w:rsidP="13CDCBED">
      <w:pPr>
        <w:ind w:firstLine="720"/>
        <w:rPr>
          <w:rFonts w:eastAsia="Garamond" w:cs="Garamond"/>
        </w:rPr>
      </w:pPr>
      <w:r w:rsidRPr="00640A1D">
        <w:rPr>
          <w:rFonts w:eastAsia="Garamond" w:cs="Garamond"/>
        </w:rPr>
        <w:lastRenderedPageBreak/>
        <w:t>(D5) T v ¬ U</w:t>
      </w:r>
    </w:p>
    <w:p w14:paraId="5F753C89" w14:textId="426EF3CD" w:rsidR="13CDCBED" w:rsidRPr="00640A1D" w:rsidRDefault="13CDCBED" w:rsidP="13CDCBED">
      <w:pPr>
        <w:rPr>
          <w:rFonts w:eastAsia="Garamond" w:cs="Garamond"/>
        </w:rPr>
      </w:pPr>
      <w:r w:rsidRPr="00640A1D">
        <w:rPr>
          <w:rFonts w:eastAsia="Garamond" w:cs="Garamond"/>
        </w:rPr>
        <w:t>Lee notes that the inference</w:t>
      </w:r>
      <w:r w:rsidR="00A95735" w:rsidRPr="00640A1D">
        <w:rPr>
          <w:rFonts w:eastAsia="Garamond" w:cs="Garamond"/>
        </w:rPr>
        <w:t>s</w:t>
      </w:r>
      <w:r w:rsidRPr="00640A1D">
        <w:rPr>
          <w:rFonts w:eastAsia="Garamond" w:cs="Garamond"/>
        </w:rPr>
        <w:t xml:space="preserve"> from D4* to D5</w:t>
      </w:r>
      <w:r w:rsidR="00A95735" w:rsidRPr="00640A1D">
        <w:rPr>
          <w:rFonts w:eastAsia="Garamond" w:cs="Garamond"/>
        </w:rPr>
        <w:t xml:space="preserve"> and D5-7</w:t>
      </w:r>
      <w:r w:rsidRPr="00640A1D">
        <w:rPr>
          <w:rFonts w:eastAsia="Garamond" w:cs="Garamond"/>
        </w:rPr>
        <w:t xml:space="preserve"> </w:t>
      </w:r>
      <w:r w:rsidR="00A95735" w:rsidRPr="00640A1D">
        <w:rPr>
          <w:rFonts w:eastAsia="Garamond" w:cs="Garamond"/>
        </w:rPr>
        <w:t>are</w:t>
      </w:r>
      <w:r w:rsidRPr="00640A1D">
        <w:rPr>
          <w:rFonts w:eastAsia="Garamond" w:cs="Garamond"/>
        </w:rPr>
        <w:t xml:space="preserve"> no longer deductively valid. But an anonymous reviewer on </w:t>
      </w:r>
      <w:r w:rsidR="00D128B2" w:rsidRPr="00640A1D">
        <w:rPr>
          <w:rFonts w:eastAsia="Garamond" w:cs="Garamond"/>
        </w:rPr>
        <w:t>Lee’s</w:t>
      </w:r>
      <w:r w:rsidRPr="00640A1D">
        <w:rPr>
          <w:rFonts w:eastAsia="Garamond" w:cs="Garamond"/>
        </w:rPr>
        <w:t xml:space="preserve"> manuscript suggests a</w:t>
      </w:r>
      <w:r w:rsidR="004C728D" w:rsidRPr="00640A1D">
        <w:rPr>
          <w:rFonts w:eastAsia="Garamond" w:cs="Garamond"/>
        </w:rPr>
        <w:t xml:space="preserve">n interesting </w:t>
      </w:r>
      <w:r w:rsidRPr="00640A1D">
        <w:rPr>
          <w:rFonts w:eastAsia="Garamond" w:cs="Garamond"/>
        </w:rPr>
        <w:t xml:space="preserve">way forward. If one assumes that the argument contains a suppressed premise such that the prohibitively low probability of some </w:t>
      </w:r>
      <w:r w:rsidRPr="004C7BBC">
        <w:rPr>
          <w:rFonts w:eastAsia="Garamond" w:cs="Garamond"/>
          <w:i/>
          <w:iCs/>
        </w:rPr>
        <w:t>p</w:t>
      </w:r>
      <w:r w:rsidRPr="00640A1D">
        <w:rPr>
          <w:rFonts w:eastAsia="Garamond" w:cs="Garamond"/>
        </w:rPr>
        <w:t xml:space="preserve"> allows </w:t>
      </w:r>
      <w:r w:rsidRPr="004C7BBC">
        <w:rPr>
          <w:rFonts w:eastAsia="Garamond" w:cs="Garamond"/>
          <w:i/>
          <w:iCs/>
        </w:rPr>
        <w:t>p</w:t>
      </w:r>
      <w:r w:rsidRPr="00640A1D">
        <w:rPr>
          <w:rFonts w:eastAsia="Garamond" w:cs="Garamond"/>
        </w:rPr>
        <w:t xml:space="preserve"> to be manipulated as though </w:t>
      </w:r>
      <w:proofErr w:type="spellStart"/>
      <w:r w:rsidRPr="00640A1D">
        <w:rPr>
          <w:rFonts w:eastAsia="Garamond" w:cs="Garamond"/>
        </w:rPr>
        <w:t>Pr</w:t>
      </w:r>
      <w:proofErr w:type="spellEnd"/>
      <w:r w:rsidRPr="00640A1D">
        <w:rPr>
          <w:rFonts w:eastAsia="Garamond" w:cs="Garamond"/>
        </w:rPr>
        <w:t>(</w:t>
      </w:r>
      <w:r w:rsidRPr="004C7BBC">
        <w:rPr>
          <w:rFonts w:eastAsia="Garamond" w:cs="Garamond"/>
          <w:i/>
          <w:iCs/>
        </w:rPr>
        <w:t>p</w:t>
      </w:r>
      <w:r w:rsidRPr="00640A1D">
        <w:rPr>
          <w:rFonts w:eastAsia="Garamond" w:cs="Garamond"/>
        </w:rPr>
        <w:t xml:space="preserve">) = 0. With this in hand, we can preserve validity in both problem cases (8): </w:t>
      </w:r>
    </w:p>
    <w:p w14:paraId="6422BC89" w14:textId="7F2AF8CF" w:rsidR="13CDCBED" w:rsidRPr="00640A1D" w:rsidRDefault="76680C82" w:rsidP="13CDCBED">
      <w:pPr>
        <w:ind w:firstLine="720"/>
        <w:rPr>
          <w:rFonts w:eastAsia="Garamond" w:cs="Garamond"/>
        </w:rPr>
      </w:pPr>
      <w:r w:rsidRPr="00640A1D">
        <w:rPr>
          <w:rFonts w:eastAsia="Garamond" w:cs="Garamond"/>
        </w:rPr>
        <w:t xml:space="preserve">(D4*) </w:t>
      </w:r>
      <w:proofErr w:type="spellStart"/>
      <w:proofErr w:type="gramStart"/>
      <w:r w:rsidRPr="00640A1D">
        <w:rPr>
          <w:rFonts w:eastAsia="Garamond" w:cs="Garamond"/>
        </w:rPr>
        <w:t>Pr</w:t>
      </w:r>
      <w:proofErr w:type="spellEnd"/>
      <w:r w:rsidRPr="00640A1D">
        <w:rPr>
          <w:rFonts w:eastAsia="Garamond" w:cs="Garamond"/>
        </w:rPr>
        <w:t>(</w:t>
      </w:r>
      <w:proofErr w:type="gramEnd"/>
      <w:r w:rsidRPr="00640A1D">
        <w:rPr>
          <w:rFonts w:eastAsia="Garamond" w:cs="Garamond"/>
        </w:rPr>
        <w:t xml:space="preserve">U|¬ T) is prohibitively low. </w:t>
      </w:r>
    </w:p>
    <w:p w14:paraId="00381735" w14:textId="73C10A70" w:rsidR="13CDCBED" w:rsidRPr="00640A1D" w:rsidRDefault="76680C82" w:rsidP="13CDCBED">
      <w:pPr>
        <w:ind w:firstLine="720"/>
        <w:rPr>
          <w:rFonts w:eastAsia="Garamond" w:cs="Garamond"/>
        </w:rPr>
      </w:pPr>
      <w:r w:rsidRPr="00640A1D">
        <w:rPr>
          <w:rFonts w:eastAsia="Garamond" w:cs="Garamond"/>
        </w:rPr>
        <w:t xml:space="preserve">(D4.1*) </w:t>
      </w:r>
      <w:proofErr w:type="spellStart"/>
      <w:proofErr w:type="gramStart"/>
      <w:r w:rsidRPr="00640A1D">
        <w:rPr>
          <w:rFonts w:eastAsia="Garamond" w:cs="Garamond"/>
        </w:rPr>
        <w:t>Pr</w:t>
      </w:r>
      <w:proofErr w:type="spellEnd"/>
      <w:r w:rsidRPr="00640A1D">
        <w:rPr>
          <w:rFonts w:eastAsia="Garamond" w:cs="Garamond"/>
        </w:rPr>
        <w:t>(</w:t>
      </w:r>
      <w:proofErr w:type="gramEnd"/>
      <w:r w:rsidRPr="00640A1D">
        <w:rPr>
          <w:rFonts w:eastAsia="Garamond" w:cs="Garamond"/>
        </w:rPr>
        <w:t xml:space="preserve">U|¬ T) = 0 (suppressed premise) </w:t>
      </w:r>
    </w:p>
    <w:p w14:paraId="3A574B79" w14:textId="37203C8A" w:rsidR="13CDCBED" w:rsidRPr="00640A1D" w:rsidRDefault="76680C82" w:rsidP="13CDCBED">
      <w:pPr>
        <w:ind w:left="720"/>
        <w:rPr>
          <w:rFonts w:eastAsia="Garamond" w:cs="Garamond"/>
        </w:rPr>
      </w:pPr>
      <w:r w:rsidRPr="00640A1D">
        <w:rPr>
          <w:rFonts w:eastAsia="Garamond" w:cs="Garamond"/>
        </w:rPr>
        <w:t xml:space="preserve">(D4.2*) </w:t>
      </w:r>
      <w:proofErr w:type="spellStart"/>
      <w:proofErr w:type="gramStart"/>
      <w:r w:rsidRPr="00640A1D">
        <w:rPr>
          <w:rFonts w:eastAsia="Garamond" w:cs="Garamond"/>
        </w:rPr>
        <w:t>Pr</w:t>
      </w:r>
      <w:proofErr w:type="spellEnd"/>
      <w:r w:rsidRPr="00640A1D">
        <w:rPr>
          <w:rFonts w:eastAsia="Garamond" w:cs="Garamond"/>
        </w:rPr>
        <w:t>(</w:t>
      </w:r>
      <w:proofErr w:type="gramEnd"/>
      <w:r w:rsidRPr="00640A1D">
        <w:rPr>
          <w:rFonts w:eastAsia="Garamond" w:cs="Garamond"/>
        </w:rPr>
        <w:t xml:space="preserve">¬ T &amp; U) = 0 (by D4.1*) </w:t>
      </w:r>
    </w:p>
    <w:p w14:paraId="515644E4" w14:textId="73475B64" w:rsidR="13CDCBED" w:rsidRPr="00640A1D" w:rsidRDefault="76680C82" w:rsidP="13CDCBED">
      <w:pPr>
        <w:ind w:left="720"/>
        <w:rPr>
          <w:rFonts w:eastAsia="Garamond" w:cs="Garamond"/>
        </w:rPr>
      </w:pPr>
      <w:r w:rsidRPr="00640A1D">
        <w:rPr>
          <w:rFonts w:eastAsia="Garamond" w:cs="Garamond"/>
        </w:rPr>
        <w:t xml:space="preserve">(D4.3*) ¬ (¬ T &amp; U) (by D4.2*) </w:t>
      </w:r>
    </w:p>
    <w:p w14:paraId="02A57489" w14:textId="35EAC21E" w:rsidR="13CDCBED" w:rsidRPr="00640A1D" w:rsidRDefault="76680C82" w:rsidP="13CDCBED">
      <w:pPr>
        <w:ind w:left="720"/>
        <w:rPr>
          <w:rFonts w:eastAsia="Garamond" w:cs="Garamond"/>
        </w:rPr>
      </w:pPr>
      <w:r w:rsidRPr="00640A1D">
        <w:rPr>
          <w:rFonts w:eastAsia="Garamond" w:cs="Garamond"/>
        </w:rPr>
        <w:t xml:space="preserve">(D5*) T v ¬ U (by D4.3) </w:t>
      </w:r>
    </w:p>
    <w:p w14:paraId="7F26B2A9" w14:textId="74579E8C" w:rsidR="13CDCBED" w:rsidRPr="00640A1D" w:rsidRDefault="13CDCBED" w:rsidP="13CDCBED">
      <w:pPr>
        <w:ind w:left="720"/>
        <w:rPr>
          <w:rFonts w:eastAsia="Garamond" w:cs="Garamond"/>
        </w:rPr>
      </w:pPr>
      <w:r w:rsidRPr="00640A1D">
        <w:rPr>
          <w:rFonts w:eastAsia="Garamond" w:cs="Garamond"/>
        </w:rPr>
        <w:t>(D6*) U (premise)</w:t>
      </w:r>
    </w:p>
    <w:p w14:paraId="00C9547F" w14:textId="081E0FC1" w:rsidR="13CDCBED" w:rsidRPr="00640A1D" w:rsidRDefault="13CDCBED" w:rsidP="13CDCBED">
      <w:pPr>
        <w:ind w:left="720"/>
        <w:rPr>
          <w:rFonts w:eastAsia="Garamond" w:cs="Garamond"/>
        </w:rPr>
      </w:pPr>
      <w:r w:rsidRPr="00640A1D">
        <w:rPr>
          <w:rFonts w:eastAsia="Garamond" w:cs="Garamond"/>
        </w:rPr>
        <w:t>(D7*) T (D5*</w:t>
      </w:r>
      <w:r w:rsidR="00901E2A" w:rsidRPr="00640A1D">
        <w:rPr>
          <w:rFonts w:eastAsia="Garamond" w:cs="Garamond"/>
        </w:rPr>
        <w:t>, D</w:t>
      </w:r>
      <w:r w:rsidRPr="00640A1D">
        <w:rPr>
          <w:rFonts w:eastAsia="Garamond" w:cs="Garamond"/>
        </w:rPr>
        <w:t>6*, disjunctive syllogism)</w:t>
      </w:r>
    </w:p>
    <w:p w14:paraId="135C6DE8" w14:textId="5FB01AB4" w:rsidR="13CDCBED" w:rsidRPr="00640A1D" w:rsidRDefault="13CDCBED" w:rsidP="13CDCBED">
      <w:pPr>
        <w:rPr>
          <w:rFonts w:eastAsia="Garamond" w:cs="Garamond"/>
        </w:rPr>
      </w:pPr>
      <w:r w:rsidRPr="00640A1D">
        <w:rPr>
          <w:rFonts w:eastAsia="Garamond" w:cs="Garamond"/>
        </w:rPr>
        <w:t>This runs into two serious problems, according to Lee.</w:t>
      </w:r>
      <w:r w:rsidR="00F07B9A" w:rsidRPr="00640A1D">
        <w:rPr>
          <w:rStyle w:val="FootnoteReference"/>
          <w:rFonts w:eastAsia="Garamond" w:cs="Garamond"/>
        </w:rPr>
        <w:footnoteReference w:id="8"/>
      </w:r>
      <w:r w:rsidRPr="00640A1D">
        <w:rPr>
          <w:rFonts w:eastAsia="Garamond" w:cs="Garamond"/>
        </w:rPr>
        <w:t xml:space="preserve"> First, as any good student of probability will insist, a tiny probability and a zero probability are worlds apart. One, for instance, can be outweighed given sufficiently powerful evidence; the impossibilities entailed by zero can never be swayed. Both ones and zeroes </w:t>
      </w:r>
      <w:r w:rsidR="00D128B2" w:rsidRPr="00640A1D">
        <w:rPr>
          <w:rFonts w:eastAsia="Garamond" w:cs="Garamond"/>
        </w:rPr>
        <w:t xml:space="preserve">are </w:t>
      </w:r>
      <w:r w:rsidR="00056BAD" w:rsidRPr="00640A1D">
        <w:rPr>
          <w:rFonts w:eastAsia="Garamond" w:cs="Garamond"/>
        </w:rPr>
        <w:t>insensitive to further evidence</w:t>
      </w:r>
      <w:r w:rsidRPr="00640A1D">
        <w:rPr>
          <w:rFonts w:eastAsia="Garamond" w:cs="Garamond"/>
        </w:rPr>
        <w:t xml:space="preserve">. Second, and for similar structural reasons, all probability assignments are threatened with collapse. By </w:t>
      </w:r>
      <w:r w:rsidR="00056BAD" w:rsidRPr="00640A1D">
        <w:rPr>
          <w:rFonts w:eastAsia="Garamond" w:cs="Garamond"/>
        </w:rPr>
        <w:t xml:space="preserve">Sorites-style </w:t>
      </w:r>
      <w:r w:rsidRPr="00640A1D">
        <w:rPr>
          <w:rFonts w:eastAsia="Garamond" w:cs="Garamond"/>
        </w:rPr>
        <w:t xml:space="preserve">mathematical induction, one can add arbitrarily small probabilities to some prohibitively low </w:t>
      </w:r>
      <w:r w:rsidRPr="00640A1D">
        <w:rPr>
          <w:rFonts w:eastAsia="Garamond" w:cs="Garamond"/>
          <w:i/>
          <w:iCs/>
        </w:rPr>
        <w:t>p</w:t>
      </w:r>
      <w:r w:rsidRPr="00640A1D">
        <w:rPr>
          <w:rFonts w:eastAsia="Garamond" w:cs="Garamond"/>
        </w:rPr>
        <w:t xml:space="preserve"> and achieve the result that, eventually, every probability assignment can be treated as though it were equal to zero. </w:t>
      </w:r>
    </w:p>
    <w:p w14:paraId="22FD8A5D" w14:textId="77A21B3A" w:rsidR="13CDCBED" w:rsidRPr="00640A1D" w:rsidRDefault="7E1EA63C" w:rsidP="13CDCBED">
      <w:pPr>
        <w:ind w:firstLine="720"/>
        <w:rPr>
          <w:rFonts w:eastAsia="Garamond" w:cs="Garamond"/>
        </w:rPr>
      </w:pPr>
      <w:r w:rsidRPr="00640A1D">
        <w:rPr>
          <w:rFonts w:eastAsia="Garamond" w:cs="Garamond"/>
        </w:rPr>
        <w:t xml:space="preserve">Because both objections stand and fall on the presumption that prohibitively low probabilities can be manipulated as though they were zero, I </w:t>
      </w:r>
      <w:r w:rsidR="00542C1A" w:rsidRPr="00640A1D">
        <w:rPr>
          <w:rFonts w:eastAsia="Garamond" w:cs="Garamond"/>
        </w:rPr>
        <w:t>treat it a</w:t>
      </w:r>
      <w:r w:rsidRPr="00640A1D">
        <w:rPr>
          <w:rFonts w:eastAsia="Garamond" w:cs="Garamond"/>
        </w:rPr>
        <w:t>s the primary challenge.</w:t>
      </w:r>
      <w:r w:rsidR="00C41C58" w:rsidRPr="00640A1D">
        <w:rPr>
          <w:rFonts w:eastAsia="Garamond" w:cs="Garamond"/>
        </w:rPr>
        <w:t xml:space="preserve"> </w:t>
      </w:r>
    </w:p>
    <w:p w14:paraId="221F6C12" w14:textId="0D5E6D6E" w:rsidR="00FE2D25" w:rsidRPr="00640A1D" w:rsidRDefault="00204F02" w:rsidP="7B59B1B3">
      <w:pPr>
        <w:pStyle w:val="ListParagraph"/>
        <w:numPr>
          <w:ilvl w:val="0"/>
          <w:numId w:val="4"/>
        </w:numPr>
        <w:rPr>
          <w:b/>
          <w:bCs/>
        </w:rPr>
      </w:pPr>
      <w:r w:rsidRPr="00640A1D">
        <w:rPr>
          <w:b/>
          <w:bCs/>
        </w:rPr>
        <w:t>Alternatives</w:t>
      </w:r>
    </w:p>
    <w:p w14:paraId="1C8D568B" w14:textId="60D774F4" w:rsidR="00FE2D25" w:rsidRPr="00640A1D" w:rsidRDefault="001771FA" w:rsidP="13CDCBED">
      <w:r w:rsidRPr="00640A1D">
        <w:lastRenderedPageBreak/>
        <w:t>T</w:t>
      </w:r>
      <w:r w:rsidR="00204F02" w:rsidRPr="00640A1D">
        <w:t>he second objection</w:t>
      </w:r>
      <w:r w:rsidRPr="00640A1D">
        <w:t xml:space="preserve"> </w:t>
      </w:r>
      <w:r w:rsidR="009471D6" w:rsidRPr="00640A1D">
        <w:t xml:space="preserve">highlights problems of </w:t>
      </w:r>
      <w:r w:rsidR="13CDCBED" w:rsidRPr="00640A1D">
        <w:t xml:space="preserve">validity or </w:t>
      </w:r>
      <w:r w:rsidR="009471D6" w:rsidRPr="00640A1D">
        <w:t xml:space="preserve">in </w:t>
      </w:r>
      <w:r w:rsidR="13CDCBED" w:rsidRPr="00640A1D">
        <w:t xml:space="preserve">probability theory. </w:t>
      </w:r>
      <w:r w:rsidR="13CDCBED" w:rsidRPr="00640A1D">
        <w:rPr>
          <w:rFonts w:eastAsia="Garamond" w:cs="Garamond"/>
        </w:rPr>
        <w:t xml:space="preserve">We have seen that the following suppressed premise is problematic for the latter reason: </w:t>
      </w:r>
    </w:p>
    <w:p w14:paraId="2D219D68" w14:textId="7B662C10" w:rsidR="00FE2D25" w:rsidRPr="00640A1D" w:rsidRDefault="76680C82" w:rsidP="13CDCBED">
      <w:pPr>
        <w:ind w:firstLine="720"/>
        <w:rPr>
          <w:rFonts w:eastAsia="Garamond" w:cs="Garamond"/>
        </w:rPr>
      </w:pPr>
      <w:r w:rsidRPr="00640A1D">
        <w:rPr>
          <w:rFonts w:eastAsia="Garamond" w:cs="Garamond"/>
        </w:rPr>
        <w:t xml:space="preserve">(D4.1*) </w:t>
      </w:r>
      <w:proofErr w:type="spellStart"/>
      <w:r w:rsidRPr="00640A1D">
        <w:rPr>
          <w:rFonts w:eastAsia="Garamond" w:cs="Garamond"/>
        </w:rPr>
        <w:t>Pr</w:t>
      </w:r>
      <w:proofErr w:type="spellEnd"/>
      <w:r w:rsidRPr="00640A1D">
        <w:rPr>
          <w:rFonts w:eastAsia="Garamond" w:cs="Garamond"/>
        </w:rPr>
        <w:t>(U|¬T) = 0</w:t>
      </w:r>
    </w:p>
    <w:p w14:paraId="7CA2D725" w14:textId="0EDF96C5" w:rsidR="00FE2D25" w:rsidRPr="00640A1D" w:rsidRDefault="1D29431A" w:rsidP="00E279F8">
      <w:pPr>
        <w:ind w:firstLine="720"/>
        <w:rPr>
          <w:rFonts w:eastAsia="Garamond"/>
        </w:rPr>
      </w:pPr>
      <w:r w:rsidRPr="00640A1D">
        <w:rPr>
          <w:rFonts w:eastAsia="Garamond" w:cs="Garamond"/>
        </w:rPr>
        <w:t>I believe there are</w:t>
      </w:r>
      <w:r w:rsidR="00204F02" w:rsidRPr="00640A1D">
        <w:rPr>
          <w:rFonts w:eastAsia="Garamond" w:cs="Garamond"/>
        </w:rPr>
        <w:t xml:space="preserve"> alternatives without this problem</w:t>
      </w:r>
      <w:r w:rsidRPr="00640A1D">
        <w:rPr>
          <w:rFonts w:eastAsia="Garamond" w:cs="Garamond"/>
        </w:rPr>
        <w:t xml:space="preserve">. I </w:t>
      </w:r>
      <w:r w:rsidR="00056BAD" w:rsidRPr="00640A1D">
        <w:rPr>
          <w:rFonts w:eastAsia="Garamond" w:cs="Garamond"/>
        </w:rPr>
        <w:t>will make a slight adjustment</w:t>
      </w:r>
      <w:r w:rsidRPr="00640A1D">
        <w:rPr>
          <w:rFonts w:eastAsia="Garamond" w:cs="Garamond"/>
        </w:rPr>
        <w:t xml:space="preserve"> and defend a</w:t>
      </w:r>
      <w:r w:rsidR="00F03FB5" w:rsidRPr="00640A1D">
        <w:rPr>
          <w:rFonts w:eastAsia="Garamond" w:cs="Garamond"/>
        </w:rPr>
        <w:t xml:space="preserve">n </w:t>
      </w:r>
      <w:r w:rsidRPr="00640A1D">
        <w:rPr>
          <w:rFonts w:eastAsia="Garamond" w:cs="Garamond"/>
        </w:rPr>
        <w:t>in</w:t>
      </w:r>
      <w:r w:rsidR="00994B51" w:rsidRPr="00640A1D">
        <w:rPr>
          <w:rFonts w:eastAsia="Garamond" w:cs="Garamond"/>
        </w:rPr>
        <w:t>ductive in</w:t>
      </w:r>
      <w:r w:rsidRPr="00640A1D">
        <w:rPr>
          <w:rFonts w:eastAsia="Garamond" w:cs="Garamond"/>
        </w:rPr>
        <w:t xml:space="preserve">ference </w:t>
      </w:r>
      <w:r w:rsidR="00994B51" w:rsidRPr="00640A1D">
        <w:rPr>
          <w:rFonts w:eastAsia="Garamond" w:cs="Garamond"/>
        </w:rPr>
        <w:t>that allows the argument to be placed in standard form</w:t>
      </w:r>
      <w:r w:rsidRPr="00640A1D">
        <w:rPr>
          <w:rFonts w:eastAsia="Garamond" w:cs="Garamond"/>
        </w:rPr>
        <w:t xml:space="preserve"> </w:t>
      </w:r>
      <w:r w:rsidR="00994B51" w:rsidRPr="00640A1D">
        <w:rPr>
          <w:rFonts w:eastAsia="Garamond" w:cs="Garamond"/>
        </w:rPr>
        <w:t>and accurately</w:t>
      </w:r>
      <w:r w:rsidR="00F03FB5" w:rsidRPr="00640A1D">
        <w:rPr>
          <w:rFonts w:eastAsia="Garamond" w:cs="Garamond"/>
        </w:rPr>
        <w:t xml:space="preserve"> represents the underlying</w:t>
      </w:r>
      <w:r w:rsidRPr="00640A1D">
        <w:rPr>
          <w:rFonts w:eastAsia="Garamond" w:cs="Garamond"/>
        </w:rPr>
        <w:t xml:space="preserve"> probabilistic </w:t>
      </w:r>
      <w:r w:rsidR="00F03FB5" w:rsidRPr="00640A1D">
        <w:rPr>
          <w:rFonts w:eastAsia="Garamond" w:cs="Garamond"/>
        </w:rPr>
        <w:t>inference</w:t>
      </w:r>
      <w:r w:rsidRPr="00640A1D">
        <w:rPr>
          <w:rFonts w:eastAsia="Garamond" w:cs="Garamond"/>
        </w:rPr>
        <w:t xml:space="preserve">. From there, one will be able to construct a version of the NMA that captures what I take to be the desiderata for G&amp;G’s NMA: it </w:t>
      </w:r>
      <w:r w:rsidR="00C612C5" w:rsidRPr="00640A1D">
        <w:rPr>
          <w:rFonts w:eastAsia="Garamond" w:cs="Garamond"/>
        </w:rPr>
        <w:t>(</w:t>
      </w:r>
      <w:proofErr w:type="spellStart"/>
      <w:r w:rsidR="00C612C5" w:rsidRPr="00640A1D">
        <w:rPr>
          <w:rFonts w:eastAsia="Garamond" w:cs="Garamond"/>
        </w:rPr>
        <w:t>i</w:t>
      </w:r>
      <w:proofErr w:type="spellEnd"/>
      <w:r w:rsidR="00C612C5" w:rsidRPr="00640A1D">
        <w:rPr>
          <w:rFonts w:eastAsia="Garamond" w:cs="Garamond"/>
        </w:rPr>
        <w:t>) does not rely on explanation as evidence for its premises, (ii) avoids structural objections (including traditional and Lee’s specific objections), and (iii) controversial claims</w:t>
      </w:r>
      <w:r w:rsidR="009B4AEC" w:rsidRPr="00640A1D">
        <w:rPr>
          <w:rFonts w:eastAsia="Garamond" w:cs="Garamond"/>
        </w:rPr>
        <w:t xml:space="preserve"> should be incorporated as</w:t>
      </w:r>
      <w:r w:rsidR="00C612C5" w:rsidRPr="00640A1D">
        <w:rPr>
          <w:rFonts w:eastAsia="Garamond" w:cs="Garamond"/>
        </w:rPr>
        <w:t xml:space="preserve"> </w:t>
      </w:r>
      <w:r w:rsidR="00C612C5" w:rsidRPr="00640A1D">
        <w:rPr>
          <w:rFonts w:eastAsia="Garamond" w:cs="Garamond"/>
          <w:i/>
          <w:iCs/>
        </w:rPr>
        <w:t>premises</w:t>
      </w:r>
      <w:r w:rsidR="00C612C5" w:rsidRPr="00640A1D">
        <w:rPr>
          <w:rFonts w:eastAsia="Garamond" w:cs="Garamond"/>
        </w:rPr>
        <w:t xml:space="preserve"> of the argument to structure discussion. </w:t>
      </w:r>
      <w:r w:rsidRPr="00640A1D">
        <w:rPr>
          <w:rFonts w:eastAsia="Garamond" w:cs="Garamond"/>
        </w:rPr>
        <w:t>I propose we replace (D4.1*) with:</w:t>
      </w:r>
    </w:p>
    <w:p w14:paraId="08046E3A" w14:textId="3A5DAE8C" w:rsidR="00FE2D25" w:rsidRPr="00640A1D" w:rsidRDefault="13CDCBED" w:rsidP="00AF2A7A">
      <w:pPr>
        <w:ind w:firstLine="720"/>
        <w:rPr>
          <w:rFonts w:eastAsia="Garamond"/>
        </w:rPr>
      </w:pPr>
      <w:r w:rsidRPr="00640A1D">
        <w:rPr>
          <w:rFonts w:eastAsia="Garamond" w:cs="Garamond"/>
        </w:rPr>
        <w:t>(</w:t>
      </w:r>
      <w:r w:rsidR="00617812" w:rsidRPr="00640A1D">
        <w:rPr>
          <w:rFonts w:eastAsia="Garamond" w:cs="Garamond"/>
        </w:rPr>
        <w:t>P</w:t>
      </w:r>
      <w:r w:rsidRPr="00640A1D">
        <w:rPr>
          <w:rFonts w:eastAsia="Garamond" w:cs="Garamond"/>
        </w:rPr>
        <w:t xml:space="preserve">4) </w:t>
      </w:r>
      <w:proofErr w:type="spellStart"/>
      <w:r w:rsidRPr="00640A1D">
        <w:rPr>
          <w:rFonts w:eastAsia="Garamond" w:cs="Garamond"/>
        </w:rPr>
        <w:t>Pr</w:t>
      </w:r>
      <w:proofErr w:type="spellEnd"/>
      <w:r w:rsidRPr="00640A1D">
        <w:rPr>
          <w:rFonts w:eastAsia="Garamond" w:cs="Garamond"/>
        </w:rPr>
        <w:t>(U|</w:t>
      </w:r>
      <w:r w:rsidR="76680C82" w:rsidRPr="00640A1D">
        <w:rPr>
          <w:rFonts w:eastAsia="Garamond" w:cs="Garamond"/>
        </w:rPr>
        <w:t>¬</w:t>
      </w:r>
      <w:r w:rsidR="00AF2A7A" w:rsidRPr="00640A1D">
        <w:rPr>
          <w:rFonts w:eastAsia="Garamond" w:cs="Garamond"/>
        </w:rPr>
        <w:t>T</w:t>
      </w:r>
      <w:r w:rsidR="00165A39" w:rsidRPr="00640A1D">
        <w:rPr>
          <w:rFonts w:eastAsia="Garamond" w:cs="Garamond"/>
        </w:rPr>
        <w:t>)</w:t>
      </w:r>
      <w:r w:rsidRPr="00640A1D">
        <w:rPr>
          <w:rFonts w:eastAsia="Garamond" w:cs="Garamond"/>
        </w:rPr>
        <w:t xml:space="preserve"> </w:t>
      </w:r>
      <w:r w:rsidR="00E279F8" w:rsidRPr="00640A1D">
        <w:rPr>
          <w:rFonts w:eastAsia="Garamond" w:cs="Garamond"/>
        </w:rPr>
        <w:t>≈</w:t>
      </w:r>
      <w:r w:rsidRPr="00640A1D">
        <w:rPr>
          <w:rFonts w:eastAsia="Garamond" w:cs="Garamond"/>
        </w:rPr>
        <w:t xml:space="preserve"> </w:t>
      </w:r>
      <w:r w:rsidR="76680C82" w:rsidRPr="00640A1D">
        <w:rPr>
          <w:rFonts w:eastAsia="Garamond"/>
        </w:rPr>
        <w:t>0</w:t>
      </w:r>
    </w:p>
    <w:p w14:paraId="45E2FF49" w14:textId="3B9F2C62" w:rsidR="00FE2D25" w:rsidRPr="00640A1D" w:rsidRDefault="00AF2A7A" w:rsidP="2758EA92">
      <w:pPr>
        <w:rPr>
          <w:rFonts w:eastAsia="Garamond"/>
        </w:rPr>
      </w:pPr>
      <w:r w:rsidRPr="00640A1D">
        <w:rPr>
          <w:rFonts w:eastAsia="Garamond"/>
        </w:rPr>
        <w:t xml:space="preserve">Here, </w:t>
      </w:r>
      <w:r w:rsidR="009471D6" w:rsidRPr="00640A1D">
        <w:rPr>
          <w:rFonts w:eastAsia="Garamond"/>
        </w:rPr>
        <w:t>“</w:t>
      </w:r>
      <w:r w:rsidR="009471D6" w:rsidRPr="00640A1D">
        <w:rPr>
          <w:rFonts w:eastAsia="Garamond" w:cs="Garamond"/>
        </w:rPr>
        <w:t>≈”</w:t>
      </w:r>
      <w:r w:rsidR="2758EA92" w:rsidRPr="00640A1D">
        <w:rPr>
          <w:rFonts w:eastAsia="Garamond"/>
        </w:rPr>
        <w:t xml:space="preserve"> </w:t>
      </w:r>
      <w:r w:rsidR="009471D6" w:rsidRPr="00640A1D">
        <w:rPr>
          <w:rFonts w:eastAsia="Garamond"/>
        </w:rPr>
        <w:t>indicates</w:t>
      </w:r>
      <w:r w:rsidR="2758EA92" w:rsidRPr="00640A1D">
        <w:rPr>
          <w:rFonts w:eastAsia="Garamond"/>
        </w:rPr>
        <w:t xml:space="preserve"> that </w:t>
      </w:r>
      <w:r w:rsidR="009471D6" w:rsidRPr="00640A1D">
        <w:rPr>
          <w:rFonts w:eastAsia="Garamond"/>
        </w:rPr>
        <w:t>the probability is</w:t>
      </w:r>
      <w:r w:rsidR="2758EA92" w:rsidRPr="00640A1D">
        <w:rPr>
          <w:rFonts w:eastAsia="Garamond"/>
        </w:rPr>
        <w:t xml:space="preserve"> </w:t>
      </w:r>
      <w:r w:rsidR="2758EA92" w:rsidRPr="00640A1D">
        <w:rPr>
          <w:rFonts w:eastAsia="Garamond"/>
          <w:i/>
          <w:iCs/>
        </w:rPr>
        <w:t xml:space="preserve">relatively and relevantly </w:t>
      </w:r>
      <w:r w:rsidR="2758EA92" w:rsidRPr="00640A1D">
        <w:rPr>
          <w:rFonts w:eastAsia="Garamond"/>
        </w:rPr>
        <w:t>close</w:t>
      </w:r>
      <w:r w:rsidR="004C7BBC">
        <w:rPr>
          <w:rFonts w:eastAsia="Garamond"/>
        </w:rPr>
        <w:t xml:space="preserve"> to the indicated value (here,</w:t>
      </w:r>
      <w:r w:rsidR="2758EA92" w:rsidRPr="00640A1D">
        <w:rPr>
          <w:rFonts w:eastAsia="Garamond"/>
        </w:rPr>
        <w:t xml:space="preserve"> zero</w:t>
      </w:r>
      <w:r w:rsidR="004C7BBC">
        <w:rPr>
          <w:rFonts w:eastAsia="Garamond"/>
        </w:rPr>
        <w:t>)</w:t>
      </w:r>
      <w:r w:rsidR="2758EA92" w:rsidRPr="00640A1D">
        <w:rPr>
          <w:rFonts w:eastAsia="Garamond"/>
        </w:rPr>
        <w:t xml:space="preserve">. It is relativized to the other probabilities it will interact with in the preceding, present, and proceeding manipulations. If such probabilities are relatively speaking much, </w:t>
      </w:r>
      <w:r w:rsidR="2758EA92" w:rsidRPr="00640A1D">
        <w:rPr>
          <w:rFonts w:eastAsia="Garamond"/>
          <w:i/>
          <w:iCs/>
        </w:rPr>
        <w:t xml:space="preserve">much </w:t>
      </w:r>
      <w:r w:rsidR="2758EA92" w:rsidRPr="00640A1D">
        <w:rPr>
          <w:rFonts w:eastAsia="Garamond"/>
        </w:rPr>
        <w:t xml:space="preserve">larger, then for most of our intents and purposes, one will be able to treat the probability as one might treat a zero. We can use this symbol in the same way for any probability assignment: a probability might be relatively and relevantly close to 0.2, 0.5, or 0.00001. Indeed, this is what </w:t>
      </w:r>
      <w:r w:rsidR="2758EA92" w:rsidRPr="00640A1D">
        <w:rPr>
          <w:rFonts w:eastAsia="Garamond"/>
          <w:i/>
          <w:iCs/>
        </w:rPr>
        <w:t>must</w:t>
      </w:r>
      <w:r w:rsidR="2758EA92" w:rsidRPr="00640A1D">
        <w:rPr>
          <w:rFonts w:eastAsia="Garamond"/>
        </w:rPr>
        <w:t xml:space="preserve"> be happening for nearly every practical probability calculation—outside of theory, we never know with true precision the values of any </w:t>
      </w:r>
      <w:proofErr w:type="gramStart"/>
      <w:r w:rsidR="2758EA92" w:rsidRPr="00640A1D">
        <w:rPr>
          <w:rFonts w:eastAsia="Garamond"/>
        </w:rPr>
        <w:t>particular possible</w:t>
      </w:r>
      <w:proofErr w:type="gramEnd"/>
      <w:r w:rsidR="2758EA92" w:rsidRPr="00640A1D">
        <w:rPr>
          <w:rFonts w:eastAsia="Garamond"/>
        </w:rPr>
        <w:t xml:space="preserve"> outcome. Coins are only approximately fair, political forecasts are commensurately </w:t>
      </w:r>
      <w:r w:rsidRPr="00640A1D">
        <w:rPr>
          <w:rFonts w:eastAsia="Garamond"/>
        </w:rPr>
        <w:t>(</w:t>
      </w:r>
      <w:proofErr w:type="spellStart"/>
      <w:r w:rsidRPr="00640A1D">
        <w:rPr>
          <w:rFonts w:eastAsia="Garamond"/>
        </w:rPr>
        <w:t>im</w:t>
      </w:r>
      <w:proofErr w:type="spellEnd"/>
      <w:r w:rsidRPr="00640A1D">
        <w:rPr>
          <w:rFonts w:eastAsia="Garamond"/>
        </w:rPr>
        <w:t>)precise</w:t>
      </w:r>
      <w:r w:rsidR="2758EA92" w:rsidRPr="00640A1D">
        <w:rPr>
          <w:rFonts w:eastAsia="Garamond"/>
        </w:rPr>
        <w:t xml:space="preserve">. </w:t>
      </w:r>
      <w:proofErr w:type="gramStart"/>
      <w:r w:rsidR="2758EA92" w:rsidRPr="00640A1D">
        <w:rPr>
          <w:rFonts w:eastAsia="Garamond"/>
        </w:rPr>
        <w:t>So</w:t>
      </w:r>
      <w:proofErr w:type="gramEnd"/>
      <w:r w:rsidR="2758EA92" w:rsidRPr="00640A1D">
        <w:rPr>
          <w:rFonts w:eastAsia="Garamond"/>
        </w:rPr>
        <w:t xml:space="preserve"> we are committed to nearly every probability assignment in any practical case being subject to significant digits, rounding, and other similar operations. </w:t>
      </w:r>
    </w:p>
    <w:p w14:paraId="71FBBAAE" w14:textId="64487D4B" w:rsidR="00745D5F" w:rsidRPr="00640A1D" w:rsidRDefault="00745D5F" w:rsidP="2758EA92">
      <w:pPr>
        <w:rPr>
          <w:rFonts w:eastAsia="Garamond"/>
        </w:rPr>
      </w:pPr>
      <w:r w:rsidRPr="00640A1D">
        <w:rPr>
          <w:rFonts w:eastAsia="Garamond"/>
        </w:rPr>
        <w:tab/>
      </w:r>
      <w:r w:rsidR="004C7BBC">
        <w:rPr>
          <w:rFonts w:eastAsia="Garamond"/>
        </w:rPr>
        <w:t>T</w:t>
      </w:r>
      <w:r w:rsidR="00466D4E" w:rsidRPr="00640A1D">
        <w:rPr>
          <w:rFonts w:eastAsia="Garamond"/>
        </w:rPr>
        <w:t>his idealization</w:t>
      </w:r>
      <w:r w:rsidRPr="00640A1D">
        <w:rPr>
          <w:rFonts w:eastAsia="Garamond"/>
        </w:rPr>
        <w:t xml:space="preserve"> is not without </w:t>
      </w:r>
      <w:r w:rsidR="00466D4E" w:rsidRPr="00640A1D">
        <w:rPr>
          <w:rFonts w:eastAsia="Garamond"/>
        </w:rPr>
        <w:t xml:space="preserve">theoretical </w:t>
      </w:r>
      <w:r w:rsidRPr="00640A1D">
        <w:rPr>
          <w:rFonts w:eastAsia="Garamond"/>
        </w:rPr>
        <w:t>cost.</w:t>
      </w:r>
      <w:r w:rsidR="00466D4E" w:rsidRPr="00640A1D">
        <w:rPr>
          <w:rStyle w:val="FootnoteReference"/>
          <w:rFonts w:eastAsia="Garamond"/>
        </w:rPr>
        <w:footnoteReference w:id="9"/>
      </w:r>
      <w:r w:rsidRPr="00640A1D">
        <w:rPr>
          <w:rFonts w:eastAsia="Garamond"/>
        </w:rPr>
        <w:t xml:space="preserve"> Probability typically mystifies human intuition—quite unlikely Ps can turn out to be quite likely in the end, and in ways that might be </w:t>
      </w:r>
      <w:r w:rsidRPr="00640A1D">
        <w:rPr>
          <w:rFonts w:eastAsia="Garamond"/>
        </w:rPr>
        <w:lastRenderedPageBreak/>
        <w:t>elided by my above shorthand. Thus, it is important to note that any such argument should be scrutinized as to whether its use is justified, whether its inferences risk violating the axioms of probability, and whether the relevant premises (namely, those using ‘</w:t>
      </w:r>
      <w:r w:rsidRPr="00640A1D">
        <w:rPr>
          <w:rFonts w:eastAsia="Garamond" w:cs="Garamond"/>
        </w:rPr>
        <w:t>≈</w:t>
      </w:r>
      <w:r w:rsidRPr="00640A1D">
        <w:rPr>
          <w:rFonts w:eastAsia="Garamond"/>
        </w:rPr>
        <w:t xml:space="preserve">’) are true, </w:t>
      </w:r>
      <w:r w:rsidR="00204F02" w:rsidRPr="00640A1D">
        <w:rPr>
          <w:rFonts w:eastAsia="Garamond"/>
        </w:rPr>
        <w:t xml:space="preserve">a question </w:t>
      </w:r>
      <w:r w:rsidRPr="00640A1D">
        <w:rPr>
          <w:rFonts w:eastAsia="Garamond"/>
        </w:rPr>
        <w:t>to which I now turn.</w:t>
      </w:r>
    </w:p>
    <w:p w14:paraId="22BB14C0" w14:textId="22653517" w:rsidR="00FE2D25" w:rsidRPr="00640A1D" w:rsidRDefault="1D29431A" w:rsidP="23C02272">
      <w:pPr>
        <w:ind w:firstLine="720"/>
        <w:rPr>
          <w:rFonts w:eastAsia="Garamond"/>
        </w:rPr>
      </w:pPr>
      <w:r w:rsidRPr="00640A1D">
        <w:rPr>
          <w:rFonts w:eastAsia="Garamond"/>
        </w:rPr>
        <w:t>Th</w:t>
      </w:r>
      <w:r w:rsidR="00DC2ECF" w:rsidRPr="00640A1D">
        <w:rPr>
          <w:rFonts w:eastAsia="Garamond"/>
        </w:rPr>
        <w:t>e relatively approximately equal</w:t>
      </w:r>
      <w:r w:rsidRPr="00640A1D">
        <w:rPr>
          <w:rFonts w:eastAsia="Garamond"/>
        </w:rPr>
        <w:t xml:space="preserve"> relation, so defined, has argumentative benefits that ought to be taken on because </w:t>
      </w:r>
      <w:r w:rsidR="00DC2ECF" w:rsidRPr="00640A1D">
        <w:rPr>
          <w:rFonts w:eastAsia="Garamond"/>
        </w:rPr>
        <w:t>it solves problems</w:t>
      </w:r>
      <w:r w:rsidRPr="00640A1D">
        <w:rPr>
          <w:rFonts w:eastAsia="Garamond"/>
        </w:rPr>
        <w:t xml:space="preserve"> </w:t>
      </w:r>
      <w:r w:rsidR="00DC2ECF" w:rsidRPr="00640A1D">
        <w:rPr>
          <w:rFonts w:eastAsia="Garamond"/>
        </w:rPr>
        <w:t>by removing</w:t>
      </w:r>
      <w:r w:rsidRPr="00640A1D">
        <w:rPr>
          <w:rFonts w:eastAsia="Garamond"/>
        </w:rPr>
        <w:t xml:space="preserve"> </w:t>
      </w:r>
      <w:r w:rsidR="00DC2ECF" w:rsidRPr="00640A1D">
        <w:rPr>
          <w:rFonts w:eastAsia="Garamond"/>
        </w:rPr>
        <w:t>v</w:t>
      </w:r>
      <w:r w:rsidRPr="00640A1D">
        <w:rPr>
          <w:rFonts w:eastAsia="Garamond"/>
        </w:rPr>
        <w:t xml:space="preserve">icious vagueness with </w:t>
      </w:r>
      <w:r w:rsidR="00DC2ECF" w:rsidRPr="00640A1D">
        <w:rPr>
          <w:rFonts w:eastAsia="Garamond"/>
        </w:rPr>
        <w:t xml:space="preserve">a </w:t>
      </w:r>
      <w:r w:rsidRPr="00640A1D">
        <w:rPr>
          <w:rFonts w:eastAsia="Garamond"/>
        </w:rPr>
        <w:t xml:space="preserve">more benign ambiguity. Specifically, by allowing the approximately equal sign to mean that </w:t>
      </w:r>
      <w:r w:rsidR="009471D6" w:rsidRPr="00640A1D">
        <w:rPr>
          <w:rFonts w:eastAsia="Garamond"/>
        </w:rPr>
        <w:t>“</w:t>
      </w:r>
      <w:r w:rsidRPr="00640A1D">
        <w:rPr>
          <w:rFonts w:eastAsia="Garamond"/>
        </w:rPr>
        <w:t>in this context it may be relevantly treated as</w:t>
      </w:r>
      <w:r w:rsidR="009471D6" w:rsidRPr="00640A1D">
        <w:rPr>
          <w:rFonts w:eastAsia="Garamond"/>
        </w:rPr>
        <w:t>”</w:t>
      </w:r>
      <w:r w:rsidRPr="00640A1D">
        <w:rPr>
          <w:rFonts w:eastAsia="Garamond"/>
        </w:rPr>
        <w:t xml:space="preserve"> some probability value </w:t>
      </w:r>
      <w:r w:rsidRPr="00640A1D">
        <w:rPr>
          <w:rFonts w:eastAsia="Garamond"/>
          <w:i/>
          <w:iCs/>
        </w:rPr>
        <w:t>x</w:t>
      </w:r>
      <w:r w:rsidRPr="00640A1D">
        <w:rPr>
          <w:rFonts w:eastAsia="Garamond"/>
        </w:rPr>
        <w:t xml:space="preserve">, it by stipulation avoids the </w:t>
      </w:r>
      <w:r w:rsidRPr="00640A1D">
        <w:rPr>
          <w:rFonts w:eastAsia="Garamond"/>
          <w:i/>
          <w:iCs/>
        </w:rPr>
        <w:t xml:space="preserve">structural </w:t>
      </w:r>
      <w:r w:rsidRPr="00640A1D">
        <w:rPr>
          <w:rFonts w:eastAsia="Garamond"/>
        </w:rPr>
        <w:t xml:space="preserve">problems suggested by Lee. This does </w:t>
      </w:r>
      <w:r w:rsidRPr="00640A1D">
        <w:rPr>
          <w:rFonts w:eastAsia="Garamond"/>
          <w:i/>
          <w:iCs/>
        </w:rPr>
        <w:t>not</w:t>
      </w:r>
      <w:r w:rsidRPr="00640A1D">
        <w:rPr>
          <w:rFonts w:eastAsia="Garamond"/>
        </w:rPr>
        <w:t xml:space="preserve"> mean that it by stipulation avoids all </w:t>
      </w:r>
      <w:r w:rsidR="00DC2ECF" w:rsidRPr="00640A1D">
        <w:rPr>
          <w:rFonts w:eastAsia="Garamond"/>
        </w:rPr>
        <w:t>objections</w:t>
      </w:r>
      <w:r w:rsidR="00994B51" w:rsidRPr="00640A1D">
        <w:rPr>
          <w:rFonts w:eastAsia="Garamond"/>
        </w:rPr>
        <w:t>,</w:t>
      </w:r>
      <w:r w:rsidR="00DC2ECF" w:rsidRPr="00640A1D">
        <w:rPr>
          <w:rFonts w:eastAsia="Garamond"/>
        </w:rPr>
        <w:t xml:space="preserve"> </w:t>
      </w:r>
      <w:r w:rsidRPr="00640A1D">
        <w:rPr>
          <w:rFonts w:eastAsia="Garamond"/>
        </w:rPr>
        <w:t xml:space="preserve">or </w:t>
      </w:r>
      <w:r w:rsidR="00DC2ECF" w:rsidRPr="00640A1D">
        <w:rPr>
          <w:rFonts w:eastAsia="Garamond"/>
        </w:rPr>
        <w:t>specifically</w:t>
      </w:r>
      <w:r w:rsidRPr="00640A1D">
        <w:rPr>
          <w:rFonts w:eastAsia="Garamond"/>
        </w:rPr>
        <w:t xml:space="preserve"> Lee’s objections. Instead, it </w:t>
      </w:r>
      <w:r w:rsidR="009471D6" w:rsidRPr="00640A1D">
        <w:rPr>
          <w:rFonts w:eastAsia="Garamond"/>
        </w:rPr>
        <w:t>facilitates discussion of</w:t>
      </w:r>
      <w:r w:rsidRPr="00640A1D">
        <w:rPr>
          <w:rFonts w:eastAsia="Garamond"/>
        </w:rPr>
        <w:t xml:space="preserve"> natural objections to the NMA and the </w:t>
      </w:r>
      <w:r w:rsidR="001C7BE2" w:rsidRPr="00640A1D">
        <w:rPr>
          <w:rFonts w:eastAsia="Garamond"/>
        </w:rPr>
        <w:t>I</w:t>
      </w:r>
      <w:r w:rsidR="009471D6" w:rsidRPr="00640A1D">
        <w:rPr>
          <w:rFonts w:eastAsia="Garamond"/>
        </w:rPr>
        <w:t>NMA</w:t>
      </w:r>
      <w:r w:rsidRPr="00640A1D">
        <w:rPr>
          <w:rFonts w:eastAsia="Garamond"/>
        </w:rPr>
        <w:t xml:space="preserve">. </w:t>
      </w:r>
      <w:proofErr w:type="gramStart"/>
      <w:r w:rsidRPr="00640A1D">
        <w:rPr>
          <w:rFonts w:eastAsia="Garamond"/>
        </w:rPr>
        <w:t>But,</w:t>
      </w:r>
      <w:proofErr w:type="gramEnd"/>
      <w:r w:rsidRPr="00640A1D">
        <w:rPr>
          <w:rFonts w:eastAsia="Garamond"/>
        </w:rPr>
        <w:t xml:space="preserve"> briefly, when adding arbitrarily small values to some prohibitively small </w:t>
      </w:r>
      <w:r w:rsidRPr="00640A1D">
        <w:rPr>
          <w:rFonts w:eastAsia="Garamond"/>
          <w:i/>
          <w:iCs/>
        </w:rPr>
        <w:t>x</w:t>
      </w:r>
      <w:r w:rsidRPr="00640A1D">
        <w:rPr>
          <w:rFonts w:eastAsia="Garamond"/>
        </w:rPr>
        <w:t xml:space="preserve">, one has shifted the context, and in that situation relative to the summation relation one is about to perform, the small differences make the probability assignment of </w:t>
      </w:r>
      <w:proofErr w:type="spellStart"/>
      <w:r w:rsidRPr="00640A1D">
        <w:rPr>
          <w:rFonts w:eastAsia="Garamond"/>
        </w:rPr>
        <w:t>Pr</w:t>
      </w:r>
      <w:proofErr w:type="spellEnd"/>
      <w:r w:rsidRPr="00640A1D">
        <w:rPr>
          <w:rFonts w:eastAsia="Garamond"/>
        </w:rPr>
        <w:t xml:space="preserve">(P) </w:t>
      </w:r>
      <w:r w:rsidRPr="00640A1D">
        <w:rPr>
          <w:rFonts w:eastAsia="Garamond" w:cs="Garamond"/>
        </w:rPr>
        <w:t>≈</w:t>
      </w:r>
      <w:r w:rsidRPr="00640A1D">
        <w:rPr>
          <w:rFonts w:eastAsia="Garamond"/>
        </w:rPr>
        <w:t xml:space="preserve"> </w:t>
      </w:r>
      <w:r w:rsidRPr="00640A1D">
        <w:rPr>
          <w:rFonts w:eastAsia="Garamond"/>
          <w:i/>
          <w:iCs/>
        </w:rPr>
        <w:t>x</w:t>
      </w:r>
      <w:r w:rsidRPr="00640A1D">
        <w:rPr>
          <w:rFonts w:eastAsia="Garamond"/>
        </w:rPr>
        <w:t xml:space="preserve"> false! In this context, it is </w:t>
      </w:r>
      <w:r w:rsidRPr="00640A1D">
        <w:rPr>
          <w:rFonts w:eastAsia="Garamond"/>
          <w:i/>
          <w:iCs/>
        </w:rPr>
        <w:t>not</w:t>
      </w:r>
      <w:r w:rsidRPr="00640A1D">
        <w:rPr>
          <w:rFonts w:eastAsia="Garamond"/>
        </w:rPr>
        <w:t xml:space="preserve"> relatively and relevantly the same as </w:t>
      </w:r>
      <w:r w:rsidRPr="00640A1D">
        <w:rPr>
          <w:rFonts w:eastAsia="Garamond"/>
          <w:i/>
          <w:iCs/>
        </w:rPr>
        <w:t>x</w:t>
      </w:r>
      <w:r w:rsidRPr="00640A1D">
        <w:rPr>
          <w:rFonts w:eastAsia="Garamond"/>
        </w:rPr>
        <w:t xml:space="preserve">, be </w:t>
      </w:r>
      <w:r w:rsidRPr="00640A1D">
        <w:rPr>
          <w:rFonts w:eastAsia="Garamond"/>
          <w:i/>
          <w:iCs/>
        </w:rPr>
        <w:t xml:space="preserve">x </w:t>
      </w:r>
      <w:r w:rsidRPr="00640A1D">
        <w:rPr>
          <w:rFonts w:eastAsia="Garamond"/>
        </w:rPr>
        <w:t>zero, one, or in between. So, the</w:t>
      </w:r>
      <w:r w:rsidR="00DC2ECF" w:rsidRPr="00640A1D">
        <w:rPr>
          <w:rFonts w:eastAsia="Garamond"/>
        </w:rPr>
        <w:t xml:space="preserve"> suggested</w:t>
      </w:r>
      <w:r w:rsidRPr="00640A1D">
        <w:rPr>
          <w:rFonts w:eastAsia="Garamond"/>
        </w:rPr>
        <w:t xml:space="preserve"> </w:t>
      </w:r>
      <w:r w:rsidR="00DC2ECF" w:rsidRPr="00640A1D">
        <w:rPr>
          <w:rFonts w:eastAsia="Garamond"/>
        </w:rPr>
        <w:t>relation</w:t>
      </w:r>
      <w:r w:rsidRPr="00640A1D">
        <w:rPr>
          <w:rFonts w:eastAsia="Garamond"/>
        </w:rPr>
        <w:t xml:space="preserve"> does not guarantee the argument succeeds by definition; rather, it guarantees that we be able to </w:t>
      </w:r>
      <w:r w:rsidR="00DC2ECF" w:rsidRPr="00640A1D">
        <w:rPr>
          <w:rFonts w:eastAsia="Garamond"/>
        </w:rPr>
        <w:t>express common and unproblematic probabilistic inferences</w:t>
      </w:r>
      <w:r w:rsidRPr="00640A1D">
        <w:rPr>
          <w:rFonts w:eastAsia="Garamond"/>
        </w:rPr>
        <w:t xml:space="preserve">. If in </w:t>
      </w:r>
      <w:r w:rsidR="00DC2ECF" w:rsidRPr="00640A1D">
        <w:rPr>
          <w:rFonts w:eastAsia="Garamond"/>
        </w:rPr>
        <w:t>some</w:t>
      </w:r>
      <w:r w:rsidRPr="00640A1D">
        <w:rPr>
          <w:rFonts w:eastAsia="Garamond"/>
        </w:rPr>
        <w:t xml:space="preserve"> </w:t>
      </w:r>
      <w:proofErr w:type="gramStart"/>
      <w:r w:rsidRPr="00640A1D">
        <w:rPr>
          <w:rFonts w:eastAsia="Garamond"/>
        </w:rPr>
        <w:t>particular case</w:t>
      </w:r>
      <w:proofErr w:type="gramEnd"/>
      <w:r w:rsidRPr="00640A1D">
        <w:rPr>
          <w:rFonts w:eastAsia="Garamond"/>
        </w:rPr>
        <w:t xml:space="preserve"> that some </w:t>
      </w:r>
      <w:proofErr w:type="spellStart"/>
      <w:r w:rsidRPr="00640A1D">
        <w:rPr>
          <w:rFonts w:eastAsia="Garamond"/>
        </w:rPr>
        <w:t>Pr</w:t>
      </w:r>
      <w:proofErr w:type="spellEnd"/>
      <w:r w:rsidRPr="00640A1D">
        <w:rPr>
          <w:rFonts w:eastAsia="Garamond"/>
        </w:rPr>
        <w:t xml:space="preserve">(P) is </w:t>
      </w:r>
      <w:r w:rsidRPr="00640A1D">
        <w:rPr>
          <w:rFonts w:eastAsia="Garamond"/>
          <w:i/>
          <w:iCs/>
        </w:rPr>
        <w:t>not</w:t>
      </w:r>
      <w:r w:rsidRPr="00640A1D">
        <w:rPr>
          <w:rFonts w:eastAsia="Garamond"/>
        </w:rPr>
        <w:t xml:space="preserve"> approximately equal to some </w:t>
      </w:r>
      <w:r w:rsidRPr="00640A1D">
        <w:rPr>
          <w:rFonts w:eastAsia="Garamond"/>
          <w:i/>
          <w:iCs/>
        </w:rPr>
        <w:t>x</w:t>
      </w:r>
      <w:r w:rsidRPr="00640A1D">
        <w:rPr>
          <w:rFonts w:eastAsia="Garamond"/>
        </w:rPr>
        <w:t xml:space="preserve">, then </w:t>
      </w:r>
      <w:r w:rsidR="00DC2ECF" w:rsidRPr="00640A1D">
        <w:rPr>
          <w:rFonts w:eastAsia="Garamond"/>
        </w:rPr>
        <w:t>one</w:t>
      </w:r>
      <w:r w:rsidRPr="00640A1D">
        <w:rPr>
          <w:rFonts w:eastAsia="Garamond"/>
        </w:rPr>
        <w:t xml:space="preserve"> can call into question that premise and its evidence—a natural objection, and one that can be lodged to a </w:t>
      </w:r>
      <w:r w:rsidRPr="00640A1D">
        <w:rPr>
          <w:rFonts w:eastAsia="Garamond"/>
          <w:i/>
          <w:iCs/>
        </w:rPr>
        <w:t>premise</w:t>
      </w:r>
      <w:r w:rsidRPr="00640A1D">
        <w:rPr>
          <w:rFonts w:eastAsia="Garamond"/>
        </w:rPr>
        <w:t xml:space="preserve"> rather than the </w:t>
      </w:r>
      <w:r w:rsidRPr="00640A1D">
        <w:rPr>
          <w:rFonts w:eastAsia="Garamond"/>
          <w:i/>
          <w:iCs/>
        </w:rPr>
        <w:t>structure</w:t>
      </w:r>
      <w:r w:rsidR="000F2566" w:rsidRPr="00640A1D">
        <w:rPr>
          <w:rFonts w:eastAsia="Garamond"/>
        </w:rPr>
        <w:t xml:space="preserve"> of the argument</w:t>
      </w:r>
      <w:r w:rsidRPr="00640A1D">
        <w:rPr>
          <w:rFonts w:eastAsia="Garamond"/>
        </w:rPr>
        <w:t xml:space="preserve">. Its </w:t>
      </w:r>
      <w:r w:rsidR="00E1688F" w:rsidRPr="00640A1D">
        <w:rPr>
          <w:rFonts w:eastAsia="Garamond"/>
        </w:rPr>
        <w:t>defined</w:t>
      </w:r>
      <w:r w:rsidRPr="00640A1D">
        <w:rPr>
          <w:rFonts w:eastAsia="Garamond"/>
        </w:rPr>
        <w:t xml:space="preserve"> imprecision clarifies any probabilistic </w:t>
      </w:r>
      <w:r w:rsidR="00DC2ECF" w:rsidRPr="00640A1D">
        <w:rPr>
          <w:rFonts w:eastAsia="Garamond"/>
        </w:rPr>
        <w:t>enthymeme</w:t>
      </w:r>
      <w:r w:rsidRPr="00640A1D">
        <w:rPr>
          <w:rFonts w:eastAsia="Garamond"/>
        </w:rPr>
        <w:t xml:space="preserve"> in a way that can be fruitfully engaged with. I </w:t>
      </w:r>
      <w:r w:rsidR="00ED4B9F" w:rsidRPr="00640A1D">
        <w:rPr>
          <w:rFonts w:eastAsia="Garamond"/>
        </w:rPr>
        <w:t>will provide an example</w:t>
      </w:r>
      <w:r w:rsidRPr="00640A1D">
        <w:rPr>
          <w:rFonts w:eastAsia="Garamond"/>
        </w:rPr>
        <w:t>, generaliz</w:t>
      </w:r>
      <w:r w:rsidR="00ED4B9F" w:rsidRPr="00640A1D">
        <w:rPr>
          <w:rFonts w:eastAsia="Garamond"/>
        </w:rPr>
        <w:t>e</w:t>
      </w:r>
      <w:r w:rsidRPr="00640A1D">
        <w:rPr>
          <w:rFonts w:eastAsia="Garamond"/>
        </w:rPr>
        <w:t xml:space="preserve"> it, and then apply it to G&amp;G’s argument. </w:t>
      </w:r>
    </w:p>
    <w:p w14:paraId="0C0DDEA2" w14:textId="35550285" w:rsidR="00FE2D25" w:rsidRPr="00640A1D" w:rsidRDefault="76680C82" w:rsidP="76680C82">
      <w:pPr>
        <w:ind w:firstLine="720"/>
        <w:rPr>
          <w:rFonts w:eastAsia="Garamond"/>
        </w:rPr>
      </w:pPr>
      <w:r w:rsidRPr="00640A1D">
        <w:rPr>
          <w:rFonts w:eastAsia="Garamond"/>
        </w:rPr>
        <w:t>Roberta is highly certain that her husband got either almond milk or cow’s milk, but not both</w:t>
      </w:r>
      <w:r w:rsidR="001A1418" w:rsidRPr="00640A1D">
        <w:rPr>
          <w:rFonts w:eastAsia="Garamond"/>
        </w:rPr>
        <w:t>—</w:t>
      </w:r>
      <w:r w:rsidRPr="00640A1D">
        <w:rPr>
          <w:rFonts w:eastAsia="Garamond"/>
        </w:rPr>
        <w:t>too</w:t>
      </w:r>
      <w:r w:rsidR="001A1418" w:rsidRPr="00640A1D">
        <w:rPr>
          <w:rFonts w:eastAsia="Garamond"/>
        </w:rPr>
        <w:t xml:space="preserve"> </w:t>
      </w:r>
      <w:r w:rsidRPr="00640A1D">
        <w:rPr>
          <w:rFonts w:eastAsia="Garamond"/>
        </w:rPr>
        <w:t xml:space="preserve">much milk. He almost certainly did not get cow’s milk if their vegan son is in town, but he similarly almost certainly </w:t>
      </w:r>
      <w:r w:rsidR="00DC2ECF" w:rsidRPr="00640A1D">
        <w:rPr>
          <w:rFonts w:eastAsia="Garamond"/>
        </w:rPr>
        <w:t xml:space="preserve">did </w:t>
      </w:r>
      <w:r w:rsidRPr="00640A1D">
        <w:rPr>
          <w:rFonts w:eastAsia="Garamond"/>
        </w:rPr>
        <w:t xml:space="preserve">not get almond milk if their son is not in town. As it happens, their son is in town, and so she concludes that her husband </w:t>
      </w:r>
      <w:proofErr w:type="gramStart"/>
      <w:r w:rsidRPr="00640A1D">
        <w:rPr>
          <w:rFonts w:eastAsia="Garamond"/>
        </w:rPr>
        <w:t>in all likelihood</w:t>
      </w:r>
      <w:proofErr w:type="gramEnd"/>
      <w:r w:rsidRPr="00640A1D">
        <w:rPr>
          <w:rFonts w:eastAsia="Garamond"/>
        </w:rPr>
        <w:t xml:space="preserve"> did not buy cow’s milk. </w:t>
      </w:r>
    </w:p>
    <w:p w14:paraId="07255A5D" w14:textId="7E53ED6A" w:rsidR="00FE2D25" w:rsidRPr="00640A1D" w:rsidRDefault="23C02272" w:rsidP="23C02272">
      <w:pPr>
        <w:ind w:firstLine="720"/>
        <w:rPr>
          <w:rFonts w:eastAsia="Garamond"/>
        </w:rPr>
      </w:pPr>
      <w:r w:rsidRPr="00640A1D">
        <w:rPr>
          <w:rFonts w:eastAsia="Garamond"/>
        </w:rPr>
        <w:lastRenderedPageBreak/>
        <w:t>In reconstructing the reasoning in the prior case, we might do so in a purely deductive form</w:t>
      </w:r>
      <w:r w:rsidR="00AF2A7A" w:rsidRPr="00640A1D">
        <w:rPr>
          <w:rFonts w:eastAsia="Garamond"/>
        </w:rPr>
        <w:t>, where</w:t>
      </w:r>
      <w:r w:rsidRPr="00640A1D">
        <w:rPr>
          <w:rFonts w:eastAsia="Garamond"/>
        </w:rPr>
        <w:t>:</w:t>
      </w:r>
    </w:p>
    <w:p w14:paraId="0AF268B8" w14:textId="0A65D9C8" w:rsidR="00AF2A7A" w:rsidRPr="00640A1D" w:rsidRDefault="00AF2A7A" w:rsidP="23C02272">
      <w:pPr>
        <w:ind w:firstLine="720"/>
        <w:rPr>
          <w:rFonts w:eastAsia="Garamond"/>
        </w:rPr>
      </w:pPr>
      <w:r w:rsidRPr="00640A1D">
        <w:rPr>
          <w:rFonts w:eastAsia="Garamond"/>
        </w:rPr>
        <w:t>A = husband buys almond milk, C = husband buys cow’s milk, S = son is in town</w:t>
      </w:r>
    </w:p>
    <w:p w14:paraId="69223749" w14:textId="6C698DDC" w:rsidR="00FE2D25" w:rsidRPr="00640A1D" w:rsidRDefault="23C02272" w:rsidP="23C02272">
      <w:pPr>
        <w:pStyle w:val="ListParagraph"/>
        <w:numPr>
          <w:ilvl w:val="0"/>
          <w:numId w:val="2"/>
        </w:numPr>
        <w:rPr>
          <w:rFonts w:eastAsia="Garamond"/>
        </w:rPr>
      </w:pPr>
      <w:r w:rsidRPr="00640A1D">
        <w:rPr>
          <w:rFonts w:eastAsia="Garamond"/>
        </w:rPr>
        <w:t>A v C</w:t>
      </w:r>
    </w:p>
    <w:p w14:paraId="03275132" w14:textId="0AAB640D" w:rsidR="00FE2D25" w:rsidRPr="00640A1D" w:rsidRDefault="76680C82" w:rsidP="76680C82">
      <w:pPr>
        <w:pStyle w:val="ListParagraph"/>
        <w:numPr>
          <w:ilvl w:val="0"/>
          <w:numId w:val="2"/>
        </w:numPr>
        <w:rPr>
          <w:rFonts w:eastAsia="Garamond"/>
        </w:rPr>
      </w:pPr>
      <w:r w:rsidRPr="00640A1D">
        <w:rPr>
          <w:rFonts w:eastAsia="Garamond"/>
        </w:rPr>
        <w:t xml:space="preserve">S -&gt; </w:t>
      </w:r>
      <w:r w:rsidRPr="00640A1D">
        <w:rPr>
          <w:rFonts w:eastAsia="Garamond" w:cs="Garamond"/>
        </w:rPr>
        <w:t>¬</w:t>
      </w:r>
      <w:r w:rsidRPr="00640A1D">
        <w:rPr>
          <w:rFonts w:eastAsia="Garamond"/>
        </w:rPr>
        <w:t>C</w:t>
      </w:r>
    </w:p>
    <w:p w14:paraId="797F0085" w14:textId="320A53CC" w:rsidR="00FE2D25" w:rsidRPr="00640A1D" w:rsidRDefault="23C02272" w:rsidP="23C02272">
      <w:pPr>
        <w:pStyle w:val="ListParagraph"/>
        <w:numPr>
          <w:ilvl w:val="0"/>
          <w:numId w:val="2"/>
        </w:numPr>
        <w:rPr>
          <w:rFonts w:eastAsia="Garamond"/>
        </w:rPr>
      </w:pPr>
      <w:r w:rsidRPr="00640A1D">
        <w:rPr>
          <w:rFonts w:eastAsia="Garamond"/>
        </w:rPr>
        <w:t>S</w:t>
      </w:r>
    </w:p>
    <w:p w14:paraId="33DF314C" w14:textId="78F101F1" w:rsidR="00FE2D25" w:rsidRPr="00640A1D" w:rsidRDefault="76680C82" w:rsidP="76680C82">
      <w:pPr>
        <w:pStyle w:val="ListParagraph"/>
        <w:numPr>
          <w:ilvl w:val="0"/>
          <w:numId w:val="2"/>
        </w:numPr>
        <w:rPr>
          <w:rFonts w:eastAsia="Garamond"/>
        </w:rPr>
      </w:pPr>
      <w:r w:rsidRPr="00640A1D">
        <w:rPr>
          <w:rFonts w:eastAsia="Garamond" w:cs="Garamond"/>
        </w:rPr>
        <w:t>¬</w:t>
      </w:r>
      <w:r w:rsidRPr="00640A1D">
        <w:rPr>
          <w:rFonts w:eastAsia="Garamond"/>
        </w:rPr>
        <w:t>C (from 2, 3)</w:t>
      </w:r>
    </w:p>
    <w:p w14:paraId="1ADB5474" w14:textId="18C93B82" w:rsidR="00FE2D25" w:rsidRPr="00640A1D" w:rsidRDefault="23C02272" w:rsidP="23C02272">
      <w:pPr>
        <w:pStyle w:val="ListParagraph"/>
        <w:numPr>
          <w:ilvl w:val="0"/>
          <w:numId w:val="2"/>
        </w:numPr>
        <w:rPr>
          <w:rFonts w:eastAsia="Garamond"/>
        </w:rPr>
      </w:pPr>
      <w:r w:rsidRPr="00640A1D">
        <w:rPr>
          <w:rFonts w:eastAsia="Garamond"/>
        </w:rPr>
        <w:t>A (from 1, 4)</w:t>
      </w:r>
    </w:p>
    <w:p w14:paraId="65748D84" w14:textId="7736FCE5" w:rsidR="00FE2D25" w:rsidRPr="00640A1D" w:rsidRDefault="009471D6" w:rsidP="23C02272">
      <w:pPr>
        <w:rPr>
          <w:rFonts w:eastAsia="Garamond"/>
        </w:rPr>
      </w:pPr>
      <w:r w:rsidRPr="00640A1D">
        <w:rPr>
          <w:rFonts w:eastAsia="Garamond"/>
        </w:rPr>
        <w:t>To</w:t>
      </w:r>
      <w:r w:rsidR="00AF2A7A" w:rsidRPr="00640A1D">
        <w:rPr>
          <w:rFonts w:eastAsia="Garamond"/>
        </w:rPr>
        <w:t xml:space="preserve"> capture the probability reasoning Roberta is using, we could assign each premise a probability value and multiply them down the line. But w</w:t>
      </w:r>
      <w:r w:rsidR="23C02272" w:rsidRPr="00640A1D">
        <w:rPr>
          <w:rFonts w:eastAsia="Garamond"/>
        </w:rPr>
        <w:t xml:space="preserve">e might also reconstruct it </w:t>
      </w:r>
      <w:r w:rsidR="00AF2A7A" w:rsidRPr="00640A1D">
        <w:rPr>
          <w:rFonts w:eastAsia="Garamond"/>
        </w:rPr>
        <w:t xml:space="preserve">more purely </w:t>
      </w:r>
      <w:r w:rsidR="23C02272" w:rsidRPr="00640A1D">
        <w:rPr>
          <w:rFonts w:eastAsia="Garamond"/>
        </w:rPr>
        <w:t>in terms of probability:</w:t>
      </w:r>
    </w:p>
    <w:p w14:paraId="0E716BBA" w14:textId="40AC2DC1" w:rsidR="00FE2D25" w:rsidRPr="00640A1D" w:rsidRDefault="23C02272" w:rsidP="23C02272">
      <w:pPr>
        <w:ind w:firstLine="720"/>
        <w:rPr>
          <w:rFonts w:eastAsia="Garamond"/>
        </w:rPr>
      </w:pPr>
      <w:proofErr w:type="spellStart"/>
      <w:proofErr w:type="gramStart"/>
      <w:r w:rsidRPr="00640A1D">
        <w:rPr>
          <w:rFonts w:eastAsia="Garamond"/>
        </w:rPr>
        <w:t>Pr</w:t>
      </w:r>
      <w:proofErr w:type="spellEnd"/>
      <w:r w:rsidRPr="00640A1D">
        <w:rPr>
          <w:rFonts w:eastAsia="Garamond"/>
        </w:rPr>
        <w:t>(</w:t>
      </w:r>
      <w:proofErr w:type="gramEnd"/>
      <w:r w:rsidRPr="00640A1D">
        <w:rPr>
          <w:rFonts w:eastAsia="Garamond"/>
        </w:rPr>
        <w:t>A v C) = .999</w:t>
      </w:r>
    </w:p>
    <w:p w14:paraId="1786D9D9" w14:textId="564A3AD4" w:rsidR="00FE2D25" w:rsidRPr="00640A1D" w:rsidRDefault="76680C82" w:rsidP="76680C82">
      <w:pPr>
        <w:ind w:firstLine="720"/>
        <w:rPr>
          <w:rFonts w:eastAsia="Garamond"/>
        </w:rPr>
      </w:pPr>
      <w:proofErr w:type="spellStart"/>
      <w:proofErr w:type="gramStart"/>
      <w:r w:rsidRPr="00640A1D">
        <w:rPr>
          <w:rFonts w:eastAsia="Garamond"/>
        </w:rPr>
        <w:t>Pr</w:t>
      </w:r>
      <w:proofErr w:type="spellEnd"/>
      <w:r w:rsidRPr="00640A1D">
        <w:rPr>
          <w:rFonts w:eastAsia="Garamond"/>
        </w:rPr>
        <w:t>(</w:t>
      </w:r>
      <w:proofErr w:type="gramEnd"/>
      <w:r w:rsidRPr="00640A1D">
        <w:rPr>
          <w:rFonts w:eastAsia="Garamond" w:cs="Garamond"/>
        </w:rPr>
        <w:t>¬</w:t>
      </w:r>
      <w:r w:rsidRPr="00640A1D">
        <w:rPr>
          <w:rFonts w:eastAsia="Garamond"/>
        </w:rPr>
        <w:t xml:space="preserve"> C|S) = .999</w:t>
      </w:r>
    </w:p>
    <w:p w14:paraId="1E75A1CF" w14:textId="5C815B2D" w:rsidR="76680C82" w:rsidRPr="00640A1D" w:rsidRDefault="76680C82" w:rsidP="76680C82">
      <w:pPr>
        <w:ind w:firstLine="720"/>
        <w:rPr>
          <w:rFonts w:eastAsia="Garamond"/>
        </w:rPr>
      </w:pPr>
      <w:proofErr w:type="spellStart"/>
      <w:proofErr w:type="gramStart"/>
      <w:r w:rsidRPr="00640A1D">
        <w:rPr>
          <w:rFonts w:eastAsia="Garamond"/>
        </w:rPr>
        <w:t>Pr</w:t>
      </w:r>
      <w:proofErr w:type="spellEnd"/>
      <w:r w:rsidRPr="00640A1D">
        <w:rPr>
          <w:rFonts w:eastAsia="Garamond"/>
        </w:rPr>
        <w:t>(</w:t>
      </w:r>
      <w:proofErr w:type="gramEnd"/>
      <w:r w:rsidRPr="00640A1D">
        <w:rPr>
          <w:rFonts w:eastAsia="Garamond" w:cs="Garamond"/>
        </w:rPr>
        <w:t>¬</w:t>
      </w:r>
      <w:r w:rsidRPr="00640A1D">
        <w:rPr>
          <w:rFonts w:eastAsia="Garamond"/>
        </w:rPr>
        <w:t xml:space="preserve"> C|</w:t>
      </w:r>
      <w:r w:rsidR="00992C76">
        <w:rPr>
          <w:rFonts w:eastAsia="Garamond"/>
        </w:rPr>
        <w:t>¬</w:t>
      </w:r>
      <w:r w:rsidRPr="00640A1D">
        <w:rPr>
          <w:rFonts w:eastAsia="Garamond"/>
        </w:rPr>
        <w:t>S) = .001</w:t>
      </w:r>
    </w:p>
    <w:p w14:paraId="3BD39A8D" w14:textId="6C21E773" w:rsidR="00FE2D25" w:rsidRPr="00640A1D" w:rsidRDefault="23C02272" w:rsidP="23C02272">
      <w:pPr>
        <w:ind w:firstLine="720"/>
        <w:rPr>
          <w:rFonts w:eastAsia="Garamond"/>
        </w:rPr>
      </w:pPr>
      <w:proofErr w:type="spellStart"/>
      <w:r w:rsidRPr="00640A1D">
        <w:rPr>
          <w:rFonts w:eastAsia="Garamond"/>
        </w:rPr>
        <w:t>Pr</w:t>
      </w:r>
      <w:proofErr w:type="spellEnd"/>
      <w:r w:rsidRPr="00640A1D">
        <w:rPr>
          <w:rFonts w:eastAsia="Garamond"/>
        </w:rPr>
        <w:t>(S) = .999</w:t>
      </w:r>
    </w:p>
    <w:p w14:paraId="7CEC5EA2" w14:textId="711A4618" w:rsidR="00FE2D25" w:rsidRPr="00640A1D" w:rsidRDefault="76680C82" w:rsidP="76680C82">
      <w:pPr>
        <w:ind w:firstLine="720"/>
        <w:rPr>
          <w:rFonts w:eastAsia="Garamond"/>
        </w:rPr>
      </w:pPr>
      <w:r w:rsidRPr="00640A1D">
        <w:rPr>
          <w:rFonts w:eastAsia="Garamond"/>
        </w:rPr>
        <w:t>From here, we can manipulate the numbers:</w:t>
      </w:r>
    </w:p>
    <w:p w14:paraId="6E6CB9EE" w14:textId="6D0FF2C2" w:rsidR="00FE2D25" w:rsidRPr="00640A1D" w:rsidRDefault="76680C82" w:rsidP="76680C82">
      <w:pPr>
        <w:ind w:firstLine="720"/>
        <w:rPr>
          <w:rFonts w:eastAsia="Garamond"/>
        </w:rPr>
      </w:pPr>
      <w:proofErr w:type="spellStart"/>
      <w:r w:rsidRPr="00640A1D">
        <w:rPr>
          <w:rFonts w:eastAsia="Garamond" w:cs="Garamond"/>
        </w:rPr>
        <w:t>Pr</w:t>
      </w:r>
      <w:proofErr w:type="spellEnd"/>
      <w:r w:rsidRPr="00640A1D">
        <w:rPr>
          <w:rFonts w:eastAsia="Garamond" w:cs="Garamond"/>
        </w:rPr>
        <w:t xml:space="preserve">(¬C) = </w:t>
      </w:r>
      <w:proofErr w:type="spellStart"/>
      <w:r w:rsidRPr="00640A1D">
        <w:rPr>
          <w:rFonts w:eastAsia="Garamond" w:cs="Garamond"/>
        </w:rPr>
        <w:t>Pr</w:t>
      </w:r>
      <w:proofErr w:type="spellEnd"/>
      <w:r w:rsidRPr="00640A1D">
        <w:rPr>
          <w:rFonts w:eastAsia="Garamond" w:cs="Garamond"/>
        </w:rPr>
        <w:t>(</w:t>
      </w:r>
      <w:bookmarkStart w:id="4" w:name="_Hlk224225561"/>
      <w:r w:rsidRPr="00640A1D">
        <w:rPr>
          <w:rFonts w:eastAsia="Garamond" w:cs="Garamond"/>
        </w:rPr>
        <w:t>¬</w:t>
      </w:r>
      <w:bookmarkEnd w:id="4"/>
      <w:r w:rsidRPr="00640A1D">
        <w:rPr>
          <w:rFonts w:eastAsia="Garamond" w:cs="Garamond"/>
        </w:rPr>
        <w:t>C</w:t>
      </w:r>
      <w:r w:rsidRPr="00640A1D">
        <w:rPr>
          <w:rFonts w:ascii="Cambria Math" w:eastAsia="Garamond" w:hAnsi="Cambria Math" w:cs="Cambria Math"/>
        </w:rPr>
        <w:t>∣</w:t>
      </w:r>
      <w:proofErr w:type="gramStart"/>
      <w:r w:rsidRPr="00640A1D">
        <w:rPr>
          <w:rFonts w:eastAsia="Garamond" w:cs="Garamond"/>
        </w:rPr>
        <w:t>S)</w:t>
      </w:r>
      <w:proofErr w:type="spellStart"/>
      <w:r w:rsidRPr="00640A1D">
        <w:rPr>
          <w:rFonts w:eastAsia="Garamond" w:cs="Garamond"/>
        </w:rPr>
        <w:t>Pr</w:t>
      </w:r>
      <w:proofErr w:type="spellEnd"/>
      <w:proofErr w:type="gramEnd"/>
      <w:r w:rsidRPr="00640A1D">
        <w:rPr>
          <w:rFonts w:eastAsia="Garamond" w:cs="Garamond"/>
        </w:rPr>
        <w:t>(S)+</w:t>
      </w:r>
      <w:proofErr w:type="spellStart"/>
      <w:r w:rsidRPr="00640A1D">
        <w:rPr>
          <w:rFonts w:eastAsia="Garamond" w:cs="Garamond"/>
        </w:rPr>
        <w:t>Pr</w:t>
      </w:r>
      <w:proofErr w:type="spellEnd"/>
      <w:r w:rsidRPr="00640A1D">
        <w:rPr>
          <w:rFonts w:eastAsia="Garamond" w:cs="Garamond"/>
        </w:rPr>
        <w:t>(¬C</w:t>
      </w:r>
      <w:r w:rsidRPr="00640A1D">
        <w:rPr>
          <w:rFonts w:ascii="Cambria Math" w:eastAsia="Garamond" w:hAnsi="Cambria Math" w:cs="Cambria Math"/>
        </w:rPr>
        <w:t>∣</w:t>
      </w:r>
      <w:r w:rsidRPr="00640A1D">
        <w:rPr>
          <w:rFonts w:eastAsia="Garamond" w:cs="Garamond"/>
        </w:rPr>
        <w:t>¬S)</w:t>
      </w:r>
      <w:proofErr w:type="spellStart"/>
      <w:r w:rsidRPr="00640A1D">
        <w:rPr>
          <w:rFonts w:eastAsia="Garamond" w:cs="Garamond"/>
        </w:rPr>
        <w:t>Pr</w:t>
      </w:r>
      <w:proofErr w:type="spellEnd"/>
      <w:r w:rsidRPr="00640A1D">
        <w:rPr>
          <w:rFonts w:eastAsia="Garamond" w:cs="Garamond"/>
        </w:rPr>
        <w:t>(¬S)</w:t>
      </w:r>
    </w:p>
    <w:p w14:paraId="41879A35" w14:textId="17FFF072" w:rsidR="00FE2D25" w:rsidRPr="00640A1D" w:rsidRDefault="76680C82" w:rsidP="76680C82">
      <w:pPr>
        <w:ind w:firstLine="720"/>
        <w:rPr>
          <w:rFonts w:eastAsia="Garamond"/>
        </w:rPr>
      </w:pPr>
      <w:r w:rsidRPr="00640A1D">
        <w:rPr>
          <w:rFonts w:eastAsia="Garamond"/>
        </w:rPr>
        <w:t xml:space="preserve">Plugging in our values: </w:t>
      </w:r>
    </w:p>
    <w:p w14:paraId="300F62B6" w14:textId="3AA002CD" w:rsidR="76680C82" w:rsidRPr="00640A1D" w:rsidRDefault="76680C82" w:rsidP="76680C82">
      <w:pPr>
        <w:ind w:firstLine="720"/>
        <w:rPr>
          <w:rFonts w:eastAsia="Garamond" w:cs="Garamond"/>
        </w:rPr>
      </w:pPr>
      <w:proofErr w:type="spellStart"/>
      <w:r w:rsidRPr="00640A1D">
        <w:rPr>
          <w:rFonts w:eastAsia="Garamond" w:cs="Garamond"/>
        </w:rPr>
        <w:t>Pr</w:t>
      </w:r>
      <w:proofErr w:type="spellEnd"/>
      <w:r w:rsidRPr="00640A1D">
        <w:rPr>
          <w:rFonts w:eastAsia="Garamond" w:cs="Garamond"/>
        </w:rPr>
        <w:t>(¬C) = (.</w:t>
      </w:r>
      <w:proofErr w:type="gramStart"/>
      <w:r w:rsidRPr="00640A1D">
        <w:rPr>
          <w:rFonts w:eastAsia="Garamond" w:cs="Garamond"/>
        </w:rPr>
        <w:t>999)(</w:t>
      </w:r>
      <w:proofErr w:type="gramEnd"/>
      <w:r w:rsidRPr="00640A1D">
        <w:rPr>
          <w:rFonts w:eastAsia="Garamond" w:cs="Garamond"/>
        </w:rPr>
        <w:t>.999) + (0)(.001)</w:t>
      </w:r>
    </w:p>
    <w:p w14:paraId="55610C64" w14:textId="062F7D6F" w:rsidR="00FE2D25" w:rsidRPr="00640A1D" w:rsidRDefault="76680C82" w:rsidP="76680C82">
      <w:pPr>
        <w:ind w:firstLine="720"/>
        <w:rPr>
          <w:rFonts w:eastAsia="Garamond"/>
        </w:rPr>
      </w:pPr>
      <w:r w:rsidRPr="00640A1D">
        <w:rPr>
          <w:rFonts w:eastAsia="Garamond"/>
        </w:rPr>
        <w:t xml:space="preserve">So, </w:t>
      </w:r>
    </w:p>
    <w:p w14:paraId="6AAFCE56" w14:textId="4006ABE2" w:rsidR="76680C82" w:rsidRPr="00640A1D" w:rsidRDefault="76680C82" w:rsidP="76680C82">
      <w:pPr>
        <w:ind w:firstLine="720"/>
        <w:rPr>
          <w:rFonts w:eastAsia="Garamond" w:cs="Garamond"/>
        </w:rPr>
      </w:pPr>
      <w:proofErr w:type="spellStart"/>
      <w:r w:rsidRPr="00640A1D">
        <w:rPr>
          <w:rFonts w:eastAsia="Garamond"/>
        </w:rPr>
        <w:t>Pr</w:t>
      </w:r>
      <w:proofErr w:type="spellEnd"/>
      <w:r w:rsidRPr="00640A1D">
        <w:rPr>
          <w:rFonts w:eastAsia="Garamond"/>
        </w:rPr>
        <w:t>(</w:t>
      </w:r>
      <w:r w:rsidRPr="00640A1D">
        <w:rPr>
          <w:rFonts w:eastAsia="Garamond" w:cs="Garamond"/>
        </w:rPr>
        <w:t>¬C) = .998001</w:t>
      </w:r>
    </w:p>
    <w:p w14:paraId="1F526F42" w14:textId="550AF10C" w:rsidR="00FE2D25" w:rsidRPr="00640A1D" w:rsidRDefault="631E7445" w:rsidP="76680C82">
      <w:pPr>
        <w:ind w:firstLine="720"/>
        <w:rPr>
          <w:rFonts w:eastAsia="Garamond"/>
        </w:rPr>
      </w:pPr>
      <w:r w:rsidRPr="00640A1D">
        <w:rPr>
          <w:rFonts w:eastAsia="Garamond"/>
        </w:rPr>
        <w:t xml:space="preserve">One assumption that this argument makes, however, is that Roberta’s credences or beliefs about the various probabilities are </w:t>
      </w:r>
      <w:r w:rsidR="001A1418" w:rsidRPr="00640A1D">
        <w:rPr>
          <w:rFonts w:eastAsia="Garamond"/>
        </w:rPr>
        <w:t>unrealistically</w:t>
      </w:r>
      <w:r w:rsidRPr="00640A1D">
        <w:rPr>
          <w:rFonts w:eastAsia="Garamond"/>
        </w:rPr>
        <w:t xml:space="preserve"> precise. Using our newly defined </w:t>
      </w:r>
      <w:r w:rsidR="008E5B98" w:rsidRPr="00640A1D">
        <w:rPr>
          <w:rFonts w:eastAsia="Garamond"/>
        </w:rPr>
        <w:t>approximately</w:t>
      </w:r>
      <w:r w:rsidR="008E5B98">
        <w:rPr>
          <w:rFonts w:eastAsia="Garamond"/>
        </w:rPr>
        <w:t xml:space="preserve"> equal</w:t>
      </w:r>
      <w:r w:rsidRPr="00640A1D">
        <w:rPr>
          <w:rFonts w:eastAsia="Garamond"/>
        </w:rPr>
        <w:t xml:space="preserve"> operators, we can collapse our probabilistic reconstruction into </w:t>
      </w:r>
      <w:r w:rsidR="00604E9C" w:rsidRPr="00640A1D">
        <w:rPr>
          <w:rFonts w:eastAsia="Garamond"/>
        </w:rPr>
        <w:t>standard argumentative form</w:t>
      </w:r>
      <w:r w:rsidRPr="00640A1D">
        <w:rPr>
          <w:rFonts w:eastAsia="Garamond"/>
        </w:rPr>
        <w:t xml:space="preserve">, </w:t>
      </w:r>
      <w:r w:rsidRPr="00640A1D">
        <w:rPr>
          <w:rFonts w:eastAsia="Garamond"/>
        </w:rPr>
        <w:lastRenderedPageBreak/>
        <w:t xml:space="preserve">which feels like a more natural way to describe what’s going on. Now, as it happens, </w:t>
      </w:r>
      <w:r w:rsidR="00604E9C" w:rsidRPr="00640A1D">
        <w:rPr>
          <w:rFonts w:eastAsia="Garamond"/>
        </w:rPr>
        <w:t>the inference</w:t>
      </w:r>
      <w:r w:rsidRPr="00640A1D">
        <w:rPr>
          <w:rFonts w:eastAsia="Garamond"/>
        </w:rPr>
        <w:t xml:space="preserve"> </w:t>
      </w:r>
      <w:r w:rsidRPr="00640A1D">
        <w:rPr>
          <w:rFonts w:eastAsia="Garamond"/>
          <w:i/>
          <w:iCs/>
        </w:rPr>
        <w:t>is</w:t>
      </w:r>
      <w:r w:rsidRPr="00640A1D">
        <w:rPr>
          <w:rFonts w:eastAsia="Garamond"/>
        </w:rPr>
        <w:t xml:space="preserve"> probabilistic: Roberta would freely admit that while it is possible (but exceedingly unlikely) that he forgets</w:t>
      </w:r>
      <w:r w:rsidR="00604E9C" w:rsidRPr="00640A1D">
        <w:rPr>
          <w:rFonts w:eastAsia="Garamond"/>
        </w:rPr>
        <w:t xml:space="preserve"> to buy almond milk when their son is in town</w:t>
      </w:r>
      <w:r w:rsidRPr="00640A1D">
        <w:rPr>
          <w:rFonts w:eastAsia="Garamond"/>
        </w:rPr>
        <w:t xml:space="preserve">. Similarly, it is possible that her son has skipped town </w:t>
      </w:r>
      <w:r w:rsidR="00DC2ECF" w:rsidRPr="00640A1D">
        <w:rPr>
          <w:rFonts w:eastAsia="Garamond"/>
        </w:rPr>
        <w:t>without bidding her farewell</w:t>
      </w:r>
      <w:r w:rsidRPr="00640A1D">
        <w:rPr>
          <w:rFonts w:eastAsia="Garamond"/>
        </w:rPr>
        <w:t xml:space="preserve">, but he is dutiful and thus unlikely </w:t>
      </w:r>
      <w:r w:rsidR="00604E9C" w:rsidRPr="00640A1D">
        <w:rPr>
          <w:rFonts w:eastAsia="Garamond"/>
        </w:rPr>
        <w:t xml:space="preserve">to </w:t>
      </w:r>
      <w:r w:rsidRPr="00640A1D">
        <w:rPr>
          <w:rFonts w:eastAsia="Garamond"/>
        </w:rPr>
        <w:t xml:space="preserve">do so. But when the other relevant probabilities are on the same relative magnitudes, we can shorthand what would otherwise be, as evidenced above, overly tedious probabilistic manipulation. Of course, if </w:t>
      </w:r>
      <w:r w:rsidR="009471D6" w:rsidRPr="00640A1D">
        <w:rPr>
          <w:rFonts w:eastAsia="Garamond"/>
        </w:rPr>
        <w:t>one is</w:t>
      </w:r>
      <w:r w:rsidRPr="00640A1D">
        <w:rPr>
          <w:rFonts w:eastAsia="Garamond"/>
        </w:rPr>
        <w:t xml:space="preserve"> mistaken—the</w:t>
      </w:r>
      <w:r w:rsidR="004C0C6C" w:rsidRPr="00640A1D">
        <w:rPr>
          <w:rFonts w:eastAsia="Garamond"/>
        </w:rPr>
        <w:t xml:space="preserve">ir misestimation of </w:t>
      </w:r>
      <w:proofErr w:type="spellStart"/>
      <w:r w:rsidR="004C0C6C" w:rsidRPr="00640A1D">
        <w:rPr>
          <w:rFonts w:eastAsia="Garamond"/>
        </w:rPr>
        <w:t>Pr</w:t>
      </w:r>
      <w:proofErr w:type="spellEnd"/>
      <w:r w:rsidR="004C0C6C" w:rsidRPr="00640A1D">
        <w:rPr>
          <w:rFonts w:eastAsia="Garamond"/>
        </w:rPr>
        <w:t>(S) is sufficient</w:t>
      </w:r>
      <w:r w:rsidRPr="00640A1D">
        <w:rPr>
          <w:rFonts w:eastAsia="Garamond"/>
        </w:rPr>
        <w:t xml:space="preserve"> </w:t>
      </w:r>
      <w:r w:rsidR="009471D6" w:rsidRPr="00640A1D">
        <w:rPr>
          <w:rFonts w:eastAsia="Garamond"/>
        </w:rPr>
        <w:t>to falsif</w:t>
      </w:r>
      <w:r w:rsidR="004C0C6C" w:rsidRPr="00640A1D">
        <w:rPr>
          <w:rFonts w:eastAsia="Garamond"/>
        </w:rPr>
        <w:t>y</w:t>
      </w:r>
      <w:r w:rsidRPr="00640A1D">
        <w:rPr>
          <w:rFonts w:eastAsia="Garamond"/>
        </w:rPr>
        <w:t xml:space="preserve"> </w:t>
      </w:r>
      <w:proofErr w:type="spellStart"/>
      <w:r w:rsidRPr="00640A1D">
        <w:rPr>
          <w:rFonts w:eastAsia="Garamond"/>
        </w:rPr>
        <w:t>Pr</w:t>
      </w:r>
      <w:proofErr w:type="spellEnd"/>
      <w:r w:rsidRPr="00640A1D">
        <w:rPr>
          <w:rFonts w:eastAsia="Garamond"/>
        </w:rPr>
        <w:t xml:space="preserve">(S) </w:t>
      </w:r>
      <w:r w:rsidRPr="00640A1D">
        <w:rPr>
          <w:rFonts w:eastAsia="Garamond" w:cs="Garamond"/>
        </w:rPr>
        <w:t xml:space="preserve">≈ </w:t>
      </w:r>
      <w:r w:rsidRPr="00640A1D">
        <w:rPr>
          <w:rFonts w:eastAsia="Garamond"/>
        </w:rPr>
        <w:t xml:space="preserve">1—then one can and should call out such an error. Perhaps it doesn’t meet a certain threshold we think is appropriate for certainty. But if it </w:t>
      </w:r>
      <w:r w:rsidRPr="00640A1D">
        <w:rPr>
          <w:rFonts w:eastAsia="Garamond"/>
          <w:i/>
          <w:iCs/>
        </w:rPr>
        <w:t>is</w:t>
      </w:r>
      <w:r w:rsidRPr="00640A1D">
        <w:rPr>
          <w:rFonts w:eastAsia="Garamond"/>
        </w:rPr>
        <w:t xml:space="preserve"> true in our epistemic context, then the inferences are hiding no </w:t>
      </w:r>
      <w:proofErr w:type="spellStart"/>
      <w:r w:rsidRPr="00640A1D">
        <w:rPr>
          <w:rFonts w:eastAsia="Garamond"/>
        </w:rPr>
        <w:t>derogable</w:t>
      </w:r>
      <w:proofErr w:type="spellEnd"/>
      <w:r w:rsidRPr="00640A1D">
        <w:rPr>
          <w:rFonts w:eastAsia="Garamond"/>
        </w:rPr>
        <w:t xml:space="preserve"> mathematics. The disjunctive syllogism in Roberta’s premise 5 is completely expressible in terms of licit probabilistic reasoning. Thus, for any case, </w:t>
      </w:r>
      <w:r w:rsidRPr="00640A1D">
        <w:rPr>
          <w:rFonts w:eastAsia="Garamond"/>
          <w:i/>
          <w:iCs/>
        </w:rPr>
        <w:t>so long as it is true that</w:t>
      </w:r>
      <w:r w:rsidRPr="00640A1D">
        <w:rPr>
          <w:rFonts w:eastAsia="Garamond"/>
        </w:rPr>
        <w:t xml:space="preserve"> for some probability assignment </w:t>
      </w:r>
      <w:proofErr w:type="spellStart"/>
      <w:r w:rsidRPr="00640A1D">
        <w:rPr>
          <w:rFonts w:eastAsia="Garamond"/>
        </w:rPr>
        <w:t>Pr</w:t>
      </w:r>
      <w:proofErr w:type="spellEnd"/>
      <w:r w:rsidRPr="00640A1D">
        <w:rPr>
          <w:rFonts w:eastAsia="Garamond"/>
        </w:rPr>
        <w:t xml:space="preserve">(P) </w:t>
      </w:r>
      <w:r w:rsidRPr="00640A1D">
        <w:rPr>
          <w:rFonts w:eastAsia="Garamond" w:cs="Garamond"/>
        </w:rPr>
        <w:t>≈</w:t>
      </w:r>
      <w:r w:rsidRPr="00640A1D">
        <w:rPr>
          <w:rFonts w:eastAsia="Garamond"/>
        </w:rPr>
        <w:t xml:space="preserve"> </w:t>
      </w:r>
      <w:r w:rsidRPr="00640A1D">
        <w:rPr>
          <w:rFonts w:eastAsia="Garamond"/>
          <w:i/>
          <w:iCs/>
        </w:rPr>
        <w:t>x</w:t>
      </w:r>
      <w:r w:rsidRPr="00640A1D">
        <w:rPr>
          <w:rFonts w:eastAsia="Garamond"/>
        </w:rPr>
        <w:t xml:space="preserve">, we may proceed apace as though </w:t>
      </w:r>
      <w:proofErr w:type="spellStart"/>
      <w:r w:rsidRPr="00640A1D">
        <w:rPr>
          <w:rFonts w:eastAsia="Garamond"/>
        </w:rPr>
        <w:t>Pr</w:t>
      </w:r>
      <w:proofErr w:type="spellEnd"/>
      <w:r w:rsidRPr="00640A1D">
        <w:rPr>
          <w:rFonts w:eastAsia="Garamond"/>
        </w:rPr>
        <w:t xml:space="preserve">(P) = </w:t>
      </w:r>
      <w:r w:rsidRPr="00640A1D">
        <w:rPr>
          <w:rFonts w:eastAsia="Garamond"/>
          <w:i/>
          <w:iCs/>
        </w:rPr>
        <w:t>x</w:t>
      </w:r>
      <w:r w:rsidRPr="00640A1D">
        <w:rPr>
          <w:rFonts w:eastAsia="Garamond"/>
        </w:rPr>
        <w:t xml:space="preserve">. If this were not so, </w:t>
      </w:r>
      <w:r w:rsidR="00DC2ECF" w:rsidRPr="00640A1D">
        <w:rPr>
          <w:rFonts w:eastAsia="Garamond"/>
        </w:rPr>
        <w:t>all</w:t>
      </w:r>
      <w:r w:rsidRPr="00640A1D">
        <w:rPr>
          <w:rFonts w:eastAsia="Garamond"/>
        </w:rPr>
        <w:t xml:space="preserve"> </w:t>
      </w:r>
      <w:proofErr w:type="spellStart"/>
      <w:r w:rsidRPr="00640A1D">
        <w:rPr>
          <w:rFonts w:eastAsia="Garamond"/>
        </w:rPr>
        <w:t>nontheoretical</w:t>
      </w:r>
      <w:proofErr w:type="spellEnd"/>
      <w:r w:rsidRPr="00640A1D">
        <w:rPr>
          <w:rFonts w:eastAsia="Garamond"/>
        </w:rPr>
        <w:t xml:space="preserve"> probability would collapse, for in the real world, every probability assignment has significant digits, of which even those are uncertain. </w:t>
      </w:r>
    </w:p>
    <w:p w14:paraId="5B0DD2C9" w14:textId="48A82DFF" w:rsidR="00207343" w:rsidRPr="00640A1D" w:rsidRDefault="00207343" w:rsidP="76680C82">
      <w:pPr>
        <w:ind w:firstLine="720"/>
        <w:rPr>
          <w:rFonts w:cs="Arial"/>
          <w:shd w:val="clear" w:color="auto" w:fill="FFFFFF"/>
        </w:rPr>
      </w:pPr>
      <w:r w:rsidRPr="00640A1D">
        <w:rPr>
          <w:rFonts w:eastAsia="Garamond"/>
        </w:rPr>
        <w:t xml:space="preserve">As an anonymous reviewer points out, Roberta’s inference </w:t>
      </w:r>
      <w:r w:rsidR="00764BB2" w:rsidRPr="00640A1D">
        <w:rPr>
          <w:rFonts w:eastAsia="Garamond"/>
        </w:rPr>
        <w:t>might</w:t>
      </w:r>
      <w:r w:rsidRPr="00640A1D">
        <w:rPr>
          <w:rFonts w:eastAsia="Garamond"/>
        </w:rPr>
        <w:t xml:space="preserve"> be best captured as the following: </w:t>
      </w:r>
      <w:proofErr w:type="spellStart"/>
      <w:r w:rsidRPr="00640A1D">
        <w:rPr>
          <w:rFonts w:eastAsia="Times New Roman" w:cs="Times New Roman"/>
          <w:kern w:val="0"/>
          <w14:ligatures w14:val="none"/>
        </w:rPr>
        <w:t>Pr</w:t>
      </w:r>
      <w:proofErr w:type="spellEnd"/>
      <w:r w:rsidRPr="00640A1D">
        <w:rPr>
          <w:rFonts w:eastAsia="Times New Roman" w:cs="Times New Roman"/>
          <w:kern w:val="0"/>
          <w14:ligatures w14:val="none"/>
        </w:rPr>
        <w:t xml:space="preserve">(P) </w:t>
      </w:r>
      <w:r w:rsidRPr="00640A1D">
        <w:rPr>
          <w:rFonts w:cs="Arial"/>
          <w:shd w:val="clear" w:color="auto" w:fill="FFFFFF"/>
        </w:rPr>
        <w:t xml:space="preserve">≈ 0, therefore </w:t>
      </w:r>
      <w:r w:rsidR="00992C76">
        <w:rPr>
          <w:rFonts w:cs="Arial"/>
          <w:shd w:val="clear" w:color="auto" w:fill="FFFFFF"/>
        </w:rPr>
        <w:t>¬</w:t>
      </w:r>
      <w:r w:rsidRPr="00640A1D">
        <w:rPr>
          <w:rFonts w:cs="Arial"/>
          <w:shd w:val="clear" w:color="auto" w:fill="FFFFFF"/>
        </w:rPr>
        <w:t>P. This is an epistemic, inductive inference, and is rational in most cases</w:t>
      </w:r>
      <w:r w:rsidR="00ED4EB9" w:rsidRPr="00640A1D">
        <w:rPr>
          <w:rFonts w:cs="Arial"/>
          <w:shd w:val="clear" w:color="auto" w:fill="FFFFFF"/>
        </w:rPr>
        <w:t xml:space="preserve"> (setting aside</w:t>
      </w:r>
      <w:r w:rsidR="004C0C6C" w:rsidRPr="00640A1D">
        <w:rPr>
          <w:rFonts w:cs="Arial"/>
          <w:shd w:val="clear" w:color="auto" w:fill="FFFFFF"/>
        </w:rPr>
        <w:t xml:space="preserve"> </w:t>
      </w:r>
      <w:r w:rsidR="00ED4EB9" w:rsidRPr="00640A1D">
        <w:rPr>
          <w:rFonts w:cs="Arial"/>
          <w:shd w:val="clear" w:color="auto" w:fill="FFFFFF"/>
        </w:rPr>
        <w:t>lottery paradoxes)</w:t>
      </w:r>
      <w:r w:rsidRPr="00640A1D">
        <w:rPr>
          <w:rFonts w:cs="Arial"/>
          <w:shd w:val="clear" w:color="auto" w:fill="FFFFFF"/>
        </w:rPr>
        <w:t xml:space="preserve">. Similarly, the inference from </w:t>
      </w:r>
      <w:proofErr w:type="spellStart"/>
      <w:r w:rsidRPr="00640A1D">
        <w:rPr>
          <w:rFonts w:cs="Arial"/>
          <w:shd w:val="clear" w:color="auto" w:fill="FFFFFF"/>
        </w:rPr>
        <w:t>Pr</w:t>
      </w:r>
      <w:proofErr w:type="spellEnd"/>
      <w:r w:rsidRPr="00640A1D">
        <w:rPr>
          <w:rFonts w:cs="Arial"/>
          <w:shd w:val="clear" w:color="auto" w:fill="FFFFFF"/>
        </w:rPr>
        <w:t xml:space="preserve">(P) ≈ 1 to P would be licensed by most. Call this inference rule “Probabilistic Justification” or “PJ” for short. So, while one could take a risk </w:t>
      </w:r>
      <w:r w:rsidR="00ED4EB9" w:rsidRPr="00640A1D">
        <w:rPr>
          <w:rFonts w:cs="Arial"/>
          <w:shd w:val="clear" w:color="auto" w:fill="FFFFFF"/>
        </w:rPr>
        <w:t>regarding</w:t>
      </w:r>
      <w:r w:rsidRPr="00640A1D">
        <w:rPr>
          <w:rFonts w:cs="Arial"/>
          <w:shd w:val="clear" w:color="auto" w:fill="FFFFFF"/>
        </w:rPr>
        <w:t xml:space="preserve"> probability calculus when one manipulates probabilities with </w:t>
      </w:r>
      <w:r w:rsidR="004C0C6C" w:rsidRPr="00640A1D">
        <w:rPr>
          <w:rFonts w:cs="Arial"/>
          <w:shd w:val="clear" w:color="auto" w:fill="FFFFFF"/>
        </w:rPr>
        <w:t>“</w:t>
      </w:r>
      <w:r w:rsidRPr="00640A1D">
        <w:rPr>
          <w:rFonts w:cs="Arial"/>
          <w:shd w:val="clear" w:color="auto" w:fill="FFFFFF"/>
        </w:rPr>
        <w:t>≈</w:t>
      </w:r>
      <w:r w:rsidR="004C0C6C" w:rsidRPr="00640A1D">
        <w:rPr>
          <w:rFonts w:cs="Arial"/>
          <w:shd w:val="clear" w:color="auto" w:fill="FFFFFF"/>
        </w:rPr>
        <w:t>”</w:t>
      </w:r>
      <w:r w:rsidRPr="00640A1D">
        <w:rPr>
          <w:rFonts w:cs="Arial"/>
          <w:shd w:val="clear" w:color="auto" w:fill="FFFFFF"/>
        </w:rPr>
        <w:t>, one avoid</w:t>
      </w:r>
      <w:r w:rsidR="00ED4EB9" w:rsidRPr="00640A1D">
        <w:rPr>
          <w:rFonts w:cs="Arial"/>
          <w:shd w:val="clear" w:color="auto" w:fill="FFFFFF"/>
        </w:rPr>
        <w:t>s</w:t>
      </w:r>
      <w:r w:rsidRPr="00640A1D">
        <w:rPr>
          <w:rFonts w:cs="Arial"/>
          <w:shd w:val="clear" w:color="auto" w:fill="FFFFFF"/>
        </w:rPr>
        <w:t xml:space="preserve"> most such risks with inferences like </w:t>
      </w:r>
      <w:r w:rsidR="00ED4EB9" w:rsidRPr="00640A1D">
        <w:rPr>
          <w:rFonts w:cs="Arial"/>
          <w:shd w:val="clear" w:color="auto" w:fill="FFFFFF"/>
        </w:rPr>
        <w:t>“</w:t>
      </w:r>
      <w:r w:rsidRPr="00640A1D">
        <w:rPr>
          <w:rFonts w:cs="Arial"/>
          <w:shd w:val="clear" w:color="auto" w:fill="FFFFFF"/>
        </w:rPr>
        <w:t>P is overwhelmingly unlikely</w:t>
      </w:r>
      <w:r w:rsidR="00ED4EB9" w:rsidRPr="00640A1D">
        <w:rPr>
          <w:rFonts w:cs="Arial"/>
          <w:shd w:val="clear" w:color="auto" w:fill="FFFFFF"/>
        </w:rPr>
        <w:t xml:space="preserve">, </w:t>
      </w:r>
      <w:r w:rsidR="004C0C6C" w:rsidRPr="00640A1D">
        <w:rPr>
          <w:rFonts w:cs="Arial"/>
          <w:shd w:val="clear" w:color="auto" w:fill="FFFFFF"/>
        </w:rPr>
        <w:t>therefore</w:t>
      </w:r>
      <w:r w:rsidRPr="00640A1D">
        <w:rPr>
          <w:rFonts w:cs="Arial"/>
          <w:shd w:val="clear" w:color="auto" w:fill="FFFFFF"/>
        </w:rPr>
        <w:t xml:space="preserve"> </w:t>
      </w:r>
      <w:r w:rsidR="00ED4EB9" w:rsidRPr="00640A1D">
        <w:rPr>
          <w:rFonts w:eastAsia="Garamond" w:cs="Garamond"/>
        </w:rPr>
        <w:t>¬</w:t>
      </w:r>
      <w:r w:rsidRPr="00640A1D">
        <w:rPr>
          <w:rFonts w:cs="Arial"/>
          <w:shd w:val="clear" w:color="auto" w:fill="FFFFFF"/>
        </w:rPr>
        <w:t>P</w:t>
      </w:r>
      <w:r w:rsidR="00ED4EB9" w:rsidRPr="00640A1D">
        <w:rPr>
          <w:rFonts w:cs="Arial"/>
          <w:shd w:val="clear" w:color="auto" w:fill="FFFFFF"/>
        </w:rPr>
        <w:t>”</w:t>
      </w:r>
      <w:r w:rsidRPr="00640A1D">
        <w:rPr>
          <w:rFonts w:cs="Arial"/>
          <w:shd w:val="clear" w:color="auto" w:fill="FFFFFF"/>
        </w:rPr>
        <w:t xml:space="preserve">. This kind of inference is not without parallel flaws, however—probability is famous for showing that even very unlikely Ps may, in the end, turn out to be quite likely after new evidence comes to light. </w:t>
      </w:r>
    </w:p>
    <w:p w14:paraId="55ADE94F" w14:textId="3B7D93BF" w:rsidR="006350FA" w:rsidRPr="00640A1D" w:rsidRDefault="007E577E" w:rsidP="00994B51">
      <w:pPr>
        <w:ind w:firstLine="720"/>
        <w:rPr>
          <w:rFonts w:eastAsia="Garamond"/>
        </w:rPr>
      </w:pPr>
      <w:r w:rsidRPr="00640A1D">
        <w:rPr>
          <w:rFonts w:eastAsia="Garamond"/>
        </w:rPr>
        <w:t>I now turn to</w:t>
      </w:r>
      <w:r w:rsidR="006350FA" w:rsidRPr="00640A1D">
        <w:rPr>
          <w:rFonts w:eastAsia="Garamond"/>
        </w:rPr>
        <w:t xml:space="preserve"> </w:t>
      </w:r>
      <w:r w:rsidRPr="00640A1D">
        <w:rPr>
          <w:rFonts w:eastAsia="Garamond"/>
        </w:rPr>
        <w:t>the NMA</w:t>
      </w:r>
      <w:r w:rsidR="006350FA" w:rsidRPr="00640A1D">
        <w:rPr>
          <w:rFonts w:eastAsia="Garamond"/>
        </w:rPr>
        <w:t xml:space="preserve">. </w:t>
      </w:r>
      <w:bookmarkStart w:id="5" w:name="_Hlk215829208"/>
      <w:r w:rsidR="00E1688F" w:rsidRPr="00640A1D">
        <w:rPr>
          <w:rFonts w:eastAsia="Garamond"/>
        </w:rPr>
        <w:t>W</w:t>
      </w:r>
      <w:r w:rsidR="00994B51" w:rsidRPr="00640A1D">
        <w:rPr>
          <w:rFonts w:eastAsia="Garamond"/>
        </w:rPr>
        <w:t xml:space="preserve">e can represent the argument in standard form </w:t>
      </w:r>
      <w:r w:rsidR="006350FA" w:rsidRPr="00640A1D">
        <w:rPr>
          <w:rFonts w:eastAsia="Garamond"/>
        </w:rPr>
        <w:t>using the approximately equal operator</w:t>
      </w:r>
      <w:r w:rsidR="00994B51" w:rsidRPr="00640A1D">
        <w:rPr>
          <w:rFonts w:eastAsia="Garamond"/>
        </w:rPr>
        <w:t xml:space="preserve"> to represent the inductive inference</w:t>
      </w:r>
      <w:r w:rsidR="006350FA" w:rsidRPr="00640A1D">
        <w:rPr>
          <w:rFonts w:eastAsia="Garamond"/>
        </w:rPr>
        <w:t>:</w:t>
      </w:r>
      <w:r w:rsidR="004C4387" w:rsidRPr="00640A1D">
        <w:rPr>
          <w:rFonts w:eastAsia="Garamond"/>
        </w:rPr>
        <w:t xml:space="preserve"> </w:t>
      </w:r>
    </w:p>
    <w:p w14:paraId="6F8AF588" w14:textId="1DCEA0A2" w:rsidR="006678E8" w:rsidRPr="00640A1D" w:rsidRDefault="006678E8" w:rsidP="006678E8">
      <w:pPr>
        <w:rPr>
          <w:rFonts w:eastAsia="Garamond"/>
        </w:rPr>
      </w:pPr>
      <w:r w:rsidRPr="00640A1D">
        <w:rPr>
          <w:rFonts w:eastAsia="Garamond"/>
        </w:rPr>
        <w:lastRenderedPageBreak/>
        <w:t>(</w:t>
      </w:r>
      <w:r w:rsidR="001C7BE2" w:rsidRPr="00640A1D">
        <w:rPr>
          <w:rFonts w:eastAsia="Garamond"/>
        </w:rPr>
        <w:t>I</w:t>
      </w:r>
      <w:r w:rsidRPr="00640A1D">
        <w:rPr>
          <w:rFonts w:eastAsia="Garamond"/>
        </w:rPr>
        <w:t>NMA)</w:t>
      </w:r>
    </w:p>
    <w:p w14:paraId="03F4CAB8" w14:textId="3F5732EB" w:rsidR="2758EA92" w:rsidRPr="00640A1D" w:rsidRDefault="76680C82" w:rsidP="76680C82">
      <w:pPr>
        <w:ind w:firstLine="720"/>
        <w:rPr>
          <w:rFonts w:eastAsia="Garamond"/>
        </w:rPr>
      </w:pPr>
      <w:r w:rsidRPr="00640A1D">
        <w:rPr>
          <w:rFonts w:eastAsia="Garamond"/>
        </w:rPr>
        <w:t>(</w:t>
      </w:r>
      <w:r w:rsidR="00617812" w:rsidRPr="00640A1D">
        <w:rPr>
          <w:rFonts w:eastAsia="Garamond"/>
        </w:rPr>
        <w:t>P</w:t>
      </w:r>
      <w:r w:rsidRPr="00640A1D">
        <w:rPr>
          <w:rFonts w:eastAsia="Garamond"/>
        </w:rPr>
        <w:t xml:space="preserve">1) </w:t>
      </w:r>
      <w:proofErr w:type="spellStart"/>
      <w:r w:rsidRPr="00640A1D">
        <w:rPr>
          <w:rFonts w:eastAsia="Garamond"/>
        </w:rPr>
        <w:t>Pr</w:t>
      </w:r>
      <w:proofErr w:type="spellEnd"/>
      <w:r w:rsidRPr="00640A1D">
        <w:rPr>
          <w:rFonts w:eastAsia="Garamond"/>
        </w:rPr>
        <w:t>(S|</w:t>
      </w:r>
      <w:r w:rsidR="00DE4379" w:rsidRPr="00640A1D">
        <w:rPr>
          <w:rFonts w:eastAsia="Garamond" w:cs="Garamond"/>
        </w:rPr>
        <w:t>¬</w:t>
      </w:r>
      <w:r w:rsidRPr="00640A1D">
        <w:rPr>
          <w:rFonts w:eastAsia="Garamond"/>
        </w:rPr>
        <w:t xml:space="preserve">T) = </w:t>
      </w:r>
      <w:proofErr w:type="spellStart"/>
      <w:r w:rsidRPr="00640A1D">
        <w:rPr>
          <w:rFonts w:eastAsia="Garamond"/>
        </w:rPr>
        <w:t>Pr</w:t>
      </w:r>
      <w:proofErr w:type="spellEnd"/>
      <w:r w:rsidRPr="00640A1D">
        <w:rPr>
          <w:rFonts w:eastAsia="Garamond"/>
        </w:rPr>
        <w:t>(S)</w:t>
      </w:r>
    </w:p>
    <w:p w14:paraId="014FF913" w14:textId="1F661060" w:rsidR="76680C82" w:rsidRPr="00640A1D" w:rsidRDefault="76680C82" w:rsidP="76680C82">
      <w:pPr>
        <w:ind w:firstLine="720"/>
      </w:pPr>
      <w:r w:rsidRPr="00640A1D">
        <w:rPr>
          <w:rFonts w:eastAsia="Garamond"/>
        </w:rPr>
        <w:t>(</w:t>
      </w:r>
      <w:r w:rsidR="00617812" w:rsidRPr="00640A1D">
        <w:rPr>
          <w:rFonts w:eastAsia="Garamond"/>
        </w:rPr>
        <w:t>P</w:t>
      </w:r>
      <w:r w:rsidRPr="00640A1D">
        <w:rPr>
          <w:rFonts w:eastAsia="Garamond"/>
        </w:rPr>
        <w:t xml:space="preserve">2) </w:t>
      </w:r>
      <w:proofErr w:type="spellStart"/>
      <w:proofErr w:type="gramStart"/>
      <w:r w:rsidRPr="00640A1D">
        <w:rPr>
          <w:rFonts w:eastAsia="Garamond" w:cs="Garamond"/>
        </w:rPr>
        <w:t>Pr</w:t>
      </w:r>
      <w:proofErr w:type="spellEnd"/>
      <w:r w:rsidRPr="00640A1D">
        <w:rPr>
          <w:rFonts w:eastAsia="Garamond" w:cs="Garamond"/>
        </w:rPr>
        <w:t>(</w:t>
      </w:r>
      <w:proofErr w:type="gramEnd"/>
      <w:r w:rsidRPr="00640A1D">
        <w:rPr>
          <w:rFonts w:eastAsia="Garamond" w:cs="Garamond"/>
        </w:rPr>
        <w:t>S</w:t>
      </w:r>
      <w:r w:rsidRPr="00640A1D">
        <w:rPr>
          <w:rFonts w:ascii="Cambria Math" w:eastAsia="Garamond" w:hAnsi="Cambria Math" w:cs="Cambria Math"/>
        </w:rPr>
        <w:t>₁</w:t>
      </w:r>
      <w:r w:rsidRPr="00640A1D">
        <w:rPr>
          <w:rFonts w:eastAsia="Garamond" w:cs="Garamond"/>
        </w:rPr>
        <w:t xml:space="preserve"> &amp; … &amp; S</w:t>
      </w:r>
      <w:r w:rsidRPr="00640A1D">
        <w:rPr>
          <w:rFonts w:ascii="Cambria Math" w:eastAsia="Garamond" w:hAnsi="Cambria Math" w:cs="Cambria Math"/>
        </w:rPr>
        <w:t>ₙ</w:t>
      </w:r>
      <w:r w:rsidRPr="00640A1D">
        <w:rPr>
          <w:rFonts w:eastAsia="Garamond" w:cs="Garamond"/>
        </w:rPr>
        <w:t xml:space="preserve">|¬T) = </w:t>
      </w:r>
      <w:proofErr w:type="spellStart"/>
      <w:r w:rsidRPr="00640A1D">
        <w:rPr>
          <w:rFonts w:eastAsia="Garamond" w:cs="Garamond"/>
        </w:rPr>
        <w:t>Pr</w:t>
      </w:r>
      <w:proofErr w:type="spellEnd"/>
      <w:r w:rsidRPr="00640A1D">
        <w:rPr>
          <w:rFonts w:eastAsia="Garamond" w:cs="Garamond"/>
        </w:rPr>
        <w:t>(S</w:t>
      </w:r>
      <w:r w:rsidRPr="00640A1D">
        <w:rPr>
          <w:rFonts w:ascii="Cambria Math" w:eastAsia="Garamond" w:hAnsi="Cambria Math" w:cs="Cambria Math"/>
        </w:rPr>
        <w:t>₁</w:t>
      </w:r>
      <w:r w:rsidRPr="00640A1D">
        <w:rPr>
          <w:rFonts w:eastAsia="Garamond" w:cs="Garamond"/>
        </w:rPr>
        <w:t xml:space="preserve">|¬ T) × … × </w:t>
      </w:r>
      <w:proofErr w:type="spellStart"/>
      <w:r w:rsidRPr="00640A1D">
        <w:rPr>
          <w:rFonts w:eastAsia="Garamond" w:cs="Garamond"/>
        </w:rPr>
        <w:t>Pr</w:t>
      </w:r>
      <w:proofErr w:type="spellEnd"/>
      <w:r w:rsidRPr="00640A1D">
        <w:rPr>
          <w:rFonts w:eastAsia="Garamond" w:cs="Garamond"/>
        </w:rPr>
        <w:t>(S</w:t>
      </w:r>
      <w:r w:rsidRPr="00640A1D">
        <w:rPr>
          <w:rFonts w:ascii="Cambria Math" w:eastAsia="Garamond" w:hAnsi="Cambria Math" w:cs="Cambria Math"/>
        </w:rPr>
        <w:t>ₙ</w:t>
      </w:r>
      <w:r w:rsidRPr="00640A1D">
        <w:rPr>
          <w:rFonts w:eastAsia="Garamond" w:cs="Garamond"/>
        </w:rPr>
        <w:t>|¬T)</w:t>
      </w:r>
    </w:p>
    <w:p w14:paraId="516E05C0" w14:textId="6E77AAB4" w:rsidR="76680C82" w:rsidRPr="00640A1D" w:rsidRDefault="76680C82" w:rsidP="76680C82">
      <w:pPr>
        <w:ind w:firstLine="720"/>
      </w:pPr>
      <w:r w:rsidRPr="00640A1D">
        <w:rPr>
          <w:rFonts w:eastAsia="Garamond"/>
        </w:rPr>
        <w:t>(</w:t>
      </w:r>
      <w:r w:rsidR="00617812" w:rsidRPr="00640A1D">
        <w:rPr>
          <w:rFonts w:eastAsia="Garamond"/>
        </w:rPr>
        <w:t>P</w:t>
      </w:r>
      <w:r w:rsidRPr="00640A1D">
        <w:rPr>
          <w:rFonts w:eastAsia="Garamond"/>
        </w:rPr>
        <w:t xml:space="preserve">3) </w:t>
      </w:r>
      <w:proofErr w:type="spellStart"/>
      <w:proofErr w:type="gramStart"/>
      <w:r w:rsidRPr="00640A1D">
        <w:rPr>
          <w:rFonts w:eastAsia="Garamond" w:cs="Garamond"/>
        </w:rPr>
        <w:t>Pr</w:t>
      </w:r>
      <w:proofErr w:type="spellEnd"/>
      <w:r w:rsidRPr="00640A1D">
        <w:rPr>
          <w:rFonts w:eastAsia="Garamond" w:cs="Garamond"/>
        </w:rPr>
        <w:t>(</w:t>
      </w:r>
      <w:proofErr w:type="gramEnd"/>
      <w:r w:rsidRPr="00640A1D">
        <w:rPr>
          <w:rFonts w:eastAsia="Garamond" w:cs="Garamond"/>
        </w:rPr>
        <w:t>S</w:t>
      </w:r>
      <w:r w:rsidRPr="00640A1D">
        <w:rPr>
          <w:rFonts w:ascii="Cambria Math" w:eastAsia="Garamond" w:hAnsi="Cambria Math" w:cs="Cambria Math"/>
        </w:rPr>
        <w:t>₁</w:t>
      </w:r>
      <w:r w:rsidRPr="00640A1D">
        <w:rPr>
          <w:rFonts w:eastAsia="Garamond" w:cs="Garamond"/>
        </w:rPr>
        <w:t xml:space="preserve"> &amp; … &amp; S</w:t>
      </w:r>
      <w:r w:rsidRPr="00640A1D">
        <w:rPr>
          <w:rFonts w:ascii="Cambria Math" w:eastAsia="Garamond" w:hAnsi="Cambria Math" w:cs="Cambria Math"/>
        </w:rPr>
        <w:t>ₙ</w:t>
      </w:r>
      <w:r w:rsidRPr="00640A1D">
        <w:rPr>
          <w:rFonts w:eastAsia="Garamond" w:cs="Garamond"/>
        </w:rPr>
        <w:t xml:space="preserve">|¬T) = </w:t>
      </w:r>
      <w:proofErr w:type="spellStart"/>
      <w:r w:rsidRPr="00640A1D">
        <w:rPr>
          <w:rFonts w:eastAsia="Garamond" w:cs="Garamond"/>
        </w:rPr>
        <w:t>Pr</w:t>
      </w:r>
      <w:proofErr w:type="spellEnd"/>
      <w:r w:rsidRPr="00640A1D">
        <w:rPr>
          <w:rFonts w:eastAsia="Garamond" w:cs="Garamond"/>
        </w:rPr>
        <w:t>(S</w:t>
      </w:r>
      <w:r w:rsidRPr="00640A1D">
        <w:rPr>
          <w:rFonts w:ascii="Cambria Math" w:eastAsia="Garamond" w:hAnsi="Cambria Math" w:cs="Cambria Math"/>
        </w:rPr>
        <w:t>₁</w:t>
      </w:r>
      <w:r w:rsidRPr="00640A1D">
        <w:rPr>
          <w:rFonts w:eastAsia="Garamond" w:cs="Garamond"/>
        </w:rPr>
        <w:t xml:space="preserve">) × … × </w:t>
      </w:r>
      <w:proofErr w:type="spellStart"/>
      <w:r w:rsidRPr="00640A1D">
        <w:rPr>
          <w:rFonts w:eastAsia="Garamond" w:cs="Garamond"/>
        </w:rPr>
        <w:t>Pr</w:t>
      </w:r>
      <w:proofErr w:type="spellEnd"/>
      <w:r w:rsidRPr="00640A1D">
        <w:rPr>
          <w:rFonts w:eastAsia="Garamond" w:cs="Garamond"/>
        </w:rPr>
        <w:t>(S</w:t>
      </w:r>
      <w:r w:rsidRPr="00640A1D">
        <w:rPr>
          <w:rFonts w:ascii="Cambria Math" w:eastAsia="Garamond" w:hAnsi="Cambria Math" w:cs="Cambria Math"/>
        </w:rPr>
        <w:t>ₙ</w:t>
      </w:r>
      <w:r w:rsidRPr="00640A1D">
        <w:rPr>
          <w:rFonts w:eastAsia="Garamond" w:cs="Garamond"/>
        </w:rPr>
        <w:t>)</w:t>
      </w:r>
    </w:p>
    <w:p w14:paraId="1C0E8D34" w14:textId="0BEF2690" w:rsidR="76680C82" w:rsidRPr="00640A1D" w:rsidRDefault="76680C82" w:rsidP="76680C82">
      <w:pPr>
        <w:ind w:firstLine="720"/>
        <w:rPr>
          <w:rFonts w:eastAsia="Garamond" w:cs="Garamond"/>
        </w:rPr>
      </w:pPr>
      <w:r w:rsidRPr="00640A1D">
        <w:rPr>
          <w:rFonts w:eastAsia="Garamond"/>
        </w:rPr>
        <w:t>(</w:t>
      </w:r>
      <w:r w:rsidR="00617812" w:rsidRPr="00640A1D">
        <w:rPr>
          <w:rFonts w:eastAsia="Garamond"/>
        </w:rPr>
        <w:t>P</w:t>
      </w:r>
      <w:r w:rsidRPr="00640A1D">
        <w:rPr>
          <w:rFonts w:eastAsia="Garamond"/>
        </w:rPr>
        <w:t xml:space="preserve">4) </w:t>
      </w:r>
      <w:proofErr w:type="spellStart"/>
      <w:r w:rsidRPr="00640A1D">
        <w:rPr>
          <w:rFonts w:eastAsia="Garamond" w:cs="Garamond"/>
        </w:rPr>
        <w:t>Pr</w:t>
      </w:r>
      <w:proofErr w:type="spellEnd"/>
      <w:r w:rsidRPr="00640A1D">
        <w:rPr>
          <w:rFonts w:eastAsia="Garamond" w:cs="Garamond"/>
        </w:rPr>
        <w:t>(U|¬T) ≈ 0</w:t>
      </w:r>
      <w:r w:rsidR="00207343" w:rsidRPr="00640A1D">
        <w:rPr>
          <w:rFonts w:eastAsia="Garamond" w:cs="Garamond"/>
        </w:rPr>
        <w:tab/>
      </w:r>
      <w:r w:rsidR="00207343" w:rsidRPr="00640A1D">
        <w:rPr>
          <w:rFonts w:eastAsia="Garamond" w:cs="Garamond"/>
        </w:rPr>
        <w:tab/>
        <w:t>(Premise; see above §2; G&amp;G §§3.1-3.3</w:t>
      </w:r>
      <w:r w:rsidR="007B7931" w:rsidRPr="00640A1D">
        <w:rPr>
          <w:rFonts w:eastAsia="Garamond" w:cs="Garamond"/>
        </w:rPr>
        <w:t>, 5-6</w:t>
      </w:r>
      <w:r w:rsidR="00207343" w:rsidRPr="00640A1D">
        <w:rPr>
          <w:rFonts w:eastAsia="Garamond" w:cs="Garamond"/>
        </w:rPr>
        <w:t>)</w:t>
      </w:r>
    </w:p>
    <w:p w14:paraId="7CA3293C" w14:textId="6CD21BE4" w:rsidR="002D2C5B" w:rsidRPr="00640A1D" w:rsidRDefault="002D2C5B" w:rsidP="76680C82">
      <w:pPr>
        <w:ind w:firstLine="720"/>
        <w:rPr>
          <w:rFonts w:eastAsia="Garamond" w:cs="Garamond"/>
        </w:rPr>
      </w:pPr>
      <w:r w:rsidRPr="00640A1D">
        <w:rPr>
          <w:rFonts w:eastAsia="Garamond" w:cs="Garamond"/>
        </w:rPr>
        <w:t xml:space="preserve">(P5) </w:t>
      </w:r>
      <w:r w:rsidR="001A5F41" w:rsidRPr="00640A1D">
        <w:rPr>
          <w:rFonts w:eastAsia="Garamond"/>
        </w:rPr>
        <w:t>¬</w:t>
      </w:r>
      <w:r w:rsidR="001A5F41" w:rsidRPr="00640A1D">
        <w:t>(</w:t>
      </w:r>
      <w:proofErr w:type="spellStart"/>
      <w:r w:rsidR="001A5F41" w:rsidRPr="00640A1D">
        <w:rPr>
          <w:rFonts w:eastAsia="Garamond"/>
        </w:rPr>
        <w:t>Pr</w:t>
      </w:r>
      <w:proofErr w:type="spellEnd"/>
      <w:r w:rsidR="001A5F41" w:rsidRPr="00640A1D">
        <w:rPr>
          <w:rFonts w:eastAsia="Garamond"/>
        </w:rPr>
        <w:t xml:space="preserve">(¬T) </w:t>
      </w:r>
      <w:bookmarkStart w:id="6" w:name="_Hlk223528568"/>
      <w:r w:rsidR="001A5F41" w:rsidRPr="00640A1D">
        <w:rPr>
          <w:rFonts w:eastAsia="Garamond"/>
        </w:rPr>
        <w:t>≈</w:t>
      </w:r>
      <w:bookmarkEnd w:id="6"/>
      <w:r w:rsidR="001A5F41" w:rsidRPr="00640A1D">
        <w:rPr>
          <w:rFonts w:eastAsia="Garamond"/>
        </w:rPr>
        <w:t xml:space="preserve"> 1)</w:t>
      </w:r>
      <w:r w:rsidRPr="00640A1D">
        <w:rPr>
          <w:rFonts w:eastAsia="Garamond" w:cs="Garamond"/>
        </w:rPr>
        <w:tab/>
      </w:r>
      <w:r w:rsidRPr="00640A1D">
        <w:rPr>
          <w:rFonts w:eastAsia="Garamond" w:cs="Garamond"/>
        </w:rPr>
        <w:tab/>
        <w:t>(Premise)</w:t>
      </w:r>
      <w:r w:rsidR="001A5F41" w:rsidRPr="00640A1D">
        <w:rPr>
          <w:rStyle w:val="FootnoteReference"/>
          <w:rFonts w:eastAsia="Garamond" w:cs="Garamond"/>
        </w:rPr>
        <w:footnoteReference w:id="10"/>
      </w:r>
    </w:p>
    <w:p w14:paraId="24971247" w14:textId="01F20A87" w:rsidR="76680C82" w:rsidRPr="00640A1D" w:rsidRDefault="76680C82" w:rsidP="00207343">
      <w:pPr>
        <w:ind w:firstLine="720"/>
        <w:rPr>
          <w:rFonts w:eastAsia="Garamond" w:cs="Garamond"/>
        </w:rPr>
      </w:pPr>
      <w:r w:rsidRPr="00640A1D">
        <w:rPr>
          <w:rFonts w:eastAsia="Garamond"/>
        </w:rPr>
        <w:t>(</w:t>
      </w:r>
      <w:r w:rsidR="00617812" w:rsidRPr="00640A1D">
        <w:rPr>
          <w:rFonts w:eastAsia="Garamond"/>
        </w:rPr>
        <w:t>P</w:t>
      </w:r>
      <w:r w:rsidR="00611B83" w:rsidRPr="00640A1D">
        <w:rPr>
          <w:rFonts w:eastAsia="Garamond"/>
        </w:rPr>
        <w:t>6</w:t>
      </w:r>
      <w:r w:rsidRPr="00640A1D">
        <w:rPr>
          <w:rFonts w:eastAsia="Garamond"/>
        </w:rPr>
        <w:t xml:space="preserve">) </w:t>
      </w:r>
      <w:proofErr w:type="spellStart"/>
      <w:proofErr w:type="gramStart"/>
      <w:r w:rsidR="00207343" w:rsidRPr="00640A1D">
        <w:rPr>
          <w:rFonts w:eastAsia="Garamond"/>
        </w:rPr>
        <w:t>Pr</w:t>
      </w:r>
      <w:proofErr w:type="spellEnd"/>
      <w:r w:rsidR="00207343" w:rsidRPr="00640A1D">
        <w:rPr>
          <w:rFonts w:eastAsia="Garamond"/>
        </w:rPr>
        <w:t>(</w:t>
      </w:r>
      <w:proofErr w:type="gramEnd"/>
      <w:r w:rsidR="00207343" w:rsidRPr="00640A1D">
        <w:rPr>
          <w:rFonts w:eastAsia="Garamond"/>
        </w:rPr>
        <w:t xml:space="preserve">U &amp; </w:t>
      </w:r>
      <w:r w:rsidR="00207343" w:rsidRPr="00640A1D">
        <w:rPr>
          <w:rFonts w:eastAsia="Garamond" w:cs="Garamond"/>
        </w:rPr>
        <w:t xml:space="preserve">¬T) ≈ 0 </w:t>
      </w:r>
      <w:r w:rsidR="00207343" w:rsidRPr="00640A1D">
        <w:rPr>
          <w:rFonts w:eastAsia="Garamond" w:cs="Garamond"/>
        </w:rPr>
        <w:tab/>
      </w:r>
      <w:r w:rsidR="00207343" w:rsidRPr="00640A1D">
        <w:rPr>
          <w:rFonts w:eastAsia="Garamond" w:cs="Garamond"/>
        </w:rPr>
        <w:tab/>
        <w:t>(P4)</w:t>
      </w:r>
    </w:p>
    <w:p w14:paraId="5C4A3C6C" w14:textId="7843632C" w:rsidR="76680C82" w:rsidRPr="00640A1D" w:rsidRDefault="771BD270" w:rsidP="771BD270">
      <w:pPr>
        <w:ind w:firstLine="720"/>
        <w:rPr>
          <w:rFonts w:eastAsia="Garamond"/>
        </w:rPr>
      </w:pPr>
      <w:r w:rsidRPr="00640A1D">
        <w:rPr>
          <w:rFonts w:eastAsia="Garamond"/>
        </w:rPr>
        <w:t>(</w:t>
      </w:r>
      <w:r w:rsidR="00617812" w:rsidRPr="00640A1D">
        <w:rPr>
          <w:rFonts w:eastAsia="Garamond"/>
        </w:rPr>
        <w:t>P</w:t>
      </w:r>
      <w:r w:rsidR="00611B83" w:rsidRPr="00640A1D">
        <w:rPr>
          <w:rFonts w:eastAsia="Garamond"/>
        </w:rPr>
        <w:t>7</w:t>
      </w:r>
      <w:r w:rsidRPr="00640A1D">
        <w:rPr>
          <w:rFonts w:eastAsia="Garamond"/>
        </w:rPr>
        <w:t xml:space="preserve">) </w:t>
      </w:r>
      <w:proofErr w:type="gramStart"/>
      <w:r w:rsidR="00207343" w:rsidRPr="00640A1D">
        <w:rPr>
          <w:rFonts w:eastAsia="Garamond" w:cs="Garamond"/>
        </w:rPr>
        <w:t>¬(</w:t>
      </w:r>
      <w:proofErr w:type="gramEnd"/>
      <w:r w:rsidR="00207343" w:rsidRPr="00640A1D">
        <w:rPr>
          <w:rFonts w:eastAsia="Garamond" w:cs="Garamond"/>
        </w:rPr>
        <w:t>U &amp; ¬T)</w:t>
      </w:r>
      <w:r w:rsidR="00207343" w:rsidRPr="00640A1D">
        <w:rPr>
          <w:rFonts w:eastAsia="Garamond" w:cs="Garamond"/>
        </w:rPr>
        <w:tab/>
      </w:r>
      <w:r w:rsidR="00207343" w:rsidRPr="00640A1D">
        <w:rPr>
          <w:rFonts w:eastAsia="Garamond" w:cs="Garamond"/>
        </w:rPr>
        <w:tab/>
        <w:t>(P</w:t>
      </w:r>
      <w:r w:rsidR="00611B83" w:rsidRPr="00640A1D">
        <w:rPr>
          <w:rFonts w:eastAsia="Garamond" w:cs="Garamond"/>
        </w:rPr>
        <w:t>6</w:t>
      </w:r>
      <w:r w:rsidR="00207343" w:rsidRPr="00640A1D">
        <w:rPr>
          <w:rFonts w:eastAsia="Garamond" w:cs="Garamond"/>
        </w:rPr>
        <w:t>, PJ)</w:t>
      </w:r>
    </w:p>
    <w:p w14:paraId="0FE6AF62" w14:textId="3E2185BC" w:rsidR="76680C82" w:rsidRPr="00640A1D" w:rsidRDefault="76680C82" w:rsidP="76680C82">
      <w:pPr>
        <w:ind w:firstLine="720"/>
        <w:rPr>
          <w:rFonts w:eastAsia="Garamond"/>
        </w:rPr>
      </w:pPr>
      <w:r w:rsidRPr="00640A1D">
        <w:rPr>
          <w:rFonts w:eastAsia="Garamond"/>
        </w:rPr>
        <w:t>(</w:t>
      </w:r>
      <w:r w:rsidR="00617812" w:rsidRPr="00640A1D">
        <w:rPr>
          <w:rFonts w:eastAsia="Garamond"/>
        </w:rPr>
        <w:t>P</w:t>
      </w:r>
      <w:r w:rsidR="00611B83" w:rsidRPr="00640A1D">
        <w:rPr>
          <w:rFonts w:eastAsia="Garamond"/>
        </w:rPr>
        <w:t>8</w:t>
      </w:r>
      <w:r w:rsidRPr="00640A1D">
        <w:rPr>
          <w:rFonts w:eastAsia="Garamond"/>
        </w:rPr>
        <w:t xml:space="preserve">) </w:t>
      </w:r>
      <w:r w:rsidR="00207343" w:rsidRPr="00640A1D">
        <w:rPr>
          <w:rFonts w:eastAsia="Garamond" w:cs="Garamond"/>
        </w:rPr>
        <w:t xml:space="preserve">T v ¬U </w:t>
      </w:r>
      <w:r w:rsidR="00207343" w:rsidRPr="00640A1D">
        <w:rPr>
          <w:rFonts w:eastAsia="Garamond" w:cs="Garamond"/>
        </w:rPr>
        <w:tab/>
      </w:r>
      <w:r w:rsidR="00207343" w:rsidRPr="00640A1D">
        <w:rPr>
          <w:rFonts w:eastAsia="Garamond" w:cs="Garamond"/>
        </w:rPr>
        <w:tab/>
      </w:r>
      <w:r w:rsidR="00207343" w:rsidRPr="00640A1D">
        <w:rPr>
          <w:rFonts w:eastAsia="Garamond" w:cs="Garamond"/>
        </w:rPr>
        <w:tab/>
        <w:t>(P</w:t>
      </w:r>
      <w:r w:rsidR="00611B83" w:rsidRPr="00640A1D">
        <w:rPr>
          <w:rFonts w:eastAsia="Garamond" w:cs="Garamond"/>
        </w:rPr>
        <w:t>7</w:t>
      </w:r>
      <w:r w:rsidR="00207343" w:rsidRPr="00640A1D">
        <w:rPr>
          <w:rFonts w:eastAsia="Garamond" w:cs="Garamond"/>
        </w:rPr>
        <w:t>, De Morgan)</w:t>
      </w:r>
    </w:p>
    <w:p w14:paraId="33ED4448" w14:textId="4F408F57" w:rsidR="00207343" w:rsidRPr="00640A1D" w:rsidRDefault="00207343" w:rsidP="00207343">
      <w:pPr>
        <w:ind w:firstLine="720"/>
        <w:rPr>
          <w:rFonts w:eastAsia="Garamond"/>
        </w:rPr>
      </w:pPr>
      <w:r w:rsidRPr="00640A1D">
        <w:rPr>
          <w:rFonts w:eastAsia="Garamond"/>
        </w:rPr>
        <w:t>(P</w:t>
      </w:r>
      <w:r w:rsidR="00611B83" w:rsidRPr="00640A1D">
        <w:rPr>
          <w:rFonts w:eastAsia="Garamond"/>
        </w:rPr>
        <w:t>9</w:t>
      </w:r>
      <w:r w:rsidRPr="00640A1D">
        <w:rPr>
          <w:rFonts w:eastAsia="Garamond"/>
        </w:rPr>
        <w:t xml:space="preserve">) U </w:t>
      </w:r>
      <w:r w:rsidRPr="00640A1D">
        <w:rPr>
          <w:rFonts w:eastAsia="Garamond"/>
        </w:rPr>
        <w:tab/>
      </w:r>
      <w:r w:rsidRPr="00640A1D">
        <w:rPr>
          <w:rFonts w:eastAsia="Garamond"/>
        </w:rPr>
        <w:tab/>
      </w:r>
      <w:r w:rsidRPr="00640A1D">
        <w:rPr>
          <w:rFonts w:eastAsia="Garamond"/>
        </w:rPr>
        <w:tab/>
      </w:r>
      <w:r w:rsidRPr="00640A1D">
        <w:rPr>
          <w:rFonts w:eastAsia="Garamond"/>
        </w:rPr>
        <w:tab/>
        <w:t xml:space="preserve">(premise; may also be expressed by something like </w:t>
      </w:r>
      <w:proofErr w:type="spellStart"/>
      <w:r w:rsidRPr="00640A1D">
        <w:rPr>
          <w:rFonts w:eastAsia="Garamond"/>
        </w:rPr>
        <w:t>Pr</w:t>
      </w:r>
      <w:proofErr w:type="spellEnd"/>
      <w:r w:rsidRPr="00640A1D">
        <w:rPr>
          <w:rFonts w:eastAsia="Garamond"/>
        </w:rPr>
        <w:t xml:space="preserve">(U) </w:t>
      </w:r>
      <w:r w:rsidRPr="00640A1D">
        <w:rPr>
          <w:rFonts w:eastAsia="Garamond" w:cs="Garamond"/>
        </w:rPr>
        <w:t>≈ 1</w:t>
      </w:r>
      <w:r w:rsidRPr="00640A1D">
        <w:rPr>
          <w:rFonts w:eastAsia="Garamond"/>
        </w:rPr>
        <w:t>)</w:t>
      </w:r>
    </w:p>
    <w:p w14:paraId="1B850700" w14:textId="2EEB376D" w:rsidR="00207343" w:rsidRPr="00640A1D" w:rsidRDefault="00207343" w:rsidP="76680C82">
      <w:pPr>
        <w:ind w:firstLine="720"/>
        <w:rPr>
          <w:rFonts w:eastAsia="Garamond"/>
        </w:rPr>
      </w:pPr>
      <w:r w:rsidRPr="00640A1D">
        <w:rPr>
          <w:rFonts w:eastAsia="Garamond"/>
        </w:rPr>
        <w:t>(P</w:t>
      </w:r>
      <w:r w:rsidR="00611B83" w:rsidRPr="00640A1D">
        <w:rPr>
          <w:rFonts w:eastAsia="Garamond"/>
        </w:rPr>
        <w:t>10</w:t>
      </w:r>
      <w:r w:rsidRPr="00640A1D">
        <w:rPr>
          <w:rFonts w:eastAsia="Garamond"/>
        </w:rPr>
        <w:t xml:space="preserve">) T </w:t>
      </w:r>
      <w:r w:rsidRPr="00640A1D">
        <w:rPr>
          <w:rFonts w:eastAsia="Garamond"/>
        </w:rPr>
        <w:tab/>
      </w:r>
      <w:r w:rsidRPr="00640A1D">
        <w:rPr>
          <w:rFonts w:eastAsia="Garamond"/>
        </w:rPr>
        <w:tab/>
      </w:r>
      <w:r w:rsidRPr="00640A1D">
        <w:rPr>
          <w:rFonts w:eastAsia="Garamond"/>
        </w:rPr>
        <w:tab/>
        <w:t>(P</w:t>
      </w:r>
      <w:r w:rsidR="00611B83" w:rsidRPr="00640A1D">
        <w:rPr>
          <w:rFonts w:eastAsia="Garamond"/>
        </w:rPr>
        <w:t>8</w:t>
      </w:r>
      <w:r w:rsidRPr="00640A1D">
        <w:rPr>
          <w:rFonts w:eastAsia="Garamond"/>
        </w:rPr>
        <w:t>, P</w:t>
      </w:r>
      <w:r w:rsidR="00611B83" w:rsidRPr="00640A1D">
        <w:rPr>
          <w:rFonts w:eastAsia="Garamond"/>
        </w:rPr>
        <w:t>9</w:t>
      </w:r>
      <w:r w:rsidRPr="00640A1D">
        <w:rPr>
          <w:rFonts w:eastAsia="Garamond"/>
        </w:rPr>
        <w:t>, disjunctive syllogism)</w:t>
      </w:r>
    </w:p>
    <w:bookmarkEnd w:id="5"/>
    <w:p w14:paraId="73F295DF" w14:textId="0F35773D" w:rsidR="76680C82" w:rsidRPr="00640A1D" w:rsidRDefault="004C0C6C" w:rsidP="771BD270">
      <w:pPr>
        <w:ind w:firstLine="720"/>
        <w:rPr>
          <w:rFonts w:eastAsia="Garamond"/>
        </w:rPr>
      </w:pPr>
      <w:r w:rsidRPr="00640A1D">
        <w:rPr>
          <w:rFonts w:eastAsia="Garamond"/>
        </w:rPr>
        <w:t>More plainly</w:t>
      </w:r>
      <w:r w:rsidR="006350FA" w:rsidRPr="00640A1D">
        <w:rPr>
          <w:rFonts w:eastAsia="Garamond"/>
        </w:rPr>
        <w:t>, i</w:t>
      </w:r>
      <w:r w:rsidR="771BD270" w:rsidRPr="00640A1D">
        <w:rPr>
          <w:rFonts w:eastAsia="Garamond"/>
        </w:rPr>
        <w:t xml:space="preserve">f a theory is false, then the probability of a successful prediction flowing from that theory is the base rate of any guess being a successful prediction. The probability of some series of successful predictions given a false theory is equal to the probability of the base rate to the power of the number of attempted predictions. Given a </w:t>
      </w:r>
      <w:r w:rsidR="00DC2ECF" w:rsidRPr="00640A1D">
        <w:rPr>
          <w:rFonts w:eastAsia="Garamond"/>
        </w:rPr>
        <w:t>sufficiently large</w:t>
      </w:r>
      <w:r w:rsidR="00DC2ECF" w:rsidRPr="00640A1D">
        <w:rPr>
          <w:rStyle w:val="FootnoteReference"/>
          <w:rFonts w:eastAsia="Garamond"/>
        </w:rPr>
        <w:footnoteReference w:id="11"/>
      </w:r>
      <w:r w:rsidR="771BD270" w:rsidRPr="00640A1D">
        <w:rPr>
          <w:rFonts w:eastAsia="Garamond"/>
        </w:rPr>
        <w:t xml:space="preserve"> number of successful predictions, the chances that the predicting theory is false becomes prohibitively low—so much lower than every other relevant probability assignment in this situation that we may</w:t>
      </w:r>
      <w:r w:rsidR="007B7931" w:rsidRPr="00640A1D">
        <w:rPr>
          <w:rFonts w:eastAsia="Garamond"/>
        </w:rPr>
        <w:t xml:space="preserve"> infer that it is false (or</w:t>
      </w:r>
      <w:r w:rsidR="771BD270" w:rsidRPr="00640A1D">
        <w:rPr>
          <w:rFonts w:eastAsia="Garamond"/>
        </w:rPr>
        <w:t xml:space="preserve"> treat it as zero</w:t>
      </w:r>
      <w:r w:rsidR="007B7931" w:rsidRPr="00640A1D">
        <w:rPr>
          <w:rFonts w:eastAsia="Garamond"/>
        </w:rPr>
        <w:t>)</w:t>
      </w:r>
      <w:r w:rsidR="771BD270" w:rsidRPr="00640A1D">
        <w:rPr>
          <w:rFonts w:eastAsia="Garamond"/>
        </w:rPr>
        <w:t>. From there, we can licitly infer that either the theory is</w:t>
      </w:r>
      <w:r w:rsidR="00000FFC" w:rsidRPr="00640A1D">
        <w:rPr>
          <w:rFonts w:eastAsia="Garamond"/>
        </w:rPr>
        <w:t xml:space="preserve"> likely approximately</w:t>
      </w:r>
      <w:r w:rsidR="771BD270" w:rsidRPr="00640A1D">
        <w:rPr>
          <w:rFonts w:eastAsia="Garamond"/>
        </w:rPr>
        <w:t xml:space="preserve"> true</w:t>
      </w:r>
      <w:r w:rsidR="00000FFC" w:rsidRPr="00640A1D">
        <w:rPr>
          <w:rStyle w:val="FootnoteReference"/>
          <w:rFonts w:eastAsia="Garamond"/>
        </w:rPr>
        <w:footnoteReference w:id="12"/>
      </w:r>
      <w:r w:rsidR="771BD270" w:rsidRPr="00640A1D">
        <w:rPr>
          <w:rFonts w:eastAsia="Garamond"/>
        </w:rPr>
        <w:t xml:space="preserve"> or we have </w:t>
      </w:r>
      <w:r w:rsidR="00503258" w:rsidRPr="00640A1D">
        <w:rPr>
          <w:rFonts w:eastAsia="Garamond"/>
        </w:rPr>
        <w:t>no sufficiently large</w:t>
      </w:r>
      <w:r w:rsidR="771BD270" w:rsidRPr="00640A1D">
        <w:rPr>
          <w:rFonts w:eastAsia="Garamond"/>
        </w:rPr>
        <w:t xml:space="preserve"> set of successful predictions. The argument asserts that there is such a track record of successes, however—a premise that one might argue is false, and an </w:t>
      </w:r>
      <w:r w:rsidR="771BD270" w:rsidRPr="00640A1D">
        <w:rPr>
          <w:rFonts w:eastAsia="Garamond"/>
        </w:rPr>
        <w:lastRenderedPageBreak/>
        <w:t xml:space="preserve">argument </w:t>
      </w:r>
      <w:r w:rsidR="007B7931" w:rsidRPr="00640A1D">
        <w:rPr>
          <w:rFonts w:eastAsia="Garamond"/>
        </w:rPr>
        <w:t>ought to be</w:t>
      </w:r>
      <w:r w:rsidR="771BD270" w:rsidRPr="00640A1D">
        <w:rPr>
          <w:rFonts w:eastAsia="Garamond"/>
        </w:rPr>
        <w:t xml:space="preserve"> entertained</w:t>
      </w:r>
      <w:r w:rsidR="007B7931" w:rsidRPr="00640A1D">
        <w:rPr>
          <w:rFonts w:eastAsia="Garamond"/>
        </w:rPr>
        <w:t xml:space="preserve">—just not </w:t>
      </w:r>
      <w:r w:rsidR="771BD270" w:rsidRPr="00640A1D">
        <w:rPr>
          <w:rFonts w:eastAsia="Garamond"/>
        </w:rPr>
        <w:t xml:space="preserve">here, for we are concerned only with the structure of the argument. From this assertion and by disjunctive syllogism, we infer that the theory is </w:t>
      </w:r>
      <w:r w:rsidR="007B7931" w:rsidRPr="00640A1D">
        <w:rPr>
          <w:rFonts w:eastAsia="Garamond"/>
        </w:rPr>
        <w:t>(</w:t>
      </w:r>
      <w:r w:rsidR="00000FFC" w:rsidRPr="00640A1D">
        <w:rPr>
          <w:rFonts w:eastAsia="Garamond"/>
        </w:rPr>
        <w:t>likely</w:t>
      </w:r>
      <w:r w:rsidR="007B7931" w:rsidRPr="00640A1D">
        <w:rPr>
          <w:rFonts w:eastAsia="Garamond"/>
        </w:rPr>
        <w:t>)</w:t>
      </w:r>
      <w:r w:rsidR="00000FFC" w:rsidRPr="00640A1D">
        <w:rPr>
          <w:rFonts w:eastAsia="Garamond"/>
        </w:rPr>
        <w:t xml:space="preserve"> approximately </w:t>
      </w:r>
      <w:r w:rsidR="771BD270" w:rsidRPr="00640A1D">
        <w:rPr>
          <w:rFonts w:eastAsia="Garamond"/>
        </w:rPr>
        <w:t>true.</w:t>
      </w:r>
    </w:p>
    <w:p w14:paraId="7FA1255D" w14:textId="1615D4CF" w:rsidR="00392922" w:rsidRPr="00640A1D" w:rsidRDefault="00392922" w:rsidP="00392922">
      <w:pPr>
        <w:ind w:firstLine="720"/>
        <w:rPr>
          <w:rFonts w:eastAsia="Garamond"/>
        </w:rPr>
      </w:pPr>
      <w:r w:rsidRPr="00640A1D">
        <w:t>I mentioned there are two versions of this argument</w:t>
      </w:r>
      <w:r w:rsidR="00DB32E5" w:rsidRPr="00640A1D">
        <w:t xml:space="preserve"> when discussing PJ</w:t>
      </w:r>
      <w:r w:rsidRPr="00640A1D">
        <w:t xml:space="preserve">. This version </w:t>
      </w:r>
      <w:r w:rsidR="00DB32E5" w:rsidRPr="00640A1D">
        <w:t>uses PJ</w:t>
      </w:r>
      <w:r w:rsidRPr="00640A1D">
        <w:t xml:space="preserve"> earlier, and so concludes T. In the other version, the argument would end with </w:t>
      </w:r>
      <w:proofErr w:type="spellStart"/>
      <w:r w:rsidRPr="00640A1D">
        <w:t>Pr</w:t>
      </w:r>
      <w:proofErr w:type="spellEnd"/>
      <w:r w:rsidRPr="00640A1D">
        <w:t xml:space="preserve">(T) </w:t>
      </w:r>
      <w:r w:rsidRPr="00640A1D">
        <w:rPr>
          <w:rFonts w:eastAsia="Garamond" w:cs="Garamond"/>
        </w:rPr>
        <w:t>≈</w:t>
      </w:r>
      <w:r w:rsidRPr="00640A1D">
        <w:rPr>
          <w:rFonts w:eastAsia="Garamond"/>
        </w:rPr>
        <w:t xml:space="preserve"> 1, and </w:t>
      </w:r>
      <w:r w:rsidR="00DB32E5" w:rsidRPr="00640A1D">
        <w:rPr>
          <w:rFonts w:eastAsia="Garamond"/>
        </w:rPr>
        <w:t>T</w:t>
      </w:r>
      <w:r w:rsidRPr="00640A1D">
        <w:rPr>
          <w:rFonts w:eastAsia="Garamond"/>
        </w:rPr>
        <w:t xml:space="preserve"> </w:t>
      </w:r>
      <w:r w:rsidR="00DB32E5" w:rsidRPr="00640A1D">
        <w:rPr>
          <w:rFonts w:eastAsia="Garamond"/>
        </w:rPr>
        <w:t>follows by PJ just after</w:t>
      </w:r>
      <w:r w:rsidRPr="00640A1D">
        <w:rPr>
          <w:rFonts w:eastAsia="Garamond"/>
        </w:rPr>
        <w:t xml:space="preserve">. Either way, the essential inductive step is from overwhelming probability of a proposition to its truth, and the essential idealization is </w:t>
      </w:r>
      <w:r w:rsidR="004C0C6C" w:rsidRPr="00640A1D">
        <w:rPr>
          <w:rFonts w:eastAsia="Garamond"/>
        </w:rPr>
        <w:t xml:space="preserve">sufficiently </w:t>
      </w:r>
      <w:r w:rsidRPr="00640A1D">
        <w:rPr>
          <w:rFonts w:eastAsia="Garamond"/>
        </w:rPr>
        <w:t>overwhelming and underwhelming probabilities can be treated as relatively and approximately equal to 1 and 0, respectively.</w:t>
      </w:r>
      <w:r w:rsidR="00951C6E" w:rsidRPr="00640A1D">
        <w:rPr>
          <w:rFonts w:eastAsia="Garamond"/>
        </w:rPr>
        <w:t xml:space="preserve"> This latter version is still </w:t>
      </w:r>
      <w:proofErr w:type="gramStart"/>
      <w:r w:rsidR="00951C6E" w:rsidRPr="00640A1D">
        <w:rPr>
          <w:rFonts w:eastAsia="Garamond"/>
        </w:rPr>
        <w:t>promising, but</w:t>
      </w:r>
      <w:proofErr w:type="gramEnd"/>
      <w:r w:rsidR="00951C6E" w:rsidRPr="00640A1D">
        <w:rPr>
          <w:rFonts w:eastAsia="Garamond"/>
        </w:rPr>
        <w:t xml:space="preserve"> must face Lee’s interesting and difficult objection for arguments of that form (see §4), which I hope to avoid with this formulation.</w:t>
      </w:r>
      <w:r w:rsidR="00951C6E" w:rsidRPr="00640A1D">
        <w:rPr>
          <w:rStyle w:val="FootnoteReference"/>
          <w:rFonts w:eastAsia="Garamond"/>
        </w:rPr>
        <w:footnoteReference w:id="13"/>
      </w:r>
    </w:p>
    <w:p w14:paraId="40586BB9" w14:textId="0F4407A7" w:rsidR="001A4FBB" w:rsidRPr="00640A1D" w:rsidRDefault="631E7445" w:rsidP="771BD270">
      <w:pPr>
        <w:ind w:firstLine="720"/>
        <w:rPr>
          <w:rFonts w:eastAsia="Garamond"/>
        </w:rPr>
      </w:pPr>
      <w:r w:rsidRPr="00640A1D">
        <w:rPr>
          <w:rFonts w:eastAsia="Garamond"/>
        </w:rPr>
        <w:t>This argument, I believe, rescues the spirit of what G&amp;G were after. Recall, the desiderata</w:t>
      </w:r>
      <w:r w:rsidR="00503258" w:rsidRPr="00640A1D">
        <w:rPr>
          <w:rFonts w:eastAsia="Garamond"/>
        </w:rPr>
        <w:t xml:space="preserve"> were that</w:t>
      </w:r>
      <w:r w:rsidRPr="00640A1D">
        <w:rPr>
          <w:rFonts w:eastAsia="Garamond"/>
        </w:rPr>
        <w:t xml:space="preserve"> the </w:t>
      </w:r>
      <w:r w:rsidR="001C7BE2" w:rsidRPr="00640A1D">
        <w:rPr>
          <w:rFonts w:eastAsia="Garamond"/>
        </w:rPr>
        <w:t>I</w:t>
      </w:r>
      <w:r w:rsidRPr="00640A1D">
        <w:rPr>
          <w:rFonts w:eastAsia="Garamond"/>
        </w:rPr>
        <w:t xml:space="preserve">NMA </w:t>
      </w:r>
      <w:r w:rsidRPr="00640A1D">
        <w:rPr>
          <w:rFonts w:eastAsia="Garamond" w:cs="Garamond"/>
        </w:rPr>
        <w:t>(</w:t>
      </w:r>
      <w:proofErr w:type="spellStart"/>
      <w:r w:rsidRPr="00640A1D">
        <w:rPr>
          <w:rFonts w:eastAsia="Garamond" w:cs="Garamond"/>
        </w:rPr>
        <w:t>i</w:t>
      </w:r>
      <w:proofErr w:type="spellEnd"/>
      <w:r w:rsidRPr="00640A1D">
        <w:rPr>
          <w:rFonts w:eastAsia="Garamond" w:cs="Garamond"/>
        </w:rPr>
        <w:t xml:space="preserve">) does not rely on explanation as evidence for its premises, (ii) </w:t>
      </w:r>
      <w:r w:rsidR="004C0C6C" w:rsidRPr="00640A1D">
        <w:rPr>
          <w:rFonts w:eastAsia="Garamond" w:cs="Garamond"/>
        </w:rPr>
        <w:t>avoids structural objections (including traditional</w:t>
      </w:r>
      <w:r w:rsidR="00C612C5" w:rsidRPr="00640A1D">
        <w:rPr>
          <w:rFonts w:eastAsia="Garamond" w:cs="Garamond"/>
        </w:rPr>
        <w:t xml:space="preserve"> and</w:t>
      </w:r>
      <w:r w:rsidR="004C0C6C" w:rsidRPr="00640A1D">
        <w:rPr>
          <w:rFonts w:eastAsia="Garamond" w:cs="Garamond"/>
        </w:rPr>
        <w:t xml:space="preserve"> Lee’s </w:t>
      </w:r>
      <w:r w:rsidR="00C612C5" w:rsidRPr="00640A1D">
        <w:rPr>
          <w:rFonts w:eastAsia="Garamond" w:cs="Garamond"/>
        </w:rPr>
        <w:t>specific objections</w:t>
      </w:r>
      <w:r w:rsidR="004C0C6C" w:rsidRPr="00640A1D">
        <w:rPr>
          <w:rFonts w:eastAsia="Garamond" w:cs="Garamond"/>
        </w:rPr>
        <w:t>)</w:t>
      </w:r>
      <w:r w:rsidRPr="00640A1D">
        <w:rPr>
          <w:rFonts w:eastAsia="Garamond" w:cs="Garamond"/>
        </w:rPr>
        <w:t xml:space="preserve">, and (iii) </w:t>
      </w:r>
      <w:r w:rsidR="009B4AEC" w:rsidRPr="00640A1D">
        <w:rPr>
          <w:rFonts w:eastAsia="Garamond" w:cs="Garamond"/>
        </w:rPr>
        <w:t xml:space="preserve">controversial claims should be incorporated as </w:t>
      </w:r>
      <w:r w:rsidR="009B4AEC" w:rsidRPr="00640A1D">
        <w:rPr>
          <w:rFonts w:eastAsia="Garamond" w:cs="Garamond"/>
          <w:i/>
          <w:iCs/>
        </w:rPr>
        <w:t>premises</w:t>
      </w:r>
      <w:r w:rsidR="009B4AEC" w:rsidRPr="00640A1D">
        <w:rPr>
          <w:rFonts w:eastAsia="Garamond" w:cs="Garamond"/>
        </w:rPr>
        <w:t xml:space="preserve"> of the argument to structure discussion</w:t>
      </w:r>
      <w:r w:rsidRPr="00640A1D">
        <w:rPr>
          <w:rFonts w:eastAsia="Garamond" w:cs="Garamond"/>
        </w:rPr>
        <w:t xml:space="preserve">. First, we can see that the </w:t>
      </w:r>
      <w:r w:rsidR="001C7BE2" w:rsidRPr="00640A1D">
        <w:rPr>
          <w:rFonts w:eastAsia="Garamond" w:cs="Garamond"/>
        </w:rPr>
        <w:t>I</w:t>
      </w:r>
      <w:r w:rsidRPr="00640A1D">
        <w:rPr>
          <w:rFonts w:eastAsia="Garamond" w:cs="Garamond"/>
        </w:rPr>
        <w:t>NMA as I’ve reconstructed it</w:t>
      </w:r>
      <w:r w:rsidRPr="00640A1D">
        <w:rPr>
          <w:rFonts w:eastAsia="Garamond"/>
        </w:rPr>
        <w:t xml:space="preserve"> makes no mention of explanation. Moreover, it is essentially probabilistic under the hood and</w:t>
      </w:r>
      <w:r w:rsidR="007B7931" w:rsidRPr="00640A1D">
        <w:rPr>
          <w:rFonts w:eastAsia="Garamond"/>
        </w:rPr>
        <w:t xml:space="preserve"> the argument’s structure</w:t>
      </w:r>
      <w:r w:rsidRPr="00640A1D">
        <w:rPr>
          <w:rFonts w:eastAsia="Garamond"/>
        </w:rPr>
        <w:t xml:space="preserve"> is not undercut by novitiate probability errors.</w:t>
      </w:r>
      <w:r w:rsidR="0078004C" w:rsidRPr="00640A1D">
        <w:rPr>
          <w:rFonts w:eastAsia="Garamond"/>
        </w:rPr>
        <w:t xml:space="preserve"> The argument </w:t>
      </w:r>
      <w:r w:rsidR="001A4FBB" w:rsidRPr="00640A1D">
        <w:rPr>
          <w:rFonts w:eastAsia="Garamond"/>
        </w:rPr>
        <w:t xml:space="preserve">is not deductive, however—though it is in standard form and can appear deductive, </w:t>
      </w:r>
      <w:r w:rsidR="001712F7" w:rsidRPr="00640A1D">
        <w:rPr>
          <w:rFonts w:eastAsia="Garamond"/>
        </w:rPr>
        <w:t>the key inference rule (PJ) is</w:t>
      </w:r>
      <w:r w:rsidR="001A4FBB" w:rsidRPr="00640A1D">
        <w:rPr>
          <w:rFonts w:eastAsia="Garamond"/>
        </w:rPr>
        <w:t xml:space="preserve"> inductive. </w:t>
      </w:r>
    </w:p>
    <w:p w14:paraId="56E9C15C" w14:textId="4DF5A1AE" w:rsidR="00810903" w:rsidRPr="00640A1D" w:rsidRDefault="007B7931" w:rsidP="771BD270">
      <w:pPr>
        <w:ind w:firstLine="720"/>
        <w:rPr>
          <w:rFonts w:eastAsia="Garamond" w:cs="Garamond"/>
        </w:rPr>
      </w:pPr>
      <w:r w:rsidRPr="00640A1D">
        <w:rPr>
          <w:rFonts w:eastAsia="Garamond"/>
        </w:rPr>
        <w:t>The</w:t>
      </w:r>
      <w:r w:rsidR="631E7445" w:rsidRPr="00640A1D">
        <w:rPr>
          <w:rFonts w:eastAsia="Garamond"/>
        </w:rPr>
        <w:t xml:space="preserve"> reinterpretation’s strength is that it brings out the </w:t>
      </w:r>
      <w:r w:rsidR="00611B83" w:rsidRPr="00640A1D">
        <w:rPr>
          <w:rFonts w:eastAsia="Garamond"/>
        </w:rPr>
        <w:t>four</w:t>
      </w:r>
      <w:r w:rsidR="631E7445" w:rsidRPr="00640A1D">
        <w:rPr>
          <w:rFonts w:eastAsia="Garamond"/>
        </w:rPr>
        <w:t xml:space="preserve"> most natural places to object in premise</w:t>
      </w:r>
      <w:r w:rsidR="00E1688F" w:rsidRPr="00640A1D">
        <w:rPr>
          <w:rFonts w:eastAsia="Garamond"/>
        </w:rPr>
        <w:t>s rather than its structure</w:t>
      </w:r>
      <w:r w:rsidR="00764BB2" w:rsidRPr="00640A1D">
        <w:rPr>
          <w:rFonts w:eastAsia="Garamond"/>
        </w:rPr>
        <w:t>:</w:t>
      </w:r>
      <w:r w:rsidR="631E7445" w:rsidRPr="00640A1D">
        <w:rPr>
          <w:rFonts w:eastAsia="Garamond"/>
        </w:rPr>
        <w:t xml:space="preserve"> </w:t>
      </w:r>
      <w:r w:rsidR="00764BB2" w:rsidRPr="00640A1D">
        <w:rPr>
          <w:rFonts w:eastAsia="Garamond"/>
        </w:rPr>
        <w:t>(P1), which claims that the probability of a successful prediction given a false theory is equal to the base rate (G&amp;G §§3-5);</w:t>
      </w:r>
      <w:r w:rsidR="631E7445" w:rsidRPr="00640A1D">
        <w:rPr>
          <w:rFonts w:eastAsia="Garamond"/>
        </w:rPr>
        <w:t xml:space="preserve"> (P4),</w:t>
      </w:r>
      <w:r w:rsidR="00764BB2" w:rsidRPr="00640A1D">
        <w:rPr>
          <w:rFonts w:eastAsia="Garamond"/>
        </w:rPr>
        <w:t xml:space="preserve"> which claims</w:t>
      </w:r>
      <w:r w:rsidR="631E7445" w:rsidRPr="00640A1D">
        <w:rPr>
          <w:rFonts w:eastAsia="Garamond"/>
        </w:rPr>
        <w:t xml:space="preserve"> </w:t>
      </w:r>
      <w:r w:rsidR="00764BB2" w:rsidRPr="00640A1D">
        <w:rPr>
          <w:rFonts w:eastAsia="Garamond"/>
        </w:rPr>
        <w:t xml:space="preserve">that </w:t>
      </w:r>
      <w:r w:rsidR="631E7445" w:rsidRPr="00640A1D">
        <w:rPr>
          <w:rFonts w:eastAsia="Garamond"/>
        </w:rPr>
        <w:t xml:space="preserve">the chances of successful predictions given false theories are </w:t>
      </w:r>
      <w:r w:rsidR="00764BB2" w:rsidRPr="00640A1D">
        <w:rPr>
          <w:rFonts w:eastAsia="Garamond"/>
        </w:rPr>
        <w:t>so low as to be</w:t>
      </w:r>
      <w:r w:rsidR="00807016" w:rsidRPr="00640A1D">
        <w:rPr>
          <w:rFonts w:eastAsia="Garamond"/>
        </w:rPr>
        <w:t xml:space="preserve"> approximately</w:t>
      </w:r>
      <w:r w:rsidR="00764BB2" w:rsidRPr="00640A1D">
        <w:rPr>
          <w:rFonts w:eastAsia="Garamond"/>
        </w:rPr>
        <w:t xml:space="preserve"> zero (G&amp;G §§5-6); and</w:t>
      </w:r>
      <w:r w:rsidR="631E7445" w:rsidRPr="00640A1D">
        <w:rPr>
          <w:rFonts w:eastAsia="Garamond"/>
        </w:rPr>
        <w:t xml:space="preserve"> </w:t>
      </w:r>
      <w:r w:rsidR="00E1688F" w:rsidRPr="00640A1D">
        <w:rPr>
          <w:rFonts w:eastAsia="Garamond"/>
        </w:rPr>
        <w:t>(</w:t>
      </w:r>
      <w:r w:rsidR="631E7445" w:rsidRPr="00640A1D">
        <w:rPr>
          <w:rFonts w:eastAsia="Garamond"/>
        </w:rPr>
        <w:t>P</w:t>
      </w:r>
      <w:r w:rsidR="00DD21E1" w:rsidRPr="00640A1D">
        <w:rPr>
          <w:rFonts w:eastAsia="Garamond"/>
        </w:rPr>
        <w:t>9</w:t>
      </w:r>
      <w:r w:rsidR="00E1688F" w:rsidRPr="00640A1D">
        <w:rPr>
          <w:rFonts w:eastAsia="Garamond"/>
        </w:rPr>
        <w:t>)</w:t>
      </w:r>
      <w:r w:rsidR="631E7445" w:rsidRPr="00640A1D">
        <w:rPr>
          <w:rFonts w:eastAsia="Garamond"/>
        </w:rPr>
        <w:t xml:space="preserve">, </w:t>
      </w:r>
      <w:r w:rsidR="00764BB2" w:rsidRPr="00640A1D">
        <w:rPr>
          <w:rFonts w:eastAsia="Garamond"/>
        </w:rPr>
        <w:t>t</w:t>
      </w:r>
      <w:r w:rsidR="631E7445" w:rsidRPr="00640A1D">
        <w:rPr>
          <w:rFonts w:eastAsia="Garamond"/>
        </w:rPr>
        <w:t xml:space="preserve">hat our best theories have amassed </w:t>
      </w:r>
      <w:r w:rsidR="00764BB2" w:rsidRPr="00640A1D">
        <w:rPr>
          <w:rFonts w:eastAsia="Garamond"/>
        </w:rPr>
        <w:t>an adequately</w:t>
      </w:r>
      <w:r w:rsidR="631E7445" w:rsidRPr="00640A1D">
        <w:rPr>
          <w:rFonts w:eastAsia="Garamond"/>
        </w:rPr>
        <w:t xml:space="preserve"> impressive set of successful predictions</w:t>
      </w:r>
      <w:r w:rsidR="00512F09" w:rsidRPr="00640A1D">
        <w:rPr>
          <w:rFonts w:eastAsia="Garamond"/>
        </w:rPr>
        <w:t xml:space="preserve"> (see </w:t>
      </w:r>
      <w:r w:rsidR="00512F09" w:rsidRPr="00640A1D">
        <w:rPr>
          <w:rFonts w:eastAsia="Garamond"/>
        </w:rPr>
        <w:lastRenderedPageBreak/>
        <w:t>discussion and citations in G&amp;G 17, n. 21)</w:t>
      </w:r>
      <w:r w:rsidR="631E7445" w:rsidRPr="00640A1D">
        <w:rPr>
          <w:rFonts w:eastAsia="Garamond"/>
        </w:rPr>
        <w:t xml:space="preserve">. </w:t>
      </w:r>
      <w:r w:rsidR="00DD21E1" w:rsidRPr="00640A1D">
        <w:rPr>
          <w:rFonts w:eastAsia="Garamond"/>
        </w:rPr>
        <w:t xml:space="preserve">The fourth, (P5), </w:t>
      </w:r>
      <w:r w:rsidR="00611B83" w:rsidRPr="00640A1D">
        <w:rPr>
          <w:rFonts w:eastAsia="Garamond"/>
        </w:rPr>
        <w:t xml:space="preserve">deserves </w:t>
      </w:r>
      <w:r w:rsidR="00DD21E1" w:rsidRPr="00640A1D">
        <w:rPr>
          <w:rFonts w:eastAsia="Garamond"/>
        </w:rPr>
        <w:t>an</w:t>
      </w:r>
      <w:r w:rsidR="00611B83" w:rsidRPr="00640A1D">
        <w:rPr>
          <w:rFonts w:eastAsia="Garamond"/>
        </w:rPr>
        <w:t xml:space="preserve"> extended discussion.</w:t>
      </w:r>
      <w:r w:rsidR="000F2947" w:rsidRPr="00640A1D">
        <w:rPr>
          <w:rStyle w:val="FootnoteReference"/>
          <w:rFonts w:eastAsia="Garamond"/>
        </w:rPr>
        <w:footnoteReference w:id="14"/>
      </w:r>
      <w:r w:rsidR="00611B83" w:rsidRPr="00640A1D">
        <w:rPr>
          <w:rFonts w:eastAsia="Garamond"/>
        </w:rPr>
        <w:t xml:space="preserve"> One common objection is that P</w:t>
      </w:r>
      <w:r w:rsidR="001C7BE2" w:rsidRPr="00640A1D">
        <w:rPr>
          <w:rFonts w:eastAsia="Garamond"/>
        </w:rPr>
        <w:t xml:space="preserve">robabilistic </w:t>
      </w:r>
      <w:r w:rsidR="00611B83" w:rsidRPr="00640A1D">
        <w:rPr>
          <w:rFonts w:eastAsia="Garamond"/>
        </w:rPr>
        <w:t>NMAs</w:t>
      </w:r>
      <w:r w:rsidR="001C7BE2" w:rsidRPr="00640A1D">
        <w:rPr>
          <w:rFonts w:eastAsia="Garamond"/>
        </w:rPr>
        <w:t xml:space="preserve"> (PNMAs; typically Bayesian)</w:t>
      </w:r>
      <w:r w:rsidR="00611B83" w:rsidRPr="00640A1D">
        <w:rPr>
          <w:rFonts w:eastAsia="Garamond"/>
        </w:rPr>
        <w:t xml:space="preserve"> fall prey to the base-rate fallacy</w:t>
      </w:r>
      <w:r w:rsidR="00180E63" w:rsidRPr="00640A1D">
        <w:rPr>
          <w:rFonts w:eastAsia="Garamond"/>
        </w:rPr>
        <w:t xml:space="preserve"> </w:t>
      </w:r>
      <w:r w:rsidR="0028109C" w:rsidRPr="00640A1D">
        <w:rPr>
          <w:rFonts w:eastAsia="Garamond"/>
        </w:rPr>
        <w:fldChar w:fldCharType="begin"/>
      </w:r>
      <w:r w:rsidR="00DD21E1" w:rsidRPr="00640A1D">
        <w:rPr>
          <w:rFonts w:eastAsia="Garamond"/>
        </w:rPr>
        <w:instrText xml:space="preserve"> ADDIN ZOTERO_ITEM CSL_CITATION {"citationID":"anuW0SQv","properties":{"formattedCitation":"(see Magnus and Callender 2004; Sprenger 2016; Henderson 2017; Dawid and Hartmann 2018; Dieks 2024)","plainCitation":"(see Magnus and Callender 2004; Sprenger 2016; Henderson 2017; Dawid and Hartmann 2018; Dieks 2024)","noteIndex":0},"citationItems":[{"id":733,"uris":["http://zotero.org/users/13148001/items/V7NDTNAV"],"itemData":{"id":733,"type":"article-journal","abstract":"The no-miracles argument and the pessimistic induction are arguably the main considerations for and against scientific realism. Recently these arguments have been accused of embodying a familiar, seductive fallacy. In each case, we are tricked by a base rate fallacy, one much-discussed in the psychological literature. In this paper we consider this accusation and use it as an explanation for why the two most prominent ‘wholesale’ arguments in the literature seem irresolvable. Framed probabilistically, we can see very clearly why realists and anti-realists have been talking past one another. We then formulate a dilemma for advocates of either argument, answer potential objections to our criticism, discuss what remains (if anything) of these two major arguments, and then speculate about a future philosophy of science freed from these two arguments. In so doing, we connect the point about base rates to the wholesale/retail distinction; we believe it hints at an answer of how to distinguish profitable from unprofitable realism debates. In short, we offer a probabilistic analysis of the feeling of\n              ennui\n              afflicting contemporary philosophy of science.","container-title":"Philosophy of Science","DOI":"10.1086/421536","ISSN":"0031-8248, 1539-767X","issue":"3","journalAbbreviation":"Philos. of Sci.","language":"en","license":"https://www.cambridge.org/core/terms","page":"320-338","source":"DOI.org (Crossref)","title":"Realist Ennui and the Base Rate Fallacy","volume":"71","author":[{"family":"Magnus","given":"P. D."},{"family":"Callender","given":"Craig"}],"issued":{"date-parts":[["2004",7]]}},"prefix":"see"},{"id":743,"uris":["http://zotero.org/users/13148001/items/4XBLRAQG"],"itemData":{"id":743,"type":"article-journal","container-title":"European Journal for Philosophy of Science","DOI":"10.1007/s13194-015-0122-0","ISSN":"1879-4912, 1879-4920","issue":"2","journalAbbreviation":"Euro Jnl Phil Sci","language":"en","page":"173-189","source":"DOI.org (Crossref)","title":"The probabilistic no miracles argument","volume":"6","author":[{"family":"Sprenger","given":"Jan"}],"issued":{"date-parts":[["2016",5]]}}},{"id":745,"uris":["http://zotero.org/users/13148001/items/3MF9PTIB"],"itemData":{"id":745,"type":"article-journal","container-title":"Synthese","DOI":"10.1007/s11229-015-0995-7","ISSN":"0039-7857, 1573-0964","issue":"4","journalAbbreviation":"Synthese","language":"en","page":"1295-1302","source":"DOI.org (Crossref)","title":"The no miracles argument and the base rate fallacy","volume":"194","author":[{"family":"Henderson","given":"Leah"}],"issued":{"date-parts":[["2017",4]]}}},{"id":730,"uris":["http://zotero.org/users/13148001/items/UMHUWHLG"],"itemData":{"id":730,"type":"article-journal","container-title":"Synthese","DOI":"10.1007/s11229-017-1408-x","ISSN":"0039-7857, 1573-0964","issue":"9","journalAbbreviation":"Synthese","language":"en","page":"4063-4079","source":"DOI.org (Crossref)","title":"The no miracles argument without the base rate fallacy","volume":"195","author":[{"family":"Dawid","given":"Richard"},{"family":"Hartmann","given":"Stephan"}],"issued":{"date-parts":[["2018",9]]}}},{"id":769,"uris":["http://zotero.org/users/13148001/items/5W9TNN6R"],"itemData":{"id":769,"type":"chapter","container-title":"Realism and Antirealism in Metaphysics, Science, and Language: Festschrift for Mario Alai","ISBN":"978-88-351-5812-7","page":"111-120","publisher":"FrancoAngeli","title":"The Probabilistic No-Miracle Argument","author":[{"family":"Dieks","given":"Dennis"}],"editor":[{"family":"Angelucci","given":"Adriano"},{"family":"Ferretti","given":"Gabriele"},{"family":"Tarozzi","given":"Gino"},{"family":"Galli","given":"Giovanni"},{"family":"Graziani","given":"Pierluigi"},{"family":"Fano","given":"Vincenzo"}],"issued":{"date-parts":[["2024"]]}}}],"schema":"https://github.com/citation-style-language/schema/raw/master/csl-citation.json"} </w:instrText>
      </w:r>
      <w:r w:rsidR="0028109C" w:rsidRPr="00640A1D">
        <w:rPr>
          <w:rFonts w:eastAsia="Garamond"/>
        </w:rPr>
        <w:fldChar w:fldCharType="separate"/>
      </w:r>
      <w:r w:rsidR="00DD21E1" w:rsidRPr="00640A1D">
        <w:t>(see Magnus and Callender 2004; Sprenger 2016; Henderson 2017; Dawid and Hartmann 2018; Dieks 2024)</w:t>
      </w:r>
      <w:r w:rsidR="0028109C" w:rsidRPr="00640A1D">
        <w:rPr>
          <w:rFonts w:eastAsia="Garamond"/>
        </w:rPr>
        <w:fldChar w:fldCharType="end"/>
      </w:r>
      <w:r w:rsidR="00611B83" w:rsidRPr="00640A1D">
        <w:rPr>
          <w:rFonts w:eastAsia="Garamond"/>
        </w:rPr>
        <w:t xml:space="preserve">. (P5) </w:t>
      </w:r>
      <w:r w:rsidR="00463DF1" w:rsidRPr="00640A1D">
        <w:rPr>
          <w:rFonts w:eastAsia="Garamond"/>
        </w:rPr>
        <w:t xml:space="preserve">claims that the prior probability that a given theory is false is not </w:t>
      </w:r>
      <w:r w:rsidR="00C612C5" w:rsidRPr="00640A1D">
        <w:rPr>
          <w:rFonts w:eastAsia="Garamond"/>
        </w:rPr>
        <w:t>so high as to be approximately one</w:t>
      </w:r>
      <w:r w:rsidR="0028109C" w:rsidRPr="00640A1D">
        <w:rPr>
          <w:rFonts w:eastAsia="Garamond" w:cs="Garamond"/>
        </w:rPr>
        <w:t xml:space="preserve">, </w:t>
      </w:r>
      <w:r w:rsidR="00463DF1" w:rsidRPr="00640A1D">
        <w:rPr>
          <w:rFonts w:eastAsia="Garamond" w:cs="Garamond"/>
        </w:rPr>
        <w:t xml:space="preserve">without which </w:t>
      </w:r>
      <w:r w:rsidR="001C7BE2" w:rsidRPr="00640A1D">
        <w:rPr>
          <w:rFonts w:eastAsia="Garamond" w:cs="Garamond"/>
        </w:rPr>
        <w:t>the I</w:t>
      </w:r>
      <w:r w:rsidR="0028109C" w:rsidRPr="00640A1D">
        <w:rPr>
          <w:rFonts w:eastAsia="Garamond" w:cs="Garamond"/>
        </w:rPr>
        <w:t>NMA may provide the impression of committing the base-rate fallacy</w:t>
      </w:r>
      <w:r w:rsidR="00611B83" w:rsidRPr="00640A1D">
        <w:rPr>
          <w:rFonts w:eastAsia="Garamond" w:cs="Garamond"/>
        </w:rPr>
        <w:t xml:space="preserve">. By placing it explicitly within the argument, anti-realists are free to reject it qua premise, and realists are </w:t>
      </w:r>
      <w:r w:rsidR="0028109C" w:rsidRPr="00640A1D">
        <w:rPr>
          <w:rFonts w:eastAsia="Garamond" w:cs="Garamond"/>
        </w:rPr>
        <w:t>obligated</w:t>
      </w:r>
      <w:r w:rsidR="00611B83" w:rsidRPr="00640A1D">
        <w:rPr>
          <w:rFonts w:eastAsia="Garamond" w:cs="Garamond"/>
        </w:rPr>
        <w:t xml:space="preserve"> </w:t>
      </w:r>
      <w:r w:rsidR="0028109C" w:rsidRPr="00640A1D">
        <w:rPr>
          <w:rFonts w:eastAsia="Garamond" w:cs="Garamond"/>
        </w:rPr>
        <w:t>to defend it</w:t>
      </w:r>
      <w:r w:rsidR="00611B83" w:rsidRPr="00640A1D">
        <w:rPr>
          <w:rFonts w:eastAsia="Garamond" w:cs="Garamond"/>
        </w:rPr>
        <w:t xml:space="preserve">. </w:t>
      </w:r>
    </w:p>
    <w:p w14:paraId="1C3398D9" w14:textId="190DE270" w:rsidR="00CD5608" w:rsidRPr="00640A1D" w:rsidRDefault="00352E7A" w:rsidP="771BD270">
      <w:pPr>
        <w:ind w:firstLine="720"/>
        <w:rPr>
          <w:rFonts w:eastAsia="Garamond" w:cs="Garamond"/>
        </w:rPr>
      </w:pPr>
      <w:r w:rsidRPr="00640A1D">
        <w:rPr>
          <w:rFonts w:eastAsia="Garamond" w:cs="Garamond"/>
        </w:rPr>
        <w:t>Choice of prior probability here is thought to be somewhat arbitrary, and therefore an intractable point of argument between realists and anti-realists.</w:t>
      </w:r>
      <w:r w:rsidR="00972B3E" w:rsidRPr="00640A1D">
        <w:rPr>
          <w:rStyle w:val="FootnoteReference"/>
          <w:rFonts w:eastAsia="Garamond" w:cs="Garamond"/>
        </w:rPr>
        <w:footnoteReference w:id="15"/>
      </w:r>
      <w:r w:rsidRPr="00640A1D">
        <w:rPr>
          <w:rFonts w:eastAsia="Garamond" w:cs="Garamond"/>
        </w:rPr>
        <w:t xml:space="preserve"> Interestingly</w:t>
      </w:r>
      <w:r w:rsidR="00611B83" w:rsidRPr="00640A1D">
        <w:rPr>
          <w:rFonts w:eastAsia="Garamond" w:cs="Garamond"/>
        </w:rPr>
        <w:t xml:space="preserve">, G&amp;G </w:t>
      </w:r>
      <w:r w:rsidR="0028109C" w:rsidRPr="00640A1D">
        <w:rPr>
          <w:rFonts w:eastAsia="Garamond" w:cs="Garamond"/>
        </w:rPr>
        <w:t>implicitly</w:t>
      </w:r>
      <w:r w:rsidR="001F5FEF" w:rsidRPr="00640A1D">
        <w:rPr>
          <w:rFonts w:eastAsia="Garamond" w:cs="Garamond"/>
        </w:rPr>
        <w:t xml:space="preserve"> provide a novel</w:t>
      </w:r>
      <w:r w:rsidR="0028109C" w:rsidRPr="00640A1D">
        <w:rPr>
          <w:rFonts w:eastAsia="Garamond" w:cs="Garamond"/>
        </w:rPr>
        <w:t xml:space="preserve"> </w:t>
      </w:r>
      <w:r w:rsidR="00611B83" w:rsidRPr="00640A1D">
        <w:rPr>
          <w:rFonts w:eastAsia="Garamond" w:cs="Garamond"/>
        </w:rPr>
        <w:t>argu</w:t>
      </w:r>
      <w:r w:rsidR="001F5FEF" w:rsidRPr="00640A1D">
        <w:rPr>
          <w:rFonts w:eastAsia="Garamond" w:cs="Garamond"/>
        </w:rPr>
        <w:t>ment for (P5)</w:t>
      </w:r>
      <w:r w:rsidR="0028109C" w:rsidRPr="00640A1D">
        <w:rPr>
          <w:rFonts w:eastAsia="Garamond" w:cs="Garamond"/>
        </w:rPr>
        <w:t>.</w:t>
      </w:r>
      <w:r w:rsidR="00810903" w:rsidRPr="00640A1D">
        <w:rPr>
          <w:rFonts w:eastAsia="Garamond" w:cs="Garamond"/>
        </w:rPr>
        <w:t xml:space="preserve"> </w:t>
      </w:r>
      <w:r w:rsidR="00611B83" w:rsidRPr="00640A1D">
        <w:rPr>
          <w:rFonts w:eastAsia="Garamond" w:cs="Garamond"/>
        </w:rPr>
        <w:t xml:space="preserve">G&amp;G note that one </w:t>
      </w:r>
      <w:r w:rsidR="00810903" w:rsidRPr="00640A1D">
        <w:rPr>
          <w:rFonts w:eastAsia="Garamond" w:cs="Garamond"/>
        </w:rPr>
        <w:t>principled</w:t>
      </w:r>
      <w:r w:rsidR="00611B83" w:rsidRPr="00640A1D">
        <w:rPr>
          <w:rFonts w:eastAsia="Garamond" w:cs="Garamond"/>
        </w:rPr>
        <w:t xml:space="preserve"> reason for believing that empirically adequate theories have no relation to the truth is the problem of underdetermination of theory by evidence. </w:t>
      </w:r>
      <w:r w:rsidR="0028109C" w:rsidRPr="00640A1D">
        <w:rPr>
          <w:rFonts w:eastAsia="Garamond" w:cs="Garamond"/>
        </w:rPr>
        <w:t>T</w:t>
      </w:r>
      <w:r w:rsidR="00611B83" w:rsidRPr="00640A1D">
        <w:rPr>
          <w:rFonts w:eastAsia="Garamond" w:cs="Garamond"/>
        </w:rPr>
        <w:t>here are infinitely many</w:t>
      </w:r>
      <w:r w:rsidR="0028109C" w:rsidRPr="00640A1D">
        <w:rPr>
          <w:rFonts w:eastAsia="Garamond" w:cs="Garamond"/>
        </w:rPr>
        <w:t xml:space="preserve"> logically possible</w:t>
      </w:r>
      <w:r w:rsidR="00611B83" w:rsidRPr="00640A1D">
        <w:rPr>
          <w:rFonts w:eastAsia="Garamond" w:cs="Garamond"/>
        </w:rPr>
        <w:t xml:space="preserve"> theories that are empirically adequate, only one of which is true. </w:t>
      </w:r>
      <w:r w:rsidRPr="00640A1D">
        <w:rPr>
          <w:rFonts w:eastAsia="Garamond" w:cs="Garamond"/>
        </w:rPr>
        <w:t xml:space="preserve">Because the true theory is one among infinitely many adequate ones, the probability assigned to any </w:t>
      </w:r>
      <w:proofErr w:type="gramStart"/>
      <w:r w:rsidRPr="00640A1D">
        <w:rPr>
          <w:rFonts w:eastAsia="Garamond" w:cs="Garamond"/>
        </w:rPr>
        <w:t>particular theory</w:t>
      </w:r>
      <w:proofErr w:type="gramEnd"/>
      <w:r w:rsidRPr="00640A1D">
        <w:rPr>
          <w:rFonts w:eastAsia="Garamond" w:cs="Garamond"/>
        </w:rPr>
        <w:t xml:space="preserve"> being true approaches zero. </w:t>
      </w:r>
      <w:r w:rsidR="00611B83" w:rsidRPr="00640A1D">
        <w:rPr>
          <w:rFonts w:eastAsia="Garamond" w:cs="Garamond"/>
        </w:rPr>
        <w:t xml:space="preserve">Thus, that we have </w:t>
      </w:r>
      <w:r w:rsidR="00611B83" w:rsidRPr="00640A1D">
        <w:rPr>
          <w:rFonts w:eastAsia="Garamond" w:cs="Garamond"/>
          <w:i/>
          <w:iCs/>
        </w:rPr>
        <w:t>an</w:t>
      </w:r>
      <w:r w:rsidR="00611B83" w:rsidRPr="00640A1D">
        <w:rPr>
          <w:rFonts w:eastAsia="Garamond" w:cs="Garamond"/>
        </w:rPr>
        <w:t xml:space="preserve"> empirically adequate theory does not move us, evidentially speaking, because the chances the empirically adequate theory we have is </w:t>
      </w:r>
      <w:r w:rsidR="00810903" w:rsidRPr="00640A1D">
        <w:rPr>
          <w:rFonts w:eastAsia="Garamond" w:cs="Garamond"/>
        </w:rPr>
        <w:t>infinitesimal</w:t>
      </w:r>
      <w:r w:rsidR="00611B83" w:rsidRPr="00640A1D">
        <w:rPr>
          <w:rFonts w:eastAsia="Garamond" w:cs="Garamond"/>
        </w:rPr>
        <w:t xml:space="preserve">. </w:t>
      </w:r>
    </w:p>
    <w:p w14:paraId="3BEFACE5" w14:textId="6E0B1953" w:rsidR="00611B83" w:rsidRPr="00640A1D" w:rsidRDefault="00180E63" w:rsidP="771BD270">
      <w:pPr>
        <w:ind w:firstLine="720"/>
        <w:rPr>
          <w:rFonts w:eastAsia="Garamond" w:cs="Garamond"/>
        </w:rPr>
      </w:pPr>
      <w:r w:rsidRPr="00640A1D">
        <w:rPr>
          <w:rFonts w:eastAsia="Garamond" w:cs="Garamond"/>
        </w:rPr>
        <w:t xml:space="preserve">G&amp;G suggest an alternative </w:t>
      </w:r>
      <w:r w:rsidR="00B86BAB" w:rsidRPr="00640A1D">
        <w:rPr>
          <w:rFonts w:eastAsia="Garamond" w:cs="Garamond"/>
        </w:rPr>
        <w:t>reference class</w:t>
      </w:r>
      <w:r w:rsidRPr="00640A1D">
        <w:rPr>
          <w:rFonts w:eastAsia="Garamond" w:cs="Garamond"/>
        </w:rPr>
        <w:t xml:space="preserve">. Instead of sampling from the infinitely many abstract theories, </w:t>
      </w:r>
      <w:r w:rsidR="00992C76">
        <w:rPr>
          <w:rFonts w:eastAsia="Garamond" w:cs="Garamond"/>
        </w:rPr>
        <w:t>we</w:t>
      </w:r>
      <w:r w:rsidR="00992C76" w:rsidRPr="00640A1D">
        <w:rPr>
          <w:rFonts w:eastAsia="Garamond" w:cs="Garamond"/>
        </w:rPr>
        <w:t xml:space="preserve"> </w:t>
      </w:r>
      <w:r w:rsidRPr="00640A1D">
        <w:rPr>
          <w:rFonts w:eastAsia="Garamond" w:cs="Garamond"/>
        </w:rPr>
        <w:t>suggest</w:t>
      </w:r>
      <w:r w:rsidR="00992C76">
        <w:rPr>
          <w:rFonts w:eastAsia="Garamond" w:cs="Garamond"/>
        </w:rPr>
        <w:t>ed</w:t>
      </w:r>
      <w:r w:rsidRPr="00640A1D">
        <w:rPr>
          <w:rFonts w:eastAsia="Garamond" w:cs="Garamond"/>
        </w:rPr>
        <w:t xml:space="preserve"> sampling from the finitely many </w:t>
      </w:r>
      <w:r w:rsidR="0028109C" w:rsidRPr="00640A1D">
        <w:rPr>
          <w:rFonts w:eastAsia="Garamond" w:cs="Garamond"/>
        </w:rPr>
        <w:t>“</w:t>
      </w:r>
      <w:r w:rsidRPr="00640A1D">
        <w:rPr>
          <w:rFonts w:eastAsia="Garamond" w:cs="Garamond"/>
        </w:rPr>
        <w:t>concrete</w:t>
      </w:r>
      <w:r w:rsidR="0028109C" w:rsidRPr="00640A1D">
        <w:rPr>
          <w:rFonts w:eastAsia="Garamond" w:cs="Garamond"/>
        </w:rPr>
        <w:t xml:space="preserve"> reasoning events” (G&amp;G §3.5)—</w:t>
      </w:r>
      <w:proofErr w:type="gramStart"/>
      <w:r w:rsidRPr="00640A1D">
        <w:rPr>
          <w:rFonts w:eastAsia="Garamond" w:cs="Garamond"/>
        </w:rPr>
        <w:t>theories</w:t>
      </w:r>
      <w:r w:rsidR="0028109C" w:rsidRPr="00640A1D">
        <w:rPr>
          <w:rFonts w:eastAsia="Garamond" w:cs="Garamond"/>
        </w:rPr>
        <w:t xml:space="preserve"> actually</w:t>
      </w:r>
      <w:proofErr w:type="gramEnd"/>
      <w:r w:rsidR="00522AB2" w:rsidRPr="00640A1D">
        <w:rPr>
          <w:rFonts w:eastAsia="Garamond" w:cs="Garamond"/>
        </w:rPr>
        <w:t xml:space="preserve"> (rather than merely possibly)</w:t>
      </w:r>
      <w:r w:rsidR="0028109C" w:rsidRPr="00640A1D">
        <w:rPr>
          <w:rFonts w:eastAsia="Garamond" w:cs="Garamond"/>
        </w:rPr>
        <w:t xml:space="preserve"> </w:t>
      </w:r>
      <w:r w:rsidRPr="00640A1D">
        <w:rPr>
          <w:rFonts w:eastAsia="Garamond" w:cs="Garamond"/>
        </w:rPr>
        <w:t xml:space="preserve">proposed by scientists. This moves the infinitesimal prior to a much more manageable finite probability, however small. This is crucial for </w:t>
      </w:r>
      <w:r w:rsidR="00992C76">
        <w:rPr>
          <w:rFonts w:eastAsia="Garamond" w:cs="Garamond"/>
        </w:rPr>
        <w:t>our</w:t>
      </w:r>
      <w:r w:rsidR="00992C76" w:rsidRPr="00640A1D">
        <w:rPr>
          <w:rFonts w:eastAsia="Garamond" w:cs="Garamond"/>
        </w:rPr>
        <w:t xml:space="preserve"> </w:t>
      </w:r>
      <w:r w:rsidRPr="00640A1D">
        <w:rPr>
          <w:rFonts w:eastAsia="Garamond" w:cs="Garamond"/>
        </w:rPr>
        <w:t>later argument</w:t>
      </w:r>
      <w:r w:rsidR="0028109C" w:rsidRPr="00640A1D">
        <w:rPr>
          <w:rFonts w:eastAsia="Garamond" w:cs="Garamond"/>
        </w:rPr>
        <w:t xml:space="preserve"> aimed more explicitly at the base rate fallacy</w:t>
      </w:r>
      <w:r w:rsidR="00FE230B" w:rsidRPr="00640A1D">
        <w:rPr>
          <w:rFonts w:eastAsia="Garamond" w:cs="Garamond"/>
        </w:rPr>
        <w:t xml:space="preserve">, where the difference between “very </w:t>
      </w:r>
      <w:r w:rsidR="00FE230B" w:rsidRPr="00640A1D">
        <w:rPr>
          <w:rFonts w:eastAsia="Garamond" w:cs="Garamond"/>
        </w:rPr>
        <w:lastRenderedPageBreak/>
        <w:t>low” and “</w:t>
      </w:r>
      <w:proofErr w:type="spellStart"/>
      <w:r w:rsidR="00FE230B" w:rsidRPr="00640A1D">
        <w:rPr>
          <w:rFonts w:eastAsia="Garamond" w:cs="Garamond"/>
        </w:rPr>
        <w:t>Pr</w:t>
      </w:r>
      <w:proofErr w:type="spellEnd"/>
      <w:r w:rsidR="00FE230B" w:rsidRPr="00640A1D">
        <w:rPr>
          <w:rFonts w:eastAsia="Garamond" w:cs="Garamond"/>
        </w:rPr>
        <w:t>(</w:t>
      </w:r>
      <w:r w:rsidR="00992C76">
        <w:rPr>
          <w:rFonts w:eastAsia="Garamond" w:cs="Garamond"/>
        </w:rPr>
        <w:t>¬</w:t>
      </w:r>
      <w:r w:rsidR="00FE230B" w:rsidRPr="00640A1D">
        <w:rPr>
          <w:rFonts w:eastAsia="Garamond" w:cs="Garamond"/>
        </w:rPr>
        <w:t xml:space="preserve">T) </w:t>
      </w:r>
      <w:r w:rsidR="00FE230B" w:rsidRPr="00640A1D">
        <w:rPr>
          <w:rFonts w:eastAsia="Garamond"/>
        </w:rPr>
        <w:t xml:space="preserve">≈ 1” is importantly different. G&amp;G argue that even granting that a false theory a high base rate of success and a low prior probability of the theory being true can eventually be overwhelmed </w:t>
      </w:r>
      <w:r w:rsidRPr="00640A1D">
        <w:rPr>
          <w:rFonts w:eastAsia="Garamond" w:cs="Garamond"/>
        </w:rPr>
        <w:t>by iterat</w:t>
      </w:r>
      <w:r w:rsidR="00FE230B" w:rsidRPr="00640A1D">
        <w:rPr>
          <w:rFonts w:eastAsia="Garamond" w:cs="Garamond"/>
        </w:rPr>
        <w:t>ed success (G&amp;G §4)</w:t>
      </w:r>
      <w:r w:rsidRPr="00640A1D">
        <w:rPr>
          <w:rFonts w:eastAsia="Garamond" w:cs="Garamond"/>
        </w:rPr>
        <w:t xml:space="preserve">. </w:t>
      </w:r>
      <w:r w:rsidR="0028109C" w:rsidRPr="00640A1D">
        <w:rPr>
          <w:rFonts w:eastAsia="Garamond" w:cs="Garamond"/>
        </w:rPr>
        <w:t>Given G&amp;G’s focus on a probabilistic argument (bracketing their deductive framing), th</w:t>
      </w:r>
      <w:r w:rsidR="001F5FEF" w:rsidRPr="00640A1D">
        <w:rPr>
          <w:rFonts w:eastAsia="Garamond" w:cs="Garamond"/>
        </w:rPr>
        <w:t>e move to focus on concrete reasoning events is</w:t>
      </w:r>
      <w:r w:rsidR="0028109C" w:rsidRPr="00640A1D">
        <w:rPr>
          <w:rFonts w:eastAsia="Garamond" w:cs="Garamond"/>
        </w:rPr>
        <w:t xml:space="preserve"> one of the most important arguments of their </w:t>
      </w:r>
      <w:r w:rsidR="00FF37C5" w:rsidRPr="00640A1D">
        <w:rPr>
          <w:rFonts w:eastAsia="Garamond" w:cs="Garamond"/>
        </w:rPr>
        <w:t>project</w:t>
      </w:r>
      <w:r w:rsidR="0028109C" w:rsidRPr="00640A1D">
        <w:rPr>
          <w:rFonts w:eastAsia="Garamond" w:cs="Garamond"/>
        </w:rPr>
        <w:t xml:space="preserve">. </w:t>
      </w:r>
      <w:r w:rsidR="00FF37C5" w:rsidRPr="00640A1D">
        <w:rPr>
          <w:rFonts w:eastAsia="Garamond" w:cs="Garamond"/>
        </w:rPr>
        <w:t>I suspect the</w:t>
      </w:r>
      <w:r w:rsidR="00810903" w:rsidRPr="00640A1D">
        <w:rPr>
          <w:rFonts w:eastAsia="Garamond" w:cs="Garamond"/>
        </w:rPr>
        <w:t xml:space="preserve"> argument as I’ve reconstructed it</w:t>
      </w:r>
      <w:r w:rsidR="00FF37C5" w:rsidRPr="00640A1D">
        <w:rPr>
          <w:rFonts w:eastAsia="Garamond" w:cs="Garamond"/>
        </w:rPr>
        <w:t xml:space="preserve"> stands or falls on the ability to provide novel and convincing defenses of (P5).</w:t>
      </w:r>
      <w:r w:rsidR="00FF37C5" w:rsidRPr="00640A1D">
        <w:rPr>
          <w:rStyle w:val="FootnoteReference"/>
          <w:rFonts w:eastAsia="Garamond" w:cs="Garamond"/>
        </w:rPr>
        <w:footnoteReference w:id="16"/>
      </w:r>
    </w:p>
    <w:p w14:paraId="31B9A630" w14:textId="2DE9D586" w:rsidR="00DD21E1" w:rsidRPr="00640A1D" w:rsidRDefault="00DD21E1" w:rsidP="00DD21E1">
      <w:pPr>
        <w:ind w:firstLine="720"/>
        <w:rPr>
          <w:rFonts w:eastAsia="Garamond"/>
        </w:rPr>
      </w:pPr>
      <w:r w:rsidRPr="00640A1D">
        <w:rPr>
          <w:rFonts w:eastAsia="Garamond"/>
        </w:rPr>
        <w:t>That each of these premises are moves that G&amp;G defen</w:t>
      </w:r>
      <w:r w:rsidR="00EC57C4">
        <w:rPr>
          <w:rFonts w:eastAsia="Garamond"/>
        </w:rPr>
        <w:t>d</w:t>
      </w:r>
      <w:r w:rsidRPr="00640A1D">
        <w:rPr>
          <w:rFonts w:eastAsia="Garamond"/>
        </w:rPr>
        <w:t xml:space="preserve">, I conclude, is evidence that the argument’s </w:t>
      </w:r>
      <w:r w:rsidRPr="00640A1D">
        <w:rPr>
          <w:rFonts w:eastAsia="Garamond"/>
          <w:i/>
          <w:iCs/>
        </w:rPr>
        <w:t>structure</w:t>
      </w:r>
      <w:r w:rsidRPr="00640A1D">
        <w:rPr>
          <w:rFonts w:eastAsia="Garamond"/>
        </w:rPr>
        <w:t xml:space="preserve"> has been well-rescued; whatever the merits of the </w:t>
      </w:r>
      <w:r w:rsidRPr="00640A1D">
        <w:rPr>
          <w:rFonts w:eastAsia="Garamond"/>
          <w:i/>
          <w:iCs/>
        </w:rPr>
        <w:t>premises</w:t>
      </w:r>
      <w:r w:rsidRPr="00640A1D">
        <w:rPr>
          <w:rFonts w:eastAsia="Garamond"/>
        </w:rPr>
        <w:t xml:space="preserve"> of any given NMA, it is important that it appropriately guides discussion of the argument. </w:t>
      </w:r>
    </w:p>
    <w:p w14:paraId="55984169" w14:textId="0BFA3223" w:rsidR="00C85877" w:rsidRPr="00640A1D" w:rsidRDefault="00180E63" w:rsidP="02407065">
      <w:pPr>
        <w:ind w:firstLine="720"/>
        <w:rPr>
          <w:rFonts w:eastAsia="Garamond" w:cs="Garamond"/>
        </w:rPr>
      </w:pPr>
      <w:r w:rsidRPr="00640A1D">
        <w:rPr>
          <w:rFonts w:eastAsia="Garamond"/>
        </w:rPr>
        <w:t>Lee provided two objections</w:t>
      </w:r>
      <w:r w:rsidRPr="00640A1D">
        <w:rPr>
          <w:rFonts w:eastAsia="Garamond" w:cs="Garamond"/>
        </w:rPr>
        <w:t xml:space="preserve"> to G&amp;G’s argumentative structure. </w:t>
      </w:r>
      <w:r w:rsidR="02407065" w:rsidRPr="00640A1D">
        <w:rPr>
          <w:rFonts w:eastAsia="Garamond"/>
        </w:rPr>
        <w:t>First</w:t>
      </w:r>
      <w:r w:rsidR="00204F02" w:rsidRPr="00640A1D">
        <w:rPr>
          <w:rFonts w:eastAsia="Garamond"/>
        </w:rPr>
        <w:t>:</w:t>
      </w:r>
      <w:r w:rsidR="02407065" w:rsidRPr="00640A1D">
        <w:rPr>
          <w:rFonts w:eastAsia="Garamond"/>
        </w:rPr>
        <w:t xml:space="preserve"> “</w:t>
      </w:r>
      <w:r w:rsidR="02407065" w:rsidRPr="00640A1D">
        <w:t xml:space="preserve">Saying that </w:t>
      </w:r>
      <w:proofErr w:type="spellStart"/>
      <w:r w:rsidR="02407065" w:rsidRPr="00640A1D">
        <w:t>Pr</w:t>
      </w:r>
      <w:proofErr w:type="spellEnd"/>
      <w:r w:rsidR="02407065" w:rsidRPr="00640A1D">
        <w:t xml:space="preserve">(p)is prohibitively low merely indicates that p is extremely unlikely; it does not entail the stronger consequences that come with </w:t>
      </w:r>
      <w:proofErr w:type="spellStart"/>
      <w:r w:rsidR="02407065" w:rsidRPr="00640A1D">
        <w:t>Pr</w:t>
      </w:r>
      <w:proofErr w:type="spellEnd"/>
      <w:r w:rsidR="02407065" w:rsidRPr="00640A1D">
        <w:t>(p) =</w:t>
      </w:r>
      <w:r w:rsidR="00842620" w:rsidRPr="00640A1D">
        <w:t xml:space="preserve"> </w:t>
      </w:r>
      <w:r w:rsidR="02407065" w:rsidRPr="00640A1D">
        <w:t xml:space="preserve">0—namely, </w:t>
      </w:r>
      <w:proofErr w:type="spellStart"/>
      <w:r w:rsidR="02407065" w:rsidRPr="00640A1D">
        <w:t>Pr</w:t>
      </w:r>
      <w:proofErr w:type="spellEnd"/>
      <w:r w:rsidR="02407065" w:rsidRPr="00640A1D">
        <w:t>(</w:t>
      </w:r>
      <w:proofErr w:type="spellStart"/>
      <w:r w:rsidR="02407065" w:rsidRPr="00640A1D">
        <w:t>q|p</w:t>
      </w:r>
      <w:proofErr w:type="spellEnd"/>
      <w:r w:rsidR="02407065" w:rsidRPr="00640A1D">
        <w:t xml:space="preserve">) is undefined, </w:t>
      </w:r>
      <w:proofErr w:type="spellStart"/>
      <w:r w:rsidR="02407065" w:rsidRPr="00640A1D">
        <w:t>Pr</w:t>
      </w:r>
      <w:proofErr w:type="spellEnd"/>
      <w:r w:rsidR="02407065" w:rsidRPr="00640A1D">
        <w:t>(</w:t>
      </w:r>
      <w:proofErr w:type="spellStart"/>
      <w:r w:rsidR="02407065" w:rsidRPr="00640A1D">
        <w:t>p|q</w:t>
      </w:r>
      <w:proofErr w:type="spellEnd"/>
      <w:r w:rsidR="02407065" w:rsidRPr="00640A1D">
        <w:t xml:space="preserve">) = </w:t>
      </w:r>
      <w:proofErr w:type="spellStart"/>
      <w:r w:rsidR="02407065" w:rsidRPr="00640A1D">
        <w:t>Pr</w:t>
      </w:r>
      <w:proofErr w:type="spellEnd"/>
      <w:r w:rsidR="02407065" w:rsidRPr="00640A1D">
        <w:t>(</w:t>
      </w:r>
      <w:proofErr w:type="spellStart"/>
      <w:r w:rsidR="02407065" w:rsidRPr="00640A1D">
        <w:t>q|p</w:t>
      </w:r>
      <w:proofErr w:type="spellEnd"/>
      <w:r w:rsidR="02407065" w:rsidRPr="00640A1D">
        <w:t xml:space="preserve">) = </w:t>
      </w:r>
      <w:proofErr w:type="spellStart"/>
      <w:r w:rsidR="02407065" w:rsidRPr="00640A1D">
        <w:t>Pr</w:t>
      </w:r>
      <w:proofErr w:type="spellEnd"/>
      <w:r w:rsidR="02407065" w:rsidRPr="00640A1D">
        <w:t xml:space="preserve">(p &amp; q) = 0, </w:t>
      </w:r>
      <w:proofErr w:type="spellStart"/>
      <w:r w:rsidR="02407065" w:rsidRPr="00640A1D">
        <w:t>Pr</w:t>
      </w:r>
      <w:proofErr w:type="spellEnd"/>
      <w:r w:rsidR="02407065" w:rsidRPr="00640A1D">
        <w:t>(</w:t>
      </w:r>
      <w:r w:rsidR="00992C76">
        <w:t>¬</w:t>
      </w:r>
      <w:r w:rsidR="02407065" w:rsidRPr="00640A1D">
        <w:t xml:space="preserve">p) = 1, </w:t>
      </w:r>
      <w:proofErr w:type="spellStart"/>
      <w:r w:rsidR="02407065" w:rsidRPr="00640A1D">
        <w:t>Pr</w:t>
      </w:r>
      <w:proofErr w:type="spellEnd"/>
      <w:r w:rsidR="02407065" w:rsidRPr="00640A1D">
        <w:t>(q|</w:t>
      </w:r>
      <w:r w:rsidR="00992C76">
        <w:t>¬</w:t>
      </w:r>
      <w:r w:rsidR="02407065" w:rsidRPr="00640A1D">
        <w:t xml:space="preserve">p) = </w:t>
      </w:r>
      <w:proofErr w:type="spellStart"/>
      <w:r w:rsidR="02407065" w:rsidRPr="00640A1D">
        <w:t>Pr</w:t>
      </w:r>
      <w:proofErr w:type="spellEnd"/>
      <w:r w:rsidR="02407065" w:rsidRPr="00640A1D">
        <w:t>(q), and so on” (6). Here, the stipulat</w:t>
      </w:r>
      <w:r w:rsidR="007E577E" w:rsidRPr="00640A1D">
        <w:t xml:space="preserve">ions </w:t>
      </w:r>
      <w:r w:rsidR="02407065" w:rsidRPr="00640A1D">
        <w:t xml:space="preserve">of </w:t>
      </w:r>
      <w:proofErr w:type="spellStart"/>
      <w:r w:rsidR="02407065" w:rsidRPr="00640A1D">
        <w:t>Pr</w:t>
      </w:r>
      <w:proofErr w:type="spellEnd"/>
      <w:r w:rsidR="02407065" w:rsidRPr="00640A1D">
        <w:t xml:space="preserve">(p) </w:t>
      </w:r>
      <w:r w:rsidR="02407065" w:rsidRPr="00640A1D">
        <w:rPr>
          <w:rFonts w:eastAsia="Garamond" w:cs="Garamond"/>
        </w:rPr>
        <w:t>≈ 0 prevent these stronger consequences. It</w:t>
      </w:r>
      <w:r w:rsidR="00165A39" w:rsidRPr="00640A1D">
        <w:rPr>
          <w:rFonts w:eastAsia="Garamond" w:cs="Garamond"/>
        </w:rPr>
        <w:t>’</w:t>
      </w:r>
      <w:r w:rsidR="02407065" w:rsidRPr="00640A1D">
        <w:rPr>
          <w:rFonts w:eastAsia="Garamond" w:cs="Garamond"/>
        </w:rPr>
        <w:t xml:space="preserve">s true that while </w:t>
      </w:r>
      <w:proofErr w:type="spellStart"/>
      <w:r w:rsidR="02407065" w:rsidRPr="00640A1D">
        <w:t>Pr</w:t>
      </w:r>
      <w:proofErr w:type="spellEnd"/>
      <w:r w:rsidR="02407065" w:rsidRPr="00640A1D">
        <w:t xml:space="preserve">(p) </w:t>
      </w:r>
      <w:r w:rsidR="02407065" w:rsidRPr="00640A1D">
        <w:rPr>
          <w:rFonts w:eastAsia="Garamond" w:cs="Garamond"/>
        </w:rPr>
        <w:t xml:space="preserve">≈ 0 means that </w:t>
      </w:r>
      <w:proofErr w:type="spellStart"/>
      <w:r w:rsidR="02407065" w:rsidRPr="00640A1D">
        <w:rPr>
          <w:rFonts w:eastAsia="Garamond" w:cs="Garamond"/>
        </w:rPr>
        <w:t>Pr</w:t>
      </w:r>
      <w:proofErr w:type="spellEnd"/>
      <w:r w:rsidR="02407065" w:rsidRPr="00640A1D">
        <w:rPr>
          <w:rFonts w:eastAsia="Garamond" w:cs="Garamond"/>
        </w:rPr>
        <w:t>(</w:t>
      </w:r>
      <w:r w:rsidR="00992C76">
        <w:rPr>
          <w:rFonts w:eastAsia="Garamond" w:cs="Garamond"/>
        </w:rPr>
        <w:t>¬</w:t>
      </w:r>
      <w:r w:rsidR="02407065" w:rsidRPr="00640A1D">
        <w:rPr>
          <w:rFonts w:eastAsia="Garamond" w:cs="Garamond"/>
        </w:rPr>
        <w:t>p)</w:t>
      </w:r>
      <w:r w:rsidR="02407065" w:rsidRPr="00640A1D">
        <w:t xml:space="preserve"> </w:t>
      </w:r>
      <w:r w:rsidR="02407065" w:rsidRPr="00640A1D">
        <w:rPr>
          <w:rFonts w:eastAsia="Garamond" w:cs="Garamond"/>
        </w:rPr>
        <w:t>≈ 1, the rest does not stand—</w:t>
      </w:r>
      <w:proofErr w:type="spellStart"/>
      <w:r w:rsidR="02407065" w:rsidRPr="00640A1D">
        <w:rPr>
          <w:rFonts w:eastAsia="Garamond" w:cs="Garamond"/>
        </w:rPr>
        <w:t>Pr</w:t>
      </w:r>
      <w:proofErr w:type="spellEnd"/>
      <w:r w:rsidR="02407065" w:rsidRPr="00640A1D">
        <w:rPr>
          <w:rFonts w:eastAsia="Garamond" w:cs="Garamond"/>
        </w:rPr>
        <w:t>(</w:t>
      </w:r>
      <w:proofErr w:type="spellStart"/>
      <w:r w:rsidR="02407065" w:rsidRPr="00640A1D">
        <w:rPr>
          <w:rFonts w:eastAsia="Garamond" w:cs="Garamond"/>
        </w:rPr>
        <w:t>p|q</w:t>
      </w:r>
      <w:proofErr w:type="spellEnd"/>
      <w:r w:rsidR="02407065" w:rsidRPr="00640A1D">
        <w:rPr>
          <w:rFonts w:eastAsia="Garamond" w:cs="Garamond"/>
        </w:rPr>
        <w:t xml:space="preserve">) can be defined at an incredibly precise </w:t>
      </w:r>
      <w:proofErr w:type="gramStart"/>
      <w:r w:rsidR="02407065" w:rsidRPr="00640A1D">
        <w:rPr>
          <w:rFonts w:eastAsia="Garamond" w:cs="Garamond"/>
        </w:rPr>
        <w:t>level</w:t>
      </w:r>
      <w:proofErr w:type="gramEnd"/>
      <w:r w:rsidR="02407065" w:rsidRPr="00640A1D">
        <w:rPr>
          <w:rFonts w:eastAsia="Garamond" w:cs="Garamond"/>
        </w:rPr>
        <w:t xml:space="preserve"> if need be, though one </w:t>
      </w:r>
      <w:r w:rsidR="00503258" w:rsidRPr="00640A1D">
        <w:rPr>
          <w:rFonts w:eastAsia="Garamond" w:cs="Garamond"/>
        </w:rPr>
        <w:t>must recognize that</w:t>
      </w:r>
      <w:r w:rsidR="02407065" w:rsidRPr="00640A1D">
        <w:rPr>
          <w:rFonts w:eastAsia="Garamond" w:cs="Garamond"/>
        </w:rPr>
        <w:t xml:space="preserve"> definition as relatively arbitrary in the grand scheme of things. </w:t>
      </w:r>
    </w:p>
    <w:p w14:paraId="08C8DE43" w14:textId="2576FC0B" w:rsidR="00842620" w:rsidRPr="00640A1D" w:rsidRDefault="00842620" w:rsidP="59AB4BE5">
      <w:pPr>
        <w:ind w:firstLine="720"/>
        <w:rPr>
          <w:rFonts w:eastAsia="Garamond" w:cs="Garamond"/>
        </w:rPr>
      </w:pPr>
      <w:r w:rsidRPr="00640A1D">
        <w:t xml:space="preserve">Lee’s second concern is that </w:t>
      </w:r>
      <w:r w:rsidR="000B2313" w:rsidRPr="00640A1D">
        <w:t xml:space="preserve">by adding quantities that may be treated as zero repeatedly, one risks collapsing all probability assignments (6-7). </w:t>
      </w:r>
      <w:r w:rsidRPr="00640A1D">
        <w:t>As I mentioned earlier, however, this sort of argument only works if</w:t>
      </w:r>
      <w:r w:rsidR="000B2313" w:rsidRPr="00640A1D">
        <w:t xml:space="preserve"> </w:t>
      </w:r>
      <w:r w:rsidR="004F0E92" w:rsidRPr="00640A1D">
        <w:t>it is true</w:t>
      </w:r>
      <w:r w:rsidRPr="00640A1D">
        <w:t xml:space="preserve"> that </w:t>
      </w:r>
      <w:proofErr w:type="spellStart"/>
      <w:r w:rsidRPr="00640A1D">
        <w:t>Pr</w:t>
      </w:r>
      <w:proofErr w:type="spellEnd"/>
      <w:r w:rsidRPr="00640A1D">
        <w:t xml:space="preserve">(p) </w:t>
      </w:r>
      <w:r w:rsidRPr="00640A1D">
        <w:rPr>
          <w:rFonts w:eastAsia="Garamond" w:cs="Garamond"/>
        </w:rPr>
        <w:t>≈ 0</w:t>
      </w:r>
      <w:r w:rsidR="000B2313" w:rsidRPr="00640A1D">
        <w:rPr>
          <w:rFonts w:eastAsia="Garamond" w:cs="Garamond"/>
        </w:rPr>
        <w:t xml:space="preserve"> </w:t>
      </w:r>
      <w:r w:rsidR="000B2313" w:rsidRPr="00640A1D">
        <w:rPr>
          <w:i/>
          <w:iCs/>
        </w:rPr>
        <w:t>relative to the other relevant premises</w:t>
      </w:r>
      <w:r w:rsidRPr="00640A1D">
        <w:rPr>
          <w:rFonts w:eastAsia="Garamond" w:cs="Garamond"/>
        </w:rPr>
        <w:t xml:space="preserve">. Suppose that, for the purposes of arguments like the NMA, we are willing to grant that there is a probabilistic </w:t>
      </w:r>
      <w:r w:rsidRPr="00640A1D">
        <w:rPr>
          <w:rFonts w:eastAsia="Garamond" w:cs="Garamond"/>
        </w:rPr>
        <w:lastRenderedPageBreak/>
        <w:t xml:space="preserve">threshold </w:t>
      </w:r>
      <w:r w:rsidRPr="00640A1D">
        <w:rPr>
          <w:rFonts w:eastAsia="Garamond" w:cs="Garamond"/>
          <w:i/>
          <w:iCs/>
        </w:rPr>
        <w:t>x</w:t>
      </w:r>
      <w:r w:rsidRPr="00640A1D">
        <w:rPr>
          <w:rFonts w:eastAsia="Garamond" w:cs="Garamond"/>
        </w:rPr>
        <w:t xml:space="preserve"> such that if </w:t>
      </w:r>
      <w:proofErr w:type="spellStart"/>
      <w:r w:rsidRPr="00640A1D">
        <w:rPr>
          <w:rFonts w:eastAsia="Garamond" w:cs="Garamond"/>
        </w:rPr>
        <w:t>Pr</w:t>
      </w:r>
      <w:proofErr w:type="spellEnd"/>
      <w:r w:rsidRPr="00640A1D">
        <w:rPr>
          <w:rFonts w:eastAsia="Garamond" w:cs="Garamond"/>
        </w:rPr>
        <w:t xml:space="preserve">(p) = </w:t>
      </w:r>
      <w:r w:rsidRPr="00640A1D">
        <w:rPr>
          <w:rFonts w:eastAsia="Garamond" w:cs="Garamond"/>
          <w:i/>
          <w:iCs/>
        </w:rPr>
        <w:t>x</w:t>
      </w:r>
      <w:r w:rsidRPr="00640A1D">
        <w:rPr>
          <w:rFonts w:eastAsia="Garamond" w:cs="Garamond"/>
        </w:rPr>
        <w:t>, then it is the case that it is irrational to believe</w:t>
      </w:r>
      <w:r w:rsidRPr="00640A1D">
        <w:rPr>
          <w:rStyle w:val="FootnoteReference"/>
          <w:rFonts w:eastAsia="Garamond" w:cs="Garamond"/>
        </w:rPr>
        <w:footnoteReference w:id="17"/>
      </w:r>
      <w:r w:rsidRPr="00640A1D">
        <w:rPr>
          <w:rFonts w:eastAsia="Garamond" w:cs="Garamond"/>
        </w:rPr>
        <w:t xml:space="preserve"> that p. In such a case, we could shorthand and manipulate </w:t>
      </w:r>
      <w:proofErr w:type="spellStart"/>
      <w:r w:rsidRPr="00640A1D">
        <w:rPr>
          <w:rFonts w:eastAsia="Garamond" w:cs="Garamond"/>
        </w:rPr>
        <w:t>Pr</w:t>
      </w:r>
      <w:proofErr w:type="spellEnd"/>
      <w:r w:rsidRPr="00640A1D">
        <w:rPr>
          <w:rFonts w:eastAsia="Garamond" w:cs="Garamond"/>
        </w:rPr>
        <w:t xml:space="preserve">(p) as though it were zero, which I have defined as </w:t>
      </w:r>
      <w:proofErr w:type="spellStart"/>
      <w:r w:rsidRPr="00640A1D">
        <w:rPr>
          <w:rFonts w:eastAsia="Garamond" w:cs="Garamond"/>
        </w:rPr>
        <w:t>Pr</w:t>
      </w:r>
      <w:proofErr w:type="spellEnd"/>
      <w:r w:rsidRPr="00640A1D">
        <w:rPr>
          <w:rFonts w:eastAsia="Garamond" w:cs="Garamond"/>
        </w:rPr>
        <w:t xml:space="preserve">(p) ≈ 0. Now suppose that threshold for </w:t>
      </w:r>
      <w:r w:rsidRPr="00640A1D">
        <w:rPr>
          <w:rFonts w:eastAsia="Garamond" w:cs="Garamond"/>
          <w:i/>
          <w:iCs/>
        </w:rPr>
        <w:t>x</w:t>
      </w:r>
      <w:r w:rsidRPr="00640A1D">
        <w:rPr>
          <w:rFonts w:eastAsia="Garamond" w:cs="Garamond"/>
        </w:rPr>
        <w:t xml:space="preserve"> is 0.0001</w:t>
      </w:r>
      <w:r w:rsidR="00743C16" w:rsidRPr="00640A1D">
        <w:rPr>
          <w:rFonts w:eastAsia="Garamond" w:cs="Garamond"/>
        </w:rPr>
        <w:t xml:space="preserve">, and I begin Lee’s </w:t>
      </w:r>
      <w:r w:rsidR="000B2313" w:rsidRPr="00640A1D">
        <w:rPr>
          <w:rFonts w:eastAsia="Garamond" w:cs="Garamond"/>
        </w:rPr>
        <w:t>addition</w:t>
      </w:r>
      <w:r w:rsidR="00743C16" w:rsidRPr="00640A1D">
        <w:rPr>
          <w:rFonts w:eastAsia="Garamond" w:cs="Garamond"/>
        </w:rPr>
        <w:t xml:space="preserve">—if the probability for some event is 0.0001 is manipulable as though it were 0, </w:t>
      </w:r>
      <w:r w:rsidR="00743C16" w:rsidRPr="00640A1D">
        <w:rPr>
          <w:rFonts w:eastAsia="Garamond" w:cs="Garamond"/>
          <w:i/>
          <w:iCs/>
        </w:rPr>
        <w:t>a fort</w:t>
      </w:r>
      <w:r w:rsidR="0024651F" w:rsidRPr="00640A1D">
        <w:rPr>
          <w:rFonts w:eastAsia="Garamond" w:cs="Garamond"/>
          <w:i/>
          <w:iCs/>
        </w:rPr>
        <w:t>i</w:t>
      </w:r>
      <w:r w:rsidR="00743C16" w:rsidRPr="00640A1D">
        <w:rPr>
          <w:rFonts w:eastAsia="Garamond" w:cs="Garamond"/>
          <w:i/>
          <w:iCs/>
        </w:rPr>
        <w:t>ori</w:t>
      </w:r>
      <w:r w:rsidR="00743C16" w:rsidRPr="00640A1D">
        <w:rPr>
          <w:rFonts w:eastAsia="Garamond" w:cs="Garamond"/>
        </w:rPr>
        <w:t xml:space="preserve"> 0.00001 (an order of magnitude smaller) is manipulable as though it were 0. And 0 + 0 = 0. </w:t>
      </w:r>
      <w:r w:rsidR="00F727B3" w:rsidRPr="00640A1D">
        <w:rPr>
          <w:rFonts w:eastAsia="Garamond" w:cs="Garamond"/>
        </w:rPr>
        <w:t>A</w:t>
      </w:r>
      <w:r w:rsidR="00743C16" w:rsidRPr="00640A1D">
        <w:rPr>
          <w:rFonts w:eastAsia="Garamond" w:cs="Garamond"/>
        </w:rPr>
        <w:t>dding two things that can be treated as zero makes no difference</w:t>
      </w:r>
      <w:r w:rsidR="00F727B3" w:rsidRPr="00640A1D">
        <w:rPr>
          <w:rFonts w:eastAsia="Garamond" w:cs="Garamond"/>
        </w:rPr>
        <w:t>, s</w:t>
      </w:r>
      <w:r w:rsidR="00743C16" w:rsidRPr="00640A1D">
        <w:rPr>
          <w:rFonts w:eastAsia="Garamond" w:cs="Garamond"/>
        </w:rPr>
        <w:t xml:space="preserve">o adding 0.0001 and 0.00001 gives us 0.00011 with no issue. Continuing such manipulations provides us with an </w:t>
      </w:r>
      <w:r w:rsidR="00503258" w:rsidRPr="00640A1D">
        <w:rPr>
          <w:rFonts w:eastAsia="Garamond" w:cs="Garamond"/>
        </w:rPr>
        <w:t>ever-increasing</w:t>
      </w:r>
      <w:r w:rsidR="00743C16" w:rsidRPr="00640A1D">
        <w:rPr>
          <w:rFonts w:eastAsia="Garamond" w:cs="Garamond"/>
        </w:rPr>
        <w:t xml:space="preserve"> probability that entails that every probability assignment </w:t>
      </w:r>
      <w:r w:rsidR="000B2313" w:rsidRPr="00640A1D">
        <w:rPr>
          <w:rFonts w:eastAsia="Garamond" w:cs="Garamond"/>
        </w:rPr>
        <w:t xml:space="preserve">collapses: </w:t>
      </w:r>
      <w:r w:rsidR="00743C16" w:rsidRPr="00640A1D">
        <w:rPr>
          <w:rFonts w:eastAsia="Garamond" w:cs="Garamond"/>
        </w:rPr>
        <w:t>every probability assignment can be assigned to every</w:t>
      </w:r>
      <w:r w:rsidR="00503258" w:rsidRPr="00640A1D">
        <w:rPr>
          <w:rFonts w:eastAsia="Garamond" w:cs="Garamond"/>
        </w:rPr>
        <w:t xml:space="preserve"> other</w:t>
      </w:r>
      <w:r w:rsidR="00743C16" w:rsidRPr="00640A1D">
        <w:rPr>
          <w:rFonts w:eastAsia="Garamond" w:cs="Garamond"/>
        </w:rPr>
        <w:t xml:space="preserve"> possible probability assignment from </w:t>
      </w:r>
      <w:r w:rsidR="000B2313" w:rsidRPr="00640A1D">
        <w:rPr>
          <w:rFonts w:eastAsia="Garamond" w:cs="Garamond"/>
        </w:rPr>
        <w:t>[</w:t>
      </w:r>
      <w:r w:rsidR="00743C16" w:rsidRPr="00640A1D">
        <w:rPr>
          <w:rFonts w:eastAsia="Garamond" w:cs="Garamond"/>
        </w:rPr>
        <w:t>0-1</w:t>
      </w:r>
      <w:r w:rsidR="000B2313" w:rsidRPr="00640A1D">
        <w:rPr>
          <w:rFonts w:eastAsia="Garamond" w:cs="Garamond"/>
        </w:rPr>
        <w:t>]</w:t>
      </w:r>
      <w:r w:rsidR="00743C16" w:rsidRPr="00640A1D">
        <w:rPr>
          <w:rFonts w:eastAsia="Garamond" w:cs="Garamond"/>
        </w:rPr>
        <w:t xml:space="preserve">. But the </w:t>
      </w:r>
      <w:r w:rsidR="000B2313" w:rsidRPr="00640A1D">
        <w:rPr>
          <w:rFonts w:eastAsia="Garamond" w:cs="Garamond"/>
        </w:rPr>
        <w:t xml:space="preserve">definition </w:t>
      </w:r>
      <w:r w:rsidR="00743C16" w:rsidRPr="00640A1D">
        <w:rPr>
          <w:rFonts w:eastAsia="Garamond" w:cs="Garamond"/>
        </w:rPr>
        <w:t>of “≈”</w:t>
      </w:r>
      <w:r w:rsidR="000B2313" w:rsidRPr="00640A1D">
        <w:rPr>
          <w:rFonts w:eastAsia="Garamond" w:cs="Garamond"/>
        </w:rPr>
        <w:t xml:space="preserve"> </w:t>
      </w:r>
      <w:r w:rsidR="00743C16" w:rsidRPr="00640A1D">
        <w:rPr>
          <w:rFonts w:eastAsia="Garamond" w:cs="Garamond"/>
        </w:rPr>
        <w:t>fix</w:t>
      </w:r>
      <w:r w:rsidR="000B2313" w:rsidRPr="00640A1D">
        <w:rPr>
          <w:rFonts w:eastAsia="Garamond" w:cs="Garamond"/>
        </w:rPr>
        <w:t>es</w:t>
      </w:r>
      <w:r w:rsidR="00743C16" w:rsidRPr="00640A1D">
        <w:rPr>
          <w:rFonts w:eastAsia="Garamond" w:cs="Garamond"/>
        </w:rPr>
        <w:t xml:space="preserve"> the relative context. In the context we began with—that is, for the purposes of arguments like the NMA—the relevant threshold is 0.0001. When we get to the context of </w:t>
      </w:r>
      <w:r w:rsidR="00503258" w:rsidRPr="00640A1D">
        <w:rPr>
          <w:rFonts w:eastAsia="Garamond" w:cs="Garamond"/>
        </w:rPr>
        <w:t>S</w:t>
      </w:r>
      <w:r w:rsidR="00743C16" w:rsidRPr="00640A1D">
        <w:rPr>
          <w:rFonts w:eastAsia="Garamond" w:cs="Garamond"/>
        </w:rPr>
        <w:t>orites</w:t>
      </w:r>
      <w:r w:rsidR="000B2313" w:rsidRPr="00640A1D">
        <w:rPr>
          <w:rFonts w:eastAsia="Garamond" w:cs="Garamond"/>
        </w:rPr>
        <w:t>-type</w:t>
      </w:r>
      <w:r w:rsidR="00743C16" w:rsidRPr="00640A1D">
        <w:rPr>
          <w:rFonts w:eastAsia="Garamond" w:cs="Garamond"/>
        </w:rPr>
        <w:t xml:space="preserve"> paradoxes, however, we might reasonably think there is no reasonable threshold—one </w:t>
      </w:r>
      <w:r w:rsidR="00743C16" w:rsidRPr="00640A1D">
        <w:rPr>
          <w:rFonts w:eastAsia="Garamond" w:cs="Garamond"/>
          <w:i/>
          <w:iCs/>
        </w:rPr>
        <w:t>must</w:t>
      </w:r>
      <w:r w:rsidR="00743C16" w:rsidRPr="00640A1D">
        <w:rPr>
          <w:rFonts w:eastAsia="Garamond" w:cs="Garamond"/>
        </w:rPr>
        <w:t xml:space="preserve"> be as precise as possible, or all probability assignments will collapse.</w:t>
      </w:r>
      <w:r w:rsidR="00DC21CA" w:rsidRPr="00640A1D">
        <w:rPr>
          <w:rFonts w:eastAsia="Garamond" w:cs="Garamond"/>
        </w:rPr>
        <w:t xml:space="preserve"> </w:t>
      </w:r>
      <w:proofErr w:type="gramStart"/>
      <w:r w:rsidR="00DC21CA" w:rsidRPr="00640A1D">
        <w:rPr>
          <w:rFonts w:eastAsia="Garamond" w:cs="Garamond"/>
        </w:rPr>
        <w:t>So</w:t>
      </w:r>
      <w:proofErr w:type="gramEnd"/>
      <w:r w:rsidR="00DC21CA" w:rsidRPr="00640A1D">
        <w:rPr>
          <w:rFonts w:eastAsia="Garamond" w:cs="Garamond"/>
        </w:rPr>
        <w:t xml:space="preserve"> one should object that, given the context, the premise </w:t>
      </w:r>
      <w:proofErr w:type="spellStart"/>
      <w:r w:rsidR="00DC21CA" w:rsidRPr="00640A1D">
        <w:rPr>
          <w:rFonts w:eastAsia="Garamond" w:cs="Garamond"/>
        </w:rPr>
        <w:t>Pr</w:t>
      </w:r>
      <w:proofErr w:type="spellEnd"/>
      <w:r w:rsidR="00DC21CA" w:rsidRPr="00640A1D">
        <w:rPr>
          <w:rFonts w:eastAsia="Garamond" w:cs="Garamond"/>
        </w:rPr>
        <w:t xml:space="preserve">(p) ≈ 0 is false. Such is my aim: the controversial parts of the argument should be premises. </w:t>
      </w:r>
    </w:p>
    <w:p w14:paraId="40D87DFF" w14:textId="62729197" w:rsidR="00743C16" w:rsidRPr="00640A1D" w:rsidRDefault="00743C16" w:rsidP="59AB4BE5">
      <w:pPr>
        <w:ind w:firstLine="720"/>
      </w:pPr>
      <w:r w:rsidRPr="00640A1D">
        <w:rPr>
          <w:rFonts w:eastAsia="Garamond" w:cs="Garamond"/>
        </w:rPr>
        <w:t xml:space="preserve">My </w:t>
      </w:r>
      <w:r w:rsidR="00E414A0" w:rsidRPr="00640A1D">
        <w:rPr>
          <w:rFonts w:eastAsia="Garamond" w:cs="Garamond"/>
        </w:rPr>
        <w:t>responses to these objections</w:t>
      </w:r>
      <w:r w:rsidRPr="00640A1D">
        <w:rPr>
          <w:rFonts w:eastAsia="Garamond" w:cs="Garamond"/>
        </w:rPr>
        <w:t xml:space="preserve"> try to show the strength of my proposal</w:t>
      </w:r>
      <w:r w:rsidR="00E414A0" w:rsidRPr="00640A1D">
        <w:rPr>
          <w:rFonts w:eastAsia="Garamond" w:cs="Garamond"/>
        </w:rPr>
        <w:t xml:space="preserve"> by example</w:t>
      </w:r>
      <w:r w:rsidRPr="00640A1D">
        <w:rPr>
          <w:rFonts w:eastAsia="Garamond" w:cs="Garamond"/>
        </w:rPr>
        <w:t>. B</w:t>
      </w:r>
      <w:r w:rsidR="00DC21CA" w:rsidRPr="00640A1D">
        <w:rPr>
          <w:rFonts w:eastAsia="Garamond" w:cs="Garamond"/>
        </w:rPr>
        <w:t>y</w:t>
      </w:r>
      <w:r w:rsidRPr="00640A1D">
        <w:rPr>
          <w:rFonts w:eastAsia="Garamond" w:cs="Garamond"/>
        </w:rPr>
        <w:t xml:space="preserve"> clarifying certain probabilistic moves that are completely ordinary and codifying them with certain stipulative definitions, we can transform arguments that would otherwise be enthymematic into valid (or strong) arguments</w:t>
      </w:r>
      <w:r w:rsidR="00E414A0" w:rsidRPr="00640A1D">
        <w:rPr>
          <w:rFonts w:eastAsia="Garamond" w:cs="Garamond"/>
        </w:rPr>
        <w:t xml:space="preserve"> and proceed to identify problematic premises, if any. </w:t>
      </w:r>
    </w:p>
    <w:p w14:paraId="35FCD811" w14:textId="2A299988" w:rsidR="59AB4BE5" w:rsidRPr="00640A1D" w:rsidRDefault="7FA1CEFC" w:rsidP="59AB4BE5">
      <w:pPr>
        <w:ind w:firstLine="720"/>
      </w:pPr>
      <w:r w:rsidRPr="00640A1D">
        <w:t xml:space="preserve">There are a few relevant and substantive conclusions that flow from the preceding discussion. First, G&amp;G’s argument as I have recast it appears to have a strong structure, though I have taken no position here on whether any premise is false. Second, the way I have attempted to capture the spirit of their argument is, so far as I am aware, a novel way of interpreting this kind of inductive inference. </w:t>
      </w:r>
      <w:r w:rsidR="00E414A0" w:rsidRPr="00640A1D">
        <w:t xml:space="preserve">I believe many ordinary arguments that are probabilistic in nature but are </w:t>
      </w:r>
      <w:r w:rsidR="0078004C" w:rsidRPr="00640A1D">
        <w:t xml:space="preserve">placed </w:t>
      </w:r>
      <w:r w:rsidR="0078004C" w:rsidRPr="00640A1D">
        <w:lastRenderedPageBreak/>
        <w:t>in standard form</w:t>
      </w:r>
      <w:r w:rsidR="0078004C" w:rsidRPr="00640A1D">
        <w:rPr>
          <w:rStyle w:val="FootnoteReference"/>
        </w:rPr>
        <w:footnoteReference w:id="18"/>
      </w:r>
      <w:r w:rsidR="00E414A0" w:rsidRPr="00640A1D">
        <w:t xml:space="preserve"> use the sort of formal framework I have identified in the background. Moreover, I think some prominent arguments besides just G&amp;G’s arguments could make good use of this argument. Notable among them would be arguments in philosophy religion (cosmological argument, fine-tuning argument, the problem of evil), in evolutionary debunking arguments (in ethics, metaethics, philosophy of math, and philosophy of science), and surely more. In many of these kinds of arguments, one wants a</w:t>
      </w:r>
      <w:r w:rsidR="0078004C" w:rsidRPr="00640A1D">
        <w:t>n</w:t>
      </w:r>
      <w:r w:rsidR="00E414A0" w:rsidRPr="00640A1D">
        <w:t xml:space="preserve"> argument</w:t>
      </w:r>
      <w:r w:rsidR="0078004C" w:rsidRPr="00640A1D">
        <w:t xml:space="preserve"> in standard form</w:t>
      </w:r>
      <w:r w:rsidR="00E414A0" w:rsidRPr="00640A1D">
        <w:t xml:space="preserve"> so that one can identify the premises that might be problematic, either for refinement or rebuttal. But the core of the reasoning is that the relevant possibilities targeted are so incredibly unlikely that one could not reasonably believe </w:t>
      </w:r>
      <w:r w:rsidR="00897744" w:rsidRPr="00640A1D">
        <w:t>the target proposition</w:t>
      </w:r>
      <w:r w:rsidR="00E414A0" w:rsidRPr="00640A1D">
        <w:t xml:space="preserve">. Of </w:t>
      </w:r>
      <w:r w:rsidR="00F761C0" w:rsidRPr="00640A1D">
        <w:t>particular interest are those arguments</w:t>
      </w:r>
      <w:r w:rsidR="00E414A0" w:rsidRPr="00640A1D">
        <w:t xml:space="preserve"> </w:t>
      </w:r>
      <w:r w:rsidR="00F761C0" w:rsidRPr="00640A1D">
        <w:t xml:space="preserve">that </w:t>
      </w:r>
      <w:r w:rsidR="00E414A0" w:rsidRPr="00640A1D">
        <w:t>also have abductive elements; insofar as the</w:t>
      </w:r>
      <w:r w:rsidR="00B035D5" w:rsidRPr="00640A1D">
        <w:t xml:space="preserve"> structure of the</w:t>
      </w:r>
      <w:r w:rsidR="00E414A0" w:rsidRPr="00640A1D">
        <w:t xml:space="preserve"> </w:t>
      </w:r>
      <w:r w:rsidR="001C7BE2" w:rsidRPr="00640A1D">
        <w:t>I</w:t>
      </w:r>
      <w:r w:rsidR="00E414A0" w:rsidRPr="00640A1D">
        <w:t>NMA appears attractive because it avoids concerns with abduction, other arguments may want to make use of this strategy.</w:t>
      </w:r>
      <w:r w:rsidR="00906EE2" w:rsidRPr="00640A1D">
        <w:t xml:space="preserve"> Finally, the fact that prior probabilities matter</w:t>
      </w:r>
      <w:r w:rsidR="00042D01" w:rsidRPr="00640A1D">
        <w:t xml:space="preserve"> immensely </w:t>
      </w:r>
      <w:r w:rsidR="00906EE2" w:rsidRPr="00640A1D">
        <w:t>but are typically thought subjective or arbitrary are yet another parallel that might benefit from attempting to parallel moves made here</w:t>
      </w:r>
      <w:r w:rsidR="003634D2" w:rsidRPr="00640A1D">
        <w:t xml:space="preserve"> or in G&amp;G</w:t>
      </w:r>
      <w:r w:rsidR="00906EE2" w:rsidRPr="00640A1D">
        <w:t>.</w:t>
      </w:r>
    </w:p>
    <w:p w14:paraId="43E0E3DD" w14:textId="2921718A" w:rsidR="00FE2D25" w:rsidRPr="00640A1D" w:rsidRDefault="13CDCBED" w:rsidP="13CDCBED">
      <w:pPr>
        <w:pStyle w:val="ListParagraph"/>
        <w:numPr>
          <w:ilvl w:val="0"/>
          <w:numId w:val="4"/>
        </w:numPr>
        <w:rPr>
          <w:b/>
          <w:bCs/>
        </w:rPr>
      </w:pPr>
      <w:r w:rsidRPr="00640A1D">
        <w:rPr>
          <w:b/>
          <w:bCs/>
        </w:rPr>
        <w:t>Conclusion</w:t>
      </w:r>
    </w:p>
    <w:p w14:paraId="7661D92E" w14:textId="34017061" w:rsidR="7B59B1B3" w:rsidRDefault="771BD270" w:rsidP="13CDCBED">
      <w:r w:rsidRPr="00640A1D">
        <w:t>I have argued that</w:t>
      </w:r>
      <w:r w:rsidR="00DC21CA" w:rsidRPr="00640A1D">
        <w:t xml:space="preserve"> while</w:t>
      </w:r>
      <w:r w:rsidRPr="00640A1D">
        <w:t xml:space="preserve"> G&amp;G</w:t>
      </w:r>
      <w:r w:rsidR="00E414A0" w:rsidRPr="00640A1D">
        <w:t xml:space="preserve">’s argument as written appears to fall to incisive criticisms by Kok Yong Lee, </w:t>
      </w:r>
      <w:r w:rsidR="007D76D3" w:rsidRPr="00640A1D">
        <w:t>some version of the argument can avoid Lee’s criticisms</w:t>
      </w:r>
      <w:r w:rsidR="00E414A0" w:rsidRPr="00640A1D">
        <w:t xml:space="preserve">. I have tried to identify a formal framework that is needed in the background of any </w:t>
      </w:r>
      <w:r w:rsidR="004F0E92" w:rsidRPr="00640A1D">
        <w:t>transformation of a</w:t>
      </w:r>
      <w:r w:rsidR="00DC21CA" w:rsidRPr="00640A1D">
        <w:t xml:space="preserve"> probabilistic</w:t>
      </w:r>
      <w:r w:rsidR="004F0E92" w:rsidRPr="00640A1D">
        <w:t xml:space="preserve"> enthymeme to a </w:t>
      </w:r>
      <w:r w:rsidR="007D76D3" w:rsidRPr="00640A1D">
        <w:t>standard</w:t>
      </w:r>
      <w:r w:rsidR="004F0E92" w:rsidRPr="00640A1D">
        <w:t xml:space="preserve"> argument</w:t>
      </w:r>
      <w:r w:rsidR="007D76D3" w:rsidRPr="00640A1D">
        <w:t xml:space="preserve"> form</w:t>
      </w:r>
      <w:r w:rsidR="004F0E92" w:rsidRPr="00640A1D">
        <w:t xml:space="preserve">. </w:t>
      </w:r>
      <w:r w:rsidR="007D76D3" w:rsidRPr="00640A1D">
        <w:t>This</w:t>
      </w:r>
      <w:r w:rsidR="004F0E92" w:rsidRPr="00640A1D">
        <w:t xml:space="preserve"> </w:t>
      </w:r>
      <w:r w:rsidR="007D76D3" w:rsidRPr="00640A1D">
        <w:t xml:space="preserve">allows </w:t>
      </w:r>
      <w:r w:rsidR="00DC21CA" w:rsidRPr="00640A1D">
        <w:t>objectors</w:t>
      </w:r>
      <w:r w:rsidR="007D76D3" w:rsidRPr="00640A1D">
        <w:t xml:space="preserve"> to</w:t>
      </w:r>
      <w:r w:rsidR="004F0E92" w:rsidRPr="00640A1D">
        <w:t xml:space="preserve"> focus on </w:t>
      </w:r>
      <w:r w:rsidR="00DD7ACA" w:rsidRPr="00640A1D">
        <w:t>controversial,</w:t>
      </w:r>
      <w:r w:rsidR="007D76D3" w:rsidRPr="00640A1D">
        <w:t xml:space="preserve"> substantive</w:t>
      </w:r>
      <w:r w:rsidR="004F0E92" w:rsidRPr="00640A1D">
        <w:t xml:space="preserve"> premises rather than the structure of </w:t>
      </w:r>
      <w:r w:rsidR="007D76D3" w:rsidRPr="00640A1D">
        <w:t>G&amp;G’s</w:t>
      </w:r>
      <w:r w:rsidR="004F0E92" w:rsidRPr="00640A1D">
        <w:t xml:space="preserve"> argument. </w:t>
      </w:r>
    </w:p>
    <w:p w14:paraId="52BC68AC" w14:textId="77777777" w:rsidR="00C62320" w:rsidRDefault="00C62320" w:rsidP="13CDCBED"/>
    <w:p w14:paraId="4EBA9D1A" w14:textId="77777777" w:rsidR="00C62320" w:rsidRPr="000A330F" w:rsidRDefault="00C62320" w:rsidP="00D57D38">
      <w:pPr>
        <w:jc w:val="center"/>
        <w:rPr>
          <w:rStyle w:val="Strong"/>
          <w:u w:val="single"/>
        </w:rPr>
      </w:pPr>
      <w:r w:rsidRPr="000A330F">
        <w:rPr>
          <w:rStyle w:val="Strong"/>
          <w:u w:val="single"/>
        </w:rPr>
        <w:t>Acknowledgments</w:t>
      </w:r>
    </w:p>
    <w:p w14:paraId="61F6F9BF" w14:textId="5442D942" w:rsidR="00D57D38" w:rsidRPr="00D57D38" w:rsidRDefault="00C62320" w:rsidP="13CDCBED">
      <w:pPr>
        <w:rPr>
          <w:b/>
        </w:rPr>
      </w:pPr>
      <w:r w:rsidRPr="00D57D38">
        <w:rPr>
          <w:rStyle w:val="Strong"/>
          <w:b w:val="0"/>
          <w:bCs w:val="0"/>
        </w:rPr>
        <w:t xml:space="preserve">I’d like to thank Abraham Graber, Travis Quigley, Anna Bella Sicilia, and Andrew Lichter for helpful conversation and comments on the manuscript. Thanks also to two reviewers at Synthese who </w:t>
      </w:r>
      <w:r w:rsidRPr="00D57D38">
        <w:rPr>
          <w:rStyle w:val="Strong"/>
          <w:b w:val="0"/>
          <w:bCs w:val="0"/>
        </w:rPr>
        <w:lastRenderedPageBreak/>
        <w:t xml:space="preserve">provided several crucial observations and recommendations in the construction of the final manuscript. I’d also like to thank Katie Hoi Ching Wong for helpful discussion on the paper’s subject. </w:t>
      </w:r>
    </w:p>
    <w:p w14:paraId="75BDE353" w14:textId="7BCE51BE" w:rsidR="00C85877" w:rsidRPr="00640A1D" w:rsidRDefault="00C85877" w:rsidP="00D57D38">
      <w:pPr>
        <w:jc w:val="center"/>
        <w:rPr>
          <w:b/>
          <w:bCs/>
          <w:sz w:val="28"/>
          <w:szCs w:val="28"/>
          <w:u w:val="single"/>
        </w:rPr>
      </w:pPr>
      <w:r w:rsidRPr="00640A1D">
        <w:rPr>
          <w:b/>
          <w:bCs/>
          <w:sz w:val="28"/>
          <w:szCs w:val="28"/>
          <w:u w:val="single"/>
        </w:rPr>
        <w:t>Works Cited</w:t>
      </w:r>
    </w:p>
    <w:p w14:paraId="5EF6062C" w14:textId="77777777" w:rsidR="00EC57C4" w:rsidRPr="00EC57C4" w:rsidRDefault="000C1633" w:rsidP="00EC57C4">
      <w:pPr>
        <w:pStyle w:val="Bibliography"/>
      </w:pPr>
      <w:r w:rsidRPr="00640A1D">
        <w:fldChar w:fldCharType="begin"/>
      </w:r>
      <w:r w:rsidR="008022C3" w:rsidRPr="00640A1D">
        <w:instrText xml:space="preserve"> ADDIN ZOTERO_BIBL {"uncited":[],"omitted":[],"custom":[]} CSL_BIBLIOGRAPHY </w:instrText>
      </w:r>
      <w:r w:rsidRPr="00640A1D">
        <w:fldChar w:fldCharType="separate"/>
      </w:r>
      <w:r w:rsidR="00EC57C4" w:rsidRPr="00EC57C4">
        <w:t xml:space="preserve">Alai, Mario. 2014. “Defending Deployment Realism against Alleged Counterexamples.” In </w:t>
      </w:r>
      <w:r w:rsidR="00EC57C4" w:rsidRPr="00EC57C4">
        <w:rPr>
          <w:i/>
          <w:iCs/>
        </w:rPr>
        <w:t>Defending Realism: Ontological and Epistemological Investigations</w:t>
      </w:r>
      <w:r w:rsidR="00EC57C4" w:rsidRPr="00EC57C4">
        <w:t>, edited by Guido Bonino, Greg Jesson, and Javier Cumpa. De Gruyter.</w:t>
      </w:r>
    </w:p>
    <w:p w14:paraId="1F57B28F" w14:textId="77777777" w:rsidR="00EC57C4" w:rsidRPr="00EC57C4" w:rsidRDefault="00EC57C4" w:rsidP="00EC57C4">
      <w:pPr>
        <w:pStyle w:val="Bibliography"/>
      </w:pPr>
      <w:r w:rsidRPr="00EC57C4">
        <w:t xml:space="preserve">Conant, Roger C., and W. Ross Ashby. 1970. “Every Good Regulator of a System Must Be a Model of That System.” </w:t>
      </w:r>
      <w:r w:rsidRPr="00EC57C4">
        <w:rPr>
          <w:i/>
          <w:iCs/>
        </w:rPr>
        <w:t>International Journal of Systems Science</w:t>
      </w:r>
      <w:r w:rsidRPr="00EC57C4">
        <w:t xml:space="preserve"> 1 (2): 89–97. https://doi.org/10.1080/00207727008920220.</w:t>
      </w:r>
    </w:p>
    <w:p w14:paraId="0269D2FF" w14:textId="77777777" w:rsidR="00EC57C4" w:rsidRPr="00EC57C4" w:rsidRDefault="00EC57C4" w:rsidP="00EC57C4">
      <w:pPr>
        <w:pStyle w:val="Bibliography"/>
      </w:pPr>
      <w:r w:rsidRPr="00EC57C4">
        <w:t xml:space="preserve">Dawid, Richard, and Stephan Hartmann. 2018. “The No Miracles Argument without the Base Rate Fallacy.” </w:t>
      </w:r>
      <w:r w:rsidRPr="00EC57C4">
        <w:rPr>
          <w:i/>
          <w:iCs/>
        </w:rPr>
        <w:t>Synthese</w:t>
      </w:r>
      <w:r w:rsidRPr="00EC57C4">
        <w:t xml:space="preserve"> 195 (9): 4063–79. https://doi.org/10.1007/s11229-017-1408-x.</w:t>
      </w:r>
    </w:p>
    <w:p w14:paraId="30D03935" w14:textId="77777777" w:rsidR="00EC57C4" w:rsidRPr="00EC57C4" w:rsidRDefault="00EC57C4" w:rsidP="00EC57C4">
      <w:pPr>
        <w:pStyle w:val="Bibliography"/>
      </w:pPr>
      <w:r w:rsidRPr="00EC57C4">
        <w:t xml:space="preserve">Dieks, Dennis. 2024. “The Probabilistic No-Miracle Argument.” In </w:t>
      </w:r>
      <w:r w:rsidRPr="00EC57C4">
        <w:rPr>
          <w:i/>
          <w:iCs/>
        </w:rPr>
        <w:t>Realism and Antirealism in Metaphysics, Science, and Language: Festschrift for Mario Alai</w:t>
      </w:r>
      <w:r w:rsidRPr="00EC57C4">
        <w:t>, edited by Adriano Angelucci, Gabriele Ferretti, Gino Tarozzi, Giovanni Galli, Pierluigi Graziani, and Vincenzo Fano. FrancoAngeli.</w:t>
      </w:r>
    </w:p>
    <w:p w14:paraId="3F2F856A" w14:textId="77777777" w:rsidR="00EC57C4" w:rsidRPr="00EC57C4" w:rsidRDefault="00EC57C4" w:rsidP="00EC57C4">
      <w:pPr>
        <w:pStyle w:val="Bibliography"/>
      </w:pPr>
      <w:r w:rsidRPr="00EC57C4">
        <w:t xml:space="preserve">Fine, Arthur. 1986. “The Natural Ontological Attitude.” In </w:t>
      </w:r>
      <w:r w:rsidRPr="00EC57C4">
        <w:rPr>
          <w:i/>
          <w:iCs/>
        </w:rPr>
        <w:t>The Shaky Game</w:t>
      </w:r>
      <w:r w:rsidRPr="00EC57C4">
        <w:t>. The University of Chicago Press.</w:t>
      </w:r>
    </w:p>
    <w:p w14:paraId="1D1E1837" w14:textId="77777777" w:rsidR="00EC57C4" w:rsidRPr="00EC57C4" w:rsidRDefault="00EC57C4" w:rsidP="00EC57C4">
      <w:pPr>
        <w:pStyle w:val="Bibliography"/>
      </w:pPr>
      <w:r w:rsidRPr="00EC57C4">
        <w:t xml:space="preserve">Fraassen, Bas van. 1980. </w:t>
      </w:r>
      <w:r w:rsidRPr="00EC57C4">
        <w:rPr>
          <w:i/>
          <w:iCs/>
        </w:rPr>
        <w:t>The Scientific Image</w:t>
      </w:r>
      <w:r w:rsidRPr="00EC57C4">
        <w:t>. Oxford University Press.</w:t>
      </w:r>
    </w:p>
    <w:p w14:paraId="2693AE41" w14:textId="77777777" w:rsidR="00EC57C4" w:rsidRPr="00EC57C4" w:rsidRDefault="00EC57C4" w:rsidP="00EC57C4">
      <w:pPr>
        <w:pStyle w:val="Bibliography"/>
      </w:pPr>
      <w:r w:rsidRPr="00EC57C4">
        <w:t xml:space="preserve">Golemon, Luke, and Abraham Graber. 2023. “A Deductive Variation on the No Miracles Argument.” </w:t>
      </w:r>
      <w:r w:rsidRPr="00EC57C4">
        <w:rPr>
          <w:i/>
          <w:iCs/>
        </w:rPr>
        <w:t>Synthese</w:t>
      </w:r>
      <w:r w:rsidRPr="00EC57C4">
        <w:t xml:space="preserve"> 201: 1–26. https://doi.org/10.1007/s11229-023-04078-6.</w:t>
      </w:r>
    </w:p>
    <w:p w14:paraId="0A90B6E7" w14:textId="77777777" w:rsidR="00EC57C4" w:rsidRPr="00EC57C4" w:rsidRDefault="00EC57C4" w:rsidP="00EC57C4">
      <w:pPr>
        <w:pStyle w:val="Bibliography"/>
      </w:pPr>
      <w:r w:rsidRPr="00EC57C4">
        <w:t xml:space="preserve">Hempel, Carl G. 1945. “Studies in the Logic of Confirmation.” </w:t>
      </w:r>
      <w:r w:rsidRPr="00EC57C4">
        <w:rPr>
          <w:i/>
          <w:iCs/>
        </w:rPr>
        <w:t>Mind</w:t>
      </w:r>
      <w:r w:rsidRPr="00EC57C4">
        <w:t xml:space="preserve"> LIV (213): 1–26. https://doi.org/10.1093/mind/LIV.213.1.</w:t>
      </w:r>
    </w:p>
    <w:p w14:paraId="6CC573BD" w14:textId="77777777" w:rsidR="00EC57C4" w:rsidRPr="00EC57C4" w:rsidRDefault="00EC57C4" w:rsidP="00EC57C4">
      <w:pPr>
        <w:pStyle w:val="Bibliography"/>
      </w:pPr>
      <w:r w:rsidRPr="00EC57C4">
        <w:t xml:space="preserve">Henderson, Leah. 2017. “The No Miracles Argument and the Base Rate Fallacy.” </w:t>
      </w:r>
      <w:r w:rsidRPr="00EC57C4">
        <w:rPr>
          <w:i/>
          <w:iCs/>
        </w:rPr>
        <w:t>Synthese</w:t>
      </w:r>
      <w:r w:rsidRPr="00EC57C4">
        <w:t xml:space="preserve"> 194 (4): 1295–302. https://doi.org/10.1007/s11229-015-0995-7.</w:t>
      </w:r>
    </w:p>
    <w:p w14:paraId="6DF5FFDC" w14:textId="77777777" w:rsidR="00EC57C4" w:rsidRPr="00EC57C4" w:rsidRDefault="00EC57C4" w:rsidP="00EC57C4">
      <w:pPr>
        <w:pStyle w:val="Bibliography"/>
      </w:pPr>
      <w:r w:rsidRPr="00EC57C4">
        <w:t xml:space="preserve">Howson, Colin. 2013. “Exhuming the No-Miracles Argument.” </w:t>
      </w:r>
      <w:r w:rsidRPr="00EC57C4">
        <w:rPr>
          <w:i/>
          <w:iCs/>
        </w:rPr>
        <w:t>Analysis</w:t>
      </w:r>
      <w:r w:rsidRPr="00EC57C4">
        <w:t xml:space="preserve"> 73 (2): 205–11.</w:t>
      </w:r>
    </w:p>
    <w:p w14:paraId="116591D6" w14:textId="77777777" w:rsidR="00EC57C4" w:rsidRPr="00EC57C4" w:rsidRDefault="00EC57C4" w:rsidP="00EC57C4">
      <w:pPr>
        <w:pStyle w:val="Bibliography"/>
      </w:pPr>
      <w:r w:rsidRPr="00EC57C4">
        <w:t xml:space="preserve">Laudan, Larry. 1981. “A Confutation of Convergent Realism.” </w:t>
      </w:r>
      <w:r w:rsidRPr="00EC57C4">
        <w:rPr>
          <w:i/>
          <w:iCs/>
        </w:rPr>
        <w:t>Philosophy of Science</w:t>
      </w:r>
      <w:r w:rsidRPr="00EC57C4">
        <w:t xml:space="preserve"> 48 (1): 19–49. JSTOR.</w:t>
      </w:r>
    </w:p>
    <w:p w14:paraId="00987C6A" w14:textId="77777777" w:rsidR="00EC57C4" w:rsidRPr="00EC57C4" w:rsidRDefault="00EC57C4" w:rsidP="00EC57C4">
      <w:pPr>
        <w:pStyle w:val="Bibliography"/>
      </w:pPr>
      <w:r w:rsidRPr="00EC57C4">
        <w:t xml:space="preserve">Lee, Kok Yong. 2025. “A Critical Examination of Golemon and Graber’s Deductive No-Miracle Argument.” </w:t>
      </w:r>
      <w:r w:rsidRPr="00EC57C4">
        <w:rPr>
          <w:i/>
          <w:iCs/>
        </w:rPr>
        <w:t>Synthese</w:t>
      </w:r>
      <w:r w:rsidRPr="00EC57C4">
        <w:t xml:space="preserve"> 206 (1): 40. https://doi.org/10.1007/s11229-025-05144-x.</w:t>
      </w:r>
    </w:p>
    <w:p w14:paraId="74E98E6D" w14:textId="77777777" w:rsidR="00EC57C4" w:rsidRPr="00EC57C4" w:rsidRDefault="00EC57C4" w:rsidP="00EC57C4">
      <w:pPr>
        <w:pStyle w:val="Bibliography"/>
      </w:pPr>
      <w:r w:rsidRPr="00EC57C4">
        <w:t xml:space="preserve">Magnus, P. D., and Craig Callender. 2004. “Realist Ennui and the Base Rate Fallacy.” </w:t>
      </w:r>
      <w:r w:rsidRPr="00EC57C4">
        <w:rPr>
          <w:i/>
          <w:iCs/>
        </w:rPr>
        <w:t>Philosophy of Science</w:t>
      </w:r>
      <w:r w:rsidRPr="00EC57C4">
        <w:t xml:space="preserve"> 71 (3): 320–38. https://doi.org/10.1086/421536.</w:t>
      </w:r>
    </w:p>
    <w:p w14:paraId="3F09D3F9" w14:textId="77777777" w:rsidR="00EC57C4" w:rsidRPr="00EC57C4" w:rsidRDefault="00EC57C4" w:rsidP="00EC57C4">
      <w:pPr>
        <w:pStyle w:val="Bibliography"/>
      </w:pPr>
      <w:r w:rsidRPr="00EC57C4">
        <w:lastRenderedPageBreak/>
        <w:t xml:space="preserve">Nicod, Jean. (1924) 2014. </w:t>
      </w:r>
      <w:r w:rsidRPr="00EC57C4">
        <w:rPr>
          <w:i/>
          <w:iCs/>
        </w:rPr>
        <w:t>Foundations of Geometry and Induction: Containing Geometry in the Sensible World and The Logical Problem of Induction</w:t>
      </w:r>
      <w:r w:rsidRPr="00EC57C4">
        <w:t>. Translated by Andre Lalande. International Library of Philosophy 4. Routledge, Taylor &amp; Francis Group. https://doi.org/10.4324/9781315823041.</w:t>
      </w:r>
    </w:p>
    <w:p w14:paraId="7715DDE2" w14:textId="77777777" w:rsidR="00EC57C4" w:rsidRPr="00EC57C4" w:rsidRDefault="00EC57C4" w:rsidP="00EC57C4">
      <w:pPr>
        <w:pStyle w:val="Bibliography"/>
      </w:pPr>
      <w:r w:rsidRPr="00EC57C4">
        <w:t xml:space="preserve">Putnam, Hilary. 1979. </w:t>
      </w:r>
      <w:r w:rsidRPr="00EC57C4">
        <w:rPr>
          <w:i/>
          <w:iCs/>
        </w:rPr>
        <w:t>Mathematics, Matter and Method: Philosophical Papers</w:t>
      </w:r>
      <w:r w:rsidRPr="00EC57C4">
        <w:t>. 2nd ed. Cambridge University Press. https://doi.org/10.1017/CBO9780511625268.</w:t>
      </w:r>
    </w:p>
    <w:p w14:paraId="1CEE0C8F" w14:textId="77777777" w:rsidR="00EC57C4" w:rsidRPr="00EC57C4" w:rsidRDefault="00EC57C4" w:rsidP="00EC57C4">
      <w:pPr>
        <w:pStyle w:val="Bibliography"/>
      </w:pPr>
      <w:r w:rsidRPr="00EC57C4">
        <w:t xml:space="preserve">Sprenger, Jan. 2016. “The Probabilistic No Miracles Argument.” </w:t>
      </w:r>
      <w:r w:rsidRPr="00EC57C4">
        <w:rPr>
          <w:i/>
          <w:iCs/>
        </w:rPr>
        <w:t>European Journal for Philosophy of Science</w:t>
      </w:r>
      <w:r w:rsidRPr="00EC57C4">
        <w:t xml:space="preserve"> 6 (2): 173–89. https://doi.org/10.1007/s13194-015-0122-0.</w:t>
      </w:r>
    </w:p>
    <w:p w14:paraId="78214284" w14:textId="70DC13E3" w:rsidR="000C1633" w:rsidRPr="00640A1D" w:rsidRDefault="000C1633" w:rsidP="000C1633">
      <w:r w:rsidRPr="00640A1D">
        <w:fldChar w:fldCharType="end"/>
      </w:r>
    </w:p>
    <w:sectPr w:rsidR="000C1633" w:rsidRPr="00640A1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E48A" w14:textId="77777777" w:rsidR="00490C08" w:rsidRDefault="00490C08" w:rsidP="00386010">
      <w:pPr>
        <w:spacing w:line="240" w:lineRule="auto"/>
      </w:pPr>
      <w:r>
        <w:separator/>
      </w:r>
    </w:p>
  </w:endnote>
  <w:endnote w:type="continuationSeparator" w:id="0">
    <w:p w14:paraId="33AF183E" w14:textId="77777777" w:rsidR="00490C08" w:rsidRDefault="00490C08" w:rsidP="00386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792049930"/>
      <w:docPartObj>
        <w:docPartGallery w:val="Page Numbers (Bottom of Page)"/>
        <w:docPartUnique/>
      </w:docPartObj>
    </w:sdtPr>
    <w:sdtEndPr>
      <w:rPr>
        <w:noProof/>
      </w:rPr>
    </w:sdtEndPr>
    <w:sdtContent>
      <w:p w14:paraId="61B3C867" w14:textId="0ADFE66F" w:rsidR="000C1633" w:rsidRPr="000C1633" w:rsidRDefault="000C1633">
        <w:pPr>
          <w:pStyle w:val="Footer"/>
          <w:jc w:val="right"/>
          <w:rPr>
            <w:sz w:val="22"/>
            <w:szCs w:val="22"/>
          </w:rPr>
        </w:pPr>
        <w:r w:rsidRPr="000C1633">
          <w:rPr>
            <w:sz w:val="22"/>
            <w:szCs w:val="22"/>
          </w:rPr>
          <w:fldChar w:fldCharType="begin"/>
        </w:r>
        <w:r w:rsidRPr="000C1633">
          <w:rPr>
            <w:sz w:val="22"/>
            <w:szCs w:val="22"/>
          </w:rPr>
          <w:instrText xml:space="preserve"> PAGE   \* MERGEFORMAT </w:instrText>
        </w:r>
        <w:r w:rsidRPr="000C1633">
          <w:rPr>
            <w:sz w:val="22"/>
            <w:szCs w:val="22"/>
          </w:rPr>
          <w:fldChar w:fldCharType="separate"/>
        </w:r>
        <w:r w:rsidRPr="000C1633">
          <w:rPr>
            <w:noProof/>
            <w:sz w:val="22"/>
            <w:szCs w:val="22"/>
          </w:rPr>
          <w:t>2</w:t>
        </w:r>
        <w:r w:rsidRPr="000C1633">
          <w:rPr>
            <w:noProof/>
            <w:sz w:val="22"/>
            <w:szCs w:val="22"/>
          </w:rPr>
          <w:fldChar w:fldCharType="end"/>
        </w:r>
      </w:p>
    </w:sdtContent>
  </w:sdt>
  <w:p w14:paraId="0F09ACC3" w14:textId="77777777" w:rsidR="000C1633" w:rsidRPr="000C1633" w:rsidRDefault="000C1633">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8CC4" w14:textId="77777777" w:rsidR="00490C08" w:rsidRDefault="00490C08" w:rsidP="00386010">
      <w:pPr>
        <w:spacing w:line="240" w:lineRule="auto"/>
      </w:pPr>
      <w:r>
        <w:separator/>
      </w:r>
    </w:p>
  </w:footnote>
  <w:footnote w:type="continuationSeparator" w:id="0">
    <w:p w14:paraId="48096989" w14:textId="77777777" w:rsidR="00490C08" w:rsidRDefault="00490C08" w:rsidP="00386010">
      <w:pPr>
        <w:spacing w:line="240" w:lineRule="auto"/>
      </w:pPr>
      <w:r>
        <w:continuationSeparator/>
      </w:r>
    </w:p>
  </w:footnote>
  <w:footnote w:id="1">
    <w:p w14:paraId="14344DCB" w14:textId="4391FD2F" w:rsidR="00862B24" w:rsidRPr="00A44E99" w:rsidRDefault="00862B24" w:rsidP="00801649">
      <w:pPr>
        <w:pStyle w:val="FootnoteText"/>
        <w:jc w:val="both"/>
        <w:rPr>
          <w:lang w:val="en-US"/>
        </w:rPr>
      </w:pPr>
      <w:r w:rsidRPr="00A44E99">
        <w:rPr>
          <w:rStyle w:val="FootnoteReference"/>
        </w:rPr>
        <w:footnoteRef/>
      </w:r>
      <w:r w:rsidRPr="00A44E99">
        <w:t xml:space="preserve"> </w:t>
      </w:r>
      <w:r w:rsidR="000B79C0" w:rsidRPr="00A44E99">
        <w:rPr>
          <w:lang w:val="en-US"/>
        </w:rPr>
        <w:t xml:space="preserve">See </w:t>
      </w:r>
      <w:r w:rsidR="00042F51" w:rsidRPr="00A44E99">
        <w:rPr>
          <w:lang w:val="en-US"/>
        </w:rPr>
        <w:t>f</w:t>
      </w:r>
      <w:r w:rsidR="000B79C0" w:rsidRPr="00A44E99">
        <w:rPr>
          <w:lang w:val="en-US"/>
        </w:rPr>
        <w:t>n</w:t>
      </w:r>
      <w:r w:rsidR="00042F51" w:rsidRPr="00A44E99">
        <w:rPr>
          <w:lang w:val="en-US"/>
        </w:rPr>
        <w:t>.</w:t>
      </w:r>
      <w:r w:rsidR="000B79C0" w:rsidRPr="00A44E99">
        <w:rPr>
          <w:lang w:val="en-US"/>
        </w:rPr>
        <w:t xml:space="preserve"> </w:t>
      </w:r>
      <w:r w:rsidR="00104BB5">
        <w:rPr>
          <w:lang w:val="en-US"/>
        </w:rPr>
        <w:t>6</w:t>
      </w:r>
      <w:r w:rsidR="000B79C0" w:rsidRPr="00A44E99">
        <w:rPr>
          <w:lang w:val="en-US"/>
        </w:rPr>
        <w:t xml:space="preserve">. </w:t>
      </w:r>
    </w:p>
  </w:footnote>
  <w:footnote w:id="2">
    <w:p w14:paraId="56095C9F" w14:textId="5A4B0D28" w:rsidR="006B2E28" w:rsidRPr="00A44E99" w:rsidRDefault="006B2E28" w:rsidP="00801649">
      <w:pPr>
        <w:pStyle w:val="FootnoteText"/>
        <w:jc w:val="both"/>
        <w:rPr>
          <w:lang w:val="en-US"/>
        </w:rPr>
      </w:pPr>
      <w:r w:rsidRPr="00A44E99">
        <w:rPr>
          <w:rStyle w:val="FootnoteReference"/>
        </w:rPr>
        <w:footnoteRef/>
      </w:r>
      <w:r w:rsidRPr="00A44E99">
        <w:t xml:space="preserve"> Just what </w:t>
      </w:r>
      <w:r w:rsidR="00E377BD" w:rsidRPr="00A44E99">
        <w:t>“approximately true”</w:t>
      </w:r>
      <w:r w:rsidRPr="00A44E99">
        <w:t xml:space="preserve"> means is a matter of some dispute. </w:t>
      </w:r>
    </w:p>
  </w:footnote>
  <w:footnote w:id="3">
    <w:p w14:paraId="1C249DED" w14:textId="0398E1E7" w:rsidR="004441FA" w:rsidRPr="008369D9" w:rsidRDefault="004441FA" w:rsidP="008369D9">
      <w:pPr>
        <w:pStyle w:val="FootnoteText"/>
        <w:jc w:val="both"/>
        <w:rPr>
          <w:lang w:val="en-US"/>
        </w:rPr>
      </w:pPr>
      <w:r>
        <w:rPr>
          <w:rStyle w:val="FootnoteReference"/>
        </w:rPr>
        <w:footnoteRef/>
      </w:r>
      <w:r>
        <w:t xml:space="preserve"> </w:t>
      </w:r>
      <w:r>
        <w:rPr>
          <w:lang w:val="en-US"/>
        </w:rPr>
        <w:t xml:space="preserve">I </w:t>
      </w:r>
      <w:r w:rsidR="00181569">
        <w:rPr>
          <w:lang w:val="en-US"/>
        </w:rPr>
        <w:t xml:space="preserve">will </w:t>
      </w:r>
      <w:r>
        <w:rPr>
          <w:lang w:val="en-US"/>
        </w:rPr>
        <w:t xml:space="preserve">refer to our work </w:t>
      </w:r>
      <w:r w:rsidR="00181569">
        <w:rPr>
          <w:lang w:val="en-US"/>
        </w:rPr>
        <w:t xml:space="preserve">largely </w:t>
      </w:r>
      <w:r>
        <w:rPr>
          <w:lang w:val="en-US"/>
        </w:rPr>
        <w:t>third</w:t>
      </w:r>
      <w:r w:rsidR="00181569">
        <w:rPr>
          <w:lang w:val="en-US"/>
        </w:rPr>
        <w:t>-</w:t>
      </w:r>
      <w:r>
        <w:rPr>
          <w:lang w:val="en-US"/>
        </w:rPr>
        <w:t>person</w:t>
      </w:r>
      <w:r w:rsidR="00181569">
        <w:rPr>
          <w:lang w:val="en-US"/>
        </w:rPr>
        <w:t>ally</w:t>
      </w:r>
      <w:r>
        <w:rPr>
          <w:lang w:val="en-US"/>
        </w:rPr>
        <w:t>, though occasionally I will refer to it as “our” work.</w:t>
      </w:r>
    </w:p>
  </w:footnote>
  <w:footnote w:id="4">
    <w:p w14:paraId="486513F9" w14:textId="56A5151F" w:rsidR="5EE23D94" w:rsidRPr="00A44E99" w:rsidRDefault="5EE23D94" w:rsidP="00801649">
      <w:pPr>
        <w:pStyle w:val="FootnoteText"/>
        <w:jc w:val="both"/>
      </w:pPr>
      <w:r w:rsidRPr="00A44E99">
        <w:rPr>
          <w:rStyle w:val="FootnoteReference"/>
        </w:rPr>
        <w:footnoteRef/>
      </w:r>
      <w:r w:rsidRPr="00A44E99">
        <w:t xml:space="preserve"> In other words, as the good regulator theorem puts it, “every good regulator of a system must be a model of that system” </w:t>
      </w:r>
      <w:r w:rsidR="00F70F30" w:rsidRPr="00A44E99">
        <w:fldChar w:fldCharType="begin"/>
      </w:r>
      <w:r w:rsidR="00EC57C4">
        <w:instrText xml:space="preserve"> ADDIN ZOTERO_ITEM CSL_CITATION {"citationID":"ikDYNr03","properties":{"formattedCitation":"(Conant and Ross Ashby 1970)","plainCitation":"(Conant and Ross Ashby 1970)","noteIndex":4},"citationItems":[{"id":636,"uris":["http://zotero.org/users/13148001/items/M85HRPLJ"],"itemData":{"id":636,"type":"article-journal","container-title":"International Journal of Systems Science","DOI":"10.1080/00207727008920220","ISSN":"0020-7721, 1464-5319","issue":"2","journalAbbreviation":"International Journal of Systems Science","language":"en","page":"89-97","source":"DOI.org (Crossref)","title":"Every good regulator of a system must be a model of that system","volume":"1","author":[{"family":"Conant","given":"Roger C."},{"family":"Ross Ashby","given":"W."}],"issued":{"date-parts":[["1970",10]]}}}],"schema":"https://github.com/citation-style-language/schema/raw/master/csl-citation.json"} </w:instrText>
      </w:r>
      <w:r w:rsidR="00F70F30" w:rsidRPr="00A44E99">
        <w:fldChar w:fldCharType="separate"/>
      </w:r>
      <w:r w:rsidR="00F70F30" w:rsidRPr="00A44E99">
        <w:t>(Conant and Ross Ashby 1970)</w:t>
      </w:r>
      <w:r w:rsidR="00F70F30" w:rsidRPr="00A44E99">
        <w:fldChar w:fldCharType="end"/>
      </w:r>
      <w:r w:rsidRPr="00A44E99">
        <w:t>.</w:t>
      </w:r>
    </w:p>
  </w:footnote>
  <w:footnote w:id="5">
    <w:p w14:paraId="6E323C25" w14:textId="170318DE" w:rsidR="00632BD6" w:rsidRPr="00A44E99" w:rsidRDefault="00632BD6" w:rsidP="00801649">
      <w:pPr>
        <w:pStyle w:val="FootnoteText"/>
        <w:jc w:val="both"/>
        <w:rPr>
          <w:lang w:val="en-US"/>
        </w:rPr>
      </w:pPr>
      <w:r w:rsidRPr="00A44E99">
        <w:rPr>
          <w:rStyle w:val="FootnoteReference"/>
        </w:rPr>
        <w:footnoteRef/>
      </w:r>
      <w:r w:rsidRPr="00A44E99">
        <w:t xml:space="preserve"> </w:t>
      </w:r>
      <w:r w:rsidRPr="00A44E99">
        <w:rPr>
          <w:lang w:val="en-US"/>
        </w:rPr>
        <w:t xml:space="preserve">For instance, one might predict the ball land 100m away, but only because they have fired it here and at this angle before and marked just that spot. This would not be a very hard prediction, except insofar as one’s cannon is </w:t>
      </w:r>
      <w:r w:rsidR="263AE7BF" w:rsidRPr="00A44E99">
        <w:rPr>
          <w:lang w:val="en-US"/>
        </w:rPr>
        <w:t>itself</w:t>
      </w:r>
      <w:r w:rsidRPr="00A44E99">
        <w:rPr>
          <w:lang w:val="en-US"/>
        </w:rPr>
        <w:t xml:space="preserve"> unreliable.</w:t>
      </w:r>
    </w:p>
  </w:footnote>
  <w:footnote w:id="6">
    <w:p w14:paraId="20265DB4" w14:textId="7B3C9A2E" w:rsidR="002828B4" w:rsidRPr="00A44E99" w:rsidRDefault="002828B4" w:rsidP="00801649">
      <w:pPr>
        <w:pStyle w:val="FootnoteText"/>
        <w:jc w:val="both"/>
        <w:rPr>
          <w:lang w:val="en-US"/>
        </w:rPr>
      </w:pPr>
      <w:r w:rsidRPr="00A44E99">
        <w:rPr>
          <w:rStyle w:val="FootnoteReference"/>
        </w:rPr>
        <w:footnoteRef/>
      </w:r>
      <w:r w:rsidRPr="00A44E99">
        <w:t xml:space="preserve"> </w:t>
      </w:r>
      <w:r w:rsidR="000B79C0" w:rsidRPr="00A44E99">
        <w:t xml:space="preserve">An anonymous referee notes that this is disputed. I am concerned primarily with salvaging the structure of G&amp;G’s argument; thus, I do not defend this premise here. </w:t>
      </w:r>
      <w:r w:rsidRPr="00A44E99">
        <w:rPr>
          <w:lang w:val="en-US"/>
        </w:rPr>
        <w:t>Two brief</w:t>
      </w:r>
      <w:r w:rsidR="000B79C0" w:rsidRPr="00A44E99">
        <w:rPr>
          <w:lang w:val="en-US"/>
        </w:rPr>
        <w:t xml:space="preserve"> explanatory</w:t>
      </w:r>
      <w:r w:rsidRPr="00A44E99">
        <w:rPr>
          <w:lang w:val="en-US"/>
        </w:rPr>
        <w:t xml:space="preserve"> notes</w:t>
      </w:r>
      <w:r w:rsidR="000B79C0" w:rsidRPr="00A44E99">
        <w:rPr>
          <w:lang w:val="en-US"/>
        </w:rPr>
        <w:t>, however, are warranted</w:t>
      </w:r>
      <w:r w:rsidRPr="00A44E99">
        <w:rPr>
          <w:lang w:val="en-US"/>
        </w:rPr>
        <w:t>. First, there are easier and harder guesses</w:t>
      </w:r>
      <w:r w:rsidR="00542C1A" w:rsidRPr="00A44E99">
        <w:rPr>
          <w:lang w:val="en-US"/>
        </w:rPr>
        <w:t xml:space="preserve"> </w:t>
      </w:r>
      <w:r w:rsidR="00542C1A" w:rsidRPr="00A44E99">
        <w:rPr>
          <w:lang w:val="en-US"/>
        </w:rPr>
        <w:fldChar w:fldCharType="begin"/>
      </w:r>
      <w:r w:rsidR="00EC57C4">
        <w:rPr>
          <w:lang w:val="en-US"/>
        </w:rPr>
        <w:instrText xml:space="preserve"> ADDIN ZOTERO_ITEM CSL_CITATION {"citationID":"iwyS1Sc6","properties":{"formattedCitation":"(Alai 2014, 275\\uc0\\u8211{}76)","plainCitation":"(Alai 2014, 275–76)","noteIndex":6},"citationItems":[{"id":407,"uris":["http://zotero.org/users/13148001/items/RH2AQJU6"],"itemData":{"id":407,"type":"chapter","container-title":"Defending Realism: Ontological and Epistemological Investigations","page":"265-290","publisher":"De Gruyter","title":"Defending Deployment Realism against Alleged Counterexamples","author":[{"family":"Alai","given":"Mario"}],"editor":[{"family":"Bonino","given":"Guido"},{"family":"Jesson","given":"Greg"},{"family":"Cumpa","given":"Javier"}],"issued":{"date-parts":[["2014"]]}},"locator":"275-276","label":"page"}],"schema":"https://github.com/citation-style-language/schema/raw/master/csl-citation.json"} </w:instrText>
      </w:r>
      <w:r w:rsidR="00542C1A" w:rsidRPr="00A44E99">
        <w:rPr>
          <w:lang w:val="en-US"/>
        </w:rPr>
        <w:fldChar w:fldCharType="separate"/>
      </w:r>
      <w:r w:rsidR="00542C1A" w:rsidRPr="00A44E99">
        <w:rPr>
          <w:rFonts w:cs="Times New Roman"/>
          <w:szCs w:val="24"/>
        </w:rPr>
        <w:t>(Alai 2014, 275–76)</w:t>
      </w:r>
      <w:r w:rsidR="00542C1A" w:rsidRPr="00A44E99">
        <w:rPr>
          <w:lang w:val="en-US"/>
        </w:rPr>
        <w:fldChar w:fldCharType="end"/>
      </w:r>
      <w:r w:rsidRPr="00A44E99">
        <w:rPr>
          <w:lang w:val="en-US"/>
        </w:rPr>
        <w:t>, which hav</w:t>
      </w:r>
      <w:r w:rsidR="00C93FCE" w:rsidRPr="00A44E99">
        <w:rPr>
          <w:lang w:val="en-US"/>
        </w:rPr>
        <w:t>e</w:t>
      </w:r>
      <w:r w:rsidRPr="00A44E99">
        <w:rPr>
          <w:lang w:val="en-US"/>
        </w:rPr>
        <w:t xml:space="preserve"> </w:t>
      </w:r>
      <w:r w:rsidR="00C93FCE" w:rsidRPr="00A44E99">
        <w:rPr>
          <w:lang w:val="en-US"/>
        </w:rPr>
        <w:t xml:space="preserve">correspondingly </w:t>
      </w:r>
      <w:r w:rsidRPr="00A44E99">
        <w:rPr>
          <w:lang w:val="en-US"/>
        </w:rPr>
        <w:t xml:space="preserve">higher and lower base rates. Second, one must distinguish prediction from retrodiction—and plausibly much of scientific theorizing occurs after data has been gathered. </w:t>
      </w:r>
      <w:r w:rsidR="00542C1A" w:rsidRPr="00A44E99">
        <w:rPr>
          <w:lang w:val="en-US"/>
        </w:rPr>
        <w:t>For discussion, see G&amp;G (§3, §5.2).</w:t>
      </w:r>
    </w:p>
  </w:footnote>
  <w:footnote w:id="7">
    <w:p w14:paraId="69244472" w14:textId="77777777" w:rsidR="00386010" w:rsidRPr="00A44E99" w:rsidRDefault="00386010" w:rsidP="00801649">
      <w:pPr>
        <w:pStyle w:val="FootnoteText"/>
        <w:jc w:val="both"/>
        <w:rPr>
          <w:lang w:val="en-US"/>
        </w:rPr>
      </w:pPr>
      <w:r w:rsidRPr="00A44E99">
        <w:rPr>
          <w:rStyle w:val="FootnoteReference"/>
        </w:rPr>
        <w:footnoteRef/>
      </w:r>
      <w:r w:rsidRPr="00A44E99">
        <w:t xml:space="preserve"> </w:t>
      </w:r>
      <w:r w:rsidRPr="00A44E99">
        <w:rPr>
          <w:lang w:val="en-US"/>
        </w:rPr>
        <w:t xml:space="preserve">Though the ultimate probabilistic outcome will depend greatly on the exact ratios of “large number” “novel” and “improbable”. A great many </w:t>
      </w:r>
      <w:proofErr w:type="gramStart"/>
      <w:r w:rsidRPr="00A44E99">
        <w:rPr>
          <w:lang w:val="en-US"/>
        </w:rPr>
        <w:t>novel</w:t>
      </w:r>
      <w:proofErr w:type="gramEnd"/>
      <w:r w:rsidRPr="00A44E99">
        <w:rPr>
          <w:lang w:val="en-US"/>
        </w:rPr>
        <w:t>, nontautological, but nevertheless probable (“easy”) predictions can still count in favor of T, just as much as, e.g., relatively fewer but harder predictions.</w:t>
      </w:r>
    </w:p>
  </w:footnote>
  <w:footnote w:id="8">
    <w:p w14:paraId="01FD606F" w14:textId="699225C4" w:rsidR="00F07B9A" w:rsidRPr="00A44E99" w:rsidRDefault="00F07B9A" w:rsidP="00F07B9A">
      <w:pPr>
        <w:pStyle w:val="FootnoteText"/>
        <w:jc w:val="both"/>
        <w:rPr>
          <w:lang w:val="en-US"/>
        </w:rPr>
      </w:pPr>
      <w:r w:rsidRPr="00A44E99">
        <w:rPr>
          <w:rStyle w:val="FootnoteReference"/>
        </w:rPr>
        <w:footnoteRef/>
      </w:r>
      <w:r w:rsidRPr="00A44E99">
        <w:t xml:space="preserve"> </w:t>
      </w:r>
      <w:r w:rsidR="004C7BBC">
        <w:rPr>
          <w:lang w:val="en-US"/>
        </w:rPr>
        <w:t>An anonymous reviewer points out an additional</w:t>
      </w:r>
      <w:r w:rsidRPr="00A44E99">
        <w:rPr>
          <w:lang w:val="en-US"/>
        </w:rPr>
        <w:t xml:space="preserve"> problem—whether this argument commits the base-rate fallacy, endemic to probabilistic no-miracles arguments. I address this problem later (see pp. 14-15).</w:t>
      </w:r>
    </w:p>
  </w:footnote>
  <w:footnote w:id="9">
    <w:p w14:paraId="0546CA4D" w14:textId="02CBE42A" w:rsidR="00466D4E" w:rsidRPr="00A44E99" w:rsidRDefault="00466D4E" w:rsidP="00801649">
      <w:pPr>
        <w:pStyle w:val="FootnoteText"/>
        <w:jc w:val="both"/>
        <w:rPr>
          <w:lang w:val="en-US"/>
        </w:rPr>
      </w:pPr>
      <w:r w:rsidRPr="00A44E99">
        <w:rPr>
          <w:rStyle w:val="FootnoteReference"/>
        </w:rPr>
        <w:footnoteRef/>
      </w:r>
      <w:r w:rsidRPr="00A44E99">
        <w:t xml:space="preserve"> </w:t>
      </w:r>
      <w:r w:rsidRPr="00A44E99">
        <w:rPr>
          <w:lang w:val="en-US"/>
        </w:rPr>
        <w:t>I thank an anonymous reviewer for this point and helpful language on this front.</w:t>
      </w:r>
    </w:p>
  </w:footnote>
  <w:footnote w:id="10">
    <w:p w14:paraId="5384FBD4" w14:textId="140EAC7E" w:rsidR="001A5F41" w:rsidRPr="00A44E99" w:rsidRDefault="001A5F41" w:rsidP="00042F51">
      <w:pPr>
        <w:pStyle w:val="FootnoteText"/>
        <w:jc w:val="both"/>
        <w:rPr>
          <w:lang w:val="en-US"/>
        </w:rPr>
      </w:pPr>
      <w:r w:rsidRPr="00A44E99">
        <w:rPr>
          <w:rStyle w:val="FootnoteReference"/>
        </w:rPr>
        <w:footnoteRef/>
      </w:r>
      <w:r w:rsidRPr="00A44E99">
        <w:t xml:space="preserve"> </w:t>
      </w:r>
      <w:r w:rsidR="00042F51" w:rsidRPr="00A44E99">
        <w:t xml:space="preserve">The reader may notice this premise appears inert—this is because, cast in Bayesian terms, this would be the prior probability featuring in the </w:t>
      </w:r>
      <w:r w:rsidR="003D6B8F" w:rsidRPr="00A44E99">
        <w:t>posterior</w:t>
      </w:r>
      <w:r w:rsidR="00042F51" w:rsidRPr="00A44E99">
        <w:t xml:space="preserve"> calculation. Its role is to ensure the conclusion of the argument is not trivially undermined by an arbitrarily skeptical prior. </w:t>
      </w:r>
      <w:r w:rsidRPr="00A44E99">
        <w:rPr>
          <w:lang w:val="en-US"/>
        </w:rPr>
        <w:t>More on this shortly.</w:t>
      </w:r>
    </w:p>
  </w:footnote>
  <w:footnote w:id="11">
    <w:p w14:paraId="1B3A8DBD" w14:textId="59E96DF9" w:rsidR="00DC2ECF" w:rsidRPr="00A44E99" w:rsidRDefault="00DC2ECF" w:rsidP="00801649">
      <w:pPr>
        <w:pStyle w:val="FootnoteText"/>
        <w:jc w:val="both"/>
        <w:rPr>
          <w:lang w:val="en-US"/>
        </w:rPr>
      </w:pPr>
      <w:r w:rsidRPr="00A44E99">
        <w:rPr>
          <w:rStyle w:val="FootnoteReference"/>
        </w:rPr>
        <w:footnoteRef/>
      </w:r>
      <w:r w:rsidRPr="00A44E99">
        <w:t xml:space="preserve"> </w:t>
      </w:r>
      <w:r w:rsidRPr="00A44E99">
        <w:rPr>
          <w:lang w:val="en-US"/>
        </w:rPr>
        <w:t xml:space="preserve">Precisely how many successful predictions depends on the independence </w:t>
      </w:r>
      <w:r w:rsidR="00992C76">
        <w:rPr>
          <w:lang w:val="en-US"/>
        </w:rPr>
        <w:t xml:space="preserve">and difficulty </w:t>
      </w:r>
      <w:r w:rsidRPr="00A44E99">
        <w:rPr>
          <w:lang w:val="en-US"/>
        </w:rPr>
        <w:t xml:space="preserve">of the predictions. G&amp;G note that the numbers given true independence </w:t>
      </w:r>
      <w:r w:rsidR="00503258" w:rsidRPr="00A44E99">
        <w:rPr>
          <w:lang w:val="en-US"/>
        </w:rPr>
        <w:t>may be</w:t>
      </w:r>
      <w:r w:rsidRPr="00A44E99">
        <w:rPr>
          <w:lang w:val="en-US"/>
        </w:rPr>
        <w:t xml:space="preserve"> surprisingly low</w:t>
      </w:r>
      <w:r w:rsidR="00503258" w:rsidRPr="00A44E99">
        <w:rPr>
          <w:lang w:val="en-US"/>
        </w:rPr>
        <w:t xml:space="preserve"> </w:t>
      </w:r>
      <w:r w:rsidR="00503258" w:rsidRPr="00A44E99">
        <w:rPr>
          <w:lang w:val="en-US"/>
        </w:rPr>
        <w:fldChar w:fldCharType="begin"/>
      </w:r>
      <w:r w:rsidR="00EC57C4">
        <w:rPr>
          <w:lang w:val="en-US"/>
        </w:rPr>
        <w:instrText xml:space="preserve"> ADDIN ZOTERO_ITEM CSL_CITATION {"citationID":"nsYMNFxQ","properties":{"formattedCitation":"(Golemon and Graber 2023, nn. 7, 12; see also pp. 10-11)","plainCitation":"(Golemon and Graber 2023, nn. 7, 12; see also pp. 10-11)","noteIndex":11},"citationItems":[{"id":428,"uris":["http://zotero.org/users/13148001/items/YZHLCEN3"],"itemData":{"id":428,"type":"article-journal","container-title":"Synthese","DOI":"https://doi.org/10.1007/s11229-023-04078-6","page":"1-26","title":"A Deductive Variation on the No Miracles Argument","volume":"201","author":[{"family":"Golemon","given":"Luke"},{"family":"Graber","given":"Abraham"}],"issued":{"date-parts":[["2023"]]}},"locator":"7, 12","label":"note","suffix":"; see also pp. 10-11"}],"schema":"https://github.com/citation-style-language/schema/raw/master/csl-citation.json"} </w:instrText>
      </w:r>
      <w:r w:rsidR="00503258" w:rsidRPr="00A44E99">
        <w:rPr>
          <w:lang w:val="en-US"/>
        </w:rPr>
        <w:fldChar w:fldCharType="separate"/>
      </w:r>
      <w:r w:rsidR="00463DF1" w:rsidRPr="00A44E99">
        <w:t>(Golemon and Graber 2023, nn. 7, 12; see also pp. 10-11)</w:t>
      </w:r>
      <w:r w:rsidR="00503258" w:rsidRPr="00A44E99">
        <w:rPr>
          <w:lang w:val="en-US"/>
        </w:rPr>
        <w:fldChar w:fldCharType="end"/>
      </w:r>
      <w:r w:rsidR="00503258" w:rsidRPr="00A44E99">
        <w:rPr>
          <w:lang w:val="en-US"/>
        </w:rPr>
        <w:t xml:space="preserve">, </w:t>
      </w:r>
      <w:r w:rsidR="008E5B98">
        <w:rPr>
          <w:lang w:val="en-US"/>
        </w:rPr>
        <w:t>though our</w:t>
      </w:r>
      <w:r w:rsidR="00503258" w:rsidRPr="00A44E99">
        <w:rPr>
          <w:lang w:val="en-US"/>
        </w:rPr>
        <w:t xml:space="preserve"> n. 12 is</w:t>
      </w:r>
      <w:r w:rsidR="00463DF1" w:rsidRPr="00A44E99">
        <w:rPr>
          <w:lang w:val="en-US"/>
        </w:rPr>
        <w:t xml:space="preserve"> </w:t>
      </w:r>
      <w:r w:rsidR="001A5F41" w:rsidRPr="00A44E99">
        <w:rPr>
          <w:lang w:val="en-US"/>
        </w:rPr>
        <w:t>merely illustrative</w:t>
      </w:r>
      <w:r w:rsidR="008E5B98">
        <w:rPr>
          <w:lang w:val="en-US"/>
        </w:rPr>
        <w:t xml:space="preserve"> and in retrospect, a poor choice of example</w:t>
      </w:r>
      <w:r w:rsidR="00503258" w:rsidRPr="00A44E99">
        <w:rPr>
          <w:lang w:val="en-US"/>
        </w:rPr>
        <w:t>.</w:t>
      </w:r>
    </w:p>
  </w:footnote>
  <w:footnote w:id="12">
    <w:p w14:paraId="5DE98648" w14:textId="1662D205" w:rsidR="00000FFC" w:rsidRPr="00A44E99" w:rsidRDefault="00000FFC" w:rsidP="00801649">
      <w:pPr>
        <w:pStyle w:val="FootnoteText"/>
        <w:jc w:val="both"/>
        <w:rPr>
          <w:lang w:val="en-US"/>
        </w:rPr>
      </w:pPr>
      <w:r w:rsidRPr="00A44E99">
        <w:rPr>
          <w:rStyle w:val="FootnoteReference"/>
        </w:rPr>
        <w:footnoteRef/>
      </w:r>
      <w:r w:rsidRPr="00A44E99">
        <w:t xml:space="preserve"> </w:t>
      </w:r>
      <w:r w:rsidRPr="00A44E99">
        <w:rPr>
          <w:lang w:val="en-US"/>
        </w:rPr>
        <w:t>Or that we have strong evidence to believe it is approximately true, etc.</w:t>
      </w:r>
    </w:p>
  </w:footnote>
  <w:footnote w:id="13">
    <w:p w14:paraId="02C3CAFE" w14:textId="1EFD4C4B" w:rsidR="00951C6E" w:rsidRPr="00A44E99" w:rsidRDefault="00951C6E" w:rsidP="00EB1EE0">
      <w:pPr>
        <w:pStyle w:val="FootnoteText"/>
        <w:jc w:val="both"/>
        <w:rPr>
          <w:lang w:val="en-US"/>
        </w:rPr>
      </w:pPr>
      <w:r w:rsidRPr="00A44E99">
        <w:rPr>
          <w:rStyle w:val="FootnoteReference"/>
        </w:rPr>
        <w:footnoteRef/>
      </w:r>
      <w:r w:rsidRPr="00A44E99">
        <w:t xml:space="preserve"> </w:t>
      </w:r>
      <w:r w:rsidRPr="00A44E99">
        <w:rPr>
          <w:lang w:val="en-US"/>
        </w:rPr>
        <w:t xml:space="preserve">I </w:t>
      </w:r>
      <w:r w:rsidR="00CB45BE" w:rsidRPr="00A44E99">
        <w:rPr>
          <w:lang w:val="en-US"/>
        </w:rPr>
        <w:t>am grateful to</w:t>
      </w:r>
      <w:r w:rsidRPr="00A44E99">
        <w:rPr>
          <w:lang w:val="en-US"/>
        </w:rPr>
        <w:t xml:space="preserve"> one anonymous reviewer for demonstrating </w:t>
      </w:r>
      <w:r w:rsidR="00EB1EE0" w:rsidRPr="00A44E99">
        <w:rPr>
          <w:lang w:val="en-US"/>
        </w:rPr>
        <w:t xml:space="preserve">the relevance of </w:t>
      </w:r>
      <w:r w:rsidRPr="00A44E99">
        <w:rPr>
          <w:lang w:val="en-US"/>
        </w:rPr>
        <w:t xml:space="preserve">Lee’s objection </w:t>
      </w:r>
      <w:r w:rsidR="00EB1EE0" w:rsidRPr="00A44E99">
        <w:rPr>
          <w:lang w:val="en-US"/>
        </w:rPr>
        <w:t>and</w:t>
      </w:r>
      <w:r w:rsidRPr="00A44E99">
        <w:rPr>
          <w:lang w:val="en-US"/>
        </w:rPr>
        <w:t xml:space="preserve"> another</w:t>
      </w:r>
      <w:r w:rsidR="00EB1EE0" w:rsidRPr="00A44E99">
        <w:rPr>
          <w:lang w:val="en-US"/>
        </w:rPr>
        <w:t xml:space="preserve"> reviewer</w:t>
      </w:r>
      <w:r w:rsidRPr="00A44E99">
        <w:rPr>
          <w:lang w:val="en-US"/>
        </w:rPr>
        <w:t xml:space="preserve"> for their suggestion to escape it.</w:t>
      </w:r>
    </w:p>
  </w:footnote>
  <w:footnote w:id="14">
    <w:p w14:paraId="3806E4FA" w14:textId="2E869351" w:rsidR="000F2947" w:rsidRPr="00A44E99" w:rsidRDefault="000F2947">
      <w:pPr>
        <w:pStyle w:val="FootnoteText"/>
        <w:rPr>
          <w:lang w:val="en-US"/>
        </w:rPr>
      </w:pPr>
      <w:r w:rsidRPr="00A44E99">
        <w:rPr>
          <w:rStyle w:val="FootnoteReference"/>
        </w:rPr>
        <w:footnoteRef/>
      </w:r>
      <w:r w:rsidRPr="00A44E99">
        <w:t xml:space="preserve"> </w:t>
      </w:r>
      <w:r w:rsidR="00CB45BE" w:rsidRPr="00A44E99">
        <w:rPr>
          <w:lang w:val="en-US"/>
        </w:rPr>
        <w:t>I thank</w:t>
      </w:r>
      <w:r w:rsidRPr="00A44E99">
        <w:rPr>
          <w:lang w:val="en-US"/>
        </w:rPr>
        <w:t xml:space="preserve"> an anonymous reviewer for prompting</w:t>
      </w:r>
      <w:r w:rsidR="00CB45BE" w:rsidRPr="00A44E99">
        <w:rPr>
          <w:lang w:val="en-US"/>
        </w:rPr>
        <w:t xml:space="preserve"> me to</w:t>
      </w:r>
      <w:r w:rsidRPr="00A44E99">
        <w:rPr>
          <w:lang w:val="en-US"/>
        </w:rPr>
        <w:t xml:space="preserve"> discuss</w:t>
      </w:r>
      <w:r w:rsidR="00352E7A" w:rsidRPr="00A44E99">
        <w:rPr>
          <w:lang w:val="en-US"/>
        </w:rPr>
        <w:t xml:space="preserve"> the base-rate fallacy</w:t>
      </w:r>
      <w:r w:rsidRPr="00A44E99">
        <w:rPr>
          <w:lang w:val="en-US"/>
        </w:rPr>
        <w:t xml:space="preserve">. </w:t>
      </w:r>
    </w:p>
  </w:footnote>
  <w:footnote w:id="15">
    <w:p w14:paraId="44B4B422" w14:textId="6B0ECB11" w:rsidR="00972B3E" w:rsidRPr="00A44E99" w:rsidRDefault="00972B3E" w:rsidP="00972B3E">
      <w:pPr>
        <w:pStyle w:val="FootnoteText"/>
        <w:jc w:val="both"/>
        <w:rPr>
          <w:lang w:val="en-US"/>
        </w:rPr>
      </w:pPr>
      <w:r w:rsidRPr="00A44E99">
        <w:rPr>
          <w:rStyle w:val="FootnoteReference"/>
        </w:rPr>
        <w:footnoteRef/>
      </w:r>
      <w:r w:rsidRPr="00A44E99">
        <w:t xml:space="preserve"> </w:t>
      </w:r>
      <w:r w:rsidRPr="00A44E99">
        <w:rPr>
          <w:lang w:val="en-US"/>
        </w:rPr>
        <w:t xml:space="preserve">As Jan Sprenger highlights, most believe that a sufficiently skeptical prior can outweigh the likelihoods, and that the realist needs to provide convincing reasons why </w:t>
      </w:r>
      <w:proofErr w:type="spellStart"/>
      <w:r w:rsidRPr="00A44E99">
        <w:rPr>
          <w:lang w:val="en-US"/>
        </w:rPr>
        <w:t>Pr</w:t>
      </w:r>
      <w:proofErr w:type="spellEnd"/>
      <w:r w:rsidRPr="00A44E99">
        <w:rPr>
          <w:lang w:val="en-US"/>
        </w:rPr>
        <w:t xml:space="preserve">(T) is not vanishingly low </w:t>
      </w:r>
      <w:r w:rsidRPr="00A44E99">
        <w:rPr>
          <w:lang w:val="en-US"/>
        </w:rPr>
        <w:fldChar w:fldCharType="begin"/>
      </w:r>
      <w:r w:rsidR="00EC57C4">
        <w:rPr>
          <w:lang w:val="en-US"/>
        </w:rPr>
        <w:instrText xml:space="preserve"> ADDIN ZOTERO_ITEM CSL_CITATION {"citationID":"y64NdxJo","properties":{"formattedCitation":"(2016, 177)","plainCitation":"(2016, 177)","noteIndex":15},"citationItems":[{"id":743,"uris":["http://zotero.org/users/13148001/items/4XBLRAQG"],"itemData":{"id":743,"type":"article-journal","container-title":"European Journal for Philosophy of Science","DOI":"10.1007/s13194-015-0122-0","ISSN":"1879-4912, 1879-4920","issue":"2","journalAbbreviation":"Euro Jnl Phil Sci","language":"en","page":"173-189","source":"DOI.org (Crossref)","title":"The probabilistic no miracles argument","volume":"6","author":[{"family":"Sprenger","given":"Jan"}],"issued":{"date-parts":[["2016",5]]}},"locator":"177","label":"page","suppress-author":true}],"schema":"https://github.com/citation-style-language/schema/raw/master/csl-citation.json"} </w:instrText>
      </w:r>
      <w:r w:rsidRPr="00A44E99">
        <w:rPr>
          <w:lang w:val="en-US"/>
        </w:rPr>
        <w:fldChar w:fldCharType="separate"/>
      </w:r>
      <w:r w:rsidRPr="00A44E99">
        <w:rPr>
          <w:lang w:val="en-US"/>
        </w:rPr>
        <w:t>(2016, 177)</w:t>
      </w:r>
      <w:r w:rsidRPr="00A44E99">
        <w:fldChar w:fldCharType="end"/>
      </w:r>
      <w:r w:rsidRPr="00A44E99">
        <w:rPr>
          <w:lang w:val="en-US"/>
        </w:rPr>
        <w:t xml:space="preserve">. There are almost no such reasons in the literature; it is regarded as intensely subjective—Sprenger calls it “unconstrained” (177). Howson </w:t>
      </w:r>
      <w:r w:rsidRPr="00A44E99">
        <w:rPr>
          <w:lang w:val="en-US"/>
        </w:rPr>
        <w:fldChar w:fldCharType="begin"/>
      </w:r>
      <w:r w:rsidR="00EC57C4">
        <w:rPr>
          <w:lang w:val="en-US"/>
        </w:rPr>
        <w:instrText xml:space="preserve"> ADDIN ZOTERO_ITEM CSL_CITATION {"citationID":"UytEhvEl","properties":{"formattedCitation":"(2013, 211)","plainCitation":"(2013, 211)","noteIndex":15},"citationItems":[{"id":740,"uris":["http://zotero.org/users/13148001/items/IERA3ETN"],"itemData":{"id":740,"type":"article-journal","container-title":"Analysis","issue":"2","page":"205-211","title":"Exhuming the No-Miracles Argument","volume":"73","author":[{"family":"Howson","given":"Colin"}],"issued":{"date-parts":[["2013"]]}},"locator":"211","label":"page","suppress-author":true}],"schema":"https://github.com/citation-style-language/schema/raw/master/csl-citation.json"} </w:instrText>
      </w:r>
      <w:r w:rsidRPr="00A44E99">
        <w:rPr>
          <w:lang w:val="en-US"/>
        </w:rPr>
        <w:fldChar w:fldCharType="separate"/>
      </w:r>
      <w:r w:rsidRPr="00A44E99">
        <w:rPr>
          <w:lang w:val="en-US"/>
        </w:rPr>
        <w:t>(2013, 211)</w:t>
      </w:r>
      <w:r w:rsidRPr="00A44E99">
        <w:fldChar w:fldCharType="end"/>
      </w:r>
      <w:r w:rsidRPr="00A44E99">
        <w:rPr>
          <w:lang w:val="en-US"/>
        </w:rPr>
        <w:t xml:space="preserve"> concludes on this basis that “objective” PNMA</w:t>
      </w:r>
      <w:r w:rsidR="001C7BE2" w:rsidRPr="00A44E99">
        <w:rPr>
          <w:lang w:val="en-US"/>
        </w:rPr>
        <w:t>s</w:t>
      </w:r>
      <w:r w:rsidRPr="00A44E99">
        <w:rPr>
          <w:lang w:val="en-US"/>
        </w:rPr>
        <w:t xml:space="preserve"> </w:t>
      </w:r>
      <w:r w:rsidR="001C7BE2" w:rsidRPr="00A44E99">
        <w:rPr>
          <w:lang w:val="en-US"/>
        </w:rPr>
        <w:t>are</w:t>
      </w:r>
      <w:r w:rsidRPr="00A44E99">
        <w:rPr>
          <w:lang w:val="en-US"/>
        </w:rPr>
        <w:t xml:space="preserve"> “dead in the water”.</w:t>
      </w:r>
    </w:p>
  </w:footnote>
  <w:footnote w:id="16">
    <w:p w14:paraId="6CE861A7" w14:textId="3BF20081" w:rsidR="00FF37C5" w:rsidRPr="00A44E99" w:rsidRDefault="00FF37C5" w:rsidP="00FF37C5">
      <w:pPr>
        <w:pStyle w:val="FootnoteText"/>
        <w:jc w:val="both"/>
        <w:rPr>
          <w:lang w:val="en-US"/>
        </w:rPr>
      </w:pPr>
      <w:r w:rsidRPr="00A44E99">
        <w:rPr>
          <w:rStyle w:val="FootnoteReference"/>
        </w:rPr>
        <w:footnoteRef/>
      </w:r>
      <w:r w:rsidRPr="00A44E99">
        <w:t xml:space="preserve"> </w:t>
      </w:r>
      <w:r w:rsidRPr="00A44E99">
        <w:rPr>
          <w:lang w:val="en-US"/>
        </w:rPr>
        <w:t>There are other argumentative structures that might vindicate a</w:t>
      </w:r>
      <w:r w:rsidR="001C7BE2" w:rsidRPr="00A44E99">
        <w:rPr>
          <w:lang w:val="en-US"/>
        </w:rPr>
        <w:t>n I</w:t>
      </w:r>
      <w:r w:rsidRPr="00A44E99">
        <w:rPr>
          <w:lang w:val="en-US"/>
        </w:rPr>
        <w:t xml:space="preserve">NMA </w:t>
      </w:r>
      <w:r w:rsidR="00F07B9A" w:rsidRPr="00A44E99">
        <w:rPr>
          <w:lang w:val="en-US"/>
        </w:rPr>
        <w:t xml:space="preserve">that do not commit the base-rate fallacy </w:t>
      </w:r>
      <w:r w:rsidRPr="00A44E99">
        <w:rPr>
          <w:lang w:val="en-US"/>
        </w:rPr>
        <w:t xml:space="preserve">without something like (P5), but they are quite different from </w:t>
      </w:r>
      <w:r w:rsidR="00810903" w:rsidRPr="00A44E99">
        <w:rPr>
          <w:lang w:val="en-US"/>
        </w:rPr>
        <w:t>mine</w:t>
      </w:r>
      <w:r w:rsidRPr="00A44E99">
        <w:rPr>
          <w:lang w:val="en-US"/>
        </w:rPr>
        <w:t>—cf.</w:t>
      </w:r>
      <w:r w:rsidR="00810903" w:rsidRPr="00A44E99">
        <w:rPr>
          <w:lang w:val="en-US"/>
        </w:rPr>
        <w:t xml:space="preserve"> </w:t>
      </w:r>
      <w:proofErr w:type="spellStart"/>
      <w:r w:rsidR="00810903" w:rsidRPr="00A44E99">
        <w:rPr>
          <w:lang w:val="en-US"/>
        </w:rPr>
        <w:t>Dawid</w:t>
      </w:r>
      <w:proofErr w:type="spellEnd"/>
      <w:r w:rsidR="00810903" w:rsidRPr="00A44E99">
        <w:rPr>
          <w:lang w:val="en-US"/>
        </w:rPr>
        <w:t xml:space="preserve"> and Hartmann</w:t>
      </w:r>
      <w:r w:rsidRPr="00A44E99">
        <w:rPr>
          <w:lang w:val="en-US"/>
        </w:rPr>
        <w:t xml:space="preserve"> </w:t>
      </w:r>
      <w:r w:rsidRPr="00A44E99">
        <w:rPr>
          <w:lang w:val="en-US"/>
        </w:rPr>
        <w:fldChar w:fldCharType="begin"/>
      </w:r>
      <w:r w:rsidR="00EC57C4">
        <w:rPr>
          <w:lang w:val="en-US"/>
        </w:rPr>
        <w:instrText xml:space="preserve"> ADDIN ZOTERO_ITEM CSL_CITATION {"citationID":"zUXOv5nF","properties":{"formattedCitation":"(2018)","plainCitation":"(2018)","noteIndex":16},"citationItems":[{"id":730,"uris":["http://zotero.org/users/13148001/items/UMHUWHLG"],"itemData":{"id":730,"type":"article-journal","container-title":"Synthese","DOI":"10.1007/s11229-017-1408-x","ISSN":"0039-7857, 1573-0964","issue":"9","journalAbbreviation":"Synthese","language":"en","page":"4063-4079","source":"DOI.org (Crossref)","title":"The no miracles argument without the base rate fallacy","volume":"195","author":[{"family":"Dawid","given":"Richard"},{"family":"Hartmann","given":"Stephan"}],"issued":{"date-parts":[["2018",9]]}},"suppress-author":true}],"schema":"https://github.com/citation-style-language/schema/raw/master/csl-citation.json"} </w:instrText>
      </w:r>
      <w:r w:rsidRPr="00A44E99">
        <w:rPr>
          <w:lang w:val="en-US"/>
        </w:rPr>
        <w:fldChar w:fldCharType="separate"/>
      </w:r>
      <w:r w:rsidR="00810903" w:rsidRPr="00A44E99">
        <w:t>(2018)</w:t>
      </w:r>
      <w:r w:rsidRPr="00A44E99">
        <w:rPr>
          <w:lang w:val="en-US"/>
        </w:rPr>
        <w:fldChar w:fldCharType="end"/>
      </w:r>
      <w:r w:rsidRPr="00A44E99">
        <w:rPr>
          <w:lang w:val="en-US"/>
        </w:rPr>
        <w:t xml:space="preserve">. Indeed, this argument, so structured, attempts to revive the type of </w:t>
      </w:r>
      <w:r w:rsidR="001C7BE2" w:rsidRPr="00A44E99">
        <w:rPr>
          <w:lang w:val="en-US"/>
        </w:rPr>
        <w:t>P</w:t>
      </w:r>
      <w:r w:rsidRPr="00A44E99">
        <w:rPr>
          <w:lang w:val="en-US"/>
        </w:rPr>
        <w:t xml:space="preserve">NMA thought naïve due to the </w:t>
      </w:r>
      <w:r w:rsidR="00F727B3" w:rsidRPr="00A44E99">
        <w:rPr>
          <w:lang w:val="en-US"/>
        </w:rPr>
        <w:t xml:space="preserve">putative </w:t>
      </w:r>
      <w:r w:rsidR="0054628E" w:rsidRPr="00A44E99">
        <w:rPr>
          <w:lang w:val="en-US"/>
        </w:rPr>
        <w:t>subjectivity and arbitrariness</w:t>
      </w:r>
      <w:r w:rsidR="00F727B3" w:rsidRPr="00A44E99">
        <w:rPr>
          <w:lang w:val="en-US"/>
        </w:rPr>
        <w:t xml:space="preserve"> of choosing a</w:t>
      </w:r>
      <w:r w:rsidRPr="00A44E99">
        <w:rPr>
          <w:lang w:val="en-US"/>
        </w:rPr>
        <w:t xml:space="preserve"> prior </w:t>
      </w:r>
      <w:r w:rsidRPr="00A44E99">
        <w:rPr>
          <w:lang w:val="en-US"/>
        </w:rPr>
        <w:fldChar w:fldCharType="begin"/>
      </w:r>
      <w:r w:rsidR="00EC57C4">
        <w:rPr>
          <w:lang w:val="en-US"/>
        </w:rPr>
        <w:instrText xml:space="preserve"> ADDIN ZOTERO_ITEM CSL_CITATION {"citationID":"jmKw0qkk","properties":{"formattedCitation":"(e.g., Sprenger 2016, 175\\uc0\\u8211{}77)","plainCitation":"(e.g., Sprenger 2016, 175–77)","noteIndex":16},"citationItems":[{"id":743,"uris":["http://zotero.org/users/13148001/items/4XBLRAQG"],"itemData":{"id":743,"type":"article-journal","container-title":"European Journal for Philosophy of Science","DOI":"10.1007/s13194-015-0122-0","ISSN":"1879-4912, 1879-4920","issue":"2","journalAbbreviation":"Euro Jnl Phil Sci","language":"en","page":"173-189","source":"DOI.org (Crossref)","title":"The probabilistic no miracles argument","volume":"6","author":[{"family":"Sprenger","given":"Jan"}],"issued":{"date-parts":[["2016",5]]}},"locator":"175-177","label":"page","prefix":"e.g., "}],"schema":"https://github.com/citation-style-language/schema/raw/master/csl-citation.json"} </w:instrText>
      </w:r>
      <w:r w:rsidRPr="00A44E99">
        <w:rPr>
          <w:lang w:val="en-US"/>
        </w:rPr>
        <w:fldChar w:fldCharType="separate"/>
      </w:r>
      <w:r w:rsidR="00CD5608" w:rsidRPr="00A44E99">
        <w:rPr>
          <w:rFonts w:cs="Times New Roman"/>
          <w:szCs w:val="24"/>
        </w:rPr>
        <w:t>(e.g., Sprenger 2016, 175–77)</w:t>
      </w:r>
      <w:r w:rsidRPr="00A44E99">
        <w:rPr>
          <w:lang w:val="en-US"/>
        </w:rPr>
        <w:fldChar w:fldCharType="end"/>
      </w:r>
      <w:r w:rsidRPr="00A44E99">
        <w:rPr>
          <w:lang w:val="en-US"/>
        </w:rPr>
        <w:t xml:space="preserve">. This parallels </w:t>
      </w:r>
      <w:r w:rsidR="004441FA">
        <w:rPr>
          <w:lang w:val="en-US"/>
        </w:rPr>
        <w:t>our</w:t>
      </w:r>
      <w:r w:rsidRPr="00A44E99">
        <w:rPr>
          <w:lang w:val="en-US"/>
        </w:rPr>
        <w:t xml:space="preserve"> embrac</w:t>
      </w:r>
      <w:r w:rsidR="004441FA">
        <w:rPr>
          <w:lang w:val="en-US"/>
        </w:rPr>
        <w:t>e</w:t>
      </w:r>
      <w:r w:rsidRPr="00A44E99">
        <w:rPr>
          <w:lang w:val="en-US"/>
        </w:rPr>
        <w:t xml:space="preserve"> </w:t>
      </w:r>
      <w:r w:rsidR="004441FA">
        <w:rPr>
          <w:lang w:val="en-US"/>
        </w:rPr>
        <w:t xml:space="preserve">of </w:t>
      </w:r>
      <w:r w:rsidRPr="00A44E99">
        <w:rPr>
          <w:lang w:val="en-US"/>
        </w:rPr>
        <w:t>another view thought naïve—namely, that scientific theories were confirmed via accurate predictions</w:t>
      </w:r>
      <w:r w:rsidR="000F2947" w:rsidRPr="00A44E99">
        <w:rPr>
          <w:lang w:val="en-US"/>
        </w:rPr>
        <w:t xml:space="preserve"> </w:t>
      </w:r>
      <w:r w:rsidR="000F2947" w:rsidRPr="00A44E99">
        <w:rPr>
          <w:lang w:val="en-US"/>
        </w:rPr>
        <w:fldChar w:fldCharType="begin"/>
      </w:r>
      <w:r w:rsidR="00EC57C4">
        <w:rPr>
          <w:lang w:val="en-US"/>
        </w:rPr>
        <w:instrText xml:space="preserve"> ADDIN ZOTERO_ITEM CSL_CITATION {"citationID":"EFn7Laec","properties":{"formattedCitation":"(see Golemon and Graber 2023, 10; Hempel 1945; Nicod [1924] 2014)","plainCitation":"(see Golemon and Graber 2023, 10; Hempel 1945; Nicod [1924] 2014)","noteIndex":16},"citationItems":[{"id":428,"uris":["http://zotero.org/users/13148001/items/YZHLCEN3"],"itemData":{"id":428,"type":"article-journal","container-title":"Synthese","DOI":"https://doi.org/10.1007/s11229-023-04078-6","page":"1-26","title":"A Deductive Variation on the No Miracles Argument","volume":"201","author":[{"family":"Golemon","given":"Luke"},{"family":"Graber","given":"Abraham"}],"issued":{"date-parts":[["2023"]]}},"locator":"10","label":"page","prefix":"see"},{"id":770,"uris":["http://zotero.org/users/13148001/items/CDS7WSEM"],"itemData":{"id":770,"type":"article-journal","container-title":"Mind","DOI":"10.1093/mind/LIV.213.1","ISSN":"0026-4423, 1460-2113","issue":"213","journalAbbreviation":"Mind","language":"en","page":"1-26","source":"DOI.org (Crossref)","title":"Studies in the Logic of Confirmation","volume":"LIV","author":[{"family":"Hempel","given":"Carl G."}],"issued":{"date-parts":[["1945"]]}}},{"id":771,"uris":["http://zotero.org/users/13148001/items/E4ZGDJ6K"],"itemData":{"id":771,"type":"book","abstract":"pt. 1. Geometric order -- pt. 2. Terms and relations -- pt. 3. Some objective geometries","collection-number":"4","collection-title":"International library of philosophy","DOI":"10.4324/9781315823041","ISBN":"978-0-415-61373-6","language":"eng","number-of-pages":"1","publisher":"Routledge, Taylor &amp; Francis Group","publisher-place":"London New York","source":"K10plus ISBN","title":"Foundations of geometry and induction: containing Geometry in the sensible world and The logical problem of induction","title-short":"Foundations of geometry and induction","author":[{"family":"Nicod","given":"Jean"}],"translator":[{"family":"Lalande","given":"Andre"}],"issued":{"date-parts":[["2014"]]},"original-date":{"date-parts":[["1924"]]}}}],"schema":"https://github.com/citation-style-language/schema/raw/master/csl-citation.json"} </w:instrText>
      </w:r>
      <w:r w:rsidR="000F2947" w:rsidRPr="00A44E99">
        <w:rPr>
          <w:lang w:val="en-US"/>
        </w:rPr>
        <w:fldChar w:fldCharType="separate"/>
      </w:r>
      <w:r w:rsidR="00EC57C4" w:rsidRPr="00EC57C4">
        <w:t>(see Golemon and Graber 2023, 10; Hempel 1945; Nicod [1924] 2014)</w:t>
      </w:r>
      <w:r w:rsidR="000F2947" w:rsidRPr="00A44E99">
        <w:rPr>
          <w:lang w:val="en-US"/>
        </w:rPr>
        <w:fldChar w:fldCharType="end"/>
      </w:r>
      <w:r w:rsidRPr="00A44E99">
        <w:rPr>
          <w:lang w:val="en-US"/>
        </w:rPr>
        <w:t xml:space="preserve">. </w:t>
      </w:r>
    </w:p>
  </w:footnote>
  <w:footnote w:id="17">
    <w:p w14:paraId="2E8184EE" w14:textId="5E7CE8C7" w:rsidR="00842620" w:rsidRPr="00A44E99" w:rsidRDefault="00842620" w:rsidP="00801649">
      <w:pPr>
        <w:pStyle w:val="FootnoteText"/>
        <w:jc w:val="both"/>
        <w:rPr>
          <w:lang w:val="en-US"/>
        </w:rPr>
      </w:pPr>
      <w:r w:rsidRPr="00A44E99">
        <w:rPr>
          <w:rStyle w:val="FootnoteReference"/>
        </w:rPr>
        <w:footnoteRef/>
      </w:r>
      <w:r w:rsidRPr="00A44E99">
        <w:t xml:space="preserve"> </w:t>
      </w:r>
      <w:r w:rsidRPr="00A44E99">
        <w:rPr>
          <w:lang w:val="en-US"/>
        </w:rPr>
        <w:t>Or</w:t>
      </w:r>
      <w:r w:rsidR="00F727B3" w:rsidRPr="00A44E99">
        <w:rPr>
          <w:lang w:val="en-US"/>
        </w:rPr>
        <w:t xml:space="preserve"> </w:t>
      </w:r>
      <w:r w:rsidRPr="00A44E99">
        <w:rPr>
          <w:lang w:val="en-US"/>
        </w:rPr>
        <w:t xml:space="preserve">near-certain, reasonably unbelievable, unsupported by the evidence, what have you. </w:t>
      </w:r>
    </w:p>
  </w:footnote>
  <w:footnote w:id="18">
    <w:p w14:paraId="1DF15B0A" w14:textId="3F58003C" w:rsidR="0078004C" w:rsidRPr="00A44E99" w:rsidRDefault="0078004C" w:rsidP="00801649">
      <w:pPr>
        <w:pStyle w:val="FootnoteText"/>
        <w:jc w:val="both"/>
        <w:rPr>
          <w:lang w:val="en-US"/>
        </w:rPr>
      </w:pPr>
      <w:r w:rsidRPr="00A44E99">
        <w:rPr>
          <w:rStyle w:val="FootnoteReference"/>
        </w:rPr>
        <w:footnoteRef/>
      </w:r>
      <w:r w:rsidRPr="00A44E99">
        <w:t xml:space="preserve"> </w:t>
      </w:r>
      <w:r w:rsidRPr="00A44E99">
        <w:rPr>
          <w:lang w:val="en-US"/>
        </w:rPr>
        <w:t>Be they deductive, as G&amp;G attempted, or inductive, as I have done.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444A6"/>
    <w:multiLevelType w:val="hybridMultilevel"/>
    <w:tmpl w:val="D12C1ECA"/>
    <w:lvl w:ilvl="0" w:tplc="92126524">
      <w:start w:val="1"/>
      <w:numFmt w:val="decimal"/>
      <w:lvlText w:val="%1."/>
      <w:lvlJc w:val="left"/>
      <w:pPr>
        <w:ind w:left="1080" w:hanging="360"/>
      </w:pPr>
    </w:lvl>
    <w:lvl w:ilvl="1" w:tplc="B19C31EE">
      <w:start w:val="1"/>
      <w:numFmt w:val="lowerLetter"/>
      <w:lvlText w:val="%2."/>
      <w:lvlJc w:val="left"/>
      <w:pPr>
        <w:ind w:left="1800" w:hanging="360"/>
      </w:pPr>
    </w:lvl>
    <w:lvl w:ilvl="2" w:tplc="C15097FE">
      <w:start w:val="1"/>
      <w:numFmt w:val="lowerRoman"/>
      <w:lvlText w:val="%3."/>
      <w:lvlJc w:val="right"/>
      <w:pPr>
        <w:ind w:left="2520" w:hanging="180"/>
      </w:pPr>
    </w:lvl>
    <w:lvl w:ilvl="3" w:tplc="8F24C53A">
      <w:start w:val="1"/>
      <w:numFmt w:val="decimal"/>
      <w:lvlText w:val="%4."/>
      <w:lvlJc w:val="left"/>
      <w:pPr>
        <w:ind w:left="3240" w:hanging="360"/>
      </w:pPr>
    </w:lvl>
    <w:lvl w:ilvl="4" w:tplc="F6000A92">
      <w:start w:val="1"/>
      <w:numFmt w:val="lowerLetter"/>
      <w:lvlText w:val="%5."/>
      <w:lvlJc w:val="left"/>
      <w:pPr>
        <w:ind w:left="3960" w:hanging="360"/>
      </w:pPr>
    </w:lvl>
    <w:lvl w:ilvl="5" w:tplc="D17AB418">
      <w:start w:val="1"/>
      <w:numFmt w:val="lowerRoman"/>
      <w:lvlText w:val="%6."/>
      <w:lvlJc w:val="right"/>
      <w:pPr>
        <w:ind w:left="4680" w:hanging="180"/>
      </w:pPr>
    </w:lvl>
    <w:lvl w:ilvl="6" w:tplc="A6163E4A">
      <w:start w:val="1"/>
      <w:numFmt w:val="decimal"/>
      <w:lvlText w:val="%7."/>
      <w:lvlJc w:val="left"/>
      <w:pPr>
        <w:ind w:left="5400" w:hanging="360"/>
      </w:pPr>
    </w:lvl>
    <w:lvl w:ilvl="7" w:tplc="FD1847C8">
      <w:start w:val="1"/>
      <w:numFmt w:val="lowerLetter"/>
      <w:lvlText w:val="%8."/>
      <w:lvlJc w:val="left"/>
      <w:pPr>
        <w:ind w:left="6120" w:hanging="360"/>
      </w:pPr>
    </w:lvl>
    <w:lvl w:ilvl="8" w:tplc="34087446">
      <w:start w:val="1"/>
      <w:numFmt w:val="lowerRoman"/>
      <w:lvlText w:val="%9."/>
      <w:lvlJc w:val="right"/>
      <w:pPr>
        <w:ind w:left="6840" w:hanging="180"/>
      </w:pPr>
    </w:lvl>
  </w:abstractNum>
  <w:abstractNum w:abstractNumId="1" w15:restartNumberingAfterBreak="0">
    <w:nsid w:val="471CD61D"/>
    <w:multiLevelType w:val="hybridMultilevel"/>
    <w:tmpl w:val="DA0E0AAA"/>
    <w:lvl w:ilvl="0" w:tplc="5928BEFA">
      <w:start w:val="1"/>
      <w:numFmt w:val="decimal"/>
      <w:lvlText w:val="%1."/>
      <w:lvlJc w:val="left"/>
      <w:pPr>
        <w:ind w:left="1080" w:hanging="360"/>
      </w:pPr>
    </w:lvl>
    <w:lvl w:ilvl="1" w:tplc="2C60C794">
      <w:start w:val="1"/>
      <w:numFmt w:val="lowerLetter"/>
      <w:lvlText w:val="%2."/>
      <w:lvlJc w:val="left"/>
      <w:pPr>
        <w:ind w:left="1800" w:hanging="360"/>
      </w:pPr>
    </w:lvl>
    <w:lvl w:ilvl="2" w:tplc="07303DAC">
      <w:start w:val="1"/>
      <w:numFmt w:val="lowerRoman"/>
      <w:lvlText w:val="%3."/>
      <w:lvlJc w:val="right"/>
      <w:pPr>
        <w:ind w:left="2520" w:hanging="180"/>
      </w:pPr>
    </w:lvl>
    <w:lvl w:ilvl="3" w:tplc="3C445F5A">
      <w:start w:val="1"/>
      <w:numFmt w:val="decimal"/>
      <w:lvlText w:val="%4."/>
      <w:lvlJc w:val="left"/>
      <w:pPr>
        <w:ind w:left="3240" w:hanging="360"/>
      </w:pPr>
    </w:lvl>
    <w:lvl w:ilvl="4" w:tplc="5FB40C3C">
      <w:start w:val="1"/>
      <w:numFmt w:val="lowerLetter"/>
      <w:lvlText w:val="%5."/>
      <w:lvlJc w:val="left"/>
      <w:pPr>
        <w:ind w:left="3960" w:hanging="360"/>
      </w:pPr>
    </w:lvl>
    <w:lvl w:ilvl="5" w:tplc="BE52CDA4">
      <w:start w:val="1"/>
      <w:numFmt w:val="lowerRoman"/>
      <w:lvlText w:val="%6."/>
      <w:lvlJc w:val="right"/>
      <w:pPr>
        <w:ind w:left="4680" w:hanging="180"/>
      </w:pPr>
    </w:lvl>
    <w:lvl w:ilvl="6" w:tplc="99B896A0">
      <w:start w:val="1"/>
      <w:numFmt w:val="decimal"/>
      <w:lvlText w:val="%7."/>
      <w:lvlJc w:val="left"/>
      <w:pPr>
        <w:ind w:left="5400" w:hanging="360"/>
      </w:pPr>
    </w:lvl>
    <w:lvl w:ilvl="7" w:tplc="E99819B6">
      <w:start w:val="1"/>
      <w:numFmt w:val="lowerLetter"/>
      <w:lvlText w:val="%8."/>
      <w:lvlJc w:val="left"/>
      <w:pPr>
        <w:ind w:left="6120" w:hanging="360"/>
      </w:pPr>
    </w:lvl>
    <w:lvl w:ilvl="8" w:tplc="BE60F074">
      <w:start w:val="1"/>
      <w:numFmt w:val="lowerRoman"/>
      <w:lvlText w:val="%9."/>
      <w:lvlJc w:val="right"/>
      <w:pPr>
        <w:ind w:left="6840" w:hanging="180"/>
      </w:pPr>
    </w:lvl>
  </w:abstractNum>
  <w:abstractNum w:abstractNumId="2" w15:restartNumberingAfterBreak="0">
    <w:nsid w:val="50AD3690"/>
    <w:multiLevelType w:val="hybridMultilevel"/>
    <w:tmpl w:val="0DBE8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40FDC"/>
    <w:multiLevelType w:val="multilevel"/>
    <w:tmpl w:val="368633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74EC600C"/>
    <w:multiLevelType w:val="hybridMultilevel"/>
    <w:tmpl w:val="D094716E"/>
    <w:lvl w:ilvl="0" w:tplc="0BD09590">
      <w:start w:val="1"/>
      <w:numFmt w:val="lowerLetter"/>
      <w:lvlText w:val="(%1)"/>
      <w:lvlJc w:val="left"/>
      <w:pPr>
        <w:ind w:left="1080" w:hanging="360"/>
      </w:pPr>
    </w:lvl>
    <w:lvl w:ilvl="1" w:tplc="2E24A934">
      <w:start w:val="1"/>
      <w:numFmt w:val="lowerLetter"/>
      <w:lvlText w:val="%2."/>
      <w:lvlJc w:val="left"/>
      <w:pPr>
        <w:ind w:left="1800" w:hanging="360"/>
      </w:pPr>
    </w:lvl>
    <w:lvl w:ilvl="2" w:tplc="C8503074">
      <w:start w:val="1"/>
      <w:numFmt w:val="lowerRoman"/>
      <w:lvlText w:val="%3."/>
      <w:lvlJc w:val="right"/>
      <w:pPr>
        <w:ind w:left="2520" w:hanging="180"/>
      </w:pPr>
    </w:lvl>
    <w:lvl w:ilvl="3" w:tplc="61DA76FC">
      <w:start w:val="1"/>
      <w:numFmt w:val="decimal"/>
      <w:lvlText w:val="%4."/>
      <w:lvlJc w:val="left"/>
      <w:pPr>
        <w:ind w:left="3240" w:hanging="360"/>
      </w:pPr>
    </w:lvl>
    <w:lvl w:ilvl="4" w:tplc="3D68342A">
      <w:start w:val="1"/>
      <w:numFmt w:val="lowerLetter"/>
      <w:lvlText w:val="%5."/>
      <w:lvlJc w:val="left"/>
      <w:pPr>
        <w:ind w:left="3960" w:hanging="360"/>
      </w:pPr>
    </w:lvl>
    <w:lvl w:ilvl="5" w:tplc="9CFE693A">
      <w:start w:val="1"/>
      <w:numFmt w:val="lowerRoman"/>
      <w:lvlText w:val="%6."/>
      <w:lvlJc w:val="right"/>
      <w:pPr>
        <w:ind w:left="4680" w:hanging="180"/>
      </w:pPr>
    </w:lvl>
    <w:lvl w:ilvl="6" w:tplc="32A6749C">
      <w:start w:val="1"/>
      <w:numFmt w:val="decimal"/>
      <w:lvlText w:val="%7."/>
      <w:lvlJc w:val="left"/>
      <w:pPr>
        <w:ind w:left="5400" w:hanging="360"/>
      </w:pPr>
    </w:lvl>
    <w:lvl w:ilvl="7" w:tplc="0A4A39A8">
      <w:start w:val="1"/>
      <w:numFmt w:val="lowerLetter"/>
      <w:lvlText w:val="%8."/>
      <w:lvlJc w:val="left"/>
      <w:pPr>
        <w:ind w:left="6120" w:hanging="360"/>
      </w:pPr>
    </w:lvl>
    <w:lvl w:ilvl="8" w:tplc="484A98C0">
      <w:start w:val="1"/>
      <w:numFmt w:val="lowerRoman"/>
      <w:lvlText w:val="%9."/>
      <w:lvlJc w:val="right"/>
      <w:pPr>
        <w:ind w:left="6840" w:hanging="180"/>
      </w:pPr>
    </w:lvl>
  </w:abstractNum>
  <w:abstractNum w:abstractNumId="5" w15:restartNumberingAfterBreak="0">
    <w:nsid w:val="79D0035B"/>
    <w:multiLevelType w:val="multilevel"/>
    <w:tmpl w:val="0D164F10"/>
    <w:lvl w:ilvl="0">
      <w:start w:val="1"/>
      <w:numFmt w:val="decimal"/>
      <w:lvlText w:val="%1."/>
      <w:lvlJc w:val="left"/>
      <w:pPr>
        <w:ind w:left="1440" w:hanging="360"/>
      </w:pPr>
      <w:rPr>
        <w:rFonts w:hint="default"/>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num w:numId="1" w16cid:durableId="1635016347">
    <w:abstractNumId w:val="0"/>
  </w:num>
  <w:num w:numId="2" w16cid:durableId="721637765">
    <w:abstractNumId w:val="1"/>
  </w:num>
  <w:num w:numId="3" w16cid:durableId="84310243">
    <w:abstractNumId w:val="4"/>
  </w:num>
  <w:num w:numId="4" w16cid:durableId="1004090371">
    <w:abstractNumId w:val="2"/>
  </w:num>
  <w:num w:numId="5" w16cid:durableId="1097991938">
    <w:abstractNumId w:val="3"/>
  </w:num>
  <w:num w:numId="6" w16cid:durableId="2089837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6D12"/>
    <w:rsid w:val="00000FFC"/>
    <w:rsid w:val="00015B92"/>
    <w:rsid w:val="00042D01"/>
    <w:rsid w:val="00042F51"/>
    <w:rsid w:val="00056BAD"/>
    <w:rsid w:val="00056BC1"/>
    <w:rsid w:val="000572DF"/>
    <w:rsid w:val="00060D9D"/>
    <w:rsid w:val="00063FCA"/>
    <w:rsid w:val="00081267"/>
    <w:rsid w:val="000A4A57"/>
    <w:rsid w:val="000B2313"/>
    <w:rsid w:val="000B3FB6"/>
    <w:rsid w:val="000B79C0"/>
    <w:rsid w:val="000C1633"/>
    <w:rsid w:val="000D18D0"/>
    <w:rsid w:val="000F1FF8"/>
    <w:rsid w:val="000F2566"/>
    <w:rsid w:val="000F2947"/>
    <w:rsid w:val="000F3231"/>
    <w:rsid w:val="000F3770"/>
    <w:rsid w:val="00101431"/>
    <w:rsid w:val="00104BB5"/>
    <w:rsid w:val="00110B13"/>
    <w:rsid w:val="001462A4"/>
    <w:rsid w:val="00150895"/>
    <w:rsid w:val="00165A39"/>
    <w:rsid w:val="001712F7"/>
    <w:rsid w:val="001771FA"/>
    <w:rsid w:val="00180E63"/>
    <w:rsid w:val="00181569"/>
    <w:rsid w:val="00192B83"/>
    <w:rsid w:val="00196937"/>
    <w:rsid w:val="001A1418"/>
    <w:rsid w:val="001A4FBB"/>
    <w:rsid w:val="001A5F41"/>
    <w:rsid w:val="001C7BE2"/>
    <w:rsid w:val="001D2130"/>
    <w:rsid w:val="001D560F"/>
    <w:rsid w:val="001F5FEF"/>
    <w:rsid w:val="00201A91"/>
    <w:rsid w:val="00204F02"/>
    <w:rsid w:val="00207343"/>
    <w:rsid w:val="00226379"/>
    <w:rsid w:val="0024651F"/>
    <w:rsid w:val="00272512"/>
    <w:rsid w:val="0027284E"/>
    <w:rsid w:val="0028109C"/>
    <w:rsid w:val="002828B4"/>
    <w:rsid w:val="002B2CE2"/>
    <w:rsid w:val="002D2C5B"/>
    <w:rsid w:val="002D4E6F"/>
    <w:rsid w:val="002F741B"/>
    <w:rsid w:val="003036A2"/>
    <w:rsid w:val="003218DF"/>
    <w:rsid w:val="0033357D"/>
    <w:rsid w:val="00352E7A"/>
    <w:rsid w:val="003624C1"/>
    <w:rsid w:val="003634D2"/>
    <w:rsid w:val="00372180"/>
    <w:rsid w:val="00386010"/>
    <w:rsid w:val="00392922"/>
    <w:rsid w:val="003A2AA8"/>
    <w:rsid w:val="003D6B8F"/>
    <w:rsid w:val="003F7863"/>
    <w:rsid w:val="00442C49"/>
    <w:rsid w:val="004441FA"/>
    <w:rsid w:val="00463DF1"/>
    <w:rsid w:val="0046634F"/>
    <w:rsid w:val="00466D4E"/>
    <w:rsid w:val="00490C08"/>
    <w:rsid w:val="0049312A"/>
    <w:rsid w:val="004B32F8"/>
    <w:rsid w:val="004C0C6C"/>
    <w:rsid w:val="004C4387"/>
    <w:rsid w:val="004C728D"/>
    <w:rsid w:val="004C7BBC"/>
    <w:rsid w:val="004D11ED"/>
    <w:rsid w:val="004D1C83"/>
    <w:rsid w:val="004D62A2"/>
    <w:rsid w:val="004D7BC0"/>
    <w:rsid w:val="004E0385"/>
    <w:rsid w:val="004F0E92"/>
    <w:rsid w:val="00503258"/>
    <w:rsid w:val="00512F09"/>
    <w:rsid w:val="005229D8"/>
    <w:rsid w:val="00522AB2"/>
    <w:rsid w:val="00525D63"/>
    <w:rsid w:val="00527909"/>
    <w:rsid w:val="00536D7F"/>
    <w:rsid w:val="00542C1A"/>
    <w:rsid w:val="0054628E"/>
    <w:rsid w:val="0055723C"/>
    <w:rsid w:val="00563C22"/>
    <w:rsid w:val="0057082F"/>
    <w:rsid w:val="00591273"/>
    <w:rsid w:val="00604E9C"/>
    <w:rsid w:val="006119AB"/>
    <w:rsid w:val="00611B83"/>
    <w:rsid w:val="00617812"/>
    <w:rsid w:val="00617B3C"/>
    <w:rsid w:val="00620A02"/>
    <w:rsid w:val="00632BD6"/>
    <w:rsid w:val="006350FA"/>
    <w:rsid w:val="00640A1D"/>
    <w:rsid w:val="006678E8"/>
    <w:rsid w:val="006838C8"/>
    <w:rsid w:val="0068661D"/>
    <w:rsid w:val="00692425"/>
    <w:rsid w:val="006B2E28"/>
    <w:rsid w:val="00711F46"/>
    <w:rsid w:val="00743C16"/>
    <w:rsid w:val="00745D5F"/>
    <w:rsid w:val="0074766A"/>
    <w:rsid w:val="00764BB2"/>
    <w:rsid w:val="0078004C"/>
    <w:rsid w:val="007843A8"/>
    <w:rsid w:val="007B0F90"/>
    <w:rsid w:val="007B7757"/>
    <w:rsid w:val="007B7931"/>
    <w:rsid w:val="007D76D3"/>
    <w:rsid w:val="007E577E"/>
    <w:rsid w:val="00801649"/>
    <w:rsid w:val="008022C3"/>
    <w:rsid w:val="00807016"/>
    <w:rsid w:val="00810903"/>
    <w:rsid w:val="00823BCA"/>
    <w:rsid w:val="00833052"/>
    <w:rsid w:val="008369D9"/>
    <w:rsid w:val="00842620"/>
    <w:rsid w:val="00842B97"/>
    <w:rsid w:val="00843318"/>
    <w:rsid w:val="008612DA"/>
    <w:rsid w:val="00862B24"/>
    <w:rsid w:val="00874823"/>
    <w:rsid w:val="00874D3A"/>
    <w:rsid w:val="00880065"/>
    <w:rsid w:val="00897744"/>
    <w:rsid w:val="008A754E"/>
    <w:rsid w:val="008C7319"/>
    <w:rsid w:val="008D481E"/>
    <w:rsid w:val="008E5B98"/>
    <w:rsid w:val="00901E2A"/>
    <w:rsid w:val="00906D12"/>
    <w:rsid w:val="00906EE2"/>
    <w:rsid w:val="00916D36"/>
    <w:rsid w:val="00926AE8"/>
    <w:rsid w:val="009471D6"/>
    <w:rsid w:val="00951C6E"/>
    <w:rsid w:val="0097046C"/>
    <w:rsid w:val="00972B3E"/>
    <w:rsid w:val="00991856"/>
    <w:rsid w:val="00992C76"/>
    <w:rsid w:val="00994A04"/>
    <w:rsid w:val="00994B51"/>
    <w:rsid w:val="009B4AEC"/>
    <w:rsid w:val="009C2165"/>
    <w:rsid w:val="00A14223"/>
    <w:rsid w:val="00A265F7"/>
    <w:rsid w:val="00A44E99"/>
    <w:rsid w:val="00A52751"/>
    <w:rsid w:val="00A607A3"/>
    <w:rsid w:val="00A71034"/>
    <w:rsid w:val="00A83E04"/>
    <w:rsid w:val="00A937D9"/>
    <w:rsid w:val="00A95735"/>
    <w:rsid w:val="00AB534F"/>
    <w:rsid w:val="00AE6BF7"/>
    <w:rsid w:val="00AE73FE"/>
    <w:rsid w:val="00AF2A7A"/>
    <w:rsid w:val="00B01030"/>
    <w:rsid w:val="00B035D5"/>
    <w:rsid w:val="00B13A1E"/>
    <w:rsid w:val="00B17123"/>
    <w:rsid w:val="00B176D7"/>
    <w:rsid w:val="00B2660E"/>
    <w:rsid w:val="00B40AD5"/>
    <w:rsid w:val="00B42D95"/>
    <w:rsid w:val="00B45F4D"/>
    <w:rsid w:val="00B52DE8"/>
    <w:rsid w:val="00B7212D"/>
    <w:rsid w:val="00B741F1"/>
    <w:rsid w:val="00B753D6"/>
    <w:rsid w:val="00B77DEB"/>
    <w:rsid w:val="00B81183"/>
    <w:rsid w:val="00B86B63"/>
    <w:rsid w:val="00B86BAB"/>
    <w:rsid w:val="00B97F30"/>
    <w:rsid w:val="00BA67A2"/>
    <w:rsid w:val="00BB1A4F"/>
    <w:rsid w:val="00BF4586"/>
    <w:rsid w:val="00C01CF5"/>
    <w:rsid w:val="00C0691E"/>
    <w:rsid w:val="00C07C75"/>
    <w:rsid w:val="00C327B4"/>
    <w:rsid w:val="00C41C58"/>
    <w:rsid w:val="00C52984"/>
    <w:rsid w:val="00C5312B"/>
    <w:rsid w:val="00C612C5"/>
    <w:rsid w:val="00C62320"/>
    <w:rsid w:val="00C85877"/>
    <w:rsid w:val="00C87FB5"/>
    <w:rsid w:val="00C92829"/>
    <w:rsid w:val="00C9361F"/>
    <w:rsid w:val="00C93FCE"/>
    <w:rsid w:val="00CA3538"/>
    <w:rsid w:val="00CA5AF1"/>
    <w:rsid w:val="00CA6291"/>
    <w:rsid w:val="00CB45BE"/>
    <w:rsid w:val="00CB6A56"/>
    <w:rsid w:val="00CD4080"/>
    <w:rsid w:val="00CD5608"/>
    <w:rsid w:val="00CE65E2"/>
    <w:rsid w:val="00CF4104"/>
    <w:rsid w:val="00D0028B"/>
    <w:rsid w:val="00D128B2"/>
    <w:rsid w:val="00D26DC4"/>
    <w:rsid w:val="00D42414"/>
    <w:rsid w:val="00D52FB1"/>
    <w:rsid w:val="00D57D38"/>
    <w:rsid w:val="00D638C2"/>
    <w:rsid w:val="00DB32E5"/>
    <w:rsid w:val="00DB7352"/>
    <w:rsid w:val="00DC21CA"/>
    <w:rsid w:val="00DC2ECF"/>
    <w:rsid w:val="00DD21E1"/>
    <w:rsid w:val="00DD7ACA"/>
    <w:rsid w:val="00DE4379"/>
    <w:rsid w:val="00DF0587"/>
    <w:rsid w:val="00E1688F"/>
    <w:rsid w:val="00E22CAD"/>
    <w:rsid w:val="00E279F8"/>
    <w:rsid w:val="00E335E9"/>
    <w:rsid w:val="00E377BD"/>
    <w:rsid w:val="00E414A0"/>
    <w:rsid w:val="00E70C70"/>
    <w:rsid w:val="00EA272C"/>
    <w:rsid w:val="00EB1EE0"/>
    <w:rsid w:val="00EB4C66"/>
    <w:rsid w:val="00EC57C4"/>
    <w:rsid w:val="00ED4B9F"/>
    <w:rsid w:val="00ED4EB9"/>
    <w:rsid w:val="00EF56A3"/>
    <w:rsid w:val="00F03FB5"/>
    <w:rsid w:val="00F07B9A"/>
    <w:rsid w:val="00F54438"/>
    <w:rsid w:val="00F57BEF"/>
    <w:rsid w:val="00F70F30"/>
    <w:rsid w:val="00F727B3"/>
    <w:rsid w:val="00F761C0"/>
    <w:rsid w:val="00F85540"/>
    <w:rsid w:val="00FA077D"/>
    <w:rsid w:val="00FA4796"/>
    <w:rsid w:val="00FC1E51"/>
    <w:rsid w:val="00FD775D"/>
    <w:rsid w:val="00FE230B"/>
    <w:rsid w:val="00FE2AE2"/>
    <w:rsid w:val="00FE2D25"/>
    <w:rsid w:val="00FF37C5"/>
    <w:rsid w:val="00FF7ECF"/>
    <w:rsid w:val="02407065"/>
    <w:rsid w:val="13CDCBED"/>
    <w:rsid w:val="1468B3CE"/>
    <w:rsid w:val="1D29431A"/>
    <w:rsid w:val="2065C1A9"/>
    <w:rsid w:val="23C02272"/>
    <w:rsid w:val="263AE7BF"/>
    <w:rsid w:val="2758EA92"/>
    <w:rsid w:val="29001429"/>
    <w:rsid w:val="2D4579B3"/>
    <w:rsid w:val="438D522F"/>
    <w:rsid w:val="46949971"/>
    <w:rsid w:val="4920F77F"/>
    <w:rsid w:val="59AB4BE5"/>
    <w:rsid w:val="5D6A5E20"/>
    <w:rsid w:val="5EE23D94"/>
    <w:rsid w:val="631E7445"/>
    <w:rsid w:val="76680C82"/>
    <w:rsid w:val="771BD270"/>
    <w:rsid w:val="7A2C3B08"/>
    <w:rsid w:val="7B59B1B3"/>
    <w:rsid w:val="7E1EA63C"/>
    <w:rsid w:val="7FA1C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EF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kern w:val="2"/>
        <w:sz w:val="24"/>
        <w:szCs w:val="24"/>
        <w:lang w:val="en-US" w:eastAsia="en-US" w:bidi="ar-SA"/>
        <w14:ligatures w14:val="standardContextual"/>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43"/>
  </w:style>
  <w:style w:type="paragraph" w:styleId="Heading1">
    <w:name w:val="heading 1"/>
    <w:basedOn w:val="Normal"/>
    <w:next w:val="Normal"/>
    <w:link w:val="Heading1Char"/>
    <w:uiPriority w:val="9"/>
    <w:qFormat/>
    <w:rsid w:val="00906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D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D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6D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6D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D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D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D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6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6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6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6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6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6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D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06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6D12"/>
    <w:rPr>
      <w:i/>
      <w:iCs/>
      <w:color w:val="404040" w:themeColor="text1" w:themeTint="BF"/>
    </w:rPr>
  </w:style>
  <w:style w:type="paragraph" w:styleId="ListParagraph">
    <w:name w:val="List Paragraph"/>
    <w:basedOn w:val="Normal"/>
    <w:uiPriority w:val="34"/>
    <w:qFormat/>
    <w:rsid w:val="00906D12"/>
    <w:pPr>
      <w:ind w:left="720"/>
      <w:contextualSpacing/>
    </w:pPr>
  </w:style>
  <w:style w:type="character" w:styleId="IntenseEmphasis">
    <w:name w:val="Intense Emphasis"/>
    <w:basedOn w:val="DefaultParagraphFont"/>
    <w:uiPriority w:val="21"/>
    <w:qFormat/>
    <w:rsid w:val="00906D12"/>
    <w:rPr>
      <w:i/>
      <w:iCs/>
      <w:color w:val="0F4761" w:themeColor="accent1" w:themeShade="BF"/>
    </w:rPr>
  </w:style>
  <w:style w:type="paragraph" w:styleId="IntenseQuote">
    <w:name w:val="Intense Quote"/>
    <w:basedOn w:val="Normal"/>
    <w:next w:val="Normal"/>
    <w:link w:val="IntenseQuoteChar"/>
    <w:uiPriority w:val="30"/>
    <w:qFormat/>
    <w:rsid w:val="00906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D12"/>
    <w:rPr>
      <w:i/>
      <w:iCs/>
      <w:color w:val="0F4761" w:themeColor="accent1" w:themeShade="BF"/>
    </w:rPr>
  </w:style>
  <w:style w:type="character" w:styleId="IntenseReference">
    <w:name w:val="Intense Reference"/>
    <w:basedOn w:val="DefaultParagraphFont"/>
    <w:uiPriority w:val="32"/>
    <w:qFormat/>
    <w:rsid w:val="00906D12"/>
    <w:rPr>
      <w:b/>
      <w:bCs/>
      <w:smallCaps/>
      <w:color w:val="0F4761" w:themeColor="accent1" w:themeShade="BF"/>
      <w:spacing w:val="5"/>
    </w:rPr>
  </w:style>
  <w:style w:type="paragraph" w:styleId="FootnoteText">
    <w:name w:val="footnote text"/>
    <w:basedOn w:val="Normal"/>
    <w:link w:val="FootnoteTextChar"/>
    <w:uiPriority w:val="99"/>
    <w:semiHidden/>
    <w:unhideWhenUsed/>
    <w:rsid w:val="00386010"/>
    <w:pPr>
      <w:spacing w:line="240" w:lineRule="auto"/>
      <w:jc w:val="left"/>
    </w:pPr>
    <w:rPr>
      <w:rFonts w:eastAsia="Arial" w:cs="Garamond"/>
      <w:bCs/>
      <w:kern w:val="0"/>
      <w:sz w:val="20"/>
      <w:szCs w:val="20"/>
      <w:lang w:val="en"/>
      <w14:ligatures w14:val="none"/>
    </w:rPr>
  </w:style>
  <w:style w:type="character" w:customStyle="1" w:styleId="FootnoteTextChar">
    <w:name w:val="Footnote Text Char"/>
    <w:basedOn w:val="DefaultParagraphFont"/>
    <w:link w:val="FootnoteText"/>
    <w:uiPriority w:val="99"/>
    <w:semiHidden/>
    <w:rsid w:val="00386010"/>
    <w:rPr>
      <w:rFonts w:eastAsia="Arial" w:cs="Garamond"/>
      <w:bCs/>
      <w:kern w:val="0"/>
      <w:sz w:val="20"/>
      <w:szCs w:val="20"/>
      <w:lang w:val="en"/>
      <w14:ligatures w14:val="none"/>
    </w:rPr>
  </w:style>
  <w:style w:type="character" w:styleId="FootnoteReference">
    <w:name w:val="footnote reference"/>
    <w:basedOn w:val="DefaultParagraphFont"/>
    <w:uiPriority w:val="99"/>
    <w:semiHidden/>
    <w:unhideWhenUsed/>
    <w:rsid w:val="00386010"/>
    <w:rPr>
      <w:vertAlign w:val="superscript"/>
    </w:rPr>
  </w:style>
  <w:style w:type="character" w:styleId="PlaceholderText">
    <w:name w:val="Placeholder Text"/>
    <w:basedOn w:val="DefaultParagraphFont"/>
    <w:uiPriority w:val="99"/>
    <w:semiHidden/>
    <w:rsid w:val="002B2CE2"/>
    <w:rPr>
      <w:color w:val="666666"/>
    </w:rPr>
  </w:style>
  <w:style w:type="paragraph" w:styleId="Header">
    <w:name w:val="header"/>
    <w:basedOn w:val="Normal"/>
    <w:link w:val="HeaderChar"/>
    <w:uiPriority w:val="99"/>
    <w:unhideWhenUsed/>
    <w:rsid w:val="000C1633"/>
    <w:pPr>
      <w:tabs>
        <w:tab w:val="center" w:pos="4680"/>
        <w:tab w:val="right" w:pos="9360"/>
      </w:tabs>
      <w:spacing w:line="240" w:lineRule="auto"/>
    </w:pPr>
  </w:style>
  <w:style w:type="character" w:customStyle="1" w:styleId="HeaderChar">
    <w:name w:val="Header Char"/>
    <w:basedOn w:val="DefaultParagraphFont"/>
    <w:link w:val="Header"/>
    <w:uiPriority w:val="99"/>
    <w:rsid w:val="000C1633"/>
  </w:style>
  <w:style w:type="paragraph" w:styleId="Footer">
    <w:name w:val="footer"/>
    <w:basedOn w:val="Normal"/>
    <w:link w:val="FooterChar"/>
    <w:uiPriority w:val="99"/>
    <w:unhideWhenUsed/>
    <w:rsid w:val="000C1633"/>
    <w:pPr>
      <w:tabs>
        <w:tab w:val="center" w:pos="4680"/>
        <w:tab w:val="right" w:pos="9360"/>
      </w:tabs>
      <w:spacing w:line="240" w:lineRule="auto"/>
    </w:pPr>
  </w:style>
  <w:style w:type="character" w:customStyle="1" w:styleId="FooterChar">
    <w:name w:val="Footer Char"/>
    <w:basedOn w:val="DefaultParagraphFont"/>
    <w:link w:val="Footer"/>
    <w:uiPriority w:val="99"/>
    <w:rsid w:val="000C1633"/>
  </w:style>
  <w:style w:type="paragraph" w:styleId="Bibliography">
    <w:name w:val="Bibliography"/>
    <w:basedOn w:val="Normal"/>
    <w:next w:val="Normal"/>
    <w:uiPriority w:val="37"/>
    <w:unhideWhenUsed/>
    <w:rsid w:val="000C1633"/>
    <w:pPr>
      <w:spacing w:after="240" w:line="240" w:lineRule="auto"/>
      <w:ind w:left="720" w:hanging="720"/>
    </w:pPr>
  </w:style>
  <w:style w:type="paragraph" w:styleId="Revision">
    <w:name w:val="Revision"/>
    <w:hidden/>
    <w:uiPriority w:val="99"/>
    <w:semiHidden/>
    <w:rsid w:val="00372180"/>
    <w:pPr>
      <w:spacing w:line="240" w:lineRule="auto"/>
      <w:jc w:val="left"/>
    </w:pPr>
  </w:style>
  <w:style w:type="character" w:styleId="CommentReference">
    <w:name w:val="annotation reference"/>
    <w:basedOn w:val="DefaultParagraphFont"/>
    <w:uiPriority w:val="99"/>
    <w:semiHidden/>
    <w:unhideWhenUsed/>
    <w:rsid w:val="002828B4"/>
    <w:rPr>
      <w:sz w:val="16"/>
      <w:szCs w:val="16"/>
    </w:rPr>
  </w:style>
  <w:style w:type="paragraph" w:styleId="CommentText">
    <w:name w:val="annotation text"/>
    <w:basedOn w:val="Normal"/>
    <w:link w:val="CommentTextChar"/>
    <w:uiPriority w:val="99"/>
    <w:unhideWhenUsed/>
    <w:rsid w:val="002828B4"/>
    <w:pPr>
      <w:spacing w:line="240" w:lineRule="auto"/>
    </w:pPr>
    <w:rPr>
      <w:sz w:val="20"/>
      <w:szCs w:val="20"/>
    </w:rPr>
  </w:style>
  <w:style w:type="character" w:customStyle="1" w:styleId="CommentTextChar">
    <w:name w:val="Comment Text Char"/>
    <w:basedOn w:val="DefaultParagraphFont"/>
    <w:link w:val="CommentText"/>
    <w:uiPriority w:val="99"/>
    <w:rsid w:val="002828B4"/>
    <w:rPr>
      <w:sz w:val="20"/>
      <w:szCs w:val="20"/>
    </w:rPr>
  </w:style>
  <w:style w:type="paragraph" w:styleId="CommentSubject">
    <w:name w:val="annotation subject"/>
    <w:basedOn w:val="CommentText"/>
    <w:next w:val="CommentText"/>
    <w:link w:val="CommentSubjectChar"/>
    <w:uiPriority w:val="99"/>
    <w:semiHidden/>
    <w:unhideWhenUsed/>
    <w:rsid w:val="002828B4"/>
    <w:rPr>
      <w:b/>
      <w:bCs/>
    </w:rPr>
  </w:style>
  <w:style w:type="character" w:customStyle="1" w:styleId="CommentSubjectChar">
    <w:name w:val="Comment Subject Char"/>
    <w:basedOn w:val="CommentTextChar"/>
    <w:link w:val="CommentSubject"/>
    <w:uiPriority w:val="99"/>
    <w:semiHidden/>
    <w:rsid w:val="002828B4"/>
    <w:rPr>
      <w:b/>
      <w:bCs/>
      <w:sz w:val="20"/>
      <w:szCs w:val="20"/>
    </w:rPr>
  </w:style>
  <w:style w:type="character" w:styleId="Strong">
    <w:name w:val="Strong"/>
    <w:basedOn w:val="DefaultParagraphFont"/>
    <w:uiPriority w:val="22"/>
    <w:qFormat/>
    <w:rsid w:val="00C62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6528</Words>
  <Characters>37211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2026-03-12T17:32:00Z</dcterms:created>
  <dcterms:modified xsi:type="dcterms:W3CDTF">2026-03-16T17:58:00Z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id="iOaZiIOB"/&gt;&lt;style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