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sz w:val="32"/>
          <w:szCs w:val="32"/>
        </w:rPr>
        <w:t xml:space="preserve">DOE MODEL — DOE-SAT ALGORITHM</w:t>
      </w:r>
    </w:p>
    <w:p>
      <w:pPr>
        <w:spacing w:after="200"/>
        <w:jc w:val="center"/>
      </w:pPr>
      <w:r>
        <w:rPr>
          <w:i/>
          <w:iCs/>
          <w:sz w:val="24"/>
          <w:szCs w:val="24"/>
        </w:rPr>
        <w:t xml:space="preserve">Ontological State Dynamics: Rigorous Axiomatic Core,
DOE-SAT Algorithm and Speculative Substrate Extension</w:t>
      </w:r>
    </w:p>
    <w:p>
      <w:pPr>
        <w:spacing w:after="100"/>
        <w:jc w:val="center"/>
      </w:pPr>
      <w:r>
        <w:rPr>
          <w:b/>
          <w:bCs/>
          <w:sz w:val="24"/>
          <w:szCs w:val="24"/>
        </w:rPr>
        <w:t xml:space="preserve">Luciano Pereira de Souza</w:t>
      </w:r>
    </w:p>
    <w:p>
      <w:pPr>
        <w:spacing w:after="300"/>
        <w:jc w:val="center"/>
      </w:pPr>
      <w:r>
        <w:rPr>
          <w:i/>
          <w:iCs/>
          <w:sz w:val="22"/>
          <w:szCs w:val="22"/>
        </w:rPr>
        <w:t xml:space="preserve">Independent Researcher</w:t>
      </w:r>
    </w:p>
    <w:p>
      <w:pPr>
        <w:spacing w:after="400"/>
        <w:jc w:val="center"/>
      </w:pPr>
      <w:r>
        <w:rPr>
          <w:sz w:val="22"/>
          <w:szCs w:val="22"/>
        </w:rPr>
        <w:t xml:space="preserve">Version 3.0 — 2025</w:t>
      </w:r>
    </w:p>
    <w:p>
      <w:pPr>
        <w:pStyle w:val="Heading2"/>
      </w:pPr>
      <w:r>
        <w:t xml:space="preserve">Document Structure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2808"/>
        <w:gridCol w:w="2340"/>
        <w:gridCol w:w="1872"/>
      </w:tblGrid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r>
              <w:rPr>
                <w:b/>
                <w:bCs/>
              </w:rPr>
              <w:t xml:space="preserve">Module</w:t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r>
              <w:rPr>
                <w:b/>
                <w:bCs/>
              </w:rPr>
              <w:t xml:space="preserve">Content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r>
              <w:rPr>
                <w:b/>
                <w:bCs/>
              </w:rPr>
              <w:t xml:space="preserve">Rigor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r>
              <w:rPr>
                <w:b/>
                <w:bCs/>
              </w:rPr>
              <w:t xml:space="preserve">Falsifiable?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 — Core (§1–§5)</w:t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Axiomatic system + Theorems T1–T4 + Second Law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Formally complete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Yes — F2, F4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II — Computation (§6)</w:t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DOE-SAT Algorithm + Benchmark vs. CDCL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Algorithmic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Yes — F3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III — Extension (§7)</w:t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Jumper Substrate + ER=EPR + Fractal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Speculative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Yes — F1, F2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IV — Falsifiers (§8)</w:t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F1–F4 with concrete experiments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Methodological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—</w:t>
            </w:r>
          </w:p>
        </w:tc>
      </w:tr>
    </w:tbl>
    <w:p>
      <w:pPr>
        <w:spacing w:after="200"/>
      </w:pPr>
      <w:r>
        <w:t xml:space="preserve"/>
      </w:r>
    </w:p>
    <w:p>
      <w:pPr>
        <w:pBdr>
          <w:bottom w:val="single" w:color="2E75B6" w:sz="6" w:space="1"/>
        </w:pBdr>
        <w:spacing w:after="100" w:before="200"/>
      </w:pPr>
      <w:r>
        <w:rPr>
          <w:b/>
          <w:bCs/>
          <w:color w:val="2E75B6"/>
        </w:rPr>
        <w:t xml:space="preserve">Claims Separation</w:t>
      </w:r>
    </w:p>
    <w:p>
      <w:pPr>
        <w:spacing w:after="100" w:before="0" w:line="240"/>
      </w:pPr>
      <w:r>
        <w:t xml:space="preserve">Modules I–II: formal claims with complete proofs or verifiable algorithms.</w:t>
      </w:r>
    </w:p>
    <w:p>
      <w:pPr>
        <w:spacing w:after="100" w:line="240"/>
      </w:pPr>
      <w:r>
        <w:t xml:space="preserve">Module III: explicitly marked speculative proposal. Does NOT constitute new physics theory with independent experimental predictions. Each speculative statement is accompanied by its specific falsifier in Section 8.</w:t>
      </w:r>
    </w:p>
    <w:p>
      <w:pPr>
        <w:spacing w:after="200" w:line="240"/>
      </w:pPr>
      <w:r>
        <w:t xml:space="preserve">The reader may accept Modules I–II and reject Module III without inconsistency.</w:t>
      </w:r>
    </w:p>
    <w:p>
      <w:pPr>
        <w:pStyle w:val="Heading1"/>
      </w:pPr>
      <w:r>
        <w:t xml:space="preserve">Abstract</w:t>
      </w:r>
    </w:p>
    <w:p>
      <w:pPr>
        <w:spacing w:after="200" w:line="280"/>
      </w:pPr>
      <w:r>
        <w:t xml:space="preserve">This paper presents the DOE Model (Ontological State Dynamics) in a rigorous modular structure. Module I constitutes the axiomatic core: six axioms over finite-dimensional Hilbert spaces with the execution operator formalized as a CPTP channel on a qubit, from which four theorems with complete proofs are derived. The central result is the derivation of the Second Law of Thermodynamics (ΔS ≥ 0) as a corollary of Theorem T4, without equilibrium or ergodicity assumptions, valid for any two-level system with arbitrary Hamiltonian. T2 and T3 are reformulated in type II₁ von Neumann algebras, resolving the measure divergence in the transition from finite groups to continuous Hilbert spaces.</w:t>
      </w:r>
    </w:p>
    <w:p>
      <w:pPr>
        <w:spacing w:after="200" w:line="280"/>
      </w:pPr>
      <w:r>
        <w:t xml:space="preserve">Module II proposes the DOE-SAT Algorithm: a symmetry-breaking procedure for SAT based on Theorem T3 (orbit-stabilizer), which reduces the search space proportionally to |Aut(φ)| and is benchmarkable against standard CDCL solvers. Module III presents the Jumper Hypothesis — a speculative pre-axiomatic substrate — with explicit experimental falsifiers derived from the ER=EPR conjecture (Maldacena-Susskind). The four falsifiability questions (F1–F4) are answered with concrete experiments and precise refutation criteria.</w:t>
      </w:r>
    </w:p>
    <w:p>
      <w:pPr>
        <w:spacing w:after="400"/>
      </w:pPr>
      <w:r>
        <w:rPr>
          <w:i/>
          <w:iCs/>
        </w:rPr>
        <w:t xml:space="preserve">Keywords: ontological state dynamics; CPTP channel; von Neumann entropy; second law; von Neumann algebras; SAT; symmetry breaking; ER=EPR; falsifiability; qubit.</w:t>
      </w:r>
    </w:p>
    <w:p>
      <w:pPr>
        <w:spacing w:after="200" w:before="200"/>
        <w:jc w:val="center"/>
      </w:pPr>
      <w:r>
        <w:rPr>
          <w:b/>
          <w:bCs/>
          <w:sz w:val="26"/>
          <w:szCs w:val="26"/>
        </w:rPr>
        <w:t xml:space="preserve">── MODULE I: RIGOROUS AXIOMATIC CORE ──</w:t>
      </w:r>
    </w:p>
    <w:p>
      <w:pPr>
        <w:pStyle w:val="Heading1"/>
      </w:pPr>
      <w:r>
        <w:t xml:space="preserve">1. Introduction and Central Problem</w:t>
      </w:r>
    </w:p>
    <w:p>
      <w:pPr>
        <w:pStyle w:val="Heading2"/>
      </w:pPr>
      <w:r>
        <w:t xml:space="preserve">1.1 The Irreversibility Problem</w:t>
      </w:r>
    </w:p>
    <w:p>
      <w:pPr>
        <w:spacing w:after="200" w:line="280"/>
      </w:pPr>
      <w:r>
        <w:t xml:space="preserve">Irreversibility constitutes one of the deepest asymmetries in physics. The fundamental laws — Hamiltonian mechanics, Schrödinger equation, CPT symmetry — are invariant under time reversal. The Second Law of Thermodynamics (ΔS ≥ 0), however, imposes global asymmetry. The question of its derivation from first mechanical principles remains an object of active investigation [1,2,3].</w:t>
      </w:r>
    </w:p>
    <w:p>
      <w:pPr>
        <w:spacing w:after="200" w:line="280"/>
      </w:pPr>
      <w:r>
        <w:t xml:space="preserve">The present work proposes that irreversibility is not a property of the dynamic laws, but an algebraic property of the operator that selects realized states from possible states — the execution operator E. The transition from the group of unitaries U(H) to the semigroup of CPTP channels is identified as the algebraic signature of the arrow of time.</w:t>
      </w:r>
    </w:p>
    <w:p>
      <w:pPr>
        <w:pStyle w:val="Heading2"/>
      </w:pPr>
      <w:r>
        <w:t xml:space="preserve">1.2 Specific Contributions</w:t>
      </w:r>
    </w:p>
    <w:p>
      <w:pPr>
        <w:pStyle w:val="ListParagraph"/>
        <w:numPr>
          <w:ilvl w:val="0"/>
          <w:numId w:val="{numbers-0}"/>
        </w:numPr>
      </w:pPr>
      <w:r>
        <w:rPr>
          <w:b/>
          <w:bCs/>
        </w:rPr>
        <w:t xml:space="preserve">C1 — </w:t>
      </w:r>
      <w:r>
        <w:t xml:space="preserve">Derivation of ΔS ≥ 0 as a corollary of T4 in finite-dimensional systems, without equilibrium or ergodicity hypothesis (§5.4).</w:t>
      </w:r>
    </w:p>
    <w:p>
      <w:pPr>
        <w:pStyle w:val="ListParagraph"/>
        <w:numPr>
          <w:ilvl w:val="0"/>
          <w:numId w:val="{numbers-0}"/>
        </w:numPr>
      </w:pPr>
      <w:r>
        <w:rPr>
          <w:b/>
          <w:bCs/>
        </w:rPr>
        <w:t xml:space="preserve">C2 — </w:t>
      </w:r>
      <w:r>
        <w:t xml:space="preserve">Formalization of E as explicit CPTP channel on a qubit with quantitative calculation of ΔS(α,β) (§3.3).</w:t>
      </w:r>
    </w:p>
    <w:p>
      <w:pPr>
        <w:pStyle w:val="ListParagraph"/>
        <w:numPr>
          <w:ilvl w:val="0"/>
          <w:numId w:val="{numbers-0}"/>
        </w:numPr>
      </w:pPr>
      <w:r>
        <w:rPr>
          <w:b/>
          <w:bCs/>
        </w:rPr>
        <w:t xml:space="preserve">C3 — </w:t>
      </w:r>
      <w:r>
        <w:t xml:space="preserve">Reformulation of T2 and T3 in type II₁ von Neumann algebras, resolving measure divergence (§5.2–§5.3).</w:t>
      </w:r>
    </w:p>
    <w:p>
      <w:pPr>
        <w:pStyle w:val="ListParagraph"/>
        <w:numPr>
          <w:ilvl w:val="0"/>
          <w:numId w:val="{numbers-0}"/>
        </w:numPr>
      </w:pPr>
      <w:r>
        <w:rPr>
          <w:b/>
          <w:bCs/>
        </w:rPr>
        <w:t xml:space="preserve">C4 — </w:t>
      </w:r>
      <w:r>
        <w:t xml:space="preserve">DOE-SAT Algorithm with complexity O(2ⁿ/|Aut(φ)|) and implementable benchmark specification (§6).</w:t>
      </w:r>
    </w:p>
    <w:p>
      <w:pPr>
        <w:pStyle w:val="ListParagraph"/>
        <w:numPr>
          <w:ilvl w:val="0"/>
          <w:numId w:val="{numbers-0}"/>
        </w:numPr>
        <w:spacing w:after="300"/>
      </w:pPr>
      <w:r>
        <w:rPr>
          <w:b/>
          <w:bCs/>
        </w:rPr>
        <w:t xml:space="preserve">C5 — </w:t>
      </w:r>
      <w:r>
        <w:t xml:space="preserve">Four falsifiers F1–F4 with concrete experiments and precise refutation criteria (§8).</w:t>
      </w:r>
    </w:p>
    <w:p>
      <w:pPr>
        <w:pStyle w:val="Heading1"/>
      </w:pPr>
      <w:r>
        <w:t xml:space="preserve">References</w:t>
      </w:r>
    </w:p>
    <w:p>
      <w:pPr>
        <w:pStyle w:val="ListParagraph"/>
        <w:numPr>
          <w:ilvl w:val="0"/>
          <w:numId w:val="{refs-0}"/>
        </w:numPr>
      </w:pPr>
      <w:r>
        <w:t xml:space="preserve">LEBOWITZ, J. L. Boltzmann's entropy and time's arrow. Physics Today, 46(9), 32–38, 1993.</w:t>
      </w:r>
    </w:p>
    <w:p>
      <w:pPr>
        <w:pStyle w:val="ListParagraph"/>
        <w:numPr>
          <w:ilvl w:val="0"/>
          <w:numId w:val="{refs-0}"/>
        </w:numPr>
      </w:pPr>
      <w:r>
        <w:t xml:space="preserve">GOLDSTEIN, S. et al. Gibbs and Boltzmann entropy in classical and quantum mechanics. In: Statistical Mechanics and Scientific Explanation. World Scientific, 2020.</w:t>
      </w:r>
    </w:p>
    <w:p>
      <w:pPr>
        <w:pStyle w:val="ListParagraph"/>
        <w:numPr>
          <w:ilvl w:val="0"/>
          <w:numId w:val="{refs-0}"/>
        </w:numPr>
      </w:pPr>
      <w:r>
        <w:t xml:space="preserve">CERCIGNANI, C. Ludwig Boltzmann: The Man Who Trusted Atoms. Oxford University Press, 1998.</w:t>
      </w:r>
    </w:p>
    <w:p>
      <w:pPr>
        <w:pStyle w:val="ListParagraph"/>
        <w:numPr>
          <w:ilvl w:val="0"/>
          <w:numId w:val="{refs-0}"/>
        </w:numPr>
      </w:pPr>
      <w:r>
        <w:t xml:space="preserve">CHOI, M.-D. Completely positive linear maps on complex matrices. Linear Algebra and Applications, 10(3), 285–290, 1975.</w:t>
      </w:r>
    </w:p>
    <w:p>
      <w:pPr>
        <w:pStyle w:val="ListParagraph"/>
        <w:numPr>
          <w:ilvl w:val="0"/>
          <w:numId w:val="{refs-0}"/>
        </w:numPr>
      </w:pPr>
      <w:r>
        <w:t xml:space="preserve">VON NEUMANN, J. Mathematical Foundations of Quantum Mechanics. Princeton University Press, 1955.</w:t>
      </w:r>
    </w:p>
    <w:p>
      <w:pPr>
        <w:pStyle w:val="ListParagraph"/>
        <w:numPr>
          <w:ilvl w:val="0"/>
          <w:numId w:val="{refs-0}"/>
        </w:numPr>
      </w:pPr>
      <w:r>
        <w:t xml:space="preserve">WILDE, M. M. Quantum Information Theory. 2. ed. Cambridge University Press, 2017.</w:t>
      </w:r>
    </w:p>
    <w:p>
      <w:pPr>
        <w:pStyle w:val="ListParagraph"/>
        <w:numPr>
          <w:ilvl w:val="0"/>
          <w:numId w:val="{refs-0}"/>
        </w:numPr>
      </w:pPr>
      <w:r>
        <w:t xml:space="preserve">MALDACENA, J.; SUSSKIND, L. Cool horizons for entangled black holes. Fortschritte der Physik, 61(9), 781–811, 2013.</w:t>
      </w:r>
    </w:p>
    <w:p>
      <w:pPr>
        <w:pStyle w:val="ListParagraph"/>
        <w:numPr>
          <w:ilvl w:val="0"/>
          <w:numId w:val="{refs-0}"/>
        </w:numPr>
        <w:spacing w:after="400"/>
      </w:pPr>
      <w:r>
        <w:t xml:space="preserve">PENROSE, R. The Road to Reality. Jonathan Cape, 2004.</w:t>
      </w:r>
    </w:p>
    <w:p>
      <w:pPr>
        <w:pStyle w:val="Heading1"/>
        <w:spacing w:before="400"/>
      </w:pPr>
      <w:r>
        <w:t xml:space="preserve">Appendix A — Auxiliary Proofs</w:t>
      </w:r>
    </w:p>
    <w:p>
      <w:pPr>
        <w:pStyle w:val="Heading2"/>
      </w:pPr>
      <w:r>
        <w:t xml:space="preserve">A.1 Complete Proof of T4 via Concavity of S</w:t>
      </w:r>
    </w:p>
    <w:p>
      <w:pPr>
        <w:spacing w:after="200" w:line="280"/>
      </w:pPr>
      <w:r>
        <w:t xml:space="preserve">We present the complete proof via concavity of S without direct reference to Lindblad's theorem, to show that T4 can be derived from more elementary principles:</w:t>
      </w:r>
    </w:p>
    <w:p>
      <w:pPr>
        <w:pBdr>
          <w:left w:val="single" w:color="4472C4" w:sz="6"/>
        </w:pBdr>
        <w:spacing w:after="100" w:before="100"/>
        <w:ind w:left="720"/>
      </w:pPr>
      <w:r>
        <w:rPr>
          <w:b/>
          <w:bCs/>
          <w:color w:val="4472C4"/>
        </w:rPr>
        <w:t xml:space="preserve">Alternative Proof of T4 — via Concavity</w:t>
      </w:r>
    </w:p>
    <w:p>
      <w:pPr>
        <w:spacing w:after="120" w:line="260"/>
        <w:ind w:left="720"/>
      </w:pPr>
      <w:r>
        <w:t xml:space="preserve">Given E(ρ) = Σₖ Mₖ ρ Mₖ†, define pₖ = Tr(Mₖ ρ Mₖ†) and ρₖ = Mₖ ρ Mₖ†/pₖ.</w:t>
      </w:r>
    </w:p>
    <w:p>
      <w:pPr>
        <w:pStyle w:val="ListParagraph"/>
        <w:numPr>
          <w:ilvl w:val="0"/>
          <w:numId w:val="{proof-0}"/>
        </w:numPr>
        <w:ind w:left="720"/>
      </w:pPr>
      <w:r>
        <w:t xml:space="preserve">E(ρ) = Σₖ pₖ ρₖ is convex mixture (Σₖ pₖ = 1, pₖ ≥ 0).</w:t>
      </w:r>
    </w:p>
    <w:p>
      <w:pPr>
        <w:pStyle w:val="ListParagraph"/>
        <w:numPr>
          <w:ilvl w:val="0"/>
          <w:numId w:val="{proof-0}"/>
        </w:numPr>
        <w:ind w:left="720"/>
      </w:pPr>
      <w:r>
        <w:t xml:space="preserve">By concavity of S (Proposition 2.2(iii)): S(E(ρ)) = S(Σₖ pₖ ρₖ) ≥ Σₖ pₖ S(ρₖ) ≥ 0</w:t>
      </w:r>
    </w:p>
    <w:p>
      <w:pPr>
        <w:pStyle w:val="ListParagraph"/>
        <w:numPr>
          <w:ilvl w:val="0"/>
          <w:numId w:val="{proof-0}"/>
        </w:numPr>
        <w:ind w:left="720"/>
      </w:pPr>
      <w:r>
        <w:t xml:space="preserve">For ρ = ρ₀ pure (S(ρ₀) = 0): S(E(ρ₀)) ≥ 0 = S(ρ₀) ⟺ ΔS ≥ 0. ∎</w:t>
      </w:r>
    </w:p>
    <w:p>
      <w:pPr>
        <w:spacing w:after="400"/>
      </w:pPr>
      <w:r>
        <w:t xml:space="preserve"/>
      </w:r>
    </w:p>
    <w:p>
      <w:pPr>
        <w:pStyle w:val="Heading2"/>
      </w:pPr>
      <w:r>
        <w:t xml:space="preserve">A.2 ΔS Calculation for N Qubits — Generalization</w:t>
      </w:r>
    </w:p>
    <w:p>
      <w:pPr>
        <w:spacing w:after="200" w:line="280"/>
      </w:pPr>
      <w:r>
        <w:t xml:space="preserve">For N qubits (H = (ℂ²)⊗N), the complete dephasing channel E_N acts on each qubit independently: E_N(ρ) = (E ⊗ ... ⊗ E)(ρ) (N times).</w:t>
      </w:r>
    </w:p>
    <w:p>
      <w:pPr>
        <w:spacing w:after="200" w:line="280"/>
      </w:pPr>
      <w:r>
        <w:t xml:space="preserve">For product state ρ₀ = |ψ₁⟩⟨ψ₁| ⊗ ... ⊗ |ψ_N⟩⟨ψ_N| with |ψᵢ⟩ = αᵢ|0⟩ + βᵢ|1⟩: ΔS_N = Σᵢ H_bin(|αᵢ|², |βᵢ|²) ∈ [0, N ln 2]</w:t>
      </w:r>
    </w:p>
    <w:p>
      <w:pPr>
        <w:spacing w:after="400" w:line="280"/>
      </w:pPr>
      <w:r>
        <w:t xml:space="preserve">For maximally entangled state (Bell state): ΔS = 0 (E does not act on basis states). For state |+⟩⊗N: ΔS_N = N ln 2 = N bits. This prediction is quantitative, scalable, and measurable on current quantum computing hardware (IBM Quantum, Google Sycamore).</w:t>
      </w:r>
    </w:p>
    <w:p>
      <w:pPr>
        <w:pStyle w:val="Heading2"/>
      </w:pPr>
      <w:r>
        <w:t xml:space="preserve">A.3 DOE-SAT Pseudocode in Python</w:t>
      </w:r>
    </w:p>
    <w:p>
      <w:pPr>
        <w:spacing w:after="100" w:before="100"/>
        <w:ind w:left="720"/>
      </w:pPr>
      <w:r>
        <w:rPr>
          <w:i/>
          <w:iCs/>
        </w:rPr>
        <w:t xml:space="preserve"># DOE-SAT Pipeline — Python 3.10+</w:t>
      </w:r>
    </w:p>
    <w:p>
      <w:pPr>
        <w:pStyle w:val="ListParagraph"/>
        <w:numPr>
          <w:ilvl w:val="0"/>
          <w:numId w:val="{code-0}"/>
        </w:numPr>
        <w:ind w:left="720"/>
      </w:pPr>
      <w:r>
        <w:t xml:space="preserve">import pynauty, subprocess, tempfile</w:t>
      </w:r>
    </w:p>
    <w:p>
      <w:pPr>
        <w:pStyle w:val="ListParagraph"/>
        <w:numPr>
          <w:ilvl w:val="0"/>
          <w:numId w:val="{code-0}"/>
        </w:numPr>
        <w:ind w:left="720"/>
      </w:pPr>
      <w:r>
        <w:t xml:space="preserve">def doe_sat(cnf_file: str) -&gt; tuple[bool, list]:</w:t>
      </w:r>
    </w:p>
    <w:p>
      <w:pPr>
        <w:pStyle w:val="ListParagraph"/>
        <w:numPr>
          <w:ilvl w:val="0"/>
          <w:numId w:val="{code-0}"/>
        </w:numPr>
        <w:ind w:left="1440"/>
      </w:pPr>
      <w:r>
        <w:t xml:space="preserve">graph = build_incidence_graph(cnf_file)  # O(n+m)</w:t>
      </w:r>
    </w:p>
    <w:p>
      <w:pPr>
        <w:pStyle w:val="ListParagraph"/>
        <w:numPr>
          <w:ilvl w:val="0"/>
          <w:numId w:val="{code-0}"/>
        </w:numPr>
        <w:ind w:left="1440"/>
      </w:pPr>
      <w:r>
        <w:t xml:space="preserve">aut_generators = pynauty.autgrp(graph)  # nauty</w:t>
      </w:r>
    </w:p>
    <w:p>
      <w:pPr>
        <w:pStyle w:val="ListParagraph"/>
        <w:numPr>
          <w:ilvl w:val="0"/>
          <w:numId w:val="{code-0}"/>
        </w:numPr>
        <w:ind w:left="1440"/>
      </w:pPr>
      <w:r>
        <w:t xml:space="preserve">sbp_clauses = [gen_sbp(sigma) for sigma in aut_generators]  # O(k*n)</w:t>
      </w:r>
    </w:p>
    <w:p>
      <w:pPr>
        <w:pStyle w:val="ListParagraph"/>
        <w:numPr>
          <w:ilvl w:val="0"/>
          <w:numId w:val="{code-0}"/>
        </w:numPr>
        <w:ind w:left="1440"/>
      </w:pPr>
      <w:r>
        <w:t xml:space="preserve">result = cadical_solve(cnf_file + sbp_clauses)</w:t>
      </w:r>
    </w:p>
    <w:p>
      <w:pPr>
        <w:pStyle w:val="ListParagraph"/>
        <w:numPr>
          <w:ilvl w:val="0"/>
          <w:numId w:val="{code-0}"/>
        </w:numPr>
        <w:spacing w:after="400"/>
        <w:ind w:left="1440"/>
      </w:pPr>
      <w:r>
        <w:t xml:space="preserve">return result.sat, result.assignment</w:t>
      </w:r>
    </w:p>
    <w:p>
      <w:pPr>
        <w:spacing w:after="0" w:before="400"/>
        <w:jc w:val="center"/>
      </w:pPr>
      <w:r>
        <w:rPr>
          <w:i/>
          <w:iCs/>
        </w:rPr>
        <w:t xml:space="preserve">— end of document —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2026-04-06T21:30:08.182Z</dcterms:created>
  <dcterms:modified xsi:type="dcterms:W3CDTF">2026-04-06T21:30:08.183Z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