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64BD" w14:textId="77777777" w:rsidR="00B41678" w:rsidRPr="00B41678" w:rsidRDefault="00831BA3" w:rsidP="00B41678">
      <w:pPr>
        <w:ind w:firstLine="0"/>
        <w:rPr>
          <w:bCs/>
        </w:rPr>
      </w:pPr>
      <w:r w:rsidRPr="00975F8D">
        <w:rPr>
          <w:b/>
          <w:bCs/>
        </w:rPr>
        <w:t>Title</w:t>
      </w:r>
      <w:r w:rsidRPr="00975F8D">
        <w:t xml:space="preserve">: </w:t>
      </w:r>
      <w:r w:rsidR="00B41678" w:rsidRPr="00B41678">
        <w:rPr>
          <w:bCs/>
        </w:rPr>
        <w:t>Formative Constructs as Tailored Aggregates</w:t>
      </w:r>
    </w:p>
    <w:p w14:paraId="105D82F3" w14:textId="25A3DAA8" w:rsidR="0041300F" w:rsidRDefault="00463CFD" w:rsidP="007C5109">
      <w:pPr>
        <w:ind w:firstLine="0"/>
      </w:pPr>
      <w:r w:rsidRPr="00975F8D">
        <w:rPr>
          <w:b/>
          <w:bCs/>
        </w:rPr>
        <w:t>Abstract</w:t>
      </w:r>
      <w:r w:rsidR="00CA2E83" w:rsidRPr="00975F8D">
        <w:t>:</w:t>
      </w:r>
      <w:r w:rsidR="003A474E" w:rsidRPr="00975F8D">
        <w:t xml:space="preserve"> </w:t>
      </w:r>
    </w:p>
    <w:p w14:paraId="59B36636" w14:textId="53CDD8F4" w:rsidR="008C206A" w:rsidRDefault="008C206A" w:rsidP="008C206A">
      <w:pPr>
        <w:ind w:firstLine="0"/>
      </w:pPr>
      <w:r>
        <w:t xml:space="preserve">Aggregate constructs are prevalent in the social sciences; but they raise serious concerns. </w:t>
      </w:r>
      <w:r w:rsidR="00685A07">
        <w:t xml:space="preserve">Here I focus on the </w:t>
      </w:r>
      <w:r>
        <w:t xml:space="preserve">concerns </w:t>
      </w:r>
      <w:r w:rsidR="00685A07">
        <w:t xml:space="preserve">that </w:t>
      </w:r>
      <w:r>
        <w:t>have been aired in the “formative” versus “reflective” measurement debate</w:t>
      </w:r>
      <w:r w:rsidR="001F7CE7">
        <w:t xml:space="preserve">: </w:t>
      </w:r>
      <w:r>
        <w:t xml:space="preserve">prominently, that formatively measured </w:t>
      </w:r>
      <w:r w:rsidR="00913777">
        <w:t>aggregate constructs</w:t>
      </w:r>
      <w:r>
        <w:t xml:space="preserve"> lack a stable empirical meaning and that they are not internally coherent. </w:t>
      </w:r>
      <w:r w:rsidR="00C0656E">
        <w:t>Some</w:t>
      </w:r>
      <w:r>
        <w:t xml:space="preserve"> methodologists </w:t>
      </w:r>
      <w:r w:rsidR="00913777">
        <w:t xml:space="preserve">suggest </w:t>
      </w:r>
      <w:r>
        <w:t>abandoning formative measurement altogether</w:t>
      </w:r>
      <w:r w:rsidR="001F7CE7">
        <w:t xml:space="preserve"> given these concerns</w:t>
      </w:r>
      <w:r>
        <w:t xml:space="preserve">. In contrast, </w:t>
      </w:r>
      <w:r w:rsidR="001F7CE7">
        <w:t xml:space="preserve">I </w:t>
      </w:r>
      <w:r>
        <w:t>offer a novel way of conceptualizing formative constructs</w:t>
      </w:r>
      <w:r w:rsidR="001F7CE7">
        <w:t>—as tailored aggregates—</w:t>
      </w:r>
      <w:r>
        <w:t xml:space="preserve">one inspired by the case of </w:t>
      </w:r>
      <w:r w:rsidR="00B06B3C">
        <w:rPr>
          <w:i/>
          <w:iCs/>
          <w:lang w:val="en-AU"/>
        </w:rPr>
        <w:t>a</w:t>
      </w:r>
      <w:r w:rsidR="00B06B3C" w:rsidRPr="00B06B3C">
        <w:rPr>
          <w:i/>
          <w:iCs/>
          <w:lang w:val="en-AU"/>
        </w:rPr>
        <w:t>daptedness</w:t>
      </w:r>
      <w:r>
        <w:rPr>
          <w:i/>
          <w:iCs/>
        </w:rPr>
        <w:t xml:space="preserve"> </w:t>
      </w:r>
      <w:r>
        <w:t xml:space="preserve">in </w:t>
      </w:r>
      <w:r w:rsidR="00B06B3C">
        <w:t xml:space="preserve">evolutionary </w:t>
      </w:r>
      <w:r>
        <w:t xml:space="preserve">biology. This proposal turns the </w:t>
      </w:r>
      <w:r w:rsidR="001F7CE7">
        <w:t xml:space="preserve">two </w:t>
      </w:r>
      <w:r>
        <w:t xml:space="preserve">worries </w:t>
      </w:r>
      <w:r w:rsidR="001F7CE7">
        <w:t xml:space="preserve">mentioned </w:t>
      </w:r>
      <w:r>
        <w:t>into unproblematic features</w:t>
      </w:r>
      <w:r w:rsidR="001F7CE7">
        <w:t xml:space="preserve"> and suggests proper uses for formatively measured aggregate constructs.</w:t>
      </w:r>
    </w:p>
    <w:p w14:paraId="4302B3AA" w14:textId="77777777" w:rsidR="008C206A" w:rsidRPr="00975F8D" w:rsidRDefault="008C206A" w:rsidP="007C5109">
      <w:pPr>
        <w:ind w:firstLine="0"/>
      </w:pPr>
    </w:p>
    <w:p w14:paraId="15F7D27F" w14:textId="7B46C397" w:rsidR="001B0F75" w:rsidRPr="00975F8D" w:rsidRDefault="00B5263F">
      <w:pPr>
        <w:spacing w:before="0" w:after="0" w:line="240" w:lineRule="auto"/>
        <w:ind w:firstLine="0"/>
        <w:jc w:val="left"/>
        <w:rPr>
          <w:rFonts w:eastAsiaTheme="majorEastAsia" w:cstheme="majorBidi"/>
          <w:bCs/>
          <w:szCs w:val="32"/>
        </w:rPr>
      </w:pPr>
      <w:r w:rsidRPr="00975F8D">
        <w:rPr>
          <w:rFonts w:eastAsiaTheme="majorEastAsia" w:cstheme="majorBidi"/>
          <w:b/>
          <w:szCs w:val="32"/>
        </w:rPr>
        <w:t>Word count</w:t>
      </w:r>
      <w:r w:rsidRPr="00975F8D">
        <w:rPr>
          <w:rFonts w:eastAsiaTheme="majorEastAsia" w:cstheme="majorBidi"/>
          <w:bCs/>
          <w:szCs w:val="32"/>
        </w:rPr>
        <w:t xml:space="preserve">: </w:t>
      </w:r>
      <w:r w:rsidR="00F32FB8">
        <w:rPr>
          <w:rFonts w:eastAsiaTheme="majorEastAsia" w:cstheme="majorBidi"/>
          <w:bCs/>
          <w:szCs w:val="32"/>
        </w:rPr>
        <w:t>4,</w:t>
      </w:r>
      <w:r w:rsidR="00B6117E">
        <w:rPr>
          <w:rFonts w:eastAsiaTheme="majorEastAsia" w:cstheme="majorBidi"/>
          <w:bCs/>
          <w:szCs w:val="32"/>
        </w:rPr>
        <w:t>369</w:t>
      </w:r>
      <w:r w:rsidR="00F32FB8">
        <w:rPr>
          <w:rFonts w:eastAsiaTheme="majorEastAsia" w:cstheme="majorBidi"/>
          <w:bCs/>
          <w:szCs w:val="32"/>
        </w:rPr>
        <w:t xml:space="preserve"> + 1 figure</w:t>
      </w:r>
    </w:p>
    <w:p w14:paraId="31FFF80F" w14:textId="77777777" w:rsidR="000719BE" w:rsidRDefault="000719BE">
      <w:pPr>
        <w:spacing w:before="0" w:after="0" w:line="240" w:lineRule="auto"/>
        <w:ind w:firstLine="0"/>
        <w:jc w:val="left"/>
      </w:pPr>
    </w:p>
    <w:p w14:paraId="71BD7128" w14:textId="77777777" w:rsidR="000719BE" w:rsidRDefault="000719BE">
      <w:pPr>
        <w:spacing w:before="0" w:after="0" w:line="240" w:lineRule="auto"/>
        <w:ind w:firstLine="0"/>
        <w:jc w:val="left"/>
      </w:pPr>
    </w:p>
    <w:p w14:paraId="10F61673" w14:textId="686D0C81" w:rsidR="00463CFD" w:rsidRPr="00975F8D" w:rsidRDefault="000719BE">
      <w:pPr>
        <w:spacing w:before="0" w:after="0" w:line="240" w:lineRule="auto"/>
        <w:ind w:firstLine="0"/>
        <w:jc w:val="left"/>
      </w:pPr>
      <w:r>
        <w:rPr>
          <w:b/>
          <w:bCs/>
        </w:rPr>
        <w:t xml:space="preserve">Acknowledgements: </w:t>
      </w:r>
      <w:r>
        <w:t>Thanks to Samir Okasha and Miguel Ohnesorge for helpful comments and suggestions.</w:t>
      </w:r>
      <w:r w:rsidR="00463CFD" w:rsidRPr="00975F8D">
        <w:br w:type="page"/>
      </w:r>
    </w:p>
    <w:p w14:paraId="4900D3F8" w14:textId="0D124833" w:rsidR="007C5109" w:rsidRPr="00975F8D" w:rsidRDefault="006829CE" w:rsidP="007C5109">
      <w:pPr>
        <w:pStyle w:val="Heading1"/>
        <w:jc w:val="center"/>
      </w:pPr>
      <w:r w:rsidRPr="00975F8D">
        <w:lastRenderedPageBreak/>
        <w:t xml:space="preserve">Formative Constructs </w:t>
      </w:r>
      <w:r w:rsidR="00F927D3" w:rsidRPr="00975F8D">
        <w:t>as Tailored Aggregates</w:t>
      </w:r>
    </w:p>
    <w:p w14:paraId="7E4FE1B8" w14:textId="77777777" w:rsidR="00F62162" w:rsidRPr="00975F8D" w:rsidRDefault="00F62162" w:rsidP="00F462C4"/>
    <w:p w14:paraId="3473DBE7" w14:textId="6E67B906" w:rsidR="00CA6B21" w:rsidRPr="00975F8D" w:rsidRDefault="00427F3C" w:rsidP="00427F3C">
      <w:pPr>
        <w:pStyle w:val="Heading2"/>
      </w:pPr>
      <w:r w:rsidRPr="00975F8D">
        <w:t xml:space="preserve">1. </w:t>
      </w:r>
      <w:r w:rsidR="002F5891" w:rsidRPr="00975F8D">
        <w:t>Introduction</w:t>
      </w:r>
    </w:p>
    <w:p w14:paraId="78DD1C60" w14:textId="2B76711F" w:rsidR="00E721ED" w:rsidRPr="00975F8D" w:rsidRDefault="00C83610" w:rsidP="0027591A">
      <w:pPr>
        <w:ind w:firstLine="0"/>
        <w:rPr>
          <w:lang w:val="en-AU"/>
        </w:rPr>
      </w:pPr>
      <w:r w:rsidRPr="00975F8D">
        <w:t xml:space="preserve">Many social science </w:t>
      </w:r>
      <w:r w:rsidR="00E721ED" w:rsidRPr="00975F8D">
        <w:t>concepts</w:t>
      </w:r>
      <w:r w:rsidR="0027591A" w:rsidRPr="00975F8D">
        <w:t>,</w:t>
      </w:r>
      <w:r w:rsidR="00E721ED" w:rsidRPr="00975F8D">
        <w:t xml:space="preserve"> </w:t>
      </w:r>
      <w:r w:rsidRPr="00975F8D">
        <w:t xml:space="preserve">like </w:t>
      </w:r>
      <w:r w:rsidRPr="00975F8D">
        <w:rPr>
          <w:i/>
          <w:iCs/>
        </w:rPr>
        <w:t>socioeconomic status</w:t>
      </w:r>
      <w:r w:rsidR="0002177E" w:rsidRPr="00975F8D">
        <w:t xml:space="preserve"> (</w:t>
      </w:r>
      <w:r w:rsidR="0002177E" w:rsidRPr="00975F8D">
        <w:rPr>
          <w:i/>
          <w:iCs/>
        </w:rPr>
        <w:t>SES</w:t>
      </w:r>
      <w:r w:rsidR="0002177E" w:rsidRPr="00975F8D">
        <w:t>)</w:t>
      </w:r>
      <w:r w:rsidRPr="00975F8D">
        <w:t xml:space="preserve">, </w:t>
      </w:r>
      <w:r w:rsidRPr="00975F8D">
        <w:rPr>
          <w:i/>
          <w:iCs/>
        </w:rPr>
        <w:t>reading comprehension</w:t>
      </w:r>
      <w:r w:rsidRPr="00975F8D">
        <w:t xml:space="preserve">, or </w:t>
      </w:r>
      <w:r w:rsidRPr="00975F8D">
        <w:rPr>
          <w:i/>
          <w:iCs/>
        </w:rPr>
        <w:t>depression severity</w:t>
      </w:r>
      <w:r w:rsidR="0027591A" w:rsidRPr="00975F8D">
        <w:t>,</w:t>
      </w:r>
      <w:r w:rsidRPr="00975F8D">
        <w:t xml:space="preserve"> are thought </w:t>
      </w:r>
      <w:r w:rsidR="008B512A" w:rsidRPr="00975F8D">
        <w:t xml:space="preserve">of </w:t>
      </w:r>
      <w:r w:rsidRPr="00975F8D">
        <w:t xml:space="preserve">as theoretical constructs (or </w:t>
      </w:r>
      <w:r w:rsidR="0027591A" w:rsidRPr="00975F8D">
        <w:t>“</w:t>
      </w:r>
      <w:r w:rsidRPr="00975F8D">
        <w:t>latent</w:t>
      </w:r>
      <w:r w:rsidR="0027591A" w:rsidRPr="00975F8D">
        <w:t>”</w:t>
      </w:r>
      <w:r w:rsidRPr="00975F8D">
        <w:t xml:space="preserve"> variables). That is, as concepts that we cannot directly measure, but that we </w:t>
      </w:r>
      <w:r w:rsidR="008B512A" w:rsidRPr="00975F8D">
        <w:t xml:space="preserve">may be able to </w:t>
      </w:r>
      <w:r w:rsidRPr="00975F8D">
        <w:t xml:space="preserve">measure </w:t>
      </w:r>
      <w:r w:rsidR="007C15D0">
        <w:t xml:space="preserve">via </w:t>
      </w:r>
      <w:r w:rsidR="008B512A" w:rsidRPr="00975F8D">
        <w:t>other</w:t>
      </w:r>
      <w:r w:rsidR="009C4DC7" w:rsidRPr="00975F8D">
        <w:t xml:space="preserve">, more accessible </w:t>
      </w:r>
      <w:r w:rsidR="008B512A" w:rsidRPr="00975F8D">
        <w:t>concepts</w:t>
      </w:r>
      <w:r w:rsidR="009C4DC7" w:rsidRPr="00975F8D">
        <w:t xml:space="preserve">, just like physicists measured </w:t>
      </w:r>
      <w:r w:rsidR="009C4DC7" w:rsidRPr="00975F8D">
        <w:rPr>
          <w:i/>
          <w:iCs/>
        </w:rPr>
        <w:t>temperature</w:t>
      </w:r>
      <w:r w:rsidR="009C4DC7" w:rsidRPr="00975F8D">
        <w:t xml:space="preserve"> </w:t>
      </w:r>
      <w:r w:rsidR="007C15D0">
        <w:t>using</w:t>
      </w:r>
      <w:r w:rsidR="009C4DC7" w:rsidRPr="00975F8D">
        <w:t xml:space="preserve"> volume</w:t>
      </w:r>
      <w:r w:rsidR="008B512A" w:rsidRPr="00975F8D">
        <w:t xml:space="preserve">. </w:t>
      </w:r>
      <w:r w:rsidR="009C4DC7" w:rsidRPr="00975F8D">
        <w:t xml:space="preserve">In the case of </w:t>
      </w:r>
      <w:r w:rsidR="0002177E" w:rsidRPr="00975F8D">
        <w:rPr>
          <w:i/>
          <w:iCs/>
        </w:rPr>
        <w:t>SES</w:t>
      </w:r>
      <w:r w:rsidR="009C4DC7" w:rsidRPr="00975F8D">
        <w:t xml:space="preserve"> (</w:t>
      </w:r>
      <w:r w:rsidR="009C4DC7" w:rsidRPr="00975F8D">
        <w:rPr>
          <w:i/>
          <w:iCs/>
        </w:rPr>
        <w:t>reading comprehension</w:t>
      </w:r>
      <w:r w:rsidR="009C4DC7" w:rsidRPr="00975F8D">
        <w:t xml:space="preserve">), the more accessible concepts are </w:t>
      </w:r>
      <w:r w:rsidRPr="00975F8D">
        <w:t>income, education, and occupational prestige</w:t>
      </w:r>
      <w:r w:rsidR="009C4DC7" w:rsidRPr="00975F8D">
        <w:t xml:space="preserve"> (</w:t>
      </w:r>
      <w:r w:rsidR="008B512A" w:rsidRPr="00975F8D">
        <w:t xml:space="preserve">performance in </w:t>
      </w:r>
      <w:r w:rsidRPr="00975F8D">
        <w:t>verbal tests</w:t>
      </w:r>
      <w:r w:rsidR="009C4DC7" w:rsidRPr="00975F8D">
        <w:t>)</w:t>
      </w:r>
      <w:r w:rsidR="00E721ED" w:rsidRPr="00975F8D">
        <w:t>.</w:t>
      </w:r>
      <w:r w:rsidR="009C4DC7" w:rsidRPr="00975F8D">
        <w:t xml:space="preserve"> In turn, </w:t>
      </w:r>
      <w:r w:rsidR="004B2D17" w:rsidRPr="00975F8D">
        <w:t xml:space="preserve">indications </w:t>
      </w:r>
      <w:r w:rsidR="008B512A" w:rsidRPr="00975F8D">
        <w:t xml:space="preserve">of these more accessible concepts (say, </w:t>
      </w:r>
      <w:r w:rsidR="00753D0A" w:rsidRPr="00975F8D">
        <w:t>answers to income survey questions</w:t>
      </w:r>
      <w:r w:rsidR="008B512A" w:rsidRPr="00975F8D">
        <w:t xml:space="preserve">) </w:t>
      </w:r>
      <w:r w:rsidR="00360508" w:rsidRPr="00975F8D">
        <w:t xml:space="preserve">are commonly </w:t>
      </w:r>
      <w:r w:rsidR="008B512A" w:rsidRPr="00975F8D">
        <w:t xml:space="preserve">called “measurement indications”. </w:t>
      </w:r>
      <w:r w:rsidR="00E721ED" w:rsidRPr="00975F8D">
        <w:t>A question that has exercis</w:t>
      </w:r>
      <w:r w:rsidR="008B512A" w:rsidRPr="00975F8D">
        <w:t>ed</w:t>
      </w:r>
      <w:r w:rsidR="00E721ED" w:rsidRPr="00975F8D">
        <w:t xml:space="preserve"> </w:t>
      </w:r>
      <w:r w:rsidR="007C15D0">
        <w:t xml:space="preserve">methodologists </w:t>
      </w:r>
      <w:r w:rsidR="00E721ED" w:rsidRPr="00975F8D">
        <w:t>in sociology</w:t>
      </w:r>
      <w:r w:rsidR="001F1A27" w:rsidRPr="00975F8D">
        <w:t>,</w:t>
      </w:r>
      <w:r w:rsidR="00424B80" w:rsidRPr="00975F8D">
        <w:t xml:space="preserve"> </w:t>
      </w:r>
      <w:r w:rsidR="00E721ED" w:rsidRPr="00975F8D">
        <w:t>psychology,</w:t>
      </w:r>
      <w:r w:rsidR="001C46DA" w:rsidRPr="00975F8D">
        <w:t xml:space="preserve"> </w:t>
      </w:r>
      <w:r w:rsidR="005D34B5" w:rsidRPr="00975F8D">
        <w:t xml:space="preserve">management, </w:t>
      </w:r>
      <w:r w:rsidR="001C46DA" w:rsidRPr="00975F8D">
        <w:t>and political science</w:t>
      </w:r>
      <w:r w:rsidR="00424B80" w:rsidRPr="00975F8D">
        <w:t xml:space="preserve"> </w:t>
      </w:r>
      <w:r w:rsidR="00C0656E" w:rsidRPr="00975F8D">
        <w:t xml:space="preserve">for decades </w:t>
      </w:r>
      <w:r w:rsidR="006B7B17" w:rsidRPr="00975F8D">
        <w:t xml:space="preserve">concerns </w:t>
      </w:r>
      <w:r w:rsidR="00E721ED" w:rsidRPr="00975F8D">
        <w:t>what is (or should be) the relation</w:t>
      </w:r>
      <w:r w:rsidR="00BE30EB" w:rsidRPr="00975F8D">
        <w:t>ship</w:t>
      </w:r>
      <w:r w:rsidR="00E721ED" w:rsidRPr="00975F8D">
        <w:t xml:space="preserve"> between </w:t>
      </w:r>
      <w:r w:rsidR="001720F0" w:rsidRPr="00975F8D">
        <w:t xml:space="preserve">theoretical </w:t>
      </w:r>
      <w:r w:rsidR="00E721ED" w:rsidRPr="00975F8D">
        <w:t xml:space="preserve">constructs </w:t>
      </w:r>
      <w:r w:rsidR="001720F0" w:rsidRPr="00975F8D">
        <w:t xml:space="preserve">on </w:t>
      </w:r>
      <w:r w:rsidR="00BE30EB" w:rsidRPr="00975F8D">
        <w:t xml:space="preserve">the </w:t>
      </w:r>
      <w:r w:rsidR="001720F0" w:rsidRPr="00975F8D">
        <w:t xml:space="preserve">one hand, </w:t>
      </w:r>
      <w:r w:rsidR="00E721ED" w:rsidRPr="00975F8D">
        <w:t xml:space="preserve">and </w:t>
      </w:r>
      <w:r w:rsidR="001720F0" w:rsidRPr="00975F8D">
        <w:t xml:space="preserve">their associated measurable concepts </w:t>
      </w:r>
      <w:r w:rsidR="00360508" w:rsidRPr="00975F8D">
        <w:t xml:space="preserve">with </w:t>
      </w:r>
      <w:r w:rsidR="001720F0" w:rsidRPr="00975F8D">
        <w:t xml:space="preserve">their </w:t>
      </w:r>
      <w:r w:rsidR="00E721ED" w:rsidRPr="00975F8D">
        <w:t>measurement indicators</w:t>
      </w:r>
      <w:r w:rsidR="001720F0" w:rsidRPr="00975F8D">
        <w:t>, on the other</w:t>
      </w:r>
      <w:r w:rsidR="00E721ED" w:rsidRPr="00975F8D">
        <w:t>.</w:t>
      </w:r>
      <w:r w:rsidR="00D3433D" w:rsidRPr="00975F8D">
        <w:rPr>
          <w:rStyle w:val="FootnoteReference"/>
        </w:rPr>
        <w:footnoteReference w:id="1"/>
      </w:r>
    </w:p>
    <w:p w14:paraId="2F20364E" w14:textId="2FED07C4" w:rsidR="00BE30EB" w:rsidRPr="00975F8D" w:rsidRDefault="00A74661" w:rsidP="006F1162">
      <w:pPr>
        <w:ind w:firstLine="0"/>
      </w:pPr>
      <w:r w:rsidRPr="00975F8D">
        <w:t xml:space="preserve">The </w:t>
      </w:r>
      <w:r w:rsidR="00DF4AA6" w:rsidRPr="00975F8D">
        <w:t xml:space="preserve">dominant </w:t>
      </w:r>
      <w:r w:rsidR="006B7B17" w:rsidRPr="00975F8D">
        <w:t xml:space="preserve">view pictures </w:t>
      </w:r>
      <w:r w:rsidR="003A42C3" w:rsidRPr="00975F8D">
        <w:t xml:space="preserve">constructs </w:t>
      </w:r>
      <w:r w:rsidR="003A42C3" w:rsidRPr="00975F8D">
        <w:rPr>
          <w:i/>
          <w:iCs/>
        </w:rPr>
        <w:t>caus</w:t>
      </w:r>
      <w:r w:rsidR="006B7B17" w:rsidRPr="00975F8D">
        <w:rPr>
          <w:i/>
          <w:iCs/>
        </w:rPr>
        <w:t>ing</w:t>
      </w:r>
      <w:r w:rsidR="003A42C3" w:rsidRPr="00975F8D">
        <w:t xml:space="preserve"> their </w:t>
      </w:r>
      <w:r w:rsidR="00360508" w:rsidRPr="00975F8D">
        <w:t>associated measurable concepts and their indications</w:t>
      </w:r>
      <w:r w:rsidR="001F1A27" w:rsidRPr="00975F8D">
        <w:t>. That is,</w:t>
      </w:r>
      <w:r w:rsidRPr="00975F8D">
        <w:t xml:space="preserve"> we measure theoretical constructs </w:t>
      </w:r>
      <w:r w:rsidR="001F1A27" w:rsidRPr="00975F8D">
        <w:t xml:space="preserve">by </w:t>
      </w:r>
      <w:r w:rsidRPr="00975F8D">
        <w:t xml:space="preserve">measuring their effects. </w:t>
      </w:r>
      <w:r w:rsidR="00BE30EB" w:rsidRPr="00975F8D">
        <w:t>I</w:t>
      </w:r>
      <w:r w:rsidRPr="00975F8D">
        <w:t>n psy</w:t>
      </w:r>
      <w:r w:rsidR="00BE30EB" w:rsidRPr="00975F8D">
        <w:t>chometrics</w:t>
      </w:r>
      <w:r w:rsidRPr="00975F8D">
        <w:t xml:space="preserve">, this </w:t>
      </w:r>
      <w:r w:rsidR="008B512A" w:rsidRPr="00975F8D">
        <w:t xml:space="preserve">framework </w:t>
      </w:r>
      <w:r w:rsidRPr="00975F8D">
        <w:t xml:space="preserve">is called the </w:t>
      </w:r>
      <w:r w:rsidR="0027591A" w:rsidRPr="00975F8D">
        <w:t>“</w:t>
      </w:r>
      <w:r w:rsidRPr="00975F8D">
        <w:t>reflective</w:t>
      </w:r>
      <w:r w:rsidR="0027591A" w:rsidRPr="00975F8D">
        <w:t>”</w:t>
      </w:r>
      <w:r w:rsidRPr="00975F8D">
        <w:t xml:space="preserve"> model of measurement. </w:t>
      </w:r>
      <w:r w:rsidR="00327BA3" w:rsidRPr="00975F8D">
        <w:rPr>
          <w:i/>
          <w:iCs/>
        </w:rPr>
        <w:t>Reading comprehension</w:t>
      </w:r>
      <w:r w:rsidR="00327BA3" w:rsidRPr="00975F8D">
        <w:t xml:space="preserve">, the idea goes, causes performance </w:t>
      </w:r>
      <w:r w:rsidR="006B7B17" w:rsidRPr="00975F8D">
        <w:t xml:space="preserve">in </w:t>
      </w:r>
      <w:r w:rsidR="00923BF5" w:rsidRPr="00975F8D">
        <w:t>verbal tests</w:t>
      </w:r>
      <w:r w:rsidR="00327BA3" w:rsidRPr="00975F8D">
        <w:t>, hence the former is “reflected” in the latter</w:t>
      </w:r>
      <w:r w:rsidR="00923BF5" w:rsidRPr="00975F8D">
        <w:t>.</w:t>
      </w:r>
      <w:r w:rsidR="00F81879" w:rsidRPr="00975F8D">
        <w:t xml:space="preserve"> </w:t>
      </w:r>
      <w:r w:rsidR="003904A4" w:rsidRPr="00975F8D">
        <w:t xml:space="preserve">As </w:t>
      </w:r>
      <w:r w:rsidR="00C0656E">
        <w:t xml:space="preserve">Denny </w:t>
      </w:r>
      <w:r w:rsidR="003904A4" w:rsidRPr="00975F8D">
        <w:t xml:space="preserve">Borsboom puts it, “measurement has a clear direction. The direction goes from the world to our instruments. It is very difficult not to construct this relation as causal” (2005, 160). </w:t>
      </w:r>
    </w:p>
    <w:p w14:paraId="2EC96376" w14:textId="4A402BAD" w:rsidR="00A023C3" w:rsidRPr="00975F8D" w:rsidRDefault="00BE30EB" w:rsidP="006F1162">
      <w:pPr>
        <w:ind w:firstLine="0"/>
      </w:pPr>
      <w:r w:rsidRPr="00975F8D">
        <w:t>In psychology t</w:t>
      </w:r>
      <w:r w:rsidR="00923BF5" w:rsidRPr="00975F8D">
        <w:t xml:space="preserve">his </w:t>
      </w:r>
      <w:r w:rsidRPr="00975F8D">
        <w:t>view</w:t>
      </w:r>
      <w:r w:rsidR="00923BF5" w:rsidRPr="00975F8D">
        <w:t xml:space="preserve"> has a long history</w:t>
      </w:r>
      <w:r w:rsidR="006B7B17" w:rsidRPr="00975F8D">
        <w:t xml:space="preserve">, traceable </w:t>
      </w:r>
      <w:r w:rsidR="008B512A" w:rsidRPr="00975F8D">
        <w:t xml:space="preserve">at least </w:t>
      </w:r>
      <w:r w:rsidR="00753D0A" w:rsidRPr="00975F8D">
        <w:t xml:space="preserve">to </w:t>
      </w:r>
      <w:r w:rsidR="00923BF5" w:rsidRPr="00975F8D">
        <w:t xml:space="preserve">Spearman’s </w:t>
      </w:r>
      <w:r w:rsidR="00C449BC" w:rsidRPr="00975F8D">
        <w:t>early 20</w:t>
      </w:r>
      <w:r w:rsidR="00C449BC" w:rsidRPr="00975F8D">
        <w:rPr>
          <w:vertAlign w:val="superscript"/>
        </w:rPr>
        <w:t>th</w:t>
      </w:r>
      <w:r w:rsidR="00C449BC" w:rsidRPr="00975F8D">
        <w:t xml:space="preserve"> century </w:t>
      </w:r>
      <w:r w:rsidR="00923BF5" w:rsidRPr="00975F8D">
        <w:t>developments of factor analysis.</w:t>
      </w:r>
      <w:r w:rsidR="003904A4" w:rsidRPr="00975F8D">
        <w:t xml:space="preserve"> </w:t>
      </w:r>
      <w:r w:rsidR="00DF4AA6" w:rsidRPr="00975F8D">
        <w:t xml:space="preserve">But it </w:t>
      </w:r>
      <w:r w:rsidR="006F1162" w:rsidRPr="00975F8D">
        <w:t xml:space="preserve">is </w:t>
      </w:r>
      <w:r w:rsidR="00DF4AA6" w:rsidRPr="00975F8D">
        <w:t xml:space="preserve">no </w:t>
      </w:r>
      <w:r w:rsidRPr="00975F8D">
        <w:t xml:space="preserve">psychometric </w:t>
      </w:r>
      <w:r w:rsidR="006B7B17" w:rsidRPr="00975F8D">
        <w:t>idiosyncrasy</w:t>
      </w:r>
      <w:r w:rsidR="003904A4" w:rsidRPr="00975F8D">
        <w:t xml:space="preserve">. </w:t>
      </w:r>
      <w:r w:rsidR="00A6343A" w:rsidRPr="00975F8D">
        <w:t>In metrology—the science of measurement—examples abound in which measurement indication</w:t>
      </w:r>
      <w:r w:rsidR="00C57618" w:rsidRPr="00975F8D">
        <w:t>s</w:t>
      </w:r>
      <w:r w:rsidR="00A6343A" w:rsidRPr="00975F8D">
        <w:t xml:space="preserve"> </w:t>
      </w:r>
      <w:r w:rsidR="00C57618" w:rsidRPr="00975F8D">
        <w:t>are</w:t>
      </w:r>
      <w:r w:rsidR="00A6343A" w:rsidRPr="00975F8D">
        <w:t xml:space="preserve"> </w:t>
      </w:r>
      <w:r w:rsidR="00C57618" w:rsidRPr="00975F8D">
        <w:t>referred to as “</w:t>
      </w:r>
      <w:r w:rsidR="00A6343A" w:rsidRPr="00975F8D">
        <w:t>effect</w:t>
      </w:r>
      <w:r w:rsidR="00C57618" w:rsidRPr="00975F8D">
        <w:t>s”</w:t>
      </w:r>
      <w:r w:rsidR="00A6343A" w:rsidRPr="00975F8D">
        <w:t xml:space="preserve"> of the attribute being measured</w:t>
      </w:r>
      <w:r w:rsidRPr="00975F8D">
        <w:t xml:space="preserve"> (aka “measurand”)</w:t>
      </w:r>
      <w:r w:rsidR="00A6343A" w:rsidRPr="00975F8D">
        <w:t xml:space="preserve">. </w:t>
      </w:r>
      <w:r w:rsidR="00B671D0">
        <w:t>And w</w:t>
      </w:r>
      <w:r w:rsidR="009D6E71" w:rsidRPr="00975F8D">
        <w:t xml:space="preserve">hen </w:t>
      </w:r>
      <w:r w:rsidR="00C449BC" w:rsidRPr="00975F8D">
        <w:t>characterizing the</w:t>
      </w:r>
      <w:r w:rsidR="00DF4AA6" w:rsidRPr="00975F8D">
        <w:t>ir</w:t>
      </w:r>
      <w:r w:rsidR="00C449BC" w:rsidRPr="00975F8D">
        <w:t xml:space="preserve"> practice </w:t>
      </w:r>
      <w:r w:rsidR="009D6E71" w:rsidRPr="00975F8D">
        <w:t>in general</w:t>
      </w:r>
      <w:r w:rsidR="00DF4AA6" w:rsidRPr="00975F8D">
        <w:t xml:space="preserve"> terms</w:t>
      </w:r>
      <w:r w:rsidR="009D6E71" w:rsidRPr="00975F8D">
        <w:t>, m</w:t>
      </w:r>
      <w:r w:rsidR="008C7C81" w:rsidRPr="00975F8D">
        <w:t>etrologis</w:t>
      </w:r>
      <w:r w:rsidR="009D6E71" w:rsidRPr="00975F8D">
        <w:t>ts</w:t>
      </w:r>
      <w:r w:rsidR="00C57BC3" w:rsidRPr="00975F8D">
        <w:t>’</w:t>
      </w:r>
      <w:r w:rsidR="009D6E71" w:rsidRPr="00975F8D">
        <w:t xml:space="preserve"> </w:t>
      </w:r>
      <w:r w:rsidR="00C57BC3" w:rsidRPr="00975F8D">
        <w:t xml:space="preserve">assumed picture is </w:t>
      </w:r>
      <w:r w:rsidR="002434C1" w:rsidRPr="00975F8D">
        <w:t xml:space="preserve">indeed </w:t>
      </w:r>
      <w:r w:rsidR="00C57BC3" w:rsidRPr="00975F8D">
        <w:t>one</w:t>
      </w:r>
      <w:r w:rsidR="009D6E71" w:rsidRPr="00975F8D">
        <w:t xml:space="preserve"> </w:t>
      </w:r>
      <w:r w:rsidR="00C57BC3" w:rsidRPr="00975F8D">
        <w:t xml:space="preserve">where the </w:t>
      </w:r>
      <w:r w:rsidR="00DF4AA6" w:rsidRPr="00975F8D">
        <w:t xml:space="preserve">measurand </w:t>
      </w:r>
      <w:r w:rsidR="00C57BC3" w:rsidRPr="00975F8D">
        <w:rPr>
          <w:i/>
          <w:iCs/>
        </w:rPr>
        <w:t>causes</w:t>
      </w:r>
      <w:r w:rsidR="00C57BC3" w:rsidRPr="00975F8D">
        <w:t xml:space="preserve"> the measurement indications</w:t>
      </w:r>
      <w:r w:rsidR="006F1162" w:rsidRPr="00975F8D">
        <w:t xml:space="preserve">. Mari et al (2023, 233) </w:t>
      </w:r>
      <w:r w:rsidR="007C15D0">
        <w:t xml:space="preserve">make this </w:t>
      </w:r>
      <w:r w:rsidR="006F1162" w:rsidRPr="00975F8D">
        <w:t xml:space="preserve">explicit: </w:t>
      </w:r>
    </w:p>
    <w:p w14:paraId="2275FE31" w14:textId="53A652F5" w:rsidR="006F1162" w:rsidRPr="00975F8D" w:rsidRDefault="006F1162" w:rsidP="00A023C3">
      <w:pPr>
        <w:ind w:left="720" w:right="288" w:firstLine="0"/>
      </w:pPr>
      <w:r w:rsidRPr="00975F8D">
        <w:lastRenderedPageBreak/>
        <w:t xml:space="preserve">The first empirical operation of a measuring instrument is a transduction, in our example from temperatures to positions of the upper surface of the alcohol in the thermometer tube, where this mapping </w:t>
      </w:r>
      <w:proofErr w:type="gramStart"/>
      <w:r w:rsidRPr="00975F8D">
        <w:t xml:space="preserve">is based on an </w:t>
      </w:r>
      <w:r w:rsidRPr="00975F8D">
        <w:rPr>
          <w:i/>
          <w:iCs/>
        </w:rPr>
        <w:t>assumption</w:t>
      </w:r>
      <w:proofErr w:type="gramEnd"/>
      <w:r w:rsidRPr="00975F8D">
        <w:rPr>
          <w:i/>
          <w:iCs/>
        </w:rPr>
        <w:t xml:space="preserve"> of causality</w:t>
      </w:r>
      <w:r w:rsidRPr="00975F8D">
        <w:t>: that is, via the transducer, the transduced property is the effect of the property under measurement.</w:t>
      </w:r>
    </w:p>
    <w:p w14:paraId="22CD5EC9" w14:textId="4F0E787C" w:rsidR="000E0F86" w:rsidRPr="00975F8D" w:rsidRDefault="00B671D0" w:rsidP="00833F4D">
      <w:pPr>
        <w:ind w:firstLine="0"/>
      </w:pPr>
      <w:r>
        <w:rPr>
          <w:lang w:val="en-GB"/>
        </w:rPr>
        <w:t>Although r</w:t>
      </w:r>
      <w:r w:rsidR="00753D0A" w:rsidRPr="00975F8D">
        <w:rPr>
          <w:lang w:val="en-GB"/>
        </w:rPr>
        <w:t xml:space="preserve">eflective measurement is often taken to be characteristic of </w:t>
      </w:r>
      <w:r w:rsidR="00753D0A" w:rsidRPr="00975F8D">
        <w:rPr>
          <w:i/>
          <w:iCs/>
          <w:lang w:val="en-GB"/>
        </w:rPr>
        <w:t>all</w:t>
      </w:r>
      <w:r w:rsidR="00753D0A" w:rsidRPr="00975F8D">
        <w:rPr>
          <w:lang w:val="en-GB"/>
        </w:rPr>
        <w:t xml:space="preserve"> measurement</w:t>
      </w:r>
      <w:r>
        <w:rPr>
          <w:lang w:val="en-GB"/>
        </w:rPr>
        <w:t>, r</w:t>
      </w:r>
      <w:r w:rsidR="00753D0A" w:rsidRPr="00975F8D">
        <w:rPr>
          <w:lang w:val="en-GB"/>
        </w:rPr>
        <w:t>ecent work in social science</w:t>
      </w:r>
      <w:r>
        <w:rPr>
          <w:lang w:val="en-GB"/>
        </w:rPr>
        <w:t xml:space="preserve"> </w:t>
      </w:r>
      <w:r w:rsidR="00753D0A" w:rsidRPr="00975F8D">
        <w:rPr>
          <w:lang w:val="en-GB"/>
        </w:rPr>
        <w:t>challenges this.</w:t>
      </w:r>
      <w:r w:rsidR="006F1162" w:rsidRPr="00975F8D">
        <w:t xml:space="preserve"> </w:t>
      </w:r>
      <w:r w:rsidR="009B2058" w:rsidRPr="00975F8D">
        <w:t>The contrast class is called “formative measurement”</w:t>
      </w:r>
      <w:r w:rsidR="001720F0" w:rsidRPr="00975F8D">
        <w:t>.</w:t>
      </w:r>
      <w:r w:rsidR="00F30091" w:rsidRPr="00975F8D">
        <w:t xml:space="preserve"> </w:t>
      </w:r>
      <w:r w:rsidR="001720F0" w:rsidRPr="00975F8D">
        <w:t>W</w:t>
      </w:r>
      <w:r w:rsidR="00F30091" w:rsidRPr="00975F8D">
        <w:t>hat this class includes isn</w:t>
      </w:r>
      <w:r w:rsidR="001720F0" w:rsidRPr="00975F8D">
        <w:t>’</w:t>
      </w:r>
      <w:r w:rsidR="00F30091" w:rsidRPr="00975F8D">
        <w:t xml:space="preserve">t </w:t>
      </w:r>
      <w:r w:rsidR="00885ECC" w:rsidRPr="00975F8D">
        <w:t>always</w:t>
      </w:r>
      <w:r w:rsidR="00F30091" w:rsidRPr="00975F8D">
        <w:t xml:space="preserve"> clear</w:t>
      </w:r>
      <w:r w:rsidR="001720F0" w:rsidRPr="00975F8D">
        <w:t>, but</w:t>
      </w:r>
      <w:r w:rsidR="009B2058" w:rsidRPr="00975F8D">
        <w:t xml:space="preserve"> </w:t>
      </w:r>
      <w:r w:rsidR="00C0656E">
        <w:t xml:space="preserve">here are </w:t>
      </w:r>
      <w:r w:rsidR="00DF4AA6" w:rsidRPr="00975F8D">
        <w:t xml:space="preserve">specific </w:t>
      </w:r>
      <w:r w:rsidR="00753D0A" w:rsidRPr="00975F8D">
        <w:t xml:space="preserve">cases </w:t>
      </w:r>
      <w:r w:rsidR="00C305D8" w:rsidRPr="00975F8D">
        <w:t xml:space="preserve">that resist being interpreted </w:t>
      </w:r>
      <w:r w:rsidR="00753D0A" w:rsidRPr="00975F8D">
        <w:t xml:space="preserve">with the reflective model </w:t>
      </w:r>
      <w:r w:rsidR="0002177E" w:rsidRPr="00975F8D">
        <w:t>(“---” means “measured by”)</w:t>
      </w:r>
      <w:r w:rsidR="00833F4D" w:rsidRPr="00975F8D">
        <w:t>:</w:t>
      </w:r>
    </w:p>
    <w:p w14:paraId="5676F03A" w14:textId="1DEC9F5D" w:rsidR="00833F4D" w:rsidRPr="00975F8D" w:rsidRDefault="00DE6F23" w:rsidP="00833F4D">
      <w:pPr>
        <w:pStyle w:val="ListParagraph"/>
        <w:numPr>
          <w:ilvl w:val="0"/>
          <w:numId w:val="18"/>
        </w:numPr>
      </w:pPr>
      <w:r w:rsidRPr="00975F8D">
        <w:rPr>
          <w:i/>
          <w:iCs/>
        </w:rPr>
        <w:t>H</w:t>
      </w:r>
      <w:r w:rsidR="00833F4D" w:rsidRPr="00975F8D">
        <w:rPr>
          <w:i/>
          <w:iCs/>
        </w:rPr>
        <w:t>unger</w:t>
      </w:r>
      <w:r w:rsidR="00833F4D" w:rsidRPr="00975F8D">
        <w:t xml:space="preserve"> </w:t>
      </w:r>
      <w:r w:rsidRPr="00975F8D">
        <w:t xml:space="preserve">--- Time since last feed </w:t>
      </w:r>
      <w:r w:rsidR="00833F4D" w:rsidRPr="00975F8D">
        <w:t>(Blalock 1963)</w:t>
      </w:r>
    </w:p>
    <w:p w14:paraId="7F0981A4" w14:textId="50F583AE" w:rsidR="00833F4D" w:rsidRPr="00975F8D" w:rsidRDefault="00DE6F23" w:rsidP="00833F4D">
      <w:pPr>
        <w:pStyle w:val="ListParagraph"/>
        <w:numPr>
          <w:ilvl w:val="0"/>
          <w:numId w:val="18"/>
        </w:numPr>
      </w:pPr>
      <w:r w:rsidRPr="00975F8D">
        <w:rPr>
          <w:i/>
          <w:iCs/>
        </w:rPr>
        <w:t>F</w:t>
      </w:r>
      <w:r w:rsidR="00833F4D" w:rsidRPr="00975F8D">
        <w:rPr>
          <w:i/>
          <w:iCs/>
        </w:rPr>
        <w:t>atigue</w:t>
      </w:r>
      <w:r w:rsidR="00833F4D" w:rsidRPr="00975F8D">
        <w:t xml:space="preserve"> </w:t>
      </w:r>
      <w:r w:rsidRPr="00975F8D">
        <w:t xml:space="preserve">--- Sleep deprivation </w:t>
      </w:r>
      <w:r w:rsidR="00833F4D" w:rsidRPr="00975F8D">
        <w:t xml:space="preserve">(Edwards </w:t>
      </w:r>
      <w:r w:rsidR="00A80763" w:rsidRPr="00975F8D">
        <w:t>and</w:t>
      </w:r>
      <w:r w:rsidR="00833F4D" w:rsidRPr="00975F8D">
        <w:t xml:space="preserve"> Bagozzi 2000)</w:t>
      </w:r>
    </w:p>
    <w:p w14:paraId="7A0E341C" w14:textId="067FDD82" w:rsidR="000A34BC" w:rsidRPr="00975F8D" w:rsidRDefault="000A34BC" w:rsidP="000A34BC">
      <w:pPr>
        <w:pStyle w:val="ListParagraph"/>
        <w:numPr>
          <w:ilvl w:val="0"/>
          <w:numId w:val="18"/>
        </w:numPr>
      </w:pPr>
      <w:r w:rsidRPr="00975F8D">
        <w:rPr>
          <w:i/>
          <w:iCs/>
        </w:rPr>
        <w:t xml:space="preserve">SES </w:t>
      </w:r>
      <w:r w:rsidRPr="00975F8D">
        <w:t xml:space="preserve">--- Income, Education, Occupational </w:t>
      </w:r>
      <w:r w:rsidR="007C15D0">
        <w:t>p</w:t>
      </w:r>
      <w:r w:rsidRPr="00975F8D">
        <w:t>restige</w:t>
      </w:r>
      <w:r w:rsidR="00197626" w:rsidRPr="00975F8D">
        <w:t xml:space="preserve"> (Hauser 1972)</w:t>
      </w:r>
    </w:p>
    <w:p w14:paraId="72A83E49" w14:textId="5EB96355" w:rsidR="00833F4D" w:rsidRPr="00975F8D" w:rsidRDefault="00DE6F23" w:rsidP="00833F4D">
      <w:pPr>
        <w:pStyle w:val="ListParagraph"/>
        <w:numPr>
          <w:ilvl w:val="0"/>
          <w:numId w:val="18"/>
        </w:numPr>
      </w:pPr>
      <w:r w:rsidRPr="00975F8D">
        <w:rPr>
          <w:i/>
          <w:iCs/>
        </w:rPr>
        <w:t>S</w:t>
      </w:r>
      <w:r w:rsidR="00833F4D" w:rsidRPr="00975F8D">
        <w:rPr>
          <w:i/>
          <w:iCs/>
        </w:rPr>
        <w:t xml:space="preserve">ocial interaction </w:t>
      </w:r>
      <w:r w:rsidRPr="00975F8D">
        <w:t xml:space="preserve">--- Time spent with friends, coworkers, </w:t>
      </w:r>
      <w:r w:rsidR="000F6B98">
        <w:t xml:space="preserve">and </w:t>
      </w:r>
      <w:r w:rsidRPr="00975F8D">
        <w:t xml:space="preserve">family </w:t>
      </w:r>
      <w:r w:rsidR="00833F4D" w:rsidRPr="00975F8D">
        <w:t>(Bollen 2007)</w:t>
      </w:r>
    </w:p>
    <w:p w14:paraId="6B7B1B8A" w14:textId="0000F05E" w:rsidR="00F30091" w:rsidRPr="00975F8D" w:rsidRDefault="00DE6F23" w:rsidP="00833F4D">
      <w:pPr>
        <w:ind w:firstLine="0"/>
      </w:pPr>
      <w:r w:rsidRPr="00975F8D">
        <w:t>Cases like (1)-(4)</w:t>
      </w:r>
      <w:r w:rsidR="00833F4D" w:rsidRPr="00975F8D">
        <w:t xml:space="preserve"> forced social scientists to acknowledge that the reflective model </w:t>
      </w:r>
      <w:r w:rsidR="0002177E" w:rsidRPr="00975F8D">
        <w:t>couldn’t</w:t>
      </w:r>
      <w:r w:rsidR="00833F4D" w:rsidRPr="00975F8D">
        <w:t xml:space="preserve"> fit all </w:t>
      </w:r>
      <w:r w:rsidR="00654895" w:rsidRPr="00975F8D">
        <w:t>cases</w:t>
      </w:r>
      <w:r w:rsidR="00833F4D" w:rsidRPr="00975F8D">
        <w:t xml:space="preserve">. </w:t>
      </w:r>
      <w:r w:rsidRPr="00975F8D">
        <w:rPr>
          <w:i/>
          <w:iCs/>
        </w:rPr>
        <w:t xml:space="preserve">Hunger </w:t>
      </w:r>
      <w:r w:rsidRPr="00975F8D">
        <w:t>depends on time since last feed, not the other way round</w:t>
      </w:r>
      <w:r w:rsidR="00885ECC" w:rsidRPr="00975F8D">
        <w:t>;</w:t>
      </w:r>
      <w:r w:rsidR="009B2058" w:rsidRPr="00975F8D">
        <w:t xml:space="preserve"> ditto for </w:t>
      </w:r>
      <w:r w:rsidR="009B2058" w:rsidRPr="00975F8D">
        <w:rPr>
          <w:i/>
          <w:iCs/>
        </w:rPr>
        <w:t xml:space="preserve">Fatigue </w:t>
      </w:r>
      <w:r w:rsidR="009B2058" w:rsidRPr="00975F8D">
        <w:t>and sleep deprivation</w:t>
      </w:r>
      <w:r w:rsidRPr="00975F8D">
        <w:t xml:space="preserve">. </w:t>
      </w:r>
      <w:r w:rsidR="00F30091" w:rsidRPr="00975F8D">
        <w:t>So</w:t>
      </w:r>
      <w:r w:rsidR="000A786F" w:rsidRPr="00975F8D">
        <w:t>,</w:t>
      </w:r>
      <w:r w:rsidR="00F30091" w:rsidRPr="00975F8D">
        <w:t xml:space="preserve"> c</w:t>
      </w:r>
      <w:r w:rsidR="009B2058" w:rsidRPr="00975F8D">
        <w:t>ases (</w:t>
      </w:r>
      <w:r w:rsidR="000A34BC" w:rsidRPr="00975F8D">
        <w:t>1</w:t>
      </w:r>
      <w:r w:rsidR="009B2058" w:rsidRPr="00975F8D">
        <w:t>)</w:t>
      </w:r>
      <w:r w:rsidR="000A34BC" w:rsidRPr="00975F8D">
        <w:t>-</w:t>
      </w:r>
      <w:r w:rsidR="009B2058" w:rsidRPr="00975F8D">
        <w:t>(</w:t>
      </w:r>
      <w:r w:rsidR="000A34BC" w:rsidRPr="00975F8D">
        <w:t>2</w:t>
      </w:r>
      <w:r w:rsidR="009B2058" w:rsidRPr="00975F8D">
        <w:t xml:space="preserve">) </w:t>
      </w:r>
      <w:r w:rsidR="000A34BC" w:rsidRPr="00975F8D">
        <w:t xml:space="preserve">buttress </w:t>
      </w:r>
      <w:r w:rsidR="00F30091" w:rsidRPr="00975F8D">
        <w:t>the idea</w:t>
      </w:r>
      <w:r w:rsidR="006B7B17" w:rsidRPr="00975F8D">
        <w:t>—popular in early discussions</w:t>
      </w:r>
      <w:r w:rsidR="0002177E" w:rsidRPr="00975F8D">
        <w:t xml:space="preserve"> (e.g., Blalock 1963)</w:t>
      </w:r>
      <w:r w:rsidR="006B7B17" w:rsidRPr="00975F8D">
        <w:t>—</w:t>
      </w:r>
      <w:r w:rsidR="009B2058" w:rsidRPr="00975F8D">
        <w:t xml:space="preserve">that </w:t>
      </w:r>
      <w:r w:rsidR="004C4F81" w:rsidRPr="00975F8D">
        <w:t xml:space="preserve">in </w:t>
      </w:r>
      <w:r w:rsidR="009B2058" w:rsidRPr="00975F8D">
        <w:t xml:space="preserve">“formative measurement” </w:t>
      </w:r>
      <w:r w:rsidR="004C4F81" w:rsidRPr="00975F8D">
        <w:t xml:space="preserve">one measures with </w:t>
      </w:r>
      <w:r w:rsidR="00F30091" w:rsidRPr="00975F8D">
        <w:t xml:space="preserve">causes instead of effects. </w:t>
      </w:r>
      <w:r w:rsidR="0070578F">
        <w:t>Now,</w:t>
      </w:r>
      <w:r w:rsidR="002A26ED">
        <w:t xml:space="preserve"> this alternative picture doesn’t work for </w:t>
      </w:r>
      <w:r w:rsidR="009B2058" w:rsidRPr="00975F8D">
        <w:rPr>
          <w:i/>
          <w:iCs/>
        </w:rPr>
        <w:t xml:space="preserve">SES </w:t>
      </w:r>
      <w:r w:rsidR="002A26ED">
        <w:t xml:space="preserve">or </w:t>
      </w:r>
      <w:r w:rsidR="002A26ED">
        <w:rPr>
          <w:i/>
          <w:iCs/>
        </w:rPr>
        <w:t>Social i</w:t>
      </w:r>
      <w:r w:rsidR="002A26ED" w:rsidRPr="002A26ED">
        <w:rPr>
          <w:i/>
          <w:iCs/>
        </w:rPr>
        <w:t>nteraction</w:t>
      </w:r>
      <w:r w:rsidR="002A26ED">
        <w:t>. More generally, i</w:t>
      </w:r>
      <w:r w:rsidR="00AE3BAD">
        <w:t xml:space="preserve">n </w:t>
      </w:r>
      <w:r w:rsidR="007D4169" w:rsidRPr="00975F8D">
        <w:t xml:space="preserve">formative </w:t>
      </w:r>
      <w:r w:rsidR="00AE3BAD">
        <w:t>measurement,</w:t>
      </w:r>
      <w:r w:rsidR="007D4169" w:rsidRPr="00975F8D">
        <w:t xml:space="preserve"> </w:t>
      </w:r>
      <w:r w:rsidR="004C4F81" w:rsidRPr="00975F8D">
        <w:t xml:space="preserve">it isn’t </w:t>
      </w:r>
      <w:r w:rsidR="007D4169" w:rsidRPr="00975F8D">
        <w:t xml:space="preserve">always </w:t>
      </w:r>
      <w:r w:rsidR="00976F74" w:rsidRPr="00975F8D">
        <w:t xml:space="preserve">clear what the </w:t>
      </w:r>
      <w:r w:rsidR="009B2058" w:rsidRPr="00975F8D">
        <w:t xml:space="preserve">relationship between constructs </w:t>
      </w:r>
      <w:r w:rsidR="00976F74" w:rsidRPr="00975F8D">
        <w:t>and their associated measurable concepts is</w:t>
      </w:r>
      <w:r w:rsidR="009B2058" w:rsidRPr="00975F8D">
        <w:t>.</w:t>
      </w:r>
    </w:p>
    <w:p w14:paraId="6D2A696F" w14:textId="7D0E2E5E" w:rsidR="000A786F" w:rsidRPr="00975F8D" w:rsidRDefault="00AE3BAD" w:rsidP="00F30091">
      <w:pPr>
        <w:ind w:firstLine="0"/>
      </w:pPr>
      <w:r>
        <w:t>But t</w:t>
      </w:r>
      <w:r w:rsidR="0002177E" w:rsidRPr="00975F8D">
        <w:t>he</w:t>
      </w:r>
      <w:r w:rsidR="00F30091" w:rsidRPr="00975F8D">
        <w:t xml:space="preserve"> concern </w:t>
      </w:r>
      <w:r w:rsidR="0002177E" w:rsidRPr="00975F8D">
        <w:t xml:space="preserve">with </w:t>
      </w:r>
      <w:r w:rsidR="00F30091" w:rsidRPr="00975F8D">
        <w:t>formatively measured constructs</w:t>
      </w:r>
      <w:r w:rsidR="0002177E" w:rsidRPr="00975F8D">
        <w:t xml:space="preserve"> </w:t>
      </w:r>
      <w:r w:rsidR="00E44F6E" w:rsidRPr="00975F8D">
        <w:t>run</w:t>
      </w:r>
      <w:r>
        <w:t>s</w:t>
      </w:r>
      <w:r w:rsidR="00E44F6E" w:rsidRPr="00975F8D">
        <w:t xml:space="preserve"> deeper</w:t>
      </w:r>
      <w:r w:rsidR="002A26ED">
        <w:t xml:space="preserve">. </w:t>
      </w:r>
      <w:r w:rsidR="00C0656E">
        <w:t>Some p</w:t>
      </w:r>
      <w:r w:rsidR="000A786F" w:rsidRPr="00975F8D">
        <w:t xml:space="preserve">rominent </w:t>
      </w:r>
      <w:r w:rsidR="0002177E" w:rsidRPr="00975F8D">
        <w:t>researchers</w:t>
      </w:r>
      <w:r w:rsidR="007D4169" w:rsidRPr="00975F8D">
        <w:t xml:space="preserve"> </w:t>
      </w:r>
      <w:r w:rsidR="000A786F" w:rsidRPr="00975F8D">
        <w:t xml:space="preserve">suggest </w:t>
      </w:r>
      <w:r w:rsidR="002A26ED">
        <w:t xml:space="preserve">that </w:t>
      </w:r>
      <w:r w:rsidR="000A786F" w:rsidRPr="00975F8D">
        <w:t>“</w:t>
      </w:r>
      <w:r w:rsidR="000A786F" w:rsidRPr="00975F8D">
        <w:rPr>
          <w:lang w:val="en-AU"/>
        </w:rPr>
        <w:t>formative measurement models should be abandoned” (Edwards 2011, 383).</w:t>
      </w:r>
      <w:r w:rsidR="00F30091" w:rsidRPr="00975F8D">
        <w:t xml:space="preserve"> </w:t>
      </w:r>
      <w:r>
        <w:t xml:space="preserve">There are </w:t>
      </w:r>
      <w:r w:rsidR="002A26ED">
        <w:t xml:space="preserve">arguably </w:t>
      </w:r>
      <w:r>
        <w:t>two main worries</w:t>
      </w:r>
      <w:r w:rsidR="002A26ED">
        <w:t xml:space="preserve"> here</w:t>
      </w:r>
      <w:r>
        <w:t xml:space="preserve">. One is </w:t>
      </w:r>
      <w:r w:rsidR="007D4169" w:rsidRPr="00975F8D">
        <w:t>rather</w:t>
      </w:r>
      <w:r w:rsidR="004C4F81" w:rsidRPr="00975F8D">
        <w:t xml:space="preserve"> technical, involving the details of the estimation procedures required for formative measurement; yet </w:t>
      </w:r>
      <w:r>
        <w:t xml:space="preserve">this </w:t>
      </w:r>
      <w:r w:rsidR="004C4F81" w:rsidRPr="00975F8D">
        <w:t>concern end</w:t>
      </w:r>
      <w:r>
        <w:t>s</w:t>
      </w:r>
      <w:r w:rsidR="004C4F81" w:rsidRPr="00975F8D">
        <w:t xml:space="preserve"> up raising </w:t>
      </w:r>
      <w:r>
        <w:t xml:space="preserve">an </w:t>
      </w:r>
      <w:r w:rsidR="004C4F81" w:rsidRPr="00975F8D">
        <w:t>important conceptual worr</w:t>
      </w:r>
      <w:r>
        <w:t>y</w:t>
      </w:r>
      <w:r w:rsidR="004C4F81" w:rsidRPr="00975F8D">
        <w:t xml:space="preserve">—namely, that formatively measured constructs lack a stable “empirical meaning”. </w:t>
      </w:r>
      <w:r>
        <w:t xml:space="preserve">A second </w:t>
      </w:r>
      <w:r w:rsidR="004C4F81" w:rsidRPr="00975F8D">
        <w:t>worr</w:t>
      </w:r>
      <w:r>
        <w:t>y</w:t>
      </w:r>
      <w:r w:rsidR="004C4F81" w:rsidRPr="00975F8D">
        <w:t xml:space="preserve"> </w:t>
      </w:r>
      <w:r>
        <w:t xml:space="preserve">is </w:t>
      </w:r>
      <w:r w:rsidR="004C4F81" w:rsidRPr="00975F8D">
        <w:t xml:space="preserve">straightforwardly </w:t>
      </w:r>
      <w:r w:rsidR="00F30091" w:rsidRPr="00975F8D">
        <w:t xml:space="preserve">conceptual, </w:t>
      </w:r>
      <w:r w:rsidR="000A786F" w:rsidRPr="00975F8D">
        <w:t xml:space="preserve">having </w:t>
      </w:r>
      <w:r w:rsidR="00F30091" w:rsidRPr="00975F8D">
        <w:t xml:space="preserve">to </w:t>
      </w:r>
      <w:r w:rsidR="007C15D0">
        <w:t xml:space="preserve">do </w:t>
      </w:r>
      <w:r w:rsidR="00F30091" w:rsidRPr="00975F8D">
        <w:t>with questions that aggregated concepts typically raise</w:t>
      </w:r>
      <w:r w:rsidR="00885ECC" w:rsidRPr="00975F8D">
        <w:t>,</w:t>
      </w:r>
      <w:r w:rsidR="00976F74" w:rsidRPr="00975F8D">
        <w:t xml:space="preserve"> e.g., is </w:t>
      </w:r>
      <w:r w:rsidR="00885ECC" w:rsidRPr="00975F8D">
        <w:rPr>
          <w:i/>
          <w:iCs/>
        </w:rPr>
        <w:t xml:space="preserve">SES </w:t>
      </w:r>
      <w:r w:rsidR="00976F74" w:rsidRPr="00975F8D">
        <w:t>causally efficacious</w:t>
      </w:r>
      <w:r w:rsidR="001A0528" w:rsidRPr="00975F8D">
        <w:t>, a “</w:t>
      </w:r>
      <w:r w:rsidR="00976F74" w:rsidRPr="00975F8D">
        <w:t>real</w:t>
      </w:r>
      <w:r w:rsidR="001A0528" w:rsidRPr="00975F8D">
        <w:t xml:space="preserve">” attribute, or just a jumble </w:t>
      </w:r>
      <w:r w:rsidR="004C4F81" w:rsidRPr="00975F8D">
        <w:t xml:space="preserve">we should </w:t>
      </w:r>
      <w:r w:rsidR="001A0528" w:rsidRPr="00975F8D">
        <w:t>get rid of?</w:t>
      </w:r>
      <w:r w:rsidR="00F30091" w:rsidRPr="00975F8D">
        <w:t xml:space="preserve"> </w:t>
      </w:r>
    </w:p>
    <w:p w14:paraId="0178C4DF" w14:textId="3DBD47AD" w:rsidR="00F62162" w:rsidRPr="00975F8D" w:rsidRDefault="00B671D0" w:rsidP="00F30091">
      <w:pPr>
        <w:ind w:firstLine="0"/>
      </w:pPr>
      <w:r>
        <w:t xml:space="preserve">Here </w:t>
      </w:r>
      <w:r w:rsidR="000A786F" w:rsidRPr="00975F8D">
        <w:t xml:space="preserve">I start by </w:t>
      </w:r>
      <w:r w:rsidR="00F97934" w:rsidRPr="00975F8D">
        <w:t>narrow</w:t>
      </w:r>
      <w:r w:rsidR="000F6B98">
        <w:t>ing</w:t>
      </w:r>
      <w:r w:rsidR="00F97934" w:rsidRPr="00975F8D">
        <w:t xml:space="preserve"> the discussion to the </w:t>
      </w:r>
      <w:r w:rsidR="007C15D0">
        <w:t xml:space="preserve">kind of constructs </w:t>
      </w:r>
      <w:r w:rsidR="00F97934" w:rsidRPr="00975F8D">
        <w:t xml:space="preserve">that </w:t>
      </w:r>
      <w:r w:rsidR="007C15D0">
        <w:t xml:space="preserve">are more problematic </w:t>
      </w:r>
      <w:r w:rsidR="00F97934" w:rsidRPr="00975F8D">
        <w:t>(</w:t>
      </w:r>
      <w:r w:rsidR="00F97934" w:rsidRPr="00975F8D">
        <w:rPr>
          <w:b/>
          <w:bCs/>
        </w:rPr>
        <w:t>Section 2</w:t>
      </w:r>
      <w:r w:rsidR="00F97934" w:rsidRPr="00975F8D">
        <w:t>).</w:t>
      </w:r>
      <w:r w:rsidR="000E0F86" w:rsidRPr="00975F8D">
        <w:t xml:space="preserve"> I </w:t>
      </w:r>
      <w:r w:rsidR="00F97934" w:rsidRPr="00975F8D">
        <w:t xml:space="preserve">then </w:t>
      </w:r>
      <w:r w:rsidR="00E44F6E">
        <w:t xml:space="preserve">flesh out </w:t>
      </w:r>
      <w:r w:rsidR="00430B1D" w:rsidRPr="00975F8D">
        <w:t xml:space="preserve">the </w:t>
      </w:r>
      <w:r w:rsidR="0070578F">
        <w:t xml:space="preserve">two </w:t>
      </w:r>
      <w:r w:rsidR="0049340B" w:rsidRPr="00975F8D">
        <w:t xml:space="preserve">worries </w:t>
      </w:r>
      <w:r w:rsidR="005E5ADD" w:rsidRPr="00975F8D">
        <w:t>mentioned above</w:t>
      </w:r>
      <w:r w:rsidR="006829CE" w:rsidRPr="00975F8D">
        <w:t>,</w:t>
      </w:r>
      <w:r w:rsidR="00F97934" w:rsidRPr="00975F8D">
        <w:t xml:space="preserve"> show</w:t>
      </w:r>
      <w:r w:rsidR="006829CE" w:rsidRPr="00975F8D">
        <w:t>ing</w:t>
      </w:r>
      <w:r w:rsidR="00F97934" w:rsidRPr="00975F8D">
        <w:t xml:space="preserve"> </w:t>
      </w:r>
      <w:r w:rsidR="00430B1D" w:rsidRPr="00975F8D">
        <w:t xml:space="preserve">that </w:t>
      </w:r>
      <w:r w:rsidR="007C15D0">
        <w:t xml:space="preserve">they </w:t>
      </w:r>
      <w:r w:rsidR="00F97934" w:rsidRPr="00975F8D">
        <w:t>are indeed serious</w:t>
      </w:r>
      <w:r w:rsidR="00976F74" w:rsidRPr="00975F8D">
        <w:t xml:space="preserve"> </w:t>
      </w:r>
      <w:r w:rsidR="00F97934" w:rsidRPr="00975F8D">
        <w:t>(</w:t>
      </w:r>
      <w:r w:rsidR="00F97934" w:rsidRPr="00975F8D">
        <w:rPr>
          <w:b/>
          <w:bCs/>
        </w:rPr>
        <w:t>Section 3)</w:t>
      </w:r>
      <w:r w:rsidR="00F97934" w:rsidRPr="00975F8D">
        <w:t>.</w:t>
      </w:r>
      <w:r w:rsidR="00833F4D" w:rsidRPr="00975F8D">
        <w:t xml:space="preserve"> </w:t>
      </w:r>
      <w:r w:rsidR="006829CE" w:rsidRPr="00975F8D">
        <w:t xml:space="preserve">However, </w:t>
      </w:r>
      <w:r w:rsidR="00E44F6E">
        <w:t>abandon</w:t>
      </w:r>
      <w:r w:rsidR="007C15D0">
        <w:t>ing</w:t>
      </w:r>
      <w:r w:rsidR="00E44F6E">
        <w:t xml:space="preserve"> formative constructs</w:t>
      </w:r>
      <w:r w:rsidR="007C15D0">
        <w:t xml:space="preserve"> is not the only option</w:t>
      </w:r>
      <w:r w:rsidR="00E44F6E">
        <w:t>. I</w:t>
      </w:r>
      <w:r w:rsidR="00F97934" w:rsidRPr="00975F8D">
        <w:t xml:space="preserve">n </w:t>
      </w:r>
      <w:r w:rsidR="004D6F39" w:rsidRPr="00975F8D">
        <w:rPr>
          <w:b/>
          <w:bCs/>
        </w:rPr>
        <w:t>Section 4</w:t>
      </w:r>
      <w:r w:rsidR="004D6F39" w:rsidRPr="00975F8D">
        <w:t xml:space="preserve">, </w:t>
      </w:r>
      <w:r w:rsidR="000E0F86" w:rsidRPr="00975F8D">
        <w:t xml:space="preserve">I </w:t>
      </w:r>
      <w:r w:rsidR="006829CE" w:rsidRPr="00975F8D">
        <w:lastRenderedPageBreak/>
        <w:t xml:space="preserve">suggest a way of reconceptualizing formative constructs by </w:t>
      </w:r>
      <w:r w:rsidR="001A0528" w:rsidRPr="00975F8D">
        <w:t xml:space="preserve">drawing an </w:t>
      </w:r>
      <w:r w:rsidR="00F97934" w:rsidRPr="00975F8D">
        <w:t>analog</w:t>
      </w:r>
      <w:r w:rsidR="001A0528" w:rsidRPr="00975F8D">
        <w:t>y</w:t>
      </w:r>
      <w:r w:rsidR="00F97934" w:rsidRPr="00975F8D">
        <w:t xml:space="preserve"> </w:t>
      </w:r>
      <w:r w:rsidR="001A0528" w:rsidRPr="00975F8D">
        <w:t xml:space="preserve">with </w:t>
      </w:r>
      <w:r w:rsidR="00517775">
        <w:rPr>
          <w:i/>
          <w:iCs/>
        </w:rPr>
        <w:t>adaptedness</w:t>
      </w:r>
      <w:r w:rsidR="00517775" w:rsidRPr="00975F8D">
        <w:t xml:space="preserve"> </w:t>
      </w:r>
      <w:r w:rsidR="008614F4" w:rsidRPr="00975F8D">
        <w:t xml:space="preserve">understood as an aggregate </w:t>
      </w:r>
      <w:r w:rsidR="006C5F13" w:rsidRPr="00975F8D">
        <w:t xml:space="preserve">concept, </w:t>
      </w:r>
      <w:r w:rsidR="008614F4" w:rsidRPr="00975F8D">
        <w:t>tailored to a specific criterion (</w:t>
      </w:r>
      <w:r w:rsidR="00517775">
        <w:t xml:space="preserve">e.g., </w:t>
      </w:r>
      <w:r w:rsidR="008614F4" w:rsidRPr="00975F8D">
        <w:t>survival).</w:t>
      </w:r>
      <w:r w:rsidR="00F97934" w:rsidRPr="00975F8D">
        <w:t xml:space="preserve"> </w:t>
      </w:r>
      <w:r w:rsidR="006829CE" w:rsidRPr="00975F8D">
        <w:t>R</w:t>
      </w:r>
      <w:r w:rsidR="007D4169" w:rsidRPr="00975F8D">
        <w:t>econceptualiz</w:t>
      </w:r>
      <w:r w:rsidR="006829CE" w:rsidRPr="00975F8D">
        <w:t>ing formative constructs as tailored aggregates</w:t>
      </w:r>
      <w:r w:rsidR="00F97934" w:rsidRPr="00975F8D">
        <w:t xml:space="preserve"> </w:t>
      </w:r>
      <w:r w:rsidR="000F6B98">
        <w:t xml:space="preserve">addresses </w:t>
      </w:r>
      <w:r w:rsidR="00F97934" w:rsidRPr="00975F8D">
        <w:t xml:space="preserve">the </w:t>
      </w:r>
      <w:r w:rsidR="000F6B98">
        <w:t xml:space="preserve">mentioned </w:t>
      </w:r>
      <w:r w:rsidR="006829CE" w:rsidRPr="00975F8D">
        <w:t xml:space="preserve">worries and </w:t>
      </w:r>
      <w:r w:rsidR="004D6F39" w:rsidRPr="00975F8D">
        <w:t>shed</w:t>
      </w:r>
      <w:r w:rsidR="000F6B98">
        <w:t>s</w:t>
      </w:r>
      <w:r w:rsidR="004D6F39" w:rsidRPr="00975F8D">
        <w:t xml:space="preserve"> light on</w:t>
      </w:r>
      <w:r w:rsidR="007D4169" w:rsidRPr="00975F8D">
        <w:t xml:space="preserve"> </w:t>
      </w:r>
      <w:r w:rsidR="00F97934" w:rsidRPr="00975F8D">
        <w:t xml:space="preserve">what a meaningful use of </w:t>
      </w:r>
      <w:r w:rsidR="006829CE" w:rsidRPr="00975F8D">
        <w:t xml:space="preserve">such </w:t>
      </w:r>
      <w:r w:rsidR="00F97934" w:rsidRPr="00975F8D">
        <w:t xml:space="preserve">constructs may look like. </w:t>
      </w:r>
      <w:r w:rsidR="00F97934" w:rsidRPr="00975F8D">
        <w:rPr>
          <w:b/>
          <w:bCs/>
        </w:rPr>
        <w:t>Section 5</w:t>
      </w:r>
      <w:r w:rsidR="00E44F6E">
        <w:rPr>
          <w:b/>
          <w:bCs/>
        </w:rPr>
        <w:t xml:space="preserve"> </w:t>
      </w:r>
      <w:r w:rsidR="001669B8">
        <w:t>concludes</w:t>
      </w:r>
      <w:r w:rsidR="00F97934" w:rsidRPr="00975F8D">
        <w:t>.</w:t>
      </w:r>
    </w:p>
    <w:p w14:paraId="0B5A7A96" w14:textId="51597F4B" w:rsidR="002F5891" w:rsidRPr="00975F8D" w:rsidRDefault="00CB7211" w:rsidP="000665BB">
      <w:pPr>
        <w:pStyle w:val="Heading2"/>
      </w:pPr>
      <w:r w:rsidRPr="00975F8D">
        <w:t>2</w:t>
      </w:r>
      <w:r w:rsidR="00102805" w:rsidRPr="00975F8D">
        <w:t xml:space="preserve">. </w:t>
      </w:r>
      <w:r w:rsidR="000F6B98">
        <w:t>Narrowing the Focus</w:t>
      </w:r>
    </w:p>
    <w:p w14:paraId="47792094" w14:textId="3FF65CB4" w:rsidR="009B2058" w:rsidRPr="00975F8D" w:rsidRDefault="007D4169" w:rsidP="009B2058">
      <w:pPr>
        <w:ind w:firstLine="0"/>
      </w:pPr>
      <w:r w:rsidRPr="00975F8D">
        <w:t>U</w:t>
      </w:r>
      <w:r w:rsidR="001725CF" w:rsidRPr="00975F8D">
        <w:t>nease</w:t>
      </w:r>
      <w:r w:rsidR="009B2058" w:rsidRPr="00975F8D">
        <w:t xml:space="preserve"> </w:t>
      </w:r>
      <w:r w:rsidRPr="00975F8D">
        <w:t xml:space="preserve">about </w:t>
      </w:r>
      <w:r w:rsidR="009B2058" w:rsidRPr="00975F8D">
        <w:t>incorrectly assuming a reflective framework was</w:t>
      </w:r>
      <w:r w:rsidRPr="00975F8D">
        <w:t xml:space="preserve"> </w:t>
      </w:r>
      <w:r w:rsidR="009B2058" w:rsidRPr="00975F8D">
        <w:t xml:space="preserve">first </w:t>
      </w:r>
      <w:r w:rsidRPr="00975F8D">
        <w:t xml:space="preserve">expressed </w:t>
      </w:r>
      <w:r w:rsidR="009B2058" w:rsidRPr="00975F8D">
        <w:t xml:space="preserve">by sociologists in the 60s and 70s. “Recent sociological treatments of measurement”, </w:t>
      </w:r>
      <w:r w:rsidR="00A70AF4" w:rsidRPr="00975F8D">
        <w:t>lamented</w:t>
      </w:r>
      <w:r w:rsidR="009B2058" w:rsidRPr="00975F8D">
        <w:t xml:space="preserve"> Robert Hauser (1972, 160), “have been too quick to rely on the factor-analysis model for specification of the measurements; in many instances our measures are best regarded as causes, rather than effects of theoretical constructs of interest”. </w:t>
      </w:r>
      <w:r w:rsidR="00974FD0" w:rsidRPr="00975F8D">
        <w:t>As we saw above, for cases like (</w:t>
      </w:r>
      <w:r w:rsidR="000A34BC" w:rsidRPr="00975F8D">
        <w:t>1</w:t>
      </w:r>
      <w:r w:rsidR="00974FD0" w:rsidRPr="00975F8D">
        <w:t>)-(</w:t>
      </w:r>
      <w:r w:rsidR="000A34BC" w:rsidRPr="00975F8D">
        <w:t>2</w:t>
      </w:r>
      <w:r w:rsidR="00974FD0" w:rsidRPr="00975F8D">
        <w:t xml:space="preserve">), </w:t>
      </w:r>
      <w:r w:rsidR="001720F0" w:rsidRPr="00975F8D">
        <w:t xml:space="preserve">reversing the causal arrow </w:t>
      </w:r>
      <w:r w:rsidR="00974FD0" w:rsidRPr="00975F8D">
        <w:t xml:space="preserve">makes sense. But Hauser </w:t>
      </w:r>
      <w:r w:rsidR="001720F0" w:rsidRPr="00975F8D">
        <w:t xml:space="preserve">surprisingly </w:t>
      </w:r>
      <w:r w:rsidR="00974FD0" w:rsidRPr="00975F8D">
        <w:t>continue</w:t>
      </w:r>
      <w:r w:rsidR="00430B1D" w:rsidRPr="00975F8D">
        <w:t>d</w:t>
      </w:r>
      <w:r w:rsidR="001720F0" w:rsidRPr="00975F8D">
        <w:t xml:space="preserve"> thus</w:t>
      </w:r>
      <w:r w:rsidR="00974FD0" w:rsidRPr="00975F8D">
        <w:t>: “</w:t>
      </w:r>
      <w:r w:rsidR="009B2058" w:rsidRPr="00975F8D">
        <w:t>For example, population change is measured as the summed effects of natality, mortality and migration, and the labor force is measured as the sum of employment and unemployment. Likewise, we will ordinarily think of resources as determinants of potential production, rather than as reflections of it.</w:t>
      </w:r>
      <w:r w:rsidR="00974FD0" w:rsidRPr="00975F8D">
        <w:t xml:space="preserve">” Except for the last one, </w:t>
      </w:r>
      <w:r w:rsidR="001720F0" w:rsidRPr="00975F8D">
        <w:t xml:space="preserve">Hauser’s </w:t>
      </w:r>
      <w:r w:rsidR="00974FD0" w:rsidRPr="00975F8D">
        <w:t>examples are not</w:t>
      </w:r>
      <w:r w:rsidR="00974FD0" w:rsidRPr="00975F8D">
        <w:rPr>
          <w:i/>
          <w:iCs/>
        </w:rPr>
        <w:t xml:space="preserve"> </w:t>
      </w:r>
      <w:r w:rsidR="00974FD0" w:rsidRPr="00975F8D">
        <w:t xml:space="preserve">ones where </w:t>
      </w:r>
      <w:r w:rsidR="000A34BC" w:rsidRPr="00975F8D">
        <w:t xml:space="preserve">just </w:t>
      </w:r>
      <w:r w:rsidR="00974FD0" w:rsidRPr="00975F8D">
        <w:t xml:space="preserve">reversing the causal arrow </w:t>
      </w:r>
      <w:r w:rsidR="000A34BC" w:rsidRPr="00975F8D">
        <w:t xml:space="preserve">solves the </w:t>
      </w:r>
      <w:r w:rsidR="00FA1976" w:rsidRPr="00975F8D">
        <w:t>confusion</w:t>
      </w:r>
      <w:r w:rsidR="00974FD0" w:rsidRPr="00975F8D">
        <w:t xml:space="preserve">. The relation between </w:t>
      </w:r>
      <w:r w:rsidR="00974FD0" w:rsidRPr="00975F8D">
        <w:rPr>
          <w:i/>
          <w:iCs/>
        </w:rPr>
        <w:t xml:space="preserve">population </w:t>
      </w:r>
      <w:proofErr w:type="gramStart"/>
      <w:r w:rsidR="00974FD0" w:rsidRPr="00975F8D">
        <w:rPr>
          <w:i/>
          <w:iCs/>
        </w:rPr>
        <w:t>change</w:t>
      </w:r>
      <w:proofErr w:type="gramEnd"/>
      <w:r w:rsidR="00974FD0" w:rsidRPr="00975F8D">
        <w:t xml:space="preserve"> on one hand, and natality, mortality and </w:t>
      </w:r>
      <w:r w:rsidR="00236258" w:rsidRPr="00975F8D">
        <w:t xml:space="preserve">net </w:t>
      </w:r>
      <w:r w:rsidR="00974FD0" w:rsidRPr="00975F8D">
        <w:t xml:space="preserve">migration </w:t>
      </w:r>
      <w:r w:rsidR="000A34BC" w:rsidRPr="00975F8D">
        <w:t xml:space="preserve">on the other, </w:t>
      </w:r>
      <w:r w:rsidR="00974FD0" w:rsidRPr="00975F8D">
        <w:t xml:space="preserve">is </w:t>
      </w:r>
      <w:r w:rsidR="001725CF" w:rsidRPr="00975F8D">
        <w:t>not causal</w:t>
      </w:r>
      <w:r w:rsidR="000A34BC" w:rsidRPr="00975F8D">
        <w:t>—</w:t>
      </w:r>
      <w:r w:rsidR="00272393" w:rsidRPr="00975F8D">
        <w:t>the relation</w:t>
      </w:r>
      <w:r w:rsidR="00272393" w:rsidRPr="00975F8D">
        <w:rPr>
          <w:i/>
          <w:iCs/>
        </w:rPr>
        <w:t xml:space="preserve"> population change</w:t>
      </w:r>
      <w:r w:rsidR="00272393" w:rsidRPr="00975F8D">
        <w:t xml:space="preserve"> = natality + mortality + migration </w:t>
      </w:r>
      <w:r w:rsidR="000A34BC" w:rsidRPr="00975F8D">
        <w:t xml:space="preserve">is </w:t>
      </w:r>
      <w:r w:rsidR="00272393" w:rsidRPr="00975F8D">
        <w:t xml:space="preserve">commonly </w:t>
      </w:r>
      <w:r w:rsidR="000A34BC" w:rsidRPr="00975F8D">
        <w:t xml:space="preserve">called an </w:t>
      </w:r>
      <w:r w:rsidR="00272393" w:rsidRPr="00975F8D">
        <w:t>“</w:t>
      </w:r>
      <w:r w:rsidR="000A34BC" w:rsidRPr="00975F8D">
        <w:t>accounting identity</w:t>
      </w:r>
      <w:r w:rsidR="00272393" w:rsidRPr="00975F8D">
        <w:t>”</w:t>
      </w:r>
      <w:r w:rsidR="000A34BC" w:rsidRPr="00975F8D">
        <w:t xml:space="preserve">. We can think of it </w:t>
      </w:r>
      <w:r w:rsidR="001725CF" w:rsidRPr="00975F8D">
        <w:t>as a</w:t>
      </w:r>
      <w:r w:rsidR="000A34BC" w:rsidRPr="00975F8D">
        <w:t xml:space="preserve"> definitional relationship</w:t>
      </w:r>
      <w:r w:rsidR="00A70AF4" w:rsidRPr="00975F8D">
        <w:t>; d</w:t>
      </w:r>
      <w:r w:rsidR="00272393" w:rsidRPr="00975F8D">
        <w:t>itto</w:t>
      </w:r>
      <w:r w:rsidR="00272393" w:rsidRPr="00975F8D">
        <w:rPr>
          <w:i/>
          <w:iCs/>
        </w:rPr>
        <w:t xml:space="preserve"> </w:t>
      </w:r>
      <w:r w:rsidR="00272393" w:rsidRPr="00975F8D">
        <w:t xml:space="preserve">for </w:t>
      </w:r>
      <w:r w:rsidR="00272393" w:rsidRPr="00975F8D">
        <w:rPr>
          <w:i/>
          <w:iCs/>
        </w:rPr>
        <w:t>labor force</w:t>
      </w:r>
      <w:r w:rsidR="00272393" w:rsidRPr="00975F8D">
        <w:t>.</w:t>
      </w:r>
    </w:p>
    <w:p w14:paraId="431781AC" w14:textId="4C3925B3" w:rsidR="001C00FB" w:rsidRDefault="00430B1D" w:rsidP="009B2058">
      <w:pPr>
        <w:ind w:firstLine="0"/>
      </w:pPr>
      <w:proofErr w:type="gramStart"/>
      <w:r w:rsidRPr="00975F8D">
        <w:t>So</w:t>
      </w:r>
      <w:proofErr w:type="gramEnd"/>
      <w:r w:rsidRPr="00975F8D">
        <w:t xml:space="preserve"> w</w:t>
      </w:r>
      <w:r w:rsidR="00A461DF" w:rsidRPr="00975F8D">
        <w:t>e must</w:t>
      </w:r>
      <w:r w:rsidR="000A34BC" w:rsidRPr="00975F8D">
        <w:t xml:space="preserve"> distinguish </w:t>
      </w:r>
      <w:r w:rsidR="00760989">
        <w:t xml:space="preserve">among </w:t>
      </w:r>
      <w:r w:rsidR="000A34BC" w:rsidRPr="00975F8D">
        <w:t xml:space="preserve">cases </w:t>
      </w:r>
      <w:r w:rsidR="007D4169" w:rsidRPr="00975F8D">
        <w:t xml:space="preserve">of non-reflective measurement. </w:t>
      </w:r>
      <w:r w:rsidR="0006005B" w:rsidRPr="00975F8D">
        <w:t xml:space="preserve">In </w:t>
      </w:r>
      <w:r w:rsidR="007D4169" w:rsidRPr="00975F8D">
        <w:t>cases like (1)-(2)</w:t>
      </w:r>
      <w:r w:rsidR="0006005B" w:rsidRPr="00975F8D">
        <w:t>,</w:t>
      </w:r>
      <w:r w:rsidR="000A34BC" w:rsidRPr="00975F8D">
        <w:t xml:space="preserve"> </w:t>
      </w:r>
      <w:r w:rsidR="001720F0" w:rsidRPr="00975F8D">
        <w:t xml:space="preserve">the </w:t>
      </w:r>
      <w:r w:rsidR="00A70AF4" w:rsidRPr="00975F8D">
        <w:t xml:space="preserve">directly </w:t>
      </w:r>
      <w:r w:rsidR="001720F0" w:rsidRPr="00975F8D">
        <w:t>measurable concept is a cause of the measurand</w:t>
      </w:r>
      <w:r w:rsidR="00FA1976" w:rsidRPr="00975F8D">
        <w:rPr>
          <w:rStyle w:val="FootnoteReference"/>
        </w:rPr>
        <w:footnoteReference w:id="2"/>
      </w:r>
      <w:r w:rsidR="00FA1976" w:rsidRPr="00975F8D">
        <w:t xml:space="preserve">; </w:t>
      </w:r>
      <w:r w:rsidR="0006005B" w:rsidRPr="00975F8D">
        <w:t xml:space="preserve">not so </w:t>
      </w:r>
      <w:r w:rsidR="007D4169" w:rsidRPr="00975F8D">
        <w:t>in cases like (3)-(4) or population change</w:t>
      </w:r>
      <w:r w:rsidR="00FA1976" w:rsidRPr="00975F8D">
        <w:t xml:space="preserve">. </w:t>
      </w:r>
      <w:r w:rsidR="00A70AF4" w:rsidRPr="00975F8D">
        <w:t xml:space="preserve">From now on, </w:t>
      </w:r>
      <w:r w:rsidR="007D4169" w:rsidRPr="00975F8D">
        <w:t xml:space="preserve">I </w:t>
      </w:r>
      <w:r w:rsidR="00A70AF4" w:rsidRPr="00975F8D">
        <w:t xml:space="preserve">put aside </w:t>
      </w:r>
      <w:r w:rsidR="0006005B" w:rsidRPr="00975F8D">
        <w:t>cases like (1)-(2)</w:t>
      </w:r>
      <w:r w:rsidR="00A70AF4" w:rsidRPr="00975F8D">
        <w:t>.</w:t>
      </w:r>
      <w:r w:rsidR="00FA1976" w:rsidRPr="00975F8D">
        <w:t xml:space="preserve"> </w:t>
      </w:r>
      <w:r w:rsidR="00A70AF4" w:rsidRPr="00975F8D">
        <w:t>T</w:t>
      </w:r>
      <w:r w:rsidR="00FA1976" w:rsidRPr="00975F8D">
        <w:t xml:space="preserve">hey </w:t>
      </w:r>
      <w:r w:rsidR="00272393" w:rsidRPr="00975F8D">
        <w:t xml:space="preserve">only </w:t>
      </w:r>
      <w:r w:rsidR="00FA1976" w:rsidRPr="00975F8D">
        <w:t xml:space="preserve">raise a subset of the worries raised by </w:t>
      </w:r>
      <w:r w:rsidR="0006005B" w:rsidRPr="00975F8D">
        <w:t>the other cases</w:t>
      </w:r>
      <w:r w:rsidR="00FA1976" w:rsidRPr="00975F8D">
        <w:t xml:space="preserve">. And though I won’t be interested in semantic battles, the predicate “formative” seems more </w:t>
      </w:r>
      <w:r w:rsidR="0006005B" w:rsidRPr="00975F8D">
        <w:t xml:space="preserve">appropriate </w:t>
      </w:r>
      <w:r w:rsidR="000976A0" w:rsidRPr="00975F8D">
        <w:t xml:space="preserve">to </w:t>
      </w:r>
      <w:r w:rsidR="0006005B" w:rsidRPr="00975F8D">
        <w:t>cases like (3)-(4) or population change</w:t>
      </w:r>
      <w:r w:rsidR="00FA1976" w:rsidRPr="00975F8D">
        <w:t>, since “</w:t>
      </w:r>
      <w:r w:rsidR="0006005B" w:rsidRPr="00975F8D">
        <w:t xml:space="preserve">to </w:t>
      </w:r>
      <w:r w:rsidR="00FA1976" w:rsidRPr="00975F8D">
        <w:t>form” suggests some kind of constitutive</w:t>
      </w:r>
      <w:r w:rsidR="00272393" w:rsidRPr="00975F8D">
        <w:t xml:space="preserve"> relation</w:t>
      </w:r>
      <w:r w:rsidR="00FA1976" w:rsidRPr="00975F8D">
        <w:t xml:space="preserve">. </w:t>
      </w:r>
    </w:p>
    <w:p w14:paraId="63A27D18" w14:textId="59720BD6" w:rsidR="00026805" w:rsidRPr="00975F8D" w:rsidRDefault="001C00FB" w:rsidP="00DE6F23">
      <w:pPr>
        <w:ind w:firstLine="0"/>
      </w:pPr>
      <w:r>
        <w:lastRenderedPageBreak/>
        <w:t xml:space="preserve">Now, not all </w:t>
      </w:r>
      <w:r w:rsidRPr="00975F8D">
        <w:t>cases like (3)-(4)</w:t>
      </w:r>
      <w:r w:rsidR="0006005B" w:rsidRPr="00975F8D">
        <w:t xml:space="preserve"> look </w:t>
      </w:r>
      <w:proofErr w:type="gramStart"/>
      <w:r w:rsidR="0006005B" w:rsidRPr="00975F8D">
        <w:t>all alike</w:t>
      </w:r>
      <w:proofErr w:type="gramEnd"/>
      <w:r w:rsidR="00A70AF4" w:rsidRPr="00975F8D">
        <w:t xml:space="preserve">. </w:t>
      </w:r>
      <w:r>
        <w:t xml:space="preserve">Let me distinguish between </w:t>
      </w:r>
      <w:r w:rsidR="006D7E0F">
        <w:t>two groups</w:t>
      </w:r>
    </w:p>
    <w:p w14:paraId="4B62E4EA" w14:textId="58405873" w:rsidR="00026805" w:rsidRPr="001C00FB" w:rsidRDefault="00026805" w:rsidP="00FA36D5">
      <w:pPr>
        <w:pStyle w:val="ListParagraph"/>
        <w:numPr>
          <w:ilvl w:val="0"/>
          <w:numId w:val="20"/>
        </w:numPr>
        <w:rPr>
          <w:i/>
          <w:iCs/>
        </w:rPr>
      </w:pPr>
      <w:r w:rsidRPr="001C00FB">
        <w:rPr>
          <w:i/>
          <w:iCs/>
        </w:rPr>
        <w:t>Population change, labor force, family income</w:t>
      </w:r>
      <w:r w:rsidR="001C00FB">
        <w:rPr>
          <w:i/>
          <w:iCs/>
        </w:rPr>
        <w:t>, i</w:t>
      </w:r>
      <w:r w:rsidRPr="001C00FB">
        <w:rPr>
          <w:i/>
          <w:iCs/>
        </w:rPr>
        <w:t>nflati</w:t>
      </w:r>
      <w:r w:rsidR="004A3E50" w:rsidRPr="001C00FB">
        <w:rPr>
          <w:i/>
          <w:iCs/>
        </w:rPr>
        <w:t>o</w:t>
      </w:r>
      <w:r w:rsidRPr="001C00FB">
        <w:rPr>
          <w:i/>
          <w:iCs/>
        </w:rPr>
        <w:t>n</w:t>
      </w:r>
    </w:p>
    <w:p w14:paraId="13BC0D04" w14:textId="143B66A9" w:rsidR="000C62D2" w:rsidRPr="00975F8D" w:rsidRDefault="00026805" w:rsidP="000C62D2">
      <w:pPr>
        <w:pStyle w:val="ListParagraph"/>
        <w:numPr>
          <w:ilvl w:val="0"/>
          <w:numId w:val="20"/>
        </w:numPr>
      </w:pPr>
      <w:r w:rsidRPr="00975F8D">
        <w:rPr>
          <w:i/>
          <w:iCs/>
        </w:rPr>
        <w:t>SES</w:t>
      </w:r>
      <w:r w:rsidR="000C62D2" w:rsidRPr="00975F8D">
        <w:rPr>
          <w:i/>
          <w:iCs/>
        </w:rPr>
        <w:t>, overall cognitive-personality functioning</w:t>
      </w:r>
      <w:r w:rsidR="000C62D2" w:rsidRPr="00975F8D">
        <w:t xml:space="preserve"> (Gignac </w:t>
      </w:r>
      <w:r w:rsidR="00A80763" w:rsidRPr="00975F8D">
        <w:t>and</w:t>
      </w:r>
      <w:r w:rsidR="000C62D2" w:rsidRPr="00975F8D">
        <w:t xml:space="preserve"> </w:t>
      </w:r>
      <w:proofErr w:type="spellStart"/>
      <w:r w:rsidR="000C62D2" w:rsidRPr="00975F8D">
        <w:t>Zajenkowski</w:t>
      </w:r>
      <w:proofErr w:type="spellEnd"/>
      <w:r w:rsidR="000C62D2" w:rsidRPr="00975F8D">
        <w:t xml:space="preserve"> 2025)</w:t>
      </w:r>
    </w:p>
    <w:p w14:paraId="698A8C28" w14:textId="6DEE6651" w:rsidR="00632215" w:rsidRDefault="006D7E0F" w:rsidP="00125939">
      <w:pPr>
        <w:ind w:firstLine="0"/>
      </w:pPr>
      <w:r>
        <w:t>A</w:t>
      </w:r>
      <w:r w:rsidR="001725CF" w:rsidRPr="00975F8D">
        <w:t xml:space="preserve">ll these </w:t>
      </w:r>
      <w:r w:rsidR="00FD04E1" w:rsidRPr="00975F8D">
        <w:t xml:space="preserve">constructs </w:t>
      </w:r>
      <w:r w:rsidR="00272393" w:rsidRPr="00975F8D">
        <w:t xml:space="preserve">are </w:t>
      </w:r>
      <w:r w:rsidR="00A70AF4" w:rsidRPr="00975F8D">
        <w:t xml:space="preserve">in some sense </w:t>
      </w:r>
      <w:r w:rsidR="00A461DF" w:rsidRPr="00975F8D">
        <w:t>“</w:t>
      </w:r>
      <w:r w:rsidR="00FD04E1" w:rsidRPr="00975F8D">
        <w:t>aggregate</w:t>
      </w:r>
      <w:r w:rsidR="001C00FB">
        <w:t>s</w:t>
      </w:r>
      <w:r w:rsidR="00A461DF" w:rsidRPr="00975F8D">
        <w:t>”</w:t>
      </w:r>
      <w:r w:rsidR="001C00FB">
        <w:t xml:space="preserve"> </w:t>
      </w:r>
      <w:r w:rsidR="00A461DF" w:rsidRPr="00975F8D">
        <w:t xml:space="preserve">that </w:t>
      </w:r>
      <w:r w:rsidR="00FD04E1" w:rsidRPr="00975F8D">
        <w:t xml:space="preserve">don’t stand in a causal relation to their </w:t>
      </w:r>
      <w:r w:rsidR="001725CF" w:rsidRPr="00975F8D">
        <w:t>measurable concept</w:t>
      </w:r>
      <w:r w:rsidR="00FD04E1" w:rsidRPr="00975F8D">
        <w:t>s</w:t>
      </w:r>
      <w:r w:rsidR="001725CF" w:rsidRPr="00975F8D">
        <w:t xml:space="preserve">. </w:t>
      </w:r>
      <w:r w:rsidR="001C00FB">
        <w:t xml:space="preserve">The </w:t>
      </w:r>
      <w:r w:rsidR="001725CF" w:rsidRPr="00975F8D">
        <w:t>relation</w:t>
      </w:r>
      <w:r w:rsidR="00A461DF" w:rsidRPr="00975F8D">
        <w:t>ship</w:t>
      </w:r>
      <w:r w:rsidR="001725CF" w:rsidRPr="00975F8D">
        <w:t xml:space="preserve"> </w:t>
      </w:r>
      <w:r w:rsidR="001C00FB">
        <w:t xml:space="preserve">may </w:t>
      </w:r>
      <w:r w:rsidR="00AE3BAD">
        <w:t xml:space="preserve">perhaps </w:t>
      </w:r>
      <w:r w:rsidR="001C00FB">
        <w:t xml:space="preserve">be thought </w:t>
      </w:r>
      <w:r w:rsidR="00C0656E">
        <w:t xml:space="preserve">of </w:t>
      </w:r>
      <w:r w:rsidR="001725CF" w:rsidRPr="00975F8D">
        <w:t>as one of constitution</w:t>
      </w:r>
      <w:r w:rsidR="00272393" w:rsidRPr="00975F8D">
        <w:t xml:space="preserve"> </w:t>
      </w:r>
      <w:r w:rsidR="00A461DF" w:rsidRPr="00975F8D">
        <w:t>(</w:t>
      </w:r>
      <w:r w:rsidR="00272393" w:rsidRPr="00975F8D">
        <w:t>broadly understood</w:t>
      </w:r>
      <w:r w:rsidR="00A461DF" w:rsidRPr="00975F8D">
        <w:t>)</w:t>
      </w:r>
      <w:r w:rsidR="00632215">
        <w:t xml:space="preserve"> or definition</w:t>
      </w:r>
      <w:r w:rsidR="001725CF" w:rsidRPr="00975F8D">
        <w:t xml:space="preserve">. </w:t>
      </w:r>
      <w:r w:rsidR="00AE3BAD">
        <w:t>The need to distinguish them</w:t>
      </w:r>
      <w:r w:rsidR="00632215">
        <w:t>, however,</w:t>
      </w:r>
      <w:r w:rsidR="00AE3BAD">
        <w:t xml:space="preserve"> lies </w:t>
      </w:r>
      <w:r w:rsidR="0070578F">
        <w:t>else</w:t>
      </w:r>
      <w:r w:rsidR="00632215">
        <w:t xml:space="preserve">where: the aggregates in </w:t>
      </w:r>
      <w:r w:rsidR="001725CF" w:rsidRPr="00975F8D">
        <w:t>(A)</w:t>
      </w:r>
      <w:r w:rsidR="00AE3BAD">
        <w:t xml:space="preserve"> </w:t>
      </w:r>
      <w:r w:rsidR="00632215">
        <w:t xml:space="preserve">are such that </w:t>
      </w:r>
      <w:r w:rsidR="00AE3BAD">
        <w:t>the</w:t>
      </w:r>
      <w:r w:rsidR="00632215">
        <w:t>ir</w:t>
      </w:r>
      <w:r w:rsidR="00AE3BAD">
        <w:t xml:space="preserve"> component measurable concepts </w:t>
      </w:r>
      <w:r w:rsidR="004A3E50" w:rsidRPr="00975F8D">
        <w:t xml:space="preserve">all share the same </w:t>
      </w:r>
      <w:r w:rsidR="00FD04E1" w:rsidRPr="00975F8D">
        <w:t>dimension (</w:t>
      </w:r>
      <w:r>
        <w:t xml:space="preserve">e.g., </w:t>
      </w:r>
      <w:r w:rsidR="00FD04E1" w:rsidRPr="00975F8D">
        <w:t>number of people</w:t>
      </w:r>
      <w:r>
        <w:t xml:space="preserve"> in </w:t>
      </w:r>
      <w:r>
        <w:rPr>
          <w:i/>
          <w:iCs/>
        </w:rPr>
        <w:t>population change</w:t>
      </w:r>
      <w:r w:rsidR="00AE3BAD">
        <w:t>, $</w:t>
      </w:r>
      <w:r>
        <w:t xml:space="preserve"> in </w:t>
      </w:r>
      <w:r w:rsidRPr="006D7E0F">
        <w:rPr>
          <w:i/>
          <w:iCs/>
        </w:rPr>
        <w:t>family income</w:t>
      </w:r>
      <w:r w:rsidR="00FD04E1" w:rsidRPr="00975F8D">
        <w:t>)</w:t>
      </w:r>
      <w:r w:rsidR="00632215">
        <w:t>;</w:t>
      </w:r>
      <w:r>
        <w:t xml:space="preserve"> </w:t>
      </w:r>
      <w:r w:rsidR="00632215">
        <w:t>i</w:t>
      </w:r>
      <w:r w:rsidR="00AE3BAD">
        <w:t xml:space="preserve">n contrast, the aggregates in group </w:t>
      </w:r>
      <w:r w:rsidR="000C62D2" w:rsidRPr="00975F8D">
        <w:t>(</w:t>
      </w:r>
      <w:r w:rsidR="00AE3BAD">
        <w:t>B</w:t>
      </w:r>
      <w:r w:rsidR="000C62D2" w:rsidRPr="00975F8D">
        <w:t>)</w:t>
      </w:r>
      <w:r w:rsidR="00B97C1C" w:rsidRPr="00975F8D">
        <w:t xml:space="preserve"> don’t share a dimension</w:t>
      </w:r>
      <w:r w:rsidR="0070578F">
        <w:t>, raising questions regarding how the components are being combined.</w:t>
      </w:r>
    </w:p>
    <w:p w14:paraId="22024DE5" w14:textId="287309DA" w:rsidR="00236258" w:rsidRPr="00975F8D" w:rsidRDefault="00B97C1C" w:rsidP="00125939">
      <w:pPr>
        <w:ind w:firstLine="0"/>
      </w:pPr>
      <w:r w:rsidRPr="00975F8D">
        <w:t xml:space="preserve">Because </w:t>
      </w:r>
      <w:r w:rsidR="00632215">
        <w:t xml:space="preserve">the constructs in (B) </w:t>
      </w:r>
      <w:r w:rsidRPr="00975F8D">
        <w:t>raise the two worries</w:t>
      </w:r>
      <w:r w:rsidR="00236258" w:rsidRPr="00975F8D">
        <w:t xml:space="preserve"> </w:t>
      </w:r>
      <w:r w:rsidRPr="00975F8D">
        <w:t xml:space="preserve">discussed below, </w:t>
      </w:r>
      <w:r w:rsidR="00E56447" w:rsidRPr="00975F8D">
        <w:t xml:space="preserve">they are my </w:t>
      </w:r>
      <w:proofErr w:type="gramStart"/>
      <w:r w:rsidR="00E56447" w:rsidRPr="00975F8D">
        <w:t xml:space="preserve">main </w:t>
      </w:r>
      <w:r w:rsidR="00B8727E" w:rsidRPr="00975F8D">
        <w:t>focus</w:t>
      </w:r>
      <w:proofErr w:type="gramEnd"/>
      <w:r w:rsidR="00B8727E" w:rsidRPr="00975F8D">
        <w:t xml:space="preserve"> </w:t>
      </w:r>
      <w:r w:rsidR="00E56447" w:rsidRPr="00975F8D">
        <w:t>here</w:t>
      </w:r>
      <w:r w:rsidR="00B8727E" w:rsidRPr="00975F8D">
        <w:t>.</w:t>
      </w:r>
      <w:r w:rsidR="00236258" w:rsidRPr="00975F8D">
        <w:t xml:space="preserve"> </w:t>
      </w:r>
      <w:r w:rsidR="00236258" w:rsidRPr="00975F8D">
        <w:rPr>
          <w:i/>
          <w:iCs/>
        </w:rPr>
        <w:t xml:space="preserve">SES </w:t>
      </w:r>
      <w:r w:rsidR="00236258" w:rsidRPr="00975F8D">
        <w:t xml:space="preserve">is the </w:t>
      </w:r>
      <w:r w:rsidR="00C0656E">
        <w:t xml:space="preserve">canonical </w:t>
      </w:r>
      <w:r w:rsidR="00236258" w:rsidRPr="00975F8D">
        <w:t xml:space="preserve">example. </w:t>
      </w:r>
      <w:r w:rsidR="00E56447" w:rsidRPr="00975F8D">
        <w:t>Here’s a</w:t>
      </w:r>
      <w:r w:rsidR="00236258" w:rsidRPr="00975F8D">
        <w:t xml:space="preserve"> more recent one</w:t>
      </w:r>
      <w:r w:rsidR="00E56447" w:rsidRPr="00975F8D">
        <w:t>:</w:t>
      </w:r>
      <w:r w:rsidR="00236258" w:rsidRPr="00975F8D">
        <w:t xml:space="preserve"> </w:t>
      </w:r>
      <w:r w:rsidR="00236258" w:rsidRPr="00975F8D">
        <w:rPr>
          <w:i/>
          <w:iCs/>
        </w:rPr>
        <w:t>overall cognitive-personality functioning</w:t>
      </w:r>
      <w:r w:rsidR="00236258" w:rsidRPr="00975F8D">
        <w:t xml:space="preserve">, measured by a “Cognitive-Personality Functioning Index” that </w:t>
      </w:r>
      <w:r w:rsidR="008354B8" w:rsidRPr="00975F8D">
        <w:t>combines</w:t>
      </w:r>
      <w:r w:rsidR="00236258" w:rsidRPr="00975F8D">
        <w:t xml:space="preserve"> measures of cognitive skills </w:t>
      </w:r>
      <w:r w:rsidR="008354B8" w:rsidRPr="00975F8D">
        <w:t xml:space="preserve">(reasoning ability, crystallized ability, memory span, and processing speed) and of personality (conscientiousness, emotional stability, openness to experience, extraversion, and agreeableness) </w:t>
      </w:r>
      <w:r w:rsidR="00236258" w:rsidRPr="00975F8D">
        <w:t xml:space="preserve">(Gignac </w:t>
      </w:r>
      <w:r w:rsidR="00A80763" w:rsidRPr="00975F8D">
        <w:t>and</w:t>
      </w:r>
      <w:r w:rsidR="00236258" w:rsidRPr="00975F8D">
        <w:t xml:space="preserve"> </w:t>
      </w:r>
      <w:proofErr w:type="spellStart"/>
      <w:r w:rsidR="00236258" w:rsidRPr="00975F8D">
        <w:t>Zajenkowski</w:t>
      </w:r>
      <w:proofErr w:type="spellEnd"/>
      <w:r w:rsidR="00236258" w:rsidRPr="00975F8D">
        <w:t xml:space="preserve"> 2025</w:t>
      </w:r>
      <w:r w:rsidR="008354B8" w:rsidRPr="00975F8D">
        <w:t xml:space="preserve">, </w:t>
      </w:r>
      <w:r w:rsidR="00125939" w:rsidRPr="00975F8D">
        <w:t>8</w:t>
      </w:r>
      <w:r w:rsidR="00236258" w:rsidRPr="00975F8D">
        <w:t xml:space="preserve">). </w:t>
      </w:r>
      <w:r w:rsidR="008354B8" w:rsidRPr="00975F8D">
        <w:t xml:space="preserve">The author’s motivation </w:t>
      </w:r>
      <w:r w:rsidRPr="00975F8D">
        <w:t xml:space="preserve">for lumping cognitive and personality attributes turns on the following mismatch: typically considered “core cognitive abilities” peak in early adulthood, </w:t>
      </w:r>
      <w:r w:rsidR="00125939" w:rsidRPr="00975F8D">
        <w:t>while humans “important life outcomes” according to the authors peak much later, so the former cannot explain (or at least predict) the later. By combining measures of concepts known to predict various life outcomes</w:t>
      </w:r>
      <w:r w:rsidR="00C60047" w:rsidRPr="00975F8D">
        <w:t>, the authors hoped “to estimate the age at which humans reach their peak in overall cognitive- personality functioning” (2025, 2).</w:t>
      </w:r>
    </w:p>
    <w:p w14:paraId="2CA6476F" w14:textId="338267C3" w:rsidR="00A96ADD" w:rsidRPr="00975F8D" w:rsidRDefault="006D7E0F" w:rsidP="00DE6F23">
      <w:pPr>
        <w:ind w:firstLine="0"/>
      </w:pPr>
      <w:r>
        <w:t xml:space="preserve">Most constructs in </w:t>
      </w:r>
      <w:r w:rsidR="00E56447" w:rsidRPr="00975F8D">
        <w:t xml:space="preserve">(A) don’t raise questions about how to aggregate the components. (No one suggests mortality should get more weight than natality). </w:t>
      </w:r>
      <w:r w:rsidR="00A76C84">
        <w:t>Admittedly,</w:t>
      </w:r>
      <w:r>
        <w:t xml:space="preserve"> </w:t>
      </w:r>
      <w:r>
        <w:rPr>
          <w:i/>
          <w:iCs/>
        </w:rPr>
        <w:t xml:space="preserve">inflation </w:t>
      </w:r>
      <w:r w:rsidR="00E56447" w:rsidRPr="00975F8D">
        <w:t xml:space="preserve">does: </w:t>
      </w:r>
      <w:r w:rsidR="00B97C1C" w:rsidRPr="00975F8D">
        <w:t xml:space="preserve">How are the weights </w:t>
      </w:r>
      <w:r w:rsidR="00E56447" w:rsidRPr="00975F8D">
        <w:t>of the different goods to be selected</w:t>
      </w:r>
      <w:r>
        <w:t xml:space="preserve"> to form the </w:t>
      </w:r>
      <w:r w:rsidRPr="00975F8D">
        <w:t>“representative basket” needed for calculating variations in the overall level of prices</w:t>
      </w:r>
      <w:r w:rsidR="00E56447" w:rsidRPr="00975F8D">
        <w:t xml:space="preserve">? Though inevitably controversial when looking at the details (Reiss 2008; </w:t>
      </w:r>
      <w:proofErr w:type="spellStart"/>
      <w:r w:rsidR="00E56447" w:rsidRPr="00975F8D">
        <w:t>Thoma</w:t>
      </w:r>
      <w:proofErr w:type="spellEnd"/>
      <w:r w:rsidR="00E56447" w:rsidRPr="00975F8D">
        <w:t xml:space="preserve"> 2024), I suggest the troublesomeness </w:t>
      </w:r>
      <w:r w:rsidR="00820D00" w:rsidRPr="00975F8D">
        <w:t xml:space="preserve">here </w:t>
      </w:r>
      <w:r w:rsidR="00E56447" w:rsidRPr="00975F8D">
        <w:t>is unlike that of cases (</w:t>
      </w:r>
      <w:r>
        <w:t>B</w:t>
      </w:r>
      <w:r w:rsidR="00E56447" w:rsidRPr="00975F8D">
        <w:t xml:space="preserve">). Different communities spend more in some goods than others, so </w:t>
      </w:r>
      <w:r w:rsidR="007E2088" w:rsidRPr="00975F8D">
        <w:t xml:space="preserve">any </w:t>
      </w:r>
      <w:r w:rsidR="00AA3E7A" w:rsidRPr="00975F8D">
        <w:t xml:space="preserve">choice about goods and their weights </w:t>
      </w:r>
      <w:r w:rsidR="007E2088" w:rsidRPr="00975F8D">
        <w:t xml:space="preserve">may </w:t>
      </w:r>
      <w:r w:rsidR="00AA3E7A" w:rsidRPr="00975F8D">
        <w:t>speak more to the situation of some communities over others</w:t>
      </w:r>
      <w:r w:rsidR="00820D00" w:rsidRPr="00975F8D">
        <w:t xml:space="preserve">, with various distributive consequences. Still, </w:t>
      </w:r>
      <w:r w:rsidR="00AA3E7A" w:rsidRPr="00975F8D">
        <w:t xml:space="preserve">the </w:t>
      </w:r>
      <w:r w:rsidR="00A96ADD" w:rsidRPr="00975F8D">
        <w:t xml:space="preserve">overarching </w:t>
      </w:r>
      <w:r w:rsidR="00AA3E7A" w:rsidRPr="00975F8D">
        <w:t xml:space="preserve">principle </w:t>
      </w:r>
      <w:r w:rsidR="00820D00" w:rsidRPr="00975F8D">
        <w:t xml:space="preserve">behind the aggregation </w:t>
      </w:r>
      <w:r w:rsidR="00AA3E7A" w:rsidRPr="00975F8D">
        <w:t>is clear enough: to get a “representative” basket</w:t>
      </w:r>
      <w:r w:rsidR="007E2088" w:rsidRPr="00975F8D">
        <w:t>, i.e. a combination of the goods most people spend most in</w:t>
      </w:r>
      <w:r w:rsidR="00AA3E7A" w:rsidRPr="00975F8D">
        <w:t>.</w:t>
      </w:r>
      <w:r w:rsidR="00820D00" w:rsidRPr="00975F8D">
        <w:t xml:space="preserve"> </w:t>
      </w:r>
    </w:p>
    <w:p w14:paraId="5FD01899" w14:textId="763F3A8E" w:rsidR="00FA2338" w:rsidRPr="00975F8D" w:rsidRDefault="00DB7DC2" w:rsidP="00EE6A78">
      <w:pPr>
        <w:ind w:firstLine="0"/>
      </w:pPr>
      <w:r>
        <w:lastRenderedPageBreak/>
        <w:t>In contrast,</w:t>
      </w:r>
      <w:r w:rsidR="00E66E5D" w:rsidRPr="00975F8D">
        <w:t xml:space="preserve"> w</w:t>
      </w:r>
      <w:r w:rsidR="00A96ADD" w:rsidRPr="00975F8D">
        <w:t>hat</w:t>
      </w:r>
      <w:r w:rsidR="006D7E0F">
        <w:t>’</w:t>
      </w:r>
      <w:r w:rsidR="00A96ADD" w:rsidRPr="00975F8D">
        <w:t xml:space="preserve">s the overarching principle when </w:t>
      </w:r>
      <w:r w:rsidR="007E2088" w:rsidRPr="00975F8D">
        <w:t>“</w:t>
      </w:r>
      <w:r w:rsidR="00A96ADD" w:rsidRPr="00975F8D">
        <w:t>combining</w:t>
      </w:r>
      <w:r w:rsidR="007E2088" w:rsidRPr="00975F8D">
        <w:t>”</w:t>
      </w:r>
      <w:r w:rsidR="00A96ADD" w:rsidRPr="00975F8D">
        <w:t xml:space="preserve"> income, education, and occupation prestige</w:t>
      </w:r>
      <w:r w:rsidR="00B671D0">
        <w:t xml:space="preserve">, </w:t>
      </w:r>
      <w:r w:rsidR="00A96ADD" w:rsidRPr="00975F8D">
        <w:t xml:space="preserve">or cognitive skills and personality traits? </w:t>
      </w:r>
      <w:r w:rsidR="006D7E0F">
        <w:t xml:space="preserve">Why </w:t>
      </w:r>
      <w:r w:rsidR="00E66E5D" w:rsidRPr="00975F8D">
        <w:t xml:space="preserve">are </w:t>
      </w:r>
      <w:r w:rsidR="006D7E0F">
        <w:t xml:space="preserve">they </w:t>
      </w:r>
      <w:r w:rsidR="00E66E5D" w:rsidRPr="00975F8D">
        <w:t>combinable</w:t>
      </w:r>
      <w:r w:rsidR="00760989">
        <w:t xml:space="preserve"> </w:t>
      </w:r>
      <w:r w:rsidR="00C0656E">
        <w:t>anyway</w:t>
      </w:r>
      <w:r w:rsidR="00E66E5D" w:rsidRPr="00975F8D">
        <w:t xml:space="preserve">? </w:t>
      </w:r>
      <w:r w:rsidR="005712F5" w:rsidRPr="00975F8D">
        <w:t>Can we just append the predicate “overall” hoping the resulting aggregate</w:t>
      </w:r>
      <w:r w:rsidR="008D7015" w:rsidRPr="00975F8D">
        <w:t xml:space="preserve"> construct</w:t>
      </w:r>
      <w:r w:rsidR="005712F5" w:rsidRPr="00975F8D">
        <w:t xml:space="preserve"> is coherent? </w:t>
      </w:r>
      <w:r w:rsidR="006D7E0F">
        <w:t xml:space="preserve">Perhaps </w:t>
      </w:r>
      <w:r w:rsidR="007640D7" w:rsidRPr="00975F8D">
        <w:t>we’re just mixing apples and</w:t>
      </w:r>
      <w:r w:rsidR="00FD45E0" w:rsidRPr="00975F8D">
        <w:t xml:space="preserve"> oranges</w:t>
      </w:r>
      <w:r w:rsidR="007640D7" w:rsidRPr="00975F8D">
        <w:t xml:space="preserve"> here. In practice, m</w:t>
      </w:r>
      <w:r w:rsidR="00E66E5D" w:rsidRPr="00975F8D">
        <w:t xml:space="preserve">any </w:t>
      </w:r>
      <w:r w:rsidR="00A96ADD" w:rsidRPr="00975F8D">
        <w:t xml:space="preserve">researchers </w:t>
      </w:r>
      <w:r w:rsidR="00820D00" w:rsidRPr="00975F8D">
        <w:t xml:space="preserve">take each component, </w:t>
      </w:r>
      <w:r w:rsidR="007640D7" w:rsidRPr="00975F8D">
        <w:t xml:space="preserve">standardize </w:t>
      </w:r>
      <w:r w:rsidR="00820D00" w:rsidRPr="00975F8D">
        <w:t>them</w:t>
      </w:r>
      <w:r w:rsidR="00820D00" w:rsidRPr="00975F8D">
        <w:rPr>
          <w:rStyle w:val="FootnoteReference"/>
        </w:rPr>
        <w:footnoteReference w:id="3"/>
      </w:r>
      <w:r w:rsidR="00820D00" w:rsidRPr="00975F8D">
        <w:t xml:space="preserve">, </w:t>
      </w:r>
      <w:r w:rsidR="007640D7" w:rsidRPr="00975F8D">
        <w:t xml:space="preserve">and then </w:t>
      </w:r>
      <w:r w:rsidR="00A96ADD" w:rsidRPr="00975F8D">
        <w:t xml:space="preserve">give conventional weights to each </w:t>
      </w:r>
      <w:r w:rsidR="007640D7" w:rsidRPr="00975F8D">
        <w:t xml:space="preserve">standardized </w:t>
      </w:r>
      <w:r w:rsidR="00A96ADD" w:rsidRPr="00975F8D">
        <w:t>component, say, equal weights</w:t>
      </w:r>
      <w:r w:rsidR="00F76AE7" w:rsidRPr="00975F8D">
        <w:t xml:space="preserve"> and use the sum score as the measure</w:t>
      </w:r>
      <w:r w:rsidR="00A96ADD" w:rsidRPr="00975F8D">
        <w:t>. But this is to no one’s satisfaction</w:t>
      </w:r>
      <w:r w:rsidR="007E2088" w:rsidRPr="00975F8D">
        <w:t>—</w:t>
      </w:r>
      <w:r w:rsidR="007640D7" w:rsidRPr="00975F8D">
        <w:t xml:space="preserve">standardizing doesn’t </w:t>
      </w:r>
      <w:r w:rsidR="00395B3B" w:rsidRPr="00975F8D">
        <w:t>address the mixing</w:t>
      </w:r>
      <w:r w:rsidR="00FD45E0" w:rsidRPr="00975F8D">
        <w:t>-</w:t>
      </w:r>
      <w:r w:rsidR="00395B3B" w:rsidRPr="00975F8D">
        <w:t>apples</w:t>
      </w:r>
      <w:r w:rsidR="00FD45E0" w:rsidRPr="00975F8D">
        <w:t>-</w:t>
      </w:r>
      <w:r w:rsidR="00395B3B" w:rsidRPr="00975F8D">
        <w:t>and</w:t>
      </w:r>
      <w:r w:rsidR="00FD45E0" w:rsidRPr="00975F8D">
        <w:t>-oranges</w:t>
      </w:r>
      <w:r w:rsidR="00395B3B" w:rsidRPr="00975F8D">
        <w:t xml:space="preserve"> issue, and the weights are </w:t>
      </w:r>
      <w:r w:rsidR="00A96ADD" w:rsidRPr="00975F8D">
        <w:t>arbitrary</w:t>
      </w:r>
      <w:r w:rsidR="00820D00" w:rsidRPr="00975F8D">
        <w:t>, hence</w:t>
      </w:r>
      <w:r w:rsidR="00395B3B" w:rsidRPr="00975F8D">
        <w:t xml:space="preserve"> insensitive to features of </w:t>
      </w:r>
      <w:r w:rsidR="00E66E5D" w:rsidRPr="00975F8D">
        <w:t>the data</w:t>
      </w:r>
      <w:r w:rsidR="00820D00" w:rsidRPr="00975F8D">
        <w:t>,</w:t>
      </w:r>
      <w:r w:rsidR="00E66E5D" w:rsidRPr="00975F8D">
        <w:t xml:space="preserve"> unlike in reflective measurement (say, using factor analysis).</w:t>
      </w:r>
      <w:r w:rsidR="00A96ADD" w:rsidRPr="00975F8D">
        <w:t xml:space="preserve"> </w:t>
      </w:r>
      <w:r w:rsidR="00F76AE7" w:rsidRPr="00975F8D">
        <w:t xml:space="preserve">There is an alternative approach </w:t>
      </w:r>
      <w:r w:rsidR="00E66E5D" w:rsidRPr="00975F8D">
        <w:t xml:space="preserve">in which </w:t>
      </w:r>
      <w:r w:rsidR="00A96ADD" w:rsidRPr="00975F8D">
        <w:t xml:space="preserve">the weights </w:t>
      </w:r>
      <w:r w:rsidR="00F76AE7" w:rsidRPr="00975F8D">
        <w:t xml:space="preserve">do </w:t>
      </w:r>
      <w:r w:rsidR="00A96ADD" w:rsidRPr="00975F8D">
        <w:t>come from the data</w:t>
      </w:r>
      <w:r w:rsidR="00F76AE7" w:rsidRPr="00975F8D">
        <w:t>, which has been the focus of most discussions about formative measurement</w:t>
      </w:r>
      <w:r w:rsidR="00820D00" w:rsidRPr="00975F8D">
        <w:t>.</w:t>
      </w:r>
      <w:r w:rsidR="00A96ADD" w:rsidRPr="00975F8D">
        <w:t xml:space="preserve"> Yet </w:t>
      </w:r>
      <w:r w:rsidR="00E66E5D" w:rsidRPr="00975F8D">
        <w:t xml:space="preserve">here is where </w:t>
      </w:r>
      <w:r w:rsidR="00A96ADD" w:rsidRPr="00975F8D">
        <w:t>the technical worry I mentioned</w:t>
      </w:r>
      <w:r w:rsidR="00F462C4" w:rsidRPr="00975F8D">
        <w:t xml:space="preserve"> arises</w:t>
      </w:r>
      <w:r w:rsidR="00A96ADD" w:rsidRPr="00975F8D">
        <w:t>, to which we now turn.</w:t>
      </w:r>
    </w:p>
    <w:p w14:paraId="2A1B696F" w14:textId="7175F45C" w:rsidR="002F5891" w:rsidRPr="00975F8D" w:rsidRDefault="00CB7211" w:rsidP="000665BB">
      <w:pPr>
        <w:pStyle w:val="Heading2"/>
      </w:pPr>
      <w:r w:rsidRPr="00975F8D">
        <w:t>3</w:t>
      </w:r>
      <w:r w:rsidR="000665BB" w:rsidRPr="00975F8D">
        <w:t>.</w:t>
      </w:r>
      <w:r w:rsidR="00102805" w:rsidRPr="00975F8D">
        <w:t xml:space="preserve"> </w:t>
      </w:r>
      <w:r w:rsidR="003A42C3" w:rsidRPr="00975F8D">
        <w:t xml:space="preserve">Two </w:t>
      </w:r>
      <w:r w:rsidR="0049340B" w:rsidRPr="00975F8D">
        <w:t>Worries</w:t>
      </w:r>
      <w:r w:rsidR="003A42C3" w:rsidRPr="00975F8D">
        <w:t xml:space="preserve"> </w:t>
      </w:r>
      <w:r w:rsidR="0049340B" w:rsidRPr="00975F8D">
        <w:t xml:space="preserve">About </w:t>
      </w:r>
      <w:r w:rsidR="003A42C3" w:rsidRPr="00975F8D">
        <w:t>Formatively Measured Constructs</w:t>
      </w:r>
    </w:p>
    <w:p w14:paraId="7C2ECA8D" w14:textId="053EC0D7" w:rsidR="00935F85" w:rsidRPr="00975F8D" w:rsidRDefault="00935F85" w:rsidP="00385081">
      <w:pPr>
        <w:pStyle w:val="Heading3"/>
      </w:pPr>
      <w:r w:rsidRPr="00975F8D">
        <w:t>3.1 Unstable Empirical Meaning</w:t>
      </w:r>
      <w:r w:rsidR="00A023C3" w:rsidRPr="00975F8D">
        <w:t>s</w:t>
      </w:r>
    </w:p>
    <w:p w14:paraId="5E4D1158" w14:textId="36ADCCAC" w:rsidR="00F462C4" w:rsidRPr="00975F8D" w:rsidRDefault="0070062E" w:rsidP="00D06899">
      <w:pPr>
        <w:ind w:firstLine="0"/>
        <w:rPr>
          <w:rFonts w:eastAsiaTheme="minorEastAsia"/>
        </w:rPr>
      </w:pPr>
      <w:r w:rsidRPr="00975F8D">
        <w:t>Figure 1</w:t>
      </w:r>
      <w:r w:rsidR="00F04BC1" w:rsidRPr="00975F8D">
        <w:t xml:space="preserve"> depicts a causal model including latent variables</w:t>
      </w:r>
      <w:r w:rsidR="00B8042D">
        <w:t xml:space="preserve"> (ellipses)</w:t>
      </w:r>
      <w:r w:rsidR="00F04BC1" w:rsidRPr="00975F8D">
        <w:t xml:space="preserve"> and measurement indications</w:t>
      </w:r>
      <w:r w:rsidR="00B8042D">
        <w:t xml:space="preserve"> (squares)</w:t>
      </w:r>
      <w:r w:rsidR="00E8502A" w:rsidRPr="00975F8D">
        <w:t>.</w:t>
      </w:r>
      <w:r w:rsidRPr="00975F8D">
        <w:t xml:space="preserve"> </w:t>
      </w:r>
      <w:r w:rsidR="00E8502A" w:rsidRPr="00975F8D">
        <w:t xml:space="preserve">As the direction of the respective arrows imply, </w:t>
      </w:r>
      <w:r w:rsidRPr="00975F8D">
        <w:t>latent variable</w:t>
      </w:r>
      <w:r w:rsidR="00E8502A" w:rsidRPr="00975F8D">
        <w:t xml:space="preserve">s </w:t>
      </w:r>
      <m:oMath>
        <m:sSub>
          <m:sSubPr>
            <m:ctrlPr>
              <w:rPr>
                <w:rFonts w:ascii="Cambria Math" w:hAnsi="Cambria Math"/>
                <w:i/>
              </w:rPr>
            </m:ctrlPr>
          </m:sSubPr>
          <m:e>
            <m:r>
              <w:rPr>
                <w:rFonts w:ascii="Cambria Math" w:hAnsi="Cambria Math"/>
              </w:rPr>
              <m:t>η</m:t>
            </m:r>
          </m:e>
          <m:sub>
            <m:r>
              <w:rPr>
                <w:rFonts w:ascii="Cambria Math" w:hAnsi="Cambria Math"/>
              </w:rPr>
              <m:t>2</m:t>
            </m:r>
          </m:sub>
        </m:sSub>
      </m:oMath>
      <w:r w:rsidR="00E8502A" w:rsidRPr="00975F8D">
        <w:t xml:space="preserve"> and </w:t>
      </w:r>
      <m:oMath>
        <m:sSub>
          <m:sSubPr>
            <m:ctrlPr>
              <w:rPr>
                <w:rFonts w:ascii="Cambria Math" w:hAnsi="Cambria Math"/>
                <w:i/>
              </w:rPr>
            </m:ctrlPr>
          </m:sSubPr>
          <m:e>
            <m:r>
              <w:rPr>
                <w:rFonts w:ascii="Cambria Math" w:hAnsi="Cambria Math"/>
              </w:rPr>
              <m:t>η</m:t>
            </m:r>
          </m:e>
          <m:sub>
            <m:r>
              <w:rPr>
                <w:rFonts w:ascii="Cambria Math" w:hAnsi="Cambria Math"/>
              </w:rPr>
              <m:t>3</m:t>
            </m:r>
          </m:sub>
        </m:sSub>
      </m:oMath>
      <w:r w:rsidR="00E8502A" w:rsidRPr="00975F8D">
        <w:t xml:space="preserve"> are reflectively measured,</w:t>
      </w:r>
      <w:r w:rsidR="006D7E0F">
        <w:t xml:space="preserve"> while</w:t>
      </w:r>
      <w:r w:rsidR="00E8502A" w:rsidRPr="00975F8D">
        <w:t xml:space="preserve">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Pr="00975F8D">
        <w:t xml:space="preserve"> is formatively measured</w:t>
      </w:r>
      <w:r w:rsidR="00E8502A" w:rsidRPr="00975F8D">
        <w:t xml:space="preserve">: the </w:t>
      </w:r>
      <w:r w:rsidR="00E8502A" w:rsidRPr="00975F8D">
        <w:rPr>
          <w:rFonts w:eastAsiaTheme="minorEastAsia"/>
          <w:i/>
          <w:iCs/>
        </w:rPr>
        <w:t>x</w:t>
      </w:r>
      <w:r w:rsidR="00E8502A" w:rsidRPr="00975F8D">
        <w:rPr>
          <w:rFonts w:eastAsiaTheme="minorEastAsia"/>
        </w:rPr>
        <w:t xml:space="preserve">’s determine </w:t>
      </w:r>
      <w:r w:rsidR="001653E9" w:rsidRPr="00975F8D">
        <w:rPr>
          <w:rFonts w:eastAsiaTheme="minorEastAsia"/>
        </w:rPr>
        <w:t xml:space="preserve">(constitutively or causally)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31678E" w:rsidRPr="00975F8D">
        <w:rPr>
          <w:rFonts w:eastAsiaTheme="minorEastAsia"/>
        </w:rPr>
        <w:t>.</w:t>
      </w:r>
      <w:r w:rsidR="000A3A8C" w:rsidRPr="00975F8D">
        <w:rPr>
          <w:rStyle w:val="FootnoteReference"/>
          <w:rFonts w:eastAsiaTheme="minorEastAsia"/>
        </w:rPr>
        <w:footnoteReference w:id="4"/>
      </w:r>
      <w:r w:rsidRPr="00975F8D">
        <w:t xml:space="preserve"> </w:t>
      </w:r>
      <w:r w:rsidR="00E8502A" w:rsidRPr="00975F8D">
        <w:t>The basic</w:t>
      </w:r>
      <w:r w:rsidR="0031678E" w:rsidRPr="00975F8D">
        <w:t>,</w:t>
      </w:r>
      <w:r w:rsidR="00E8502A" w:rsidRPr="00975F8D">
        <w:t xml:space="preserve"> technical </w:t>
      </w:r>
      <w:r w:rsidR="0031678E" w:rsidRPr="00975F8D">
        <w:t>worry</w:t>
      </w:r>
      <w:r w:rsidR="00E8502A" w:rsidRPr="00975F8D">
        <w:t xml:space="preserve"> is</w:t>
      </w:r>
      <w:r w:rsidR="006D7E0F">
        <w:t xml:space="preserve"> this: </w:t>
      </w:r>
      <w:r w:rsidR="00E8502A" w:rsidRPr="00975F8D">
        <w:t>i</w:t>
      </w:r>
      <w:r w:rsidRPr="00975F8D">
        <w:t xml:space="preserve">f </w:t>
      </w:r>
      <w:r w:rsidR="00E8502A" w:rsidRPr="00975F8D">
        <w:t xml:space="preserve">our </w:t>
      </w:r>
      <w:r w:rsidR="00C5294E" w:rsidRPr="00975F8D">
        <w:t xml:space="preserve">model and </w:t>
      </w:r>
      <w:r w:rsidR="00E8502A" w:rsidRPr="00975F8D">
        <w:t xml:space="preserve">data </w:t>
      </w:r>
      <w:r w:rsidR="007017C9" w:rsidRPr="00975F8D">
        <w:t xml:space="preserve">were </w:t>
      </w:r>
      <w:r w:rsidR="00E8502A" w:rsidRPr="00975F8D">
        <w:t xml:space="preserve">just that of </w:t>
      </w:r>
      <w:r w:rsidRPr="00975F8D">
        <w:t xml:space="preserve">the </w:t>
      </w:r>
      <w:r w:rsidR="0031678E" w:rsidRPr="00975F8D">
        <w:t xml:space="preserve">figure’s </w:t>
      </w:r>
      <w:r w:rsidRPr="00975F8D">
        <w:t xml:space="preserve">left-hand side </w:t>
      </w:r>
      <w:r w:rsidR="00E8502A" w:rsidRPr="00975F8D">
        <w:t xml:space="preserve">(i.e., the </w:t>
      </w:r>
      <w:r w:rsidR="00E8502A" w:rsidRPr="00975F8D">
        <w:rPr>
          <w:rFonts w:eastAsiaTheme="minorEastAsia"/>
          <w:i/>
          <w:iCs/>
        </w:rPr>
        <w:t>x</w:t>
      </w:r>
      <w:r w:rsidR="00E8502A" w:rsidRPr="00975F8D">
        <w:rPr>
          <w:rFonts w:eastAsiaTheme="minorEastAsia"/>
        </w:rPr>
        <w:t>’s</w:t>
      </w:r>
      <w:r w:rsidR="00C5294E" w:rsidRPr="00975F8D">
        <w:rPr>
          <w:rFonts w:eastAsiaTheme="minorEastAsia"/>
        </w:rPr>
        <w:t xml:space="preserve"> determining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E8502A" w:rsidRPr="00975F8D">
        <w:rPr>
          <w:rFonts w:eastAsiaTheme="minorEastAsia"/>
        </w:rPr>
        <w:t>)</w:t>
      </w:r>
      <w:r w:rsidR="007017C9" w:rsidRPr="00975F8D">
        <w:rPr>
          <w:rFonts w:eastAsiaTheme="minorEastAsia"/>
        </w:rPr>
        <w:t>,</w:t>
      </w:r>
      <w:r w:rsidRPr="00975F8D">
        <w:t xml:space="preserve"> </w:t>
      </w:r>
      <w:r w:rsidR="00C5294E" w:rsidRPr="00975F8D">
        <w:t>the model would not be</w:t>
      </w:r>
      <w:r w:rsidR="00FD6CD9">
        <w:t xml:space="preserve"> (in statistical jargon)</w:t>
      </w:r>
      <w:r w:rsidR="00C5294E" w:rsidRPr="00975F8D">
        <w:t xml:space="preserve"> </w:t>
      </w:r>
      <w:r w:rsidR="00FA0223" w:rsidRPr="00975F8D">
        <w:t>“</w:t>
      </w:r>
      <w:r w:rsidR="00C5294E" w:rsidRPr="00975F8D">
        <w:t>identified</w:t>
      </w:r>
      <w:r w:rsidR="00FA0223" w:rsidRPr="00975F8D">
        <w:t>”</w:t>
      </w:r>
      <w:r w:rsidR="00C5294E" w:rsidRPr="00975F8D">
        <w:t xml:space="preserve">, i.e., </w:t>
      </w:r>
      <w:r w:rsidRPr="00975F8D">
        <w:t xml:space="preserve">we could </w:t>
      </w:r>
      <w:r w:rsidRPr="00975F8D">
        <w:rPr>
          <w:i/>
          <w:iCs/>
        </w:rPr>
        <w:t>not</w:t>
      </w:r>
      <w:r w:rsidRPr="00975F8D">
        <w:t xml:space="preserve"> </w:t>
      </w:r>
      <w:r w:rsidR="00C5294E" w:rsidRPr="00975F8D">
        <w:t xml:space="preserve">practically </w:t>
      </w:r>
      <w:r w:rsidRPr="00975F8D">
        <w:t xml:space="preserve">estimate the value of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7017C9" w:rsidRPr="00975F8D">
        <w:rPr>
          <w:rFonts w:eastAsiaTheme="minorEastAsia"/>
        </w:rPr>
        <w:t xml:space="preserve">. </w:t>
      </w:r>
    </w:p>
    <w:p w14:paraId="1ABC71D5" w14:textId="75C22293" w:rsidR="002A14D5" w:rsidRPr="00975F8D" w:rsidRDefault="002A14D5" w:rsidP="0070062E">
      <w:pPr>
        <w:spacing w:after="0"/>
        <w:ind w:firstLine="0"/>
        <w:jc w:val="center"/>
      </w:pPr>
      <w:r w:rsidRPr="00975F8D">
        <w:rPr>
          <w:noProof/>
        </w:rPr>
        <w:lastRenderedPageBreak/>
        <w:drawing>
          <wp:inline distT="0" distB="0" distL="0" distR="0" wp14:anchorId="33B54AD4" wp14:editId="0BF94EBA">
            <wp:extent cx="4220845" cy="2861117"/>
            <wp:effectExtent l="0" t="0" r="0" b="0"/>
            <wp:docPr id="3" name="Picture 2" descr="A diagram of a flowchart&#10;&#10;AI-generated content may be incorrect.">
              <a:extLst xmlns:a="http://schemas.openxmlformats.org/drawingml/2006/main">
                <a:ext uri="{FF2B5EF4-FFF2-40B4-BE49-F238E27FC236}">
                  <a16:creationId xmlns:a16="http://schemas.microsoft.com/office/drawing/2014/main" id="{5B0D480D-478C-0742-AB0F-30ACA82E2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flowchart&#10;&#10;AI-generated content may be incorrect.">
                      <a:extLst>
                        <a:ext uri="{FF2B5EF4-FFF2-40B4-BE49-F238E27FC236}">
                          <a16:creationId xmlns:a16="http://schemas.microsoft.com/office/drawing/2014/main" id="{5B0D480D-478C-0742-AB0F-30ACA82E226A}"/>
                        </a:ext>
                      </a:extLst>
                    </pic:cNvPr>
                    <pic:cNvPicPr>
                      <a:picLocks noChangeAspect="1"/>
                    </pic:cNvPicPr>
                  </pic:nvPicPr>
                  <pic:blipFill>
                    <a:blip r:embed="rId8"/>
                    <a:stretch>
                      <a:fillRect/>
                    </a:stretch>
                  </pic:blipFill>
                  <pic:spPr>
                    <a:xfrm>
                      <a:off x="0" y="0"/>
                      <a:ext cx="4752272" cy="3221347"/>
                    </a:xfrm>
                    <a:prstGeom prst="rect">
                      <a:avLst/>
                    </a:prstGeom>
                  </pic:spPr>
                </pic:pic>
              </a:graphicData>
            </a:graphic>
          </wp:inline>
        </w:drawing>
      </w:r>
    </w:p>
    <w:p w14:paraId="2BF3FEE4" w14:textId="7E0BABBF" w:rsidR="002A14D5" w:rsidRPr="00975F8D" w:rsidRDefault="002A14D5" w:rsidP="00E66886">
      <w:pPr>
        <w:spacing w:before="0"/>
        <w:ind w:firstLine="0"/>
        <w:jc w:val="center"/>
      </w:pPr>
      <w:r w:rsidRPr="00975F8D">
        <w:t>Figure 1</w:t>
      </w:r>
      <w:r w:rsidR="0070062E" w:rsidRPr="00975F8D">
        <w:t xml:space="preserve">. </w:t>
      </w:r>
      <w:r w:rsidR="00FD6CD9">
        <w:t>A causal model with a formative construct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FD6CD9">
        <w:t>)</w:t>
      </w:r>
      <w:r w:rsidR="0070062E" w:rsidRPr="00975F8D">
        <w:t xml:space="preserve">. </w:t>
      </w:r>
      <w:r w:rsidR="00E66886" w:rsidRPr="00975F8D">
        <w:t xml:space="preserve">From </w:t>
      </w:r>
      <w:r w:rsidRPr="00975F8D">
        <w:t xml:space="preserve">Howell </w:t>
      </w:r>
      <w:r w:rsidR="00E66886" w:rsidRPr="00975F8D">
        <w:t>et al 2007, Figure 1</w:t>
      </w:r>
      <w:r w:rsidR="0070062E" w:rsidRPr="00975F8D">
        <w:t>.</w:t>
      </w:r>
    </w:p>
    <w:p w14:paraId="397DA350" w14:textId="510A268A" w:rsidR="00F62162" w:rsidRPr="00975F8D" w:rsidRDefault="006D7E0F" w:rsidP="00F462C4">
      <w:pPr>
        <w:ind w:firstLine="0"/>
        <w:rPr>
          <w:rFonts w:eastAsiaTheme="minorEastAsia"/>
        </w:rPr>
      </w:pPr>
      <w:r>
        <w:rPr>
          <w:rFonts w:eastAsiaTheme="minorEastAsia"/>
        </w:rPr>
        <w:t>H</w:t>
      </w:r>
      <w:r w:rsidR="0031678E" w:rsidRPr="00975F8D">
        <w:rPr>
          <w:rFonts w:eastAsiaTheme="minorEastAsia"/>
        </w:rPr>
        <w:t xml:space="preserve">ence, </w:t>
      </w:r>
      <w:r>
        <w:rPr>
          <w:rFonts w:eastAsiaTheme="minorEastAsia"/>
        </w:rPr>
        <w:t>t</w:t>
      </w:r>
      <w:r w:rsidRPr="00975F8D">
        <w:rPr>
          <w:rFonts w:eastAsiaTheme="minorEastAsia"/>
        </w:rPr>
        <w:t xml:space="preserve">o arrive at a value for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Pr="00975F8D">
        <w:rPr>
          <w:rFonts w:eastAsiaTheme="minorEastAsia"/>
        </w:rPr>
        <w:t xml:space="preserve">, </w:t>
      </w:r>
      <w:r w:rsidR="00F462C4" w:rsidRPr="00975F8D">
        <w:rPr>
          <w:rFonts w:eastAsiaTheme="minorEastAsia"/>
        </w:rPr>
        <w:t xml:space="preserve">researchers must either assign arbitrary weights to each </w:t>
      </w:r>
      <w:r w:rsidR="00F462C4" w:rsidRPr="00975F8D">
        <w:rPr>
          <w:rFonts w:eastAsiaTheme="minorEastAsia"/>
          <w:i/>
          <w:iCs/>
        </w:rPr>
        <w:t xml:space="preserve">x </w:t>
      </w:r>
      <w:r w:rsidR="00F462C4" w:rsidRPr="00975F8D">
        <w:rPr>
          <w:rFonts w:eastAsiaTheme="minorEastAsia"/>
        </w:rPr>
        <w:t>(</w:t>
      </w:r>
      <w:r w:rsidR="00C5294E" w:rsidRPr="00975F8D">
        <w:rPr>
          <w:rFonts w:eastAsiaTheme="minorEastAsia"/>
        </w:rPr>
        <w:t xml:space="preserve">recall, </w:t>
      </w:r>
      <w:r w:rsidR="00F462C4" w:rsidRPr="00975F8D">
        <w:rPr>
          <w:rFonts w:eastAsiaTheme="minorEastAsia"/>
        </w:rPr>
        <w:t xml:space="preserve">to no one’s satisfaction) or expand the model to include some effect(s) of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F8422E" w:rsidRPr="00975F8D">
        <w:rPr>
          <w:rFonts w:eastAsiaTheme="minorEastAsia"/>
        </w:rPr>
        <w:t xml:space="preserve"> </w:t>
      </w:r>
      <w:r w:rsidR="00F462C4" w:rsidRPr="00975F8D">
        <w:rPr>
          <w:rFonts w:eastAsiaTheme="minorEastAsia"/>
        </w:rPr>
        <w:t>(as in Figure 1</w:t>
      </w:r>
      <w:r w:rsidR="00FA0223" w:rsidRPr="00975F8D">
        <w:rPr>
          <w:rFonts w:eastAsiaTheme="minorEastAsia"/>
        </w:rPr>
        <w:t>, which contains</w:t>
      </w:r>
      <w:r w:rsidR="00B8042D">
        <w:rPr>
          <w:rFonts w:eastAsiaTheme="minorEastAsia"/>
        </w:rPr>
        <w:t xml:space="preserve"> effects</w:t>
      </w:r>
      <w:r w:rsidR="00FA0223" w:rsidRPr="00975F8D">
        <w:rPr>
          <w:rFonts w:eastAsiaTheme="minorEastAsia"/>
        </w:rPr>
        <w:t xml:space="preserve"> </w:t>
      </w:r>
      <m:oMath>
        <m:sSub>
          <m:sSubPr>
            <m:ctrlPr>
              <w:rPr>
                <w:rFonts w:ascii="Cambria Math" w:hAnsi="Cambria Math"/>
                <w:i/>
              </w:rPr>
            </m:ctrlPr>
          </m:sSubPr>
          <m:e>
            <m:r>
              <w:rPr>
                <w:rFonts w:ascii="Cambria Math" w:hAnsi="Cambria Math"/>
              </w:rPr>
              <m:t>η</m:t>
            </m:r>
          </m:e>
          <m:sub>
            <m:r>
              <w:rPr>
                <w:rFonts w:ascii="Cambria Math" w:hAnsi="Cambria Math"/>
              </w:rPr>
              <m:t>2</m:t>
            </m:r>
          </m:sub>
        </m:sSub>
      </m:oMath>
      <w:r w:rsidR="00FA0223" w:rsidRPr="00975F8D">
        <w:t xml:space="preserve"> and </w:t>
      </w:r>
      <m:oMath>
        <m:sSub>
          <m:sSubPr>
            <m:ctrlPr>
              <w:rPr>
                <w:rFonts w:ascii="Cambria Math" w:hAnsi="Cambria Math"/>
                <w:i/>
              </w:rPr>
            </m:ctrlPr>
          </m:sSubPr>
          <m:e>
            <m:r>
              <w:rPr>
                <w:rFonts w:ascii="Cambria Math" w:hAnsi="Cambria Math"/>
              </w:rPr>
              <m:t>η</m:t>
            </m:r>
          </m:e>
          <m:sub>
            <m:r>
              <w:rPr>
                <w:rFonts w:ascii="Cambria Math" w:hAnsi="Cambria Math"/>
              </w:rPr>
              <m:t>3</m:t>
            </m:r>
          </m:sub>
        </m:sSub>
      </m:oMath>
      <w:r w:rsidR="00F462C4" w:rsidRPr="00975F8D">
        <w:rPr>
          <w:rFonts w:eastAsiaTheme="minorEastAsia"/>
        </w:rPr>
        <w:t xml:space="preserve">). When doing the latter, the resulting measure of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F462C4" w:rsidRPr="00975F8D">
        <w:rPr>
          <w:rFonts w:eastAsiaTheme="minorEastAsia"/>
        </w:rPr>
        <w:t xml:space="preserve"> is the composite of the </w:t>
      </w:r>
      <w:r w:rsidR="00F462C4" w:rsidRPr="00975F8D">
        <w:rPr>
          <w:rFonts w:eastAsiaTheme="minorEastAsia"/>
          <w:i/>
          <w:iCs/>
        </w:rPr>
        <w:t>x</w:t>
      </w:r>
      <w:r w:rsidR="00F462C4" w:rsidRPr="00975F8D">
        <w:rPr>
          <w:rFonts w:eastAsiaTheme="minorEastAsia"/>
        </w:rPr>
        <w:t>’s “that best predicts the dependent variable[s] [in the model]</w:t>
      </w:r>
      <w:r w:rsidR="00F62162" w:rsidRPr="00975F8D">
        <w:rPr>
          <w:rFonts w:eastAsiaTheme="minorEastAsia"/>
        </w:rPr>
        <w:t>”</w:t>
      </w:r>
      <w:r w:rsidR="00762F83" w:rsidRPr="00975F8D">
        <w:rPr>
          <w:rFonts w:eastAsiaTheme="minorEastAsia"/>
        </w:rPr>
        <w:t>, which</w:t>
      </w:r>
      <w:r w:rsidR="0031678E" w:rsidRPr="00975F8D">
        <w:rPr>
          <w:rFonts w:eastAsiaTheme="minorEastAsia"/>
        </w:rPr>
        <w:t xml:space="preserve"> </w:t>
      </w:r>
      <w:r w:rsidR="00762F83" w:rsidRPr="00975F8D">
        <w:rPr>
          <w:rFonts w:eastAsiaTheme="minorEastAsia"/>
        </w:rPr>
        <w:t xml:space="preserve">suggests </w:t>
      </w:r>
      <w:r w:rsidR="00F62162" w:rsidRPr="00975F8D">
        <w:rPr>
          <w:rFonts w:eastAsiaTheme="minorEastAsia"/>
        </w:rPr>
        <w:t xml:space="preserve">that </w:t>
      </w:r>
      <w:r w:rsidR="00F462C4" w:rsidRPr="00975F8D">
        <w:rPr>
          <w:rFonts w:eastAsiaTheme="minorEastAsia"/>
        </w:rPr>
        <w:t xml:space="preserve">the </w:t>
      </w:r>
      <w:r w:rsidR="0031678E" w:rsidRPr="00975F8D">
        <w:rPr>
          <w:rFonts w:eastAsiaTheme="minorEastAsia"/>
        </w:rPr>
        <w:t xml:space="preserve">empirical </w:t>
      </w:r>
      <w:r w:rsidR="00F462C4" w:rsidRPr="00975F8D">
        <w:rPr>
          <w:rFonts w:eastAsiaTheme="minorEastAsia"/>
        </w:rPr>
        <w:t>meaning of the formatively measured</w:t>
      </w:r>
      <w:r w:rsidR="0031678E" w:rsidRPr="00975F8D">
        <w:rPr>
          <w:rFonts w:eastAsiaTheme="minorEastAsia"/>
        </w:rPr>
        <w:t xml:space="preserve"> </w:t>
      </w:r>
      <w:r w:rsidR="00F462C4" w:rsidRPr="00975F8D">
        <w:rPr>
          <w:rFonts w:eastAsiaTheme="minorEastAsia"/>
        </w:rPr>
        <w:t xml:space="preserve">construct </w:t>
      </w:r>
      <w:r w:rsidR="0031678E" w:rsidRPr="00975F8D">
        <w:rPr>
          <w:rFonts w:eastAsiaTheme="minorEastAsia"/>
        </w:rPr>
        <w:t>“</w:t>
      </w:r>
      <w:r w:rsidR="00F462C4" w:rsidRPr="00975F8D">
        <w:rPr>
          <w:rFonts w:eastAsiaTheme="minorEastAsia"/>
        </w:rPr>
        <w:t>is as much a function of the dependent variable[s] as it is a function of its indicators”</w:t>
      </w:r>
      <w:r w:rsidR="00F62162" w:rsidRPr="00975F8D">
        <w:rPr>
          <w:rFonts w:eastAsiaTheme="minorEastAsia"/>
        </w:rPr>
        <w:t xml:space="preserve"> (Heise 1972, 160)</w:t>
      </w:r>
      <w:r w:rsidR="00F462C4" w:rsidRPr="00975F8D">
        <w:rPr>
          <w:rFonts w:eastAsiaTheme="minorEastAsia"/>
        </w:rPr>
        <w:t xml:space="preserve">. </w:t>
      </w:r>
    </w:p>
    <w:p w14:paraId="1E788F10" w14:textId="0A8B28AB" w:rsidR="00D06899" w:rsidRPr="00975F8D" w:rsidRDefault="00F8422E" w:rsidP="00D06899">
      <w:pPr>
        <w:ind w:firstLine="0"/>
        <w:rPr>
          <w:rFonts w:eastAsiaTheme="minorEastAsia"/>
        </w:rPr>
      </w:pPr>
      <w:r w:rsidRPr="00975F8D">
        <w:rPr>
          <w:rFonts w:eastAsiaTheme="minorEastAsia"/>
        </w:rPr>
        <w:t>In short</w:t>
      </w:r>
      <w:r w:rsidR="00F62162" w:rsidRPr="00975F8D">
        <w:rPr>
          <w:rFonts w:eastAsiaTheme="minorEastAsia"/>
        </w:rPr>
        <w:t xml:space="preserve">, one cannot measure a construct with formative indicators (the </w:t>
      </w:r>
      <w:r w:rsidR="00F62162" w:rsidRPr="00975F8D">
        <w:rPr>
          <w:rFonts w:eastAsiaTheme="minorEastAsia"/>
          <w:i/>
          <w:iCs/>
        </w:rPr>
        <w:t>x</w:t>
      </w:r>
      <w:r w:rsidR="00F62162" w:rsidRPr="00975F8D">
        <w:rPr>
          <w:rFonts w:eastAsiaTheme="minorEastAsia"/>
        </w:rPr>
        <w:t>’s)</w:t>
      </w:r>
      <w:r w:rsidR="00FD6CD9">
        <w:rPr>
          <w:rFonts w:eastAsiaTheme="minorEastAsia"/>
        </w:rPr>
        <w:t xml:space="preserve"> </w:t>
      </w:r>
      <w:r w:rsidR="00FD6CD9" w:rsidRPr="00975F8D">
        <w:rPr>
          <w:rFonts w:eastAsiaTheme="minorEastAsia"/>
        </w:rPr>
        <w:t>only</w:t>
      </w:r>
      <w:r w:rsidR="00F62162" w:rsidRPr="00975F8D">
        <w:rPr>
          <w:rFonts w:eastAsiaTheme="minorEastAsia"/>
        </w:rPr>
        <w:t xml:space="preserve">; one needs to include some effect of it. Accordingly, the </w:t>
      </w:r>
      <w:r w:rsidR="0031678E" w:rsidRPr="00975F8D">
        <w:rPr>
          <w:rFonts w:eastAsiaTheme="minorEastAsia"/>
        </w:rPr>
        <w:t xml:space="preserve">resulting </w:t>
      </w:r>
      <w:r w:rsidR="00F462C4" w:rsidRPr="00975F8D">
        <w:rPr>
          <w:rFonts w:eastAsiaTheme="minorEastAsia"/>
        </w:rPr>
        <w:t xml:space="preserve">weights </w:t>
      </w:r>
      <w:r w:rsidR="002C1E18" w:rsidRPr="00975F8D">
        <w:rPr>
          <w:rFonts w:eastAsiaTheme="minorEastAsia"/>
        </w:rPr>
        <w:t xml:space="preserve">(that together with </w:t>
      </w:r>
      <w:r w:rsidR="00F462C4" w:rsidRPr="00975F8D">
        <w:rPr>
          <w:rFonts w:eastAsiaTheme="minorEastAsia"/>
        </w:rPr>
        <w:t xml:space="preserve">the </w:t>
      </w:r>
      <w:r w:rsidR="00F462C4" w:rsidRPr="00975F8D">
        <w:rPr>
          <w:rFonts w:eastAsiaTheme="minorEastAsia"/>
          <w:i/>
          <w:iCs/>
        </w:rPr>
        <w:t>x</w:t>
      </w:r>
      <w:r w:rsidR="00F462C4" w:rsidRPr="00975F8D">
        <w:rPr>
          <w:rFonts w:eastAsiaTheme="minorEastAsia"/>
        </w:rPr>
        <w:t xml:space="preserve">’s </w:t>
      </w:r>
      <w:r w:rsidR="002C1E18" w:rsidRPr="00975F8D">
        <w:rPr>
          <w:rFonts w:eastAsiaTheme="minorEastAsia"/>
        </w:rPr>
        <w:t xml:space="preserve">determine the value of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2C1E18" w:rsidRPr="00975F8D">
        <w:rPr>
          <w:rFonts w:eastAsiaTheme="minorEastAsia"/>
        </w:rPr>
        <w:t xml:space="preserve">) depend </w:t>
      </w:r>
      <w:r w:rsidR="00C5294E" w:rsidRPr="00975F8D">
        <w:rPr>
          <w:rFonts w:eastAsiaTheme="minorEastAsia"/>
        </w:rPr>
        <w:t xml:space="preserve">on </w:t>
      </w:r>
      <w:r w:rsidR="0031678E" w:rsidRPr="00975F8D">
        <w:rPr>
          <w:rFonts w:eastAsiaTheme="minorEastAsia"/>
        </w:rPr>
        <w:t>which</w:t>
      </w:r>
      <w:r w:rsidR="002C1E18" w:rsidRPr="00975F8D">
        <w:rPr>
          <w:rFonts w:eastAsiaTheme="minorEastAsia"/>
        </w:rPr>
        <w:t xml:space="preserve"> </w:t>
      </w:r>
      <w:r w:rsidR="00F462C4" w:rsidRPr="00975F8D">
        <w:rPr>
          <w:rFonts w:eastAsiaTheme="minorEastAsia"/>
        </w:rPr>
        <w:t xml:space="preserve">effect of </w:t>
      </w:r>
      <w:r w:rsidR="00F62162" w:rsidRPr="00975F8D">
        <w:rPr>
          <w:rFonts w:eastAsiaTheme="minorEastAsia"/>
        </w:rPr>
        <w:t xml:space="preserve">the construct </w:t>
      </w:r>
      <w:r w:rsidR="0031678E" w:rsidRPr="00975F8D">
        <w:rPr>
          <w:rFonts w:eastAsiaTheme="minorEastAsia"/>
        </w:rPr>
        <w:t xml:space="preserve">is included in </w:t>
      </w:r>
      <w:r w:rsidR="00F462C4" w:rsidRPr="00975F8D">
        <w:rPr>
          <w:rFonts w:eastAsiaTheme="minorEastAsia"/>
        </w:rPr>
        <w:t xml:space="preserve">the </w:t>
      </w:r>
      <w:r w:rsidR="00C5294E" w:rsidRPr="00975F8D">
        <w:rPr>
          <w:rFonts w:eastAsiaTheme="minorEastAsia"/>
        </w:rPr>
        <w:t xml:space="preserve">expanded </w:t>
      </w:r>
      <w:r w:rsidR="00F462C4" w:rsidRPr="00975F8D">
        <w:rPr>
          <w:rFonts w:eastAsiaTheme="minorEastAsia"/>
        </w:rPr>
        <w:t>model.</w:t>
      </w:r>
      <w:r w:rsidR="00F62162" w:rsidRPr="00975F8D">
        <w:rPr>
          <w:rFonts w:eastAsiaTheme="minorEastAsia"/>
        </w:rPr>
        <w:t xml:space="preserve"> </w:t>
      </w:r>
      <w:r w:rsidR="002C1E18" w:rsidRPr="00975F8D">
        <w:rPr>
          <w:rFonts w:eastAsiaTheme="minorEastAsia"/>
        </w:rPr>
        <w:t>T</w:t>
      </w:r>
      <w:r w:rsidR="00D06899" w:rsidRPr="00975F8D">
        <w:rPr>
          <w:rFonts w:eastAsiaTheme="minorEastAsia"/>
        </w:rPr>
        <w:t xml:space="preserve">his </w:t>
      </w:r>
      <w:r w:rsidR="0031678E" w:rsidRPr="00975F8D">
        <w:rPr>
          <w:rFonts w:eastAsiaTheme="minorEastAsia"/>
        </w:rPr>
        <w:t xml:space="preserve">raises </w:t>
      </w:r>
      <w:r w:rsidR="00D06899" w:rsidRPr="00975F8D">
        <w:rPr>
          <w:rFonts w:eastAsiaTheme="minorEastAsia"/>
        </w:rPr>
        <w:t>a serious conceptual concern</w:t>
      </w:r>
      <w:r w:rsidR="00A409A6" w:rsidRPr="00975F8D">
        <w:rPr>
          <w:rFonts w:eastAsiaTheme="minorEastAsia"/>
        </w:rPr>
        <w:t>:</w:t>
      </w:r>
    </w:p>
    <w:p w14:paraId="14716ABC" w14:textId="5DFF146D" w:rsidR="00412474" w:rsidRPr="00975F8D" w:rsidRDefault="00412474" w:rsidP="00B60548">
      <w:pPr>
        <w:ind w:left="720" w:right="288" w:firstLine="0"/>
      </w:pPr>
      <w:r w:rsidRPr="00975F8D">
        <w:rPr>
          <w:lang w:val="en-AU"/>
        </w:rPr>
        <w:t>If the model is strengthened via the inclusion of predictive criteria, then</w:t>
      </w:r>
      <w:r w:rsidR="00D06899" w:rsidRPr="00975F8D">
        <w:rPr>
          <w:lang w:val="en-AU"/>
        </w:rPr>
        <w:t xml:space="preserve"> </w:t>
      </w:r>
      <w:r w:rsidRPr="00975F8D">
        <w:rPr>
          <w:lang w:val="en-AU"/>
        </w:rPr>
        <w:t>the weights</w:t>
      </w:r>
      <w:r w:rsidR="002C1E18" w:rsidRPr="00975F8D">
        <w:rPr>
          <w:lang w:val="en-AU"/>
        </w:rPr>
        <w:t xml:space="preserve"> … </w:t>
      </w:r>
      <w:r w:rsidRPr="00975F8D">
        <w:rPr>
          <w:lang w:val="en-AU"/>
        </w:rPr>
        <w:t>are defined with respect to these criteria, and</w:t>
      </w:r>
      <w:r w:rsidR="00D06899" w:rsidRPr="00975F8D">
        <w:rPr>
          <w:lang w:val="en-AU"/>
        </w:rPr>
        <w:t xml:space="preserve"> </w:t>
      </w:r>
      <w:r w:rsidRPr="00975F8D">
        <w:rPr>
          <w:lang w:val="en-AU"/>
        </w:rPr>
        <w:t>the composite score is as well. This is not necessarily a problem (it is how</w:t>
      </w:r>
      <w:r w:rsidR="00D06899" w:rsidRPr="00975F8D">
        <w:rPr>
          <w:lang w:val="en-AU"/>
        </w:rPr>
        <w:t xml:space="preserve"> </w:t>
      </w:r>
      <w:r w:rsidRPr="00975F8D">
        <w:rPr>
          <w:lang w:val="en-AU"/>
        </w:rPr>
        <w:t>the model is set up) but it may become one if researchers fail to consider</w:t>
      </w:r>
      <w:r w:rsidR="00D06899" w:rsidRPr="00975F8D">
        <w:rPr>
          <w:lang w:val="en-AU"/>
        </w:rPr>
        <w:t xml:space="preserve"> </w:t>
      </w:r>
      <w:r w:rsidRPr="00975F8D">
        <w:rPr>
          <w:lang w:val="en-AU"/>
        </w:rPr>
        <w:t>that the weights used are specific to a particular criterion, and thus composites</w:t>
      </w:r>
      <w:r w:rsidR="00D06899" w:rsidRPr="00975F8D">
        <w:rPr>
          <w:lang w:val="en-AU"/>
        </w:rPr>
        <w:t xml:space="preserve"> </w:t>
      </w:r>
      <w:r w:rsidRPr="00975F8D">
        <w:rPr>
          <w:lang w:val="en-AU"/>
        </w:rPr>
        <w:t>used in different studies may not be exchangeable in any way.</w:t>
      </w:r>
      <w:r w:rsidR="00D06899" w:rsidRPr="00975F8D">
        <w:rPr>
          <w:lang w:val="en-AU"/>
        </w:rPr>
        <w:t xml:space="preserve"> </w:t>
      </w:r>
      <w:r w:rsidRPr="00975F8D">
        <w:rPr>
          <w:lang w:val="en-AU"/>
        </w:rPr>
        <w:t>That is, if one researcher uses a formative approach on, say, a number</w:t>
      </w:r>
      <w:r w:rsidR="00D06899" w:rsidRPr="00975F8D">
        <w:rPr>
          <w:lang w:val="en-AU"/>
        </w:rPr>
        <w:t xml:space="preserve"> </w:t>
      </w:r>
      <w:r w:rsidRPr="00975F8D">
        <w:rPr>
          <w:lang w:val="en-AU"/>
        </w:rPr>
        <w:t>of socioeconomic status (SES) indicators (e.g., annual income, education</w:t>
      </w:r>
      <w:r w:rsidR="00D06899" w:rsidRPr="00975F8D">
        <w:rPr>
          <w:lang w:val="en-AU"/>
        </w:rPr>
        <w:t xml:space="preserve"> </w:t>
      </w:r>
      <w:r w:rsidRPr="00975F8D">
        <w:rPr>
          <w:lang w:val="en-AU"/>
        </w:rPr>
        <w:t>level, etc.) to predict life expectancies, and another researcher uses it to</w:t>
      </w:r>
      <w:r w:rsidR="00D06899" w:rsidRPr="00975F8D">
        <w:rPr>
          <w:lang w:val="en-AU"/>
        </w:rPr>
        <w:t xml:space="preserve"> </w:t>
      </w:r>
      <w:r w:rsidRPr="00975F8D">
        <w:rPr>
          <w:lang w:val="en-AU"/>
        </w:rPr>
        <w:t xml:space="preserve">predict happiness, there is no </w:t>
      </w:r>
      <w:r w:rsidRPr="00975F8D">
        <w:rPr>
          <w:i/>
          <w:iCs/>
          <w:lang w:val="en-AU"/>
        </w:rPr>
        <w:t>a priori</w:t>
      </w:r>
      <w:r w:rsidRPr="00975F8D">
        <w:rPr>
          <w:lang w:val="en-AU"/>
        </w:rPr>
        <w:t xml:space="preserve"> reason that these </w:t>
      </w:r>
      <w:r w:rsidRPr="00975F8D">
        <w:rPr>
          <w:lang w:val="en-AU"/>
        </w:rPr>
        <w:lastRenderedPageBreak/>
        <w:t>researchers’ composites</w:t>
      </w:r>
      <w:r w:rsidR="00D06899" w:rsidRPr="00975F8D">
        <w:rPr>
          <w:lang w:val="en-AU"/>
        </w:rPr>
        <w:t xml:space="preserve"> </w:t>
      </w:r>
      <w:r w:rsidRPr="00975F8D">
        <w:rPr>
          <w:lang w:val="en-AU"/>
        </w:rPr>
        <w:t>will resemble each other, even though they use the same formative</w:t>
      </w:r>
      <w:r w:rsidR="00D06899" w:rsidRPr="00975F8D">
        <w:rPr>
          <w:lang w:val="en-AU"/>
        </w:rPr>
        <w:t xml:space="preserve"> </w:t>
      </w:r>
      <w:r w:rsidRPr="00975F8D">
        <w:rPr>
          <w:lang w:val="en-AU"/>
        </w:rPr>
        <w:t>indicators. If researchers fail to realize this, then there is a risk that</w:t>
      </w:r>
      <w:r w:rsidR="00D06899" w:rsidRPr="00975F8D">
        <w:rPr>
          <w:lang w:val="en-AU"/>
        </w:rPr>
        <w:t xml:space="preserve"> </w:t>
      </w:r>
      <w:r w:rsidRPr="00975F8D">
        <w:rPr>
          <w:lang w:val="en-AU"/>
        </w:rPr>
        <w:t>they will use the same name (‘SES’) for distinct composites.</w:t>
      </w:r>
      <w:r w:rsidR="002C1E18" w:rsidRPr="00975F8D">
        <w:rPr>
          <w:lang w:val="en-AU"/>
        </w:rPr>
        <w:t xml:space="preserve"> (</w:t>
      </w:r>
      <w:r w:rsidR="002C1E18" w:rsidRPr="00975F8D">
        <w:rPr>
          <w:rFonts w:eastAsiaTheme="minorEastAsia"/>
        </w:rPr>
        <w:t xml:space="preserve">Markus and Borsboom 2013, 118; see also </w:t>
      </w:r>
      <w:r w:rsidR="002C1E18" w:rsidRPr="00975F8D">
        <w:t>Edwards and Bagozzi 2000, 158</w:t>
      </w:r>
      <w:r w:rsidR="002C1E18" w:rsidRPr="00975F8D">
        <w:rPr>
          <w:rFonts w:eastAsiaTheme="minorEastAsia"/>
        </w:rPr>
        <w:t>)</w:t>
      </w:r>
    </w:p>
    <w:p w14:paraId="25FAE276" w14:textId="40DDD7F9" w:rsidR="0049340B" w:rsidRPr="00975F8D" w:rsidRDefault="00D06899" w:rsidP="002A14D5">
      <w:pPr>
        <w:ind w:firstLine="0"/>
      </w:pPr>
      <w:r w:rsidRPr="00975F8D">
        <w:t xml:space="preserve">The </w:t>
      </w:r>
      <w:r w:rsidR="00F8422E" w:rsidRPr="00975F8D">
        <w:t xml:space="preserve">deeper </w:t>
      </w:r>
      <w:r w:rsidR="00A409A6" w:rsidRPr="00975F8D">
        <w:t>problem</w:t>
      </w:r>
      <w:r w:rsidRPr="00975F8D">
        <w:t>, then, is that the so-called “empirical meaning” of the formatively measured construct</w:t>
      </w:r>
      <w:r w:rsidR="0049340B" w:rsidRPr="00975F8D">
        <w:t>—</w:t>
      </w:r>
      <w:r w:rsidRPr="00975F8D">
        <w:t xml:space="preserve">i.e., </w:t>
      </w:r>
      <w:r w:rsidR="00F8422E" w:rsidRPr="00975F8D">
        <w:t>what value the construct takes given the indicators</w:t>
      </w:r>
      <w:r w:rsidR="0049340B" w:rsidRPr="00975F8D">
        <w:t xml:space="preserve">—is </w:t>
      </w:r>
      <w:r w:rsidR="00F8422E" w:rsidRPr="00975F8D">
        <w:t>un</w:t>
      </w:r>
      <w:r w:rsidR="0049340B" w:rsidRPr="00975F8D">
        <w:t xml:space="preserve">stable. If </w:t>
      </w:r>
      <w:r w:rsidR="002C1E18" w:rsidRPr="00975F8D">
        <w:t xml:space="preserve">I </w:t>
      </w:r>
      <w:r w:rsidR="0049340B" w:rsidRPr="00975F8D">
        <w:t>ha</w:t>
      </w:r>
      <w:r w:rsidR="002C1E18" w:rsidRPr="00975F8D">
        <w:t>ve</w:t>
      </w:r>
      <w:r w:rsidR="0049340B" w:rsidRPr="00975F8D">
        <w:t xml:space="preserve"> </w:t>
      </w:r>
      <w:r w:rsidR="0049340B" w:rsidRPr="00975F8D">
        <w:rPr>
          <w:i/>
          <w:iCs/>
        </w:rPr>
        <w:t>life expectancy</w:t>
      </w:r>
      <w:r w:rsidR="0049340B" w:rsidRPr="00975F8D">
        <w:t xml:space="preserve"> as a dependent variable of </w:t>
      </w:r>
      <w:r w:rsidR="0049340B" w:rsidRPr="00975F8D">
        <w:rPr>
          <w:i/>
          <w:iCs/>
        </w:rPr>
        <w:t xml:space="preserve">SES </w:t>
      </w:r>
      <w:r w:rsidR="0049340B" w:rsidRPr="00975F8D">
        <w:t xml:space="preserve">and </w:t>
      </w:r>
      <w:r w:rsidR="002C1E18" w:rsidRPr="00975F8D">
        <w:t xml:space="preserve">you have </w:t>
      </w:r>
      <w:r w:rsidR="0049340B" w:rsidRPr="00975F8D">
        <w:rPr>
          <w:i/>
          <w:iCs/>
        </w:rPr>
        <w:t>happiness</w:t>
      </w:r>
      <w:r w:rsidR="0049340B" w:rsidRPr="00975F8D">
        <w:t xml:space="preserve">, it may happen that </w:t>
      </w:r>
      <w:r w:rsidR="002C1E18" w:rsidRPr="00975F8D">
        <w:t xml:space="preserve">your </w:t>
      </w:r>
      <w:r w:rsidR="0049340B" w:rsidRPr="00975F8D">
        <w:t xml:space="preserve">composite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sidR="0049340B" w:rsidRPr="00975F8D">
        <w:rPr>
          <w:rFonts w:eastAsiaTheme="minorEastAsia"/>
        </w:rPr>
        <w:t xml:space="preserve"> is mostly determined by (say) education and occupational prestige (i.e., their weights are </w:t>
      </w:r>
      <w:r w:rsidR="00FD6CD9">
        <w:rPr>
          <w:rFonts w:eastAsiaTheme="minorEastAsia"/>
        </w:rPr>
        <w:t>larger</w:t>
      </w:r>
      <w:r w:rsidR="0049340B" w:rsidRPr="00975F8D">
        <w:rPr>
          <w:rFonts w:eastAsiaTheme="minorEastAsia"/>
        </w:rPr>
        <w:t xml:space="preserve">) while </w:t>
      </w:r>
      <w:r w:rsidR="002C1E18" w:rsidRPr="00975F8D">
        <w:rPr>
          <w:rFonts w:eastAsiaTheme="minorEastAsia"/>
        </w:rPr>
        <w:t xml:space="preserve">mine </w:t>
      </w:r>
      <w:r w:rsidR="0049340B" w:rsidRPr="00975F8D">
        <w:rPr>
          <w:rFonts w:eastAsiaTheme="minorEastAsia"/>
        </w:rPr>
        <w:t xml:space="preserve">is mostly determined </w:t>
      </w:r>
      <w:r w:rsidR="00F8422E" w:rsidRPr="00975F8D">
        <w:rPr>
          <w:rFonts w:eastAsiaTheme="minorEastAsia"/>
        </w:rPr>
        <w:t>b</w:t>
      </w:r>
      <w:r w:rsidR="0049340B" w:rsidRPr="00975F8D">
        <w:rPr>
          <w:rFonts w:eastAsiaTheme="minorEastAsia"/>
        </w:rPr>
        <w:t xml:space="preserve">y income and occupational prestige. If so, can we really say that there is one theoretical construct here, </w:t>
      </w:r>
      <w:r w:rsidR="0049340B" w:rsidRPr="00975F8D">
        <w:rPr>
          <w:rFonts w:eastAsiaTheme="minorEastAsia"/>
          <w:i/>
          <w:iCs/>
        </w:rPr>
        <w:t>SES</w:t>
      </w:r>
      <w:r w:rsidR="0049340B" w:rsidRPr="00975F8D">
        <w:rPr>
          <w:rFonts w:eastAsiaTheme="minorEastAsia"/>
        </w:rPr>
        <w:t xml:space="preserve">? </w:t>
      </w:r>
    </w:p>
    <w:p w14:paraId="47A4113A" w14:textId="7FDCBFB5" w:rsidR="00935F85" w:rsidRPr="00975F8D" w:rsidRDefault="00935F85" w:rsidP="00385081">
      <w:pPr>
        <w:pStyle w:val="Heading3"/>
      </w:pPr>
      <w:r w:rsidRPr="00975F8D">
        <w:t xml:space="preserve">3.2 </w:t>
      </w:r>
      <w:r w:rsidR="00720A5C" w:rsidRPr="00975F8D">
        <w:t>Internally Incoherent Constructs</w:t>
      </w:r>
    </w:p>
    <w:p w14:paraId="20E73276" w14:textId="0A34ABCA" w:rsidR="00E80D08" w:rsidRPr="00975F8D" w:rsidRDefault="00FD6CD9" w:rsidP="00E80D08">
      <w:pPr>
        <w:ind w:firstLine="0"/>
        <w:rPr>
          <w:lang w:val="en-AU"/>
        </w:rPr>
      </w:pPr>
      <w:r>
        <w:t>T</w:t>
      </w:r>
      <w:r w:rsidR="0049340B" w:rsidRPr="00975F8D">
        <w:t>he aggregate</w:t>
      </w:r>
      <w:r w:rsidR="005C51FB" w:rsidRPr="00975F8D">
        <w:t xml:space="preserve"> </w:t>
      </w:r>
      <w:r w:rsidR="00B40518" w:rsidRPr="00975F8D">
        <w:t xml:space="preserve">character </w:t>
      </w:r>
      <w:r w:rsidR="0049340B" w:rsidRPr="00975F8D">
        <w:t>of formatively measured constructs</w:t>
      </w:r>
      <w:r w:rsidR="003D1F2D">
        <w:t xml:space="preserve"> raises a distinctive worry</w:t>
      </w:r>
      <w:r w:rsidR="0049340B" w:rsidRPr="00975F8D">
        <w:t xml:space="preserve">. </w:t>
      </w:r>
      <w:r w:rsidR="00E80D08" w:rsidRPr="00975F8D">
        <w:t xml:space="preserve">Sometimes the apprehension </w:t>
      </w:r>
      <w:r w:rsidR="00B8042D">
        <w:t>takes the form of “</w:t>
      </w:r>
      <w:r w:rsidR="00E80D08" w:rsidRPr="00975F8D">
        <w:t xml:space="preserve">the construct </w:t>
      </w:r>
      <w:r w:rsidR="003D1F2D">
        <w:t xml:space="preserve">is </w:t>
      </w:r>
      <w:r w:rsidR="00E80D08" w:rsidRPr="00975F8D">
        <w:t xml:space="preserve">causally </w:t>
      </w:r>
      <w:r w:rsidR="00B8042D">
        <w:t>in</w:t>
      </w:r>
      <w:r w:rsidR="00E80D08" w:rsidRPr="00975F8D">
        <w:t>efficacious</w:t>
      </w:r>
      <w:r w:rsidR="00B8042D">
        <w:t>”</w:t>
      </w:r>
      <w:r w:rsidR="00E80D08" w:rsidRPr="00975F8D">
        <w:t xml:space="preserve">. If one thinks </w:t>
      </w:r>
      <w:r w:rsidR="00AB5E2E" w:rsidRPr="00975F8D">
        <w:t xml:space="preserve">of </w:t>
      </w:r>
      <w:r w:rsidR="00E80D08" w:rsidRPr="00975F8D">
        <w:rPr>
          <w:lang w:val="en-AU"/>
        </w:rPr>
        <w:t xml:space="preserve">the aggregate construct </w:t>
      </w:r>
      <w:r w:rsidR="00AB5E2E" w:rsidRPr="00975F8D">
        <w:rPr>
          <w:lang w:val="en-AU"/>
        </w:rPr>
        <w:t xml:space="preserve">as </w:t>
      </w:r>
      <w:r w:rsidR="00E80D08" w:rsidRPr="00975F8D">
        <w:rPr>
          <w:lang w:val="en-AU"/>
        </w:rPr>
        <w:t xml:space="preserve">“nothing more than a label for its dimensions considered collectively” (Edwards 2011, 384), </w:t>
      </w:r>
      <w:r w:rsidR="003D1F2D">
        <w:rPr>
          <w:lang w:val="en-AU"/>
        </w:rPr>
        <w:t xml:space="preserve">one </w:t>
      </w:r>
      <w:r w:rsidR="002A26ED">
        <w:rPr>
          <w:lang w:val="en-AU"/>
        </w:rPr>
        <w:t xml:space="preserve">inevitably </w:t>
      </w:r>
      <w:r w:rsidR="003D1F2D">
        <w:rPr>
          <w:lang w:val="en-AU"/>
        </w:rPr>
        <w:t>think</w:t>
      </w:r>
      <w:r w:rsidR="002A26ED">
        <w:rPr>
          <w:lang w:val="en-AU"/>
        </w:rPr>
        <w:t>s</w:t>
      </w:r>
      <w:r w:rsidR="003D1F2D">
        <w:rPr>
          <w:lang w:val="en-AU"/>
        </w:rPr>
        <w:t xml:space="preserve"> of </w:t>
      </w:r>
      <w:r w:rsidR="00E80D08" w:rsidRPr="00975F8D">
        <w:rPr>
          <w:lang w:val="en-AU"/>
        </w:rPr>
        <w:t xml:space="preserve">it </w:t>
      </w:r>
      <w:r w:rsidR="003D1F2D">
        <w:rPr>
          <w:lang w:val="en-AU"/>
        </w:rPr>
        <w:t xml:space="preserve">as </w:t>
      </w:r>
      <w:r w:rsidR="002A26ED">
        <w:rPr>
          <w:lang w:val="en-AU"/>
        </w:rPr>
        <w:t xml:space="preserve">lacking </w:t>
      </w:r>
      <w:r w:rsidR="00AB5E2E" w:rsidRPr="00975F8D">
        <w:rPr>
          <w:lang w:val="en-AU"/>
        </w:rPr>
        <w:t>“</w:t>
      </w:r>
      <w:r w:rsidR="00AB5E2E" w:rsidRPr="00975F8D">
        <w:t>causal potency” (381)</w:t>
      </w:r>
      <w:r w:rsidR="003D1F2D">
        <w:t xml:space="preserve">. The components are </w:t>
      </w:r>
      <w:r w:rsidR="00E80D08" w:rsidRPr="00975F8D">
        <w:rPr>
          <w:lang w:val="en-AU"/>
        </w:rPr>
        <w:t>doing the causal work</w:t>
      </w:r>
      <w:r w:rsidR="003D1F2D">
        <w:rPr>
          <w:lang w:val="en-AU"/>
        </w:rPr>
        <w:t>, not the aggregate</w:t>
      </w:r>
      <w:r w:rsidR="00E80D08" w:rsidRPr="00975F8D">
        <w:rPr>
          <w:lang w:val="en-AU"/>
        </w:rPr>
        <w:t>.</w:t>
      </w:r>
    </w:p>
    <w:p w14:paraId="1D2030E3" w14:textId="18EC7D41" w:rsidR="00B60548" w:rsidRPr="00975F8D" w:rsidRDefault="001D1022" w:rsidP="0060763A">
      <w:pPr>
        <w:ind w:firstLine="0"/>
      </w:pPr>
      <w:r w:rsidRPr="00975F8D">
        <w:t>T</w:t>
      </w:r>
      <w:r w:rsidR="00A532EF" w:rsidRPr="00975F8D">
        <w:t>h</w:t>
      </w:r>
      <w:r w:rsidRPr="00975F8D">
        <w:t>is</w:t>
      </w:r>
      <w:r w:rsidR="00A532EF" w:rsidRPr="00975F8D">
        <w:t xml:space="preserve"> </w:t>
      </w:r>
      <w:r w:rsidR="003D1F2D">
        <w:t>(</w:t>
      </w:r>
      <w:r w:rsidR="00A532EF" w:rsidRPr="00975F8D">
        <w:t>causal</w:t>
      </w:r>
      <w:r w:rsidR="003D1F2D">
        <w:t>)</w:t>
      </w:r>
      <w:r w:rsidR="00A532EF" w:rsidRPr="00975F8D">
        <w:t xml:space="preserve"> apprehension</w:t>
      </w:r>
      <w:r w:rsidR="003D1F2D">
        <w:t>, however,</w:t>
      </w:r>
      <w:r w:rsidR="00A532EF" w:rsidRPr="00975F8D">
        <w:t xml:space="preserve"> </w:t>
      </w:r>
      <w:r w:rsidRPr="00975F8D">
        <w:t xml:space="preserve">can be thought of as </w:t>
      </w:r>
      <w:r w:rsidR="00A532EF" w:rsidRPr="00975F8D">
        <w:t xml:space="preserve">part of a more general worry: </w:t>
      </w:r>
      <w:r w:rsidR="00B40518" w:rsidRPr="00975F8D">
        <w:t>a</w:t>
      </w:r>
      <w:r w:rsidR="006E7A97" w:rsidRPr="00975F8D">
        <w:t xml:space="preserve">ggregate </w:t>
      </w:r>
      <w:r w:rsidR="00720A5C" w:rsidRPr="00975F8D">
        <w:t>constructs</w:t>
      </w:r>
      <w:r w:rsidR="005E5ADD" w:rsidRPr="00975F8D">
        <w:t xml:space="preserve"> </w:t>
      </w:r>
      <w:r w:rsidR="003D1F2D">
        <w:t xml:space="preserve">(“conglomerate measures” in </w:t>
      </w:r>
      <w:r w:rsidR="003D1F2D" w:rsidRPr="00975F8D">
        <w:t>Nunnally and Bernstein 1994</w:t>
      </w:r>
      <w:r w:rsidR="003D1F2D">
        <w:t xml:space="preserve">) </w:t>
      </w:r>
      <w:r w:rsidR="005E5ADD" w:rsidRPr="00975F8D">
        <w:t xml:space="preserve">raise suspicions about their </w:t>
      </w:r>
      <w:r w:rsidR="00935F85" w:rsidRPr="00975F8D">
        <w:t>internal coheren</w:t>
      </w:r>
      <w:r w:rsidR="005E5ADD" w:rsidRPr="00975F8D">
        <w:t>ce</w:t>
      </w:r>
      <w:r w:rsidR="00A532EF" w:rsidRPr="00975F8D">
        <w:t xml:space="preserve">, i.e., about their cogency as </w:t>
      </w:r>
      <w:r w:rsidR="005C51FB" w:rsidRPr="00975F8D">
        <w:t xml:space="preserve">distinct </w:t>
      </w:r>
      <w:r w:rsidR="00A532EF" w:rsidRPr="00975F8D">
        <w:t>scientific constructs</w:t>
      </w:r>
      <w:r w:rsidR="00030146" w:rsidRPr="00975F8D">
        <w:t>, in large part because they appear heterogeneous</w:t>
      </w:r>
      <w:r w:rsidR="00935F85" w:rsidRPr="00975F8D">
        <w:t>.</w:t>
      </w:r>
      <w:r w:rsidR="00A532EF" w:rsidRPr="00975F8D">
        <w:t xml:space="preserve"> Isn’t, for instance, </w:t>
      </w:r>
      <w:r w:rsidR="00F22944" w:rsidRPr="00F22944">
        <w:rPr>
          <w:i/>
          <w:iCs/>
        </w:rPr>
        <w:t>overall cognitive-personality functioning</w:t>
      </w:r>
      <w:r w:rsidR="00F22944" w:rsidRPr="00F22944">
        <w:t>,</w:t>
      </w:r>
      <w:r w:rsidR="00F22944">
        <w:t xml:space="preserve"> </w:t>
      </w:r>
      <w:r w:rsidR="00A532EF" w:rsidRPr="00975F8D">
        <w:t xml:space="preserve">merely the lumping of plainly disparate </w:t>
      </w:r>
      <w:r w:rsidR="005C51FB" w:rsidRPr="00975F8D">
        <w:t>things</w:t>
      </w:r>
      <w:r w:rsidR="00A532EF" w:rsidRPr="00975F8D">
        <w:t xml:space="preserve">: </w:t>
      </w:r>
      <w:r w:rsidR="00F22944">
        <w:t>cognitive skills and personality traits</w:t>
      </w:r>
      <w:r w:rsidR="00A532EF" w:rsidRPr="00975F8D">
        <w:t xml:space="preserve">? Edwards </w:t>
      </w:r>
      <w:r w:rsidR="00A532EF" w:rsidRPr="00975F8D">
        <w:rPr>
          <w:lang w:val="en-AU"/>
        </w:rPr>
        <w:t xml:space="preserve">(2011, 373-4) </w:t>
      </w:r>
      <w:r w:rsidR="00A532EF" w:rsidRPr="00975F8D">
        <w:t xml:space="preserve">makes the </w:t>
      </w:r>
      <w:r w:rsidR="005C51FB" w:rsidRPr="00975F8D">
        <w:t xml:space="preserve">heterogeneity </w:t>
      </w:r>
      <w:r w:rsidR="00A532EF" w:rsidRPr="00975F8D">
        <w:t>worry vivid</w:t>
      </w:r>
      <w:r w:rsidR="00C86396" w:rsidRPr="00975F8D">
        <w:t xml:space="preserve"> with an analogy</w:t>
      </w:r>
      <w:r w:rsidR="00A532EF" w:rsidRPr="00975F8D">
        <w:rPr>
          <w:lang w:val="en-AU"/>
        </w:rPr>
        <w:t>:</w:t>
      </w:r>
    </w:p>
    <w:p w14:paraId="53FA0550" w14:textId="47945263" w:rsidR="006C65A9" w:rsidRPr="00975F8D" w:rsidRDefault="006C65A9" w:rsidP="00B60548">
      <w:pPr>
        <w:ind w:left="720" w:right="288" w:firstLine="0"/>
        <w:rPr>
          <w:lang w:val="en-AU"/>
        </w:rPr>
      </w:pPr>
      <w:r w:rsidRPr="00975F8D">
        <w:rPr>
          <w:lang w:val="en-AU"/>
        </w:rPr>
        <w:t xml:space="preserve">When conceptually distinct measures are </w:t>
      </w:r>
      <w:proofErr w:type="spellStart"/>
      <w:r w:rsidRPr="00975F8D">
        <w:rPr>
          <w:lang w:val="en-AU"/>
        </w:rPr>
        <w:t>channeled</w:t>
      </w:r>
      <w:proofErr w:type="spellEnd"/>
      <w:r w:rsidRPr="00975F8D">
        <w:rPr>
          <w:lang w:val="en-AU"/>
        </w:rPr>
        <w:t xml:space="preserve"> into a single construct, the resulting construct is conceptually ambiguous. This ambiguity is analogous to that created by </w:t>
      </w:r>
      <w:proofErr w:type="spellStart"/>
      <w:r w:rsidRPr="00975F8D">
        <w:rPr>
          <w:lang w:val="en-AU"/>
        </w:rPr>
        <w:t>multibarreled</w:t>
      </w:r>
      <w:proofErr w:type="spellEnd"/>
      <w:r w:rsidRPr="00975F8D">
        <w:rPr>
          <w:lang w:val="en-AU"/>
        </w:rPr>
        <w:t xml:space="preserve"> items, which ask respondents to assign one score to a question that describes more than one idea</w:t>
      </w:r>
      <w:r w:rsidR="005E5ADD" w:rsidRPr="00975F8D">
        <w:rPr>
          <w:lang w:val="en-AU"/>
        </w:rPr>
        <w:t>.</w:t>
      </w:r>
    </w:p>
    <w:p w14:paraId="4B2A79F3" w14:textId="266C59BB" w:rsidR="00074289" w:rsidRPr="00975F8D" w:rsidRDefault="00855ABE" w:rsidP="00935F85">
      <w:pPr>
        <w:ind w:firstLine="0"/>
      </w:pPr>
      <w:r w:rsidRPr="00975F8D">
        <w:lastRenderedPageBreak/>
        <w:t>J</w:t>
      </w:r>
      <w:r w:rsidR="00B31A9E" w:rsidRPr="00975F8D">
        <w:t xml:space="preserve">ust as </w:t>
      </w:r>
      <w:r w:rsidR="00C86396" w:rsidRPr="00975F8D">
        <w:t xml:space="preserve">(say) </w:t>
      </w:r>
      <w:r w:rsidR="00B31A9E" w:rsidRPr="00975F8D">
        <w:t>a single rating of multiple aspects of a product conflates the evaluator’s judgments of those aspects</w:t>
      </w:r>
      <w:r w:rsidR="00B60548" w:rsidRPr="00975F8D">
        <w:t xml:space="preserve">, </w:t>
      </w:r>
      <w:r w:rsidRPr="00975F8D">
        <w:t xml:space="preserve">Edwards </w:t>
      </w:r>
      <w:r w:rsidR="00B40518" w:rsidRPr="00975F8D">
        <w:t>complains</w:t>
      </w:r>
      <w:r w:rsidRPr="00975F8D">
        <w:t xml:space="preserve">, </w:t>
      </w:r>
      <w:r w:rsidR="00B60548" w:rsidRPr="00975F8D">
        <w:t xml:space="preserve">a construct measured by combining different concepts </w:t>
      </w:r>
      <w:r w:rsidR="00B31A9E" w:rsidRPr="00975F8D">
        <w:t xml:space="preserve">is not a single coherent </w:t>
      </w:r>
      <w:r w:rsidR="00680F7B" w:rsidRPr="00975F8D">
        <w:t>concept</w:t>
      </w:r>
      <w:r w:rsidR="00B31A9E" w:rsidRPr="00975F8D">
        <w:t xml:space="preserve"> but a </w:t>
      </w:r>
      <w:r w:rsidR="00B60548" w:rsidRPr="00975F8D">
        <w:t>conflat</w:t>
      </w:r>
      <w:r w:rsidR="00B31A9E" w:rsidRPr="00975F8D">
        <w:t>ion</w:t>
      </w:r>
      <w:r w:rsidR="00B60548" w:rsidRPr="00975F8D">
        <w:t xml:space="preserve"> </w:t>
      </w:r>
      <w:r w:rsidR="00B31A9E" w:rsidRPr="00975F8D">
        <w:t>of th</w:t>
      </w:r>
      <w:r w:rsidR="005C51FB" w:rsidRPr="00975F8D">
        <w:t>em</w:t>
      </w:r>
      <w:r w:rsidR="00B31A9E" w:rsidRPr="00975F8D">
        <w:t>.</w:t>
      </w:r>
      <w:r w:rsidR="00FA0223" w:rsidRPr="00975F8D">
        <w:rPr>
          <w:vertAlign w:val="superscript"/>
        </w:rPr>
        <w:footnoteReference w:id="5"/>
      </w:r>
    </w:p>
    <w:p w14:paraId="13E077BB" w14:textId="687B470D" w:rsidR="00C51CDC" w:rsidRPr="00975F8D" w:rsidRDefault="002633E5" w:rsidP="00935F85">
      <w:pPr>
        <w:ind w:firstLine="0"/>
      </w:pPr>
      <w:r w:rsidRPr="00975F8D">
        <w:t>Edward’s complain</w:t>
      </w:r>
      <w:r w:rsidR="0030404A" w:rsidRPr="00975F8D">
        <w:t xml:space="preserve"> </w:t>
      </w:r>
      <w:r w:rsidR="00E80D08" w:rsidRPr="00975F8D">
        <w:t xml:space="preserve">has </w:t>
      </w:r>
      <w:r w:rsidRPr="00975F8D">
        <w:t>bite</w:t>
      </w:r>
      <w:r w:rsidR="0030404A" w:rsidRPr="00975F8D">
        <w:t xml:space="preserve">. But </w:t>
      </w:r>
      <w:r w:rsidR="00935F85" w:rsidRPr="00975F8D">
        <w:t>are all aggregate constructs</w:t>
      </w:r>
      <w:r w:rsidR="00074289" w:rsidRPr="00975F8D">
        <w:t xml:space="preserve"> necessarily</w:t>
      </w:r>
      <w:r w:rsidR="00935F85" w:rsidRPr="00975F8D">
        <w:t xml:space="preserve"> problematic because heterogeneous? </w:t>
      </w:r>
      <w:r w:rsidR="00E31A0B">
        <w:t xml:space="preserve">Group </w:t>
      </w:r>
      <w:r w:rsidR="00C623EA" w:rsidRPr="003D1F2D">
        <w:t>(A)</w:t>
      </w:r>
      <w:r w:rsidR="00E31A0B">
        <w:t xml:space="preserve"> includes</w:t>
      </w:r>
      <w:r w:rsidR="00C623EA" w:rsidRPr="00975F8D">
        <w:t xml:space="preserve"> </w:t>
      </w:r>
      <w:r w:rsidR="005E5ADD" w:rsidRPr="00975F8D">
        <w:t xml:space="preserve">heterogeneous </w:t>
      </w:r>
      <w:r w:rsidR="00C623EA" w:rsidRPr="00975F8D">
        <w:t>aggregate constructs</w:t>
      </w:r>
      <w:r w:rsidR="00E31A0B">
        <w:t xml:space="preserve"> (e.g., inflation)</w:t>
      </w:r>
      <w:r w:rsidR="002A26ED">
        <w:t>,</w:t>
      </w:r>
      <w:r w:rsidR="00C623EA" w:rsidRPr="00975F8D">
        <w:t xml:space="preserve"> yet </w:t>
      </w:r>
      <w:r w:rsidR="002F7F6A">
        <w:t xml:space="preserve">they </w:t>
      </w:r>
      <w:r w:rsidR="00C623EA" w:rsidRPr="00975F8D">
        <w:t>don’t seem</w:t>
      </w:r>
      <w:r w:rsidR="00E31A0B">
        <w:t xml:space="preserve"> to be thereby</w:t>
      </w:r>
      <w:r w:rsidR="00C623EA" w:rsidRPr="00975F8D">
        <w:t xml:space="preserve"> problematic</w:t>
      </w:r>
      <w:r w:rsidR="002F7F6A">
        <w:t xml:space="preserve">. </w:t>
      </w:r>
      <w:r w:rsidR="00013056">
        <w:t>Perhaps</w:t>
      </w:r>
      <w:r w:rsidR="005E5ADD" w:rsidRPr="00975F8D">
        <w:t xml:space="preserve"> </w:t>
      </w:r>
      <w:r w:rsidR="00C86396" w:rsidRPr="00975F8D">
        <w:t>not all</w:t>
      </w:r>
      <w:r w:rsidR="005C51FB" w:rsidRPr="00975F8D">
        <w:t xml:space="preserve"> </w:t>
      </w:r>
      <w:r w:rsidR="00054DBF" w:rsidRPr="00975F8D">
        <w:t>heterogeneity matter</w:t>
      </w:r>
      <w:r w:rsidR="00C86396" w:rsidRPr="00975F8D">
        <w:t>s</w:t>
      </w:r>
      <w:r w:rsidR="00054DBF" w:rsidRPr="00975F8D">
        <w:t>. W</w:t>
      </w:r>
      <w:r w:rsidR="00935F85" w:rsidRPr="00975F8D">
        <w:t>hat</w:t>
      </w:r>
      <w:r w:rsidR="000D0327" w:rsidRPr="00975F8D">
        <w:t xml:space="preserve"> could be</w:t>
      </w:r>
      <w:r w:rsidR="00935F85" w:rsidRPr="00975F8D">
        <w:t xml:space="preserve"> the </w:t>
      </w:r>
      <w:r w:rsidR="00720A5C" w:rsidRPr="00975F8D">
        <w:t xml:space="preserve">underlying </w:t>
      </w:r>
      <w:r w:rsidR="00935F85" w:rsidRPr="00975F8D">
        <w:t>criterion</w:t>
      </w:r>
      <w:r w:rsidR="00C51CDC" w:rsidRPr="00975F8D">
        <w:t xml:space="preserve"> for judging </w:t>
      </w:r>
      <w:r w:rsidR="000D0327" w:rsidRPr="00975F8D">
        <w:t xml:space="preserve">in </w:t>
      </w:r>
      <w:r w:rsidR="00C51CDC" w:rsidRPr="00975F8D">
        <w:t>each case</w:t>
      </w:r>
      <w:r w:rsidR="00935F85" w:rsidRPr="00975F8D">
        <w:t>?</w:t>
      </w:r>
      <w:r w:rsidR="00C623EA" w:rsidRPr="00975F8D">
        <w:t xml:space="preserve"> The sociological </w:t>
      </w:r>
      <w:r w:rsidR="00935742">
        <w:t xml:space="preserve">and causation </w:t>
      </w:r>
      <w:r w:rsidR="00C623EA" w:rsidRPr="00975F8D">
        <w:t>literature</w:t>
      </w:r>
      <w:r w:rsidR="00935742">
        <w:t>s</w:t>
      </w:r>
      <w:r w:rsidR="00C623EA" w:rsidRPr="00975F8D">
        <w:t xml:space="preserve"> offer</w:t>
      </w:r>
      <w:r w:rsidR="00E31A0B">
        <w:t>ed</w:t>
      </w:r>
      <w:r w:rsidR="00C623EA" w:rsidRPr="00975F8D">
        <w:t xml:space="preserve"> </w:t>
      </w:r>
      <w:r w:rsidR="002F7F6A">
        <w:t xml:space="preserve">a </w:t>
      </w:r>
      <w:r w:rsidR="00935742">
        <w:t xml:space="preserve">principled </w:t>
      </w:r>
      <w:r w:rsidR="002F7F6A">
        <w:t>criterion</w:t>
      </w:r>
      <w:r w:rsidR="00C623EA" w:rsidRPr="00975F8D">
        <w:t>.</w:t>
      </w:r>
      <w:r w:rsidR="00054DBF" w:rsidRPr="00975F8D">
        <w:rPr>
          <w:rStyle w:val="FootnoteReference"/>
        </w:rPr>
        <w:footnoteReference w:id="6"/>
      </w:r>
    </w:p>
    <w:p w14:paraId="7A5FFA73" w14:textId="77777777" w:rsidR="002F7F6A" w:rsidRDefault="00321974" w:rsidP="00321974">
      <w:pPr>
        <w:ind w:firstLine="0"/>
      </w:pPr>
      <w:r w:rsidRPr="00975F8D">
        <w:rPr>
          <w:lang w:val="en-AU"/>
        </w:rPr>
        <w:t xml:space="preserve">When discussing </w:t>
      </w:r>
      <w:r w:rsidRPr="00975F8D">
        <w:rPr>
          <w:i/>
          <w:iCs/>
          <w:lang w:val="en-AU"/>
        </w:rPr>
        <w:t>SES</w:t>
      </w:r>
      <w:r w:rsidRPr="00975F8D">
        <w:rPr>
          <w:lang w:val="en-AU"/>
        </w:rPr>
        <w:t>, Hodge (1970</w:t>
      </w:r>
      <w:r w:rsidR="003612DC" w:rsidRPr="00975F8D">
        <w:rPr>
          <w:lang w:val="en-AU"/>
        </w:rPr>
        <w:t>, 182</w:t>
      </w:r>
      <w:r w:rsidRPr="00975F8D">
        <w:rPr>
          <w:lang w:val="en-AU"/>
        </w:rPr>
        <w:t>)</w:t>
      </w:r>
      <w:r w:rsidR="00FC0F21" w:rsidRPr="00975F8D">
        <w:rPr>
          <w:lang w:val="en-AU"/>
        </w:rPr>
        <w:t xml:space="preserve"> </w:t>
      </w:r>
      <w:r w:rsidR="005C51FB" w:rsidRPr="00975F8D">
        <w:rPr>
          <w:lang w:val="en-AU"/>
        </w:rPr>
        <w:t>stated</w:t>
      </w:r>
      <w:r w:rsidR="00B40518" w:rsidRPr="00975F8D">
        <w:rPr>
          <w:lang w:val="en-AU"/>
        </w:rPr>
        <w:t xml:space="preserve"> </w:t>
      </w:r>
      <w:r w:rsidR="002F7F6A">
        <w:rPr>
          <w:lang w:val="en-AU"/>
        </w:rPr>
        <w:t>it</w:t>
      </w:r>
      <w:r w:rsidR="006F215B" w:rsidRPr="00975F8D">
        <w:rPr>
          <w:lang w:val="en-AU"/>
        </w:rPr>
        <w:t>: “</w:t>
      </w:r>
      <w:r w:rsidRPr="00975F8D">
        <w:t>Unidimensional conceptions of socioeconomic status require that alternative</w:t>
      </w:r>
      <w:r w:rsidR="006F215B" w:rsidRPr="00975F8D">
        <w:t xml:space="preserve"> </w:t>
      </w:r>
      <w:r w:rsidRPr="00975F8D">
        <w:t>indicators of one</w:t>
      </w:r>
      <w:r w:rsidR="003612DC" w:rsidRPr="00975F8D">
        <w:t>’</w:t>
      </w:r>
      <w:r w:rsidRPr="00975F8D">
        <w:t>s position in the stratification system have similar effects</w:t>
      </w:r>
      <w:r w:rsidR="006F215B" w:rsidRPr="00975F8D">
        <w:t xml:space="preserve"> </w:t>
      </w:r>
      <w:r w:rsidRPr="00975F8D">
        <w:t>upon the</w:t>
      </w:r>
      <w:r w:rsidR="003612DC" w:rsidRPr="00975F8D">
        <w:t xml:space="preserve"> </w:t>
      </w:r>
      <w:r w:rsidRPr="00975F8D">
        <w:t>consequences of socioeconomic level.</w:t>
      </w:r>
      <w:r w:rsidR="003612DC" w:rsidRPr="00975F8D">
        <w:t xml:space="preserve">” That is, for </w:t>
      </w:r>
      <w:r w:rsidR="003612DC" w:rsidRPr="00975F8D">
        <w:rPr>
          <w:i/>
          <w:iCs/>
        </w:rPr>
        <w:t xml:space="preserve">SES </w:t>
      </w:r>
      <w:r w:rsidR="003612DC" w:rsidRPr="00975F8D">
        <w:t>to be an internally coherent, one-dimensional concept</w:t>
      </w:r>
      <w:r w:rsidR="00B40518" w:rsidRPr="00975F8D">
        <w:t>—</w:t>
      </w:r>
      <w:r w:rsidR="003612DC" w:rsidRPr="00975F8D">
        <w:t>the kind of concept for which it makes sense to assign one number per person</w:t>
      </w:r>
      <w:r w:rsidR="00B40518" w:rsidRPr="00975F8D">
        <w:t>—</w:t>
      </w:r>
      <w:r w:rsidR="003612DC" w:rsidRPr="00975F8D">
        <w:t xml:space="preserve">the effects of </w:t>
      </w:r>
      <w:r w:rsidR="00C51CDC" w:rsidRPr="00975F8D">
        <w:rPr>
          <w:i/>
          <w:iCs/>
        </w:rPr>
        <w:t>SES</w:t>
      </w:r>
      <w:r w:rsidR="00C51CDC" w:rsidRPr="00975F8D">
        <w:t xml:space="preserve">’s </w:t>
      </w:r>
      <w:r w:rsidR="003612DC" w:rsidRPr="00975F8D">
        <w:t xml:space="preserve">components </w:t>
      </w:r>
      <w:r w:rsidR="00B40518" w:rsidRPr="00975F8D">
        <w:t xml:space="preserve">must be </w:t>
      </w:r>
      <w:r w:rsidR="003612DC" w:rsidRPr="00975F8D">
        <w:t xml:space="preserve">the same. </w:t>
      </w:r>
    </w:p>
    <w:p w14:paraId="500B8C75" w14:textId="5F4FA5CC" w:rsidR="0009091C" w:rsidRPr="00975F8D" w:rsidRDefault="00E31A0B" w:rsidP="00321974">
      <w:pPr>
        <w:ind w:firstLine="0"/>
        <w:rPr>
          <w:lang w:val="en-AU"/>
        </w:rPr>
      </w:pPr>
      <w:r>
        <w:t xml:space="preserve">More recently, </w:t>
      </w:r>
      <w:r w:rsidR="00013056">
        <w:t>t</w:t>
      </w:r>
      <w:r w:rsidR="00074289" w:rsidRPr="00975F8D">
        <w:t xml:space="preserve">he </w:t>
      </w:r>
      <w:r w:rsidR="00B40518" w:rsidRPr="00975F8D">
        <w:t xml:space="preserve">causal modelling </w:t>
      </w:r>
      <w:r w:rsidR="00074289" w:rsidRPr="00975F8D">
        <w:t xml:space="preserve">literature </w:t>
      </w:r>
      <w:r w:rsidR="00B40518" w:rsidRPr="00975F8D">
        <w:t>ha</w:t>
      </w:r>
      <w:r w:rsidR="00935742">
        <w:t>s</w:t>
      </w:r>
      <w:r w:rsidR="00B40518" w:rsidRPr="00975F8D">
        <w:t xml:space="preserve"> also discussed favorably this criterion</w:t>
      </w:r>
      <w:r w:rsidR="00C51CDC" w:rsidRPr="00975F8D">
        <w:t xml:space="preserve">. </w:t>
      </w:r>
      <w:r w:rsidR="00C623EA" w:rsidRPr="00975F8D">
        <w:t xml:space="preserve">Consider </w:t>
      </w:r>
      <w:proofErr w:type="spellStart"/>
      <w:r w:rsidR="00074289" w:rsidRPr="00975F8D">
        <w:t>Spirtes</w:t>
      </w:r>
      <w:proofErr w:type="spellEnd"/>
      <w:r w:rsidR="00074289" w:rsidRPr="00975F8D">
        <w:t xml:space="preserve"> and </w:t>
      </w:r>
      <w:proofErr w:type="spellStart"/>
      <w:r w:rsidR="00074289" w:rsidRPr="00975F8D">
        <w:t>Scheines</w:t>
      </w:r>
      <w:proofErr w:type="spellEnd"/>
      <w:r w:rsidR="00074289" w:rsidRPr="00975F8D">
        <w:t>’</w:t>
      </w:r>
      <w:r w:rsidR="00B40518" w:rsidRPr="00975F8D">
        <w:t xml:space="preserve"> (2004)</w:t>
      </w:r>
      <w:r w:rsidR="00074289" w:rsidRPr="00975F8D">
        <w:t xml:space="preserve"> </w:t>
      </w:r>
      <w:r w:rsidR="00C623EA" w:rsidRPr="00975F8D">
        <w:t xml:space="preserve">classic </w:t>
      </w:r>
      <w:r w:rsidR="00074289" w:rsidRPr="00975F8D">
        <w:t>example</w:t>
      </w:r>
      <w:r w:rsidR="000D0327" w:rsidRPr="00975F8D">
        <w:t xml:space="preserve">: </w:t>
      </w:r>
      <w:r w:rsidR="000D0327" w:rsidRPr="00975F8D">
        <w:rPr>
          <w:i/>
          <w:iCs/>
        </w:rPr>
        <w:t>total cholesterol</w:t>
      </w:r>
      <w:r w:rsidR="00C623EA" w:rsidRPr="00975F8D">
        <w:t>.</w:t>
      </w:r>
      <w:r w:rsidR="00074289" w:rsidRPr="00975F8D">
        <w:t xml:space="preserve"> </w:t>
      </w:r>
      <w:r w:rsidR="0017572E" w:rsidRPr="00975F8D">
        <w:t xml:space="preserve">Because </w:t>
      </w:r>
      <w:r w:rsidR="00074289" w:rsidRPr="00975F8D">
        <w:t xml:space="preserve">the components </w:t>
      </w:r>
      <w:r w:rsidR="00C623EA" w:rsidRPr="00975F8D">
        <w:t xml:space="preserve">making up </w:t>
      </w:r>
      <w:r w:rsidR="00074289" w:rsidRPr="00975F8D">
        <w:rPr>
          <w:i/>
          <w:iCs/>
        </w:rPr>
        <w:t>total cholesterol</w:t>
      </w:r>
      <w:r w:rsidR="00074289" w:rsidRPr="00975F8D">
        <w:t xml:space="preserve"> (</w:t>
      </w:r>
      <w:r w:rsidR="00074289" w:rsidRPr="00975F8D">
        <w:rPr>
          <w:i/>
          <w:iCs/>
        </w:rPr>
        <w:t xml:space="preserve">HDL </w:t>
      </w:r>
      <w:r w:rsidR="00074289" w:rsidRPr="00975F8D">
        <w:t>and</w:t>
      </w:r>
      <w:r w:rsidR="00074289" w:rsidRPr="00975F8D">
        <w:rPr>
          <w:i/>
          <w:iCs/>
        </w:rPr>
        <w:t xml:space="preserve"> LDL</w:t>
      </w:r>
      <w:r w:rsidR="00074289" w:rsidRPr="00975F8D">
        <w:t xml:space="preserve">) have different effects on </w:t>
      </w:r>
      <w:r w:rsidR="00074289" w:rsidRPr="00975F8D">
        <w:rPr>
          <w:i/>
          <w:iCs/>
        </w:rPr>
        <w:t>heart disease</w:t>
      </w:r>
      <w:r w:rsidR="00074289" w:rsidRPr="00975F8D">
        <w:t xml:space="preserve">, </w:t>
      </w:r>
      <w:r w:rsidR="00074289" w:rsidRPr="00975F8D">
        <w:rPr>
          <w:i/>
          <w:iCs/>
        </w:rPr>
        <w:t xml:space="preserve">total cholesterol </w:t>
      </w:r>
      <w:r w:rsidR="00074289" w:rsidRPr="00975F8D">
        <w:t xml:space="preserve">is an “over-aggregated variable” (Eberhardt 2022) with respect to </w:t>
      </w:r>
      <w:r w:rsidR="00074289" w:rsidRPr="00975F8D">
        <w:rPr>
          <w:i/>
          <w:iCs/>
        </w:rPr>
        <w:t>heart disease</w:t>
      </w:r>
      <w:r w:rsidR="00C623EA" w:rsidRPr="00975F8D">
        <w:t>:</w:t>
      </w:r>
      <w:r w:rsidR="00074289" w:rsidRPr="00975F8D">
        <w:t xml:space="preserve"> a manipulation of </w:t>
      </w:r>
      <w:r w:rsidR="00074289" w:rsidRPr="00975F8D">
        <w:rPr>
          <w:i/>
          <w:iCs/>
        </w:rPr>
        <w:t xml:space="preserve">total cholesterol </w:t>
      </w:r>
      <w:r w:rsidR="00C623EA" w:rsidRPr="00975F8D">
        <w:t>has</w:t>
      </w:r>
      <w:r w:rsidR="00C623EA" w:rsidRPr="00975F8D">
        <w:rPr>
          <w:i/>
          <w:iCs/>
        </w:rPr>
        <w:t xml:space="preserve"> </w:t>
      </w:r>
      <w:r w:rsidR="00C623EA" w:rsidRPr="00975F8D">
        <w:t xml:space="preserve">an </w:t>
      </w:r>
      <w:r w:rsidR="00074289" w:rsidRPr="00975F8D">
        <w:t>ambiguous</w:t>
      </w:r>
      <w:r w:rsidR="00C623EA" w:rsidRPr="00975F8D">
        <w:t xml:space="preserve"> effect</w:t>
      </w:r>
      <w:r w:rsidR="000D0327" w:rsidRPr="00975F8D">
        <w:t xml:space="preserve"> on the latter</w:t>
      </w:r>
      <w:r w:rsidR="00EE6312" w:rsidRPr="00975F8D">
        <w:t>—</w:t>
      </w:r>
      <w:r w:rsidR="00B40518" w:rsidRPr="00975F8D">
        <w:t xml:space="preserve">the effect </w:t>
      </w:r>
      <w:r w:rsidR="00074289" w:rsidRPr="00975F8D">
        <w:t xml:space="preserve">depends on which </w:t>
      </w:r>
      <w:r w:rsidR="000D0327" w:rsidRPr="00975F8D">
        <w:t xml:space="preserve">underlying </w:t>
      </w:r>
      <w:r w:rsidR="00074289" w:rsidRPr="00975F8D">
        <w:t>component is being manipulated.</w:t>
      </w:r>
      <w:r w:rsidR="00C623EA" w:rsidRPr="00975F8D">
        <w:t xml:space="preserve"> </w:t>
      </w:r>
      <w:r w:rsidR="00B40518" w:rsidRPr="00975F8D">
        <w:rPr>
          <w:lang w:val="en-AU"/>
        </w:rPr>
        <w:t>T</w:t>
      </w:r>
      <w:r w:rsidR="0009091C" w:rsidRPr="00975F8D">
        <w:rPr>
          <w:lang w:val="en-AU"/>
        </w:rPr>
        <w:t xml:space="preserve">his criterion </w:t>
      </w:r>
      <w:r w:rsidR="00C623EA" w:rsidRPr="00975F8D">
        <w:rPr>
          <w:lang w:val="en-AU"/>
        </w:rPr>
        <w:t>can be summarized thus:</w:t>
      </w:r>
    </w:p>
    <w:p w14:paraId="0724F157" w14:textId="2B01FB9C" w:rsidR="00321974" w:rsidRPr="00975F8D" w:rsidRDefault="0009091C" w:rsidP="0009091C">
      <w:pPr>
        <w:ind w:left="720" w:firstLine="0"/>
      </w:pPr>
      <w:r w:rsidRPr="00975F8D">
        <w:rPr>
          <w:i/>
          <w:iCs/>
          <w:lang w:val="en-AU"/>
        </w:rPr>
        <w:t>Non-Ambiguity criterion:</w:t>
      </w:r>
      <w:r w:rsidRPr="00975F8D">
        <w:rPr>
          <w:lang w:val="en-AU"/>
        </w:rPr>
        <w:t xml:space="preserve"> </w:t>
      </w:r>
      <w:r w:rsidR="00C623EA" w:rsidRPr="00975F8D">
        <w:rPr>
          <w:lang w:val="en-AU"/>
        </w:rPr>
        <w:t xml:space="preserve">a composite construct is coherent only if its directly measurable concepts have the same effect on the dependent variables of interest. </w:t>
      </w:r>
    </w:p>
    <w:p w14:paraId="55395E50" w14:textId="2E306499" w:rsidR="00F64F46" w:rsidRPr="00975F8D" w:rsidRDefault="0017572E" w:rsidP="00F64F46">
      <w:pPr>
        <w:ind w:firstLine="0"/>
      </w:pPr>
      <w:r w:rsidRPr="00975F8D">
        <w:t xml:space="preserve">Note that </w:t>
      </w:r>
      <w:proofErr w:type="gramStart"/>
      <w:r w:rsidRPr="00975F8D">
        <w:rPr>
          <w:i/>
          <w:iCs/>
          <w:lang w:val="en-AU"/>
        </w:rPr>
        <w:t>Non-Ambiguity</w:t>
      </w:r>
      <w:proofErr w:type="gramEnd"/>
      <w:r w:rsidRPr="00975F8D">
        <w:t xml:space="preserve"> lend</w:t>
      </w:r>
      <w:r w:rsidR="00BD5B8B">
        <w:t>s no</w:t>
      </w:r>
      <w:r w:rsidRPr="00975F8D">
        <w:t xml:space="preserve"> support to the </w:t>
      </w:r>
      <w:r w:rsidR="00013056">
        <w:t xml:space="preserve">generic </w:t>
      </w:r>
      <w:r w:rsidRPr="00975F8D">
        <w:t xml:space="preserve">causal apprehension raised above. </w:t>
      </w:r>
      <w:r w:rsidR="00F64F46" w:rsidRPr="00975F8D">
        <w:t xml:space="preserve">Had </w:t>
      </w:r>
      <w:r w:rsidRPr="00975F8D">
        <w:rPr>
          <w:i/>
          <w:iCs/>
        </w:rPr>
        <w:t xml:space="preserve">total cholesterol </w:t>
      </w:r>
      <w:r w:rsidR="00F64F46" w:rsidRPr="00975F8D">
        <w:t xml:space="preserve">satisfied </w:t>
      </w:r>
      <w:proofErr w:type="gramStart"/>
      <w:r w:rsidR="00F64F46" w:rsidRPr="00975F8D">
        <w:rPr>
          <w:i/>
          <w:iCs/>
          <w:lang w:val="en-AU"/>
        </w:rPr>
        <w:t>Non-Ambiguity</w:t>
      </w:r>
      <w:proofErr w:type="gramEnd"/>
      <w:r w:rsidRPr="00975F8D">
        <w:t>,</w:t>
      </w:r>
      <w:r w:rsidR="00F64F46" w:rsidRPr="00975F8D">
        <w:t xml:space="preserve"> then distinguishing</w:t>
      </w:r>
      <w:r w:rsidRPr="00975F8D">
        <w:t xml:space="preserve"> </w:t>
      </w:r>
      <w:r w:rsidR="00F64F46" w:rsidRPr="00975F8D">
        <w:t xml:space="preserve">“between HDL and LDL would be </w:t>
      </w:r>
      <w:r w:rsidR="00F64F46" w:rsidRPr="00975F8D">
        <w:lastRenderedPageBreak/>
        <w:t>(with respect to [</w:t>
      </w:r>
      <w:r w:rsidR="00F64F46" w:rsidRPr="00975F8D">
        <w:rPr>
          <w:i/>
          <w:iCs/>
        </w:rPr>
        <w:t>heart dis</w:t>
      </w:r>
      <w:r w:rsidR="007254A4" w:rsidRPr="00975F8D">
        <w:rPr>
          <w:i/>
          <w:iCs/>
        </w:rPr>
        <w:t>e</w:t>
      </w:r>
      <w:r w:rsidR="00F64F46" w:rsidRPr="00975F8D">
        <w:rPr>
          <w:i/>
          <w:iCs/>
        </w:rPr>
        <w:t>ase</w:t>
      </w:r>
      <w:r w:rsidR="00F64F46" w:rsidRPr="00975F8D">
        <w:t>]) redundant, and the correct causal graph could be constructed over just [</w:t>
      </w:r>
      <w:r w:rsidR="00F64F46" w:rsidRPr="00975F8D">
        <w:rPr>
          <w:i/>
          <w:iCs/>
        </w:rPr>
        <w:t>total cholesterol</w:t>
      </w:r>
      <w:r w:rsidR="00F64F46" w:rsidRPr="00975F8D">
        <w:t>]</w:t>
      </w:r>
      <w:r w:rsidR="00F64F46" w:rsidRPr="00975F8D">
        <w:rPr>
          <w:i/>
          <w:iCs/>
        </w:rPr>
        <w:t xml:space="preserve"> </w:t>
      </w:r>
      <w:r w:rsidR="00F64F46" w:rsidRPr="00975F8D">
        <w:t>and [</w:t>
      </w:r>
      <w:r w:rsidR="00F64F46" w:rsidRPr="00975F8D">
        <w:rPr>
          <w:i/>
          <w:iCs/>
        </w:rPr>
        <w:t>heart dis</w:t>
      </w:r>
      <w:r w:rsidR="007254A4" w:rsidRPr="00975F8D">
        <w:rPr>
          <w:i/>
          <w:iCs/>
        </w:rPr>
        <w:t>e</w:t>
      </w:r>
      <w:r w:rsidR="00F64F46" w:rsidRPr="00975F8D">
        <w:rPr>
          <w:i/>
          <w:iCs/>
        </w:rPr>
        <w:t>ase</w:t>
      </w:r>
      <w:r w:rsidR="00F64F46" w:rsidRPr="00975F8D">
        <w:t>]” (Eberhardt 2022, 7).</w:t>
      </w:r>
    </w:p>
    <w:p w14:paraId="4BB9A275" w14:textId="34751B78" w:rsidR="00385081" w:rsidRPr="00975F8D" w:rsidRDefault="002F7F6A" w:rsidP="001F2B6C">
      <w:pPr>
        <w:ind w:firstLine="0"/>
        <w:rPr>
          <w:lang w:val="en-AU"/>
        </w:rPr>
      </w:pPr>
      <w:r>
        <w:rPr>
          <w:lang w:val="en-AU"/>
        </w:rPr>
        <w:t xml:space="preserve">Clearly, </w:t>
      </w:r>
      <w:r w:rsidR="00A80763" w:rsidRPr="00975F8D">
        <w:rPr>
          <w:i/>
          <w:iCs/>
          <w:lang w:val="en-AU"/>
        </w:rPr>
        <w:t xml:space="preserve">SES </w:t>
      </w:r>
      <w:r w:rsidR="00A80763" w:rsidRPr="00975F8D">
        <w:rPr>
          <w:lang w:val="en-AU"/>
        </w:rPr>
        <w:t xml:space="preserve">or </w:t>
      </w:r>
      <w:r w:rsidR="00A80763" w:rsidRPr="00975F8D">
        <w:rPr>
          <w:i/>
          <w:iCs/>
        </w:rPr>
        <w:t>overall cognitive-personality functioning</w:t>
      </w:r>
      <w:r w:rsidR="00A80763" w:rsidRPr="00975F8D">
        <w:rPr>
          <w:lang w:val="en-AU"/>
        </w:rPr>
        <w:t xml:space="preserve"> fail </w:t>
      </w:r>
      <w:proofErr w:type="gramStart"/>
      <w:r w:rsidRPr="00975F8D">
        <w:rPr>
          <w:i/>
          <w:iCs/>
          <w:lang w:val="en-AU"/>
        </w:rPr>
        <w:t>Non-Ambiguity</w:t>
      </w:r>
      <w:proofErr w:type="gramEnd"/>
      <w:r w:rsidR="00234F15" w:rsidRPr="00975F8D">
        <w:rPr>
          <w:lang w:val="en-AU"/>
        </w:rPr>
        <w:t xml:space="preserve">—this was </w:t>
      </w:r>
      <w:r w:rsidR="00A80763" w:rsidRPr="00975F8D">
        <w:rPr>
          <w:lang w:val="en-AU"/>
        </w:rPr>
        <w:t>Hodge</w:t>
      </w:r>
      <w:r w:rsidR="00234F15" w:rsidRPr="00975F8D">
        <w:rPr>
          <w:lang w:val="en-AU"/>
        </w:rPr>
        <w:t>’s</w:t>
      </w:r>
      <w:r w:rsidR="00A80763" w:rsidRPr="00975F8D">
        <w:rPr>
          <w:lang w:val="en-AU"/>
        </w:rPr>
        <w:t xml:space="preserve"> </w:t>
      </w:r>
      <w:r w:rsidR="00234F15" w:rsidRPr="00975F8D">
        <w:rPr>
          <w:lang w:val="en-AU"/>
        </w:rPr>
        <w:t>(</w:t>
      </w:r>
      <w:r w:rsidR="00A80763" w:rsidRPr="00975F8D">
        <w:rPr>
          <w:lang w:val="en-AU"/>
        </w:rPr>
        <w:t>1970</w:t>
      </w:r>
      <w:r w:rsidR="00234F15" w:rsidRPr="00975F8D">
        <w:rPr>
          <w:lang w:val="en-AU"/>
        </w:rPr>
        <w:t xml:space="preserve">) whole point and </w:t>
      </w:r>
      <w:r w:rsidR="00A80763" w:rsidRPr="00975F8D">
        <w:t xml:space="preserve">Gignac </w:t>
      </w:r>
      <w:r w:rsidR="00C15D5C" w:rsidRPr="00975F8D">
        <w:t>and</w:t>
      </w:r>
      <w:r w:rsidR="00A80763" w:rsidRPr="00975F8D">
        <w:t xml:space="preserve"> </w:t>
      </w:r>
      <w:proofErr w:type="spellStart"/>
      <w:r w:rsidR="00A80763" w:rsidRPr="00975F8D">
        <w:t>Zajenkowski</w:t>
      </w:r>
      <w:r w:rsidR="00234F15" w:rsidRPr="00975F8D">
        <w:t>’s</w:t>
      </w:r>
      <w:proofErr w:type="spellEnd"/>
      <w:r w:rsidR="00A80763" w:rsidRPr="00975F8D">
        <w:t xml:space="preserve"> </w:t>
      </w:r>
      <w:r w:rsidR="00234F15" w:rsidRPr="00975F8D">
        <w:t>(</w:t>
      </w:r>
      <w:r w:rsidR="00A80763" w:rsidRPr="00975F8D">
        <w:t>2025</w:t>
      </w:r>
      <w:r w:rsidR="00A80763" w:rsidRPr="00975F8D">
        <w:rPr>
          <w:lang w:val="en-AU"/>
        </w:rPr>
        <w:t>)</w:t>
      </w:r>
      <w:r w:rsidR="00234F15" w:rsidRPr="00975F8D">
        <w:rPr>
          <w:lang w:val="en-AU"/>
        </w:rPr>
        <w:t xml:space="preserve"> motivation behind constructing an </w:t>
      </w:r>
      <w:r w:rsidR="007254A4" w:rsidRPr="00975F8D">
        <w:rPr>
          <w:lang w:val="en-AU"/>
        </w:rPr>
        <w:t>“</w:t>
      </w:r>
      <w:r w:rsidR="00234F15" w:rsidRPr="00975F8D">
        <w:rPr>
          <w:lang w:val="en-AU"/>
        </w:rPr>
        <w:t>overall</w:t>
      </w:r>
      <w:r w:rsidR="007254A4" w:rsidRPr="00975F8D">
        <w:rPr>
          <w:lang w:val="en-AU"/>
        </w:rPr>
        <w:t>”</w:t>
      </w:r>
      <w:r w:rsidR="00234F15" w:rsidRPr="00975F8D">
        <w:rPr>
          <w:lang w:val="en-AU"/>
        </w:rPr>
        <w:t xml:space="preserve"> </w:t>
      </w:r>
      <w:r w:rsidR="00D61A9C" w:rsidRPr="00975F8D">
        <w:rPr>
          <w:lang w:val="en-AU"/>
        </w:rPr>
        <w:t>measure</w:t>
      </w:r>
      <w:r w:rsidR="00A80763" w:rsidRPr="00975F8D">
        <w:rPr>
          <w:lang w:val="en-AU"/>
        </w:rPr>
        <w:t xml:space="preserve">. </w:t>
      </w:r>
      <w:r w:rsidR="00C15D5C" w:rsidRPr="00975F8D">
        <w:rPr>
          <w:lang w:val="en-AU"/>
        </w:rPr>
        <w:t xml:space="preserve">Are these constructs, then, irremediably confused since they </w:t>
      </w:r>
      <w:r w:rsidR="00030146" w:rsidRPr="00975F8D">
        <w:rPr>
          <w:lang w:val="en-AU"/>
        </w:rPr>
        <w:t xml:space="preserve">not only </w:t>
      </w:r>
      <w:r w:rsidR="00C15D5C" w:rsidRPr="00975F8D">
        <w:rPr>
          <w:lang w:val="en-AU"/>
        </w:rPr>
        <w:t xml:space="preserve">lack a stable empirical meaning </w:t>
      </w:r>
      <w:r w:rsidR="007254A4" w:rsidRPr="00975F8D">
        <w:rPr>
          <w:lang w:val="en-AU"/>
        </w:rPr>
        <w:t xml:space="preserve">(as shown in 3.1) </w:t>
      </w:r>
      <w:r w:rsidR="00030146" w:rsidRPr="00975F8D">
        <w:rPr>
          <w:lang w:val="en-AU"/>
        </w:rPr>
        <w:t xml:space="preserve">but also </w:t>
      </w:r>
      <w:r w:rsidR="00C15D5C" w:rsidRPr="00975F8D">
        <w:rPr>
          <w:lang w:val="en-AU"/>
        </w:rPr>
        <w:t xml:space="preserve">are heterogeneous in </w:t>
      </w:r>
      <w:r w:rsidR="009437DB" w:rsidRPr="00975F8D">
        <w:rPr>
          <w:lang w:val="en-AU"/>
        </w:rPr>
        <w:t xml:space="preserve">a </w:t>
      </w:r>
      <w:r w:rsidR="00C15D5C" w:rsidRPr="00975F8D">
        <w:rPr>
          <w:lang w:val="en-AU"/>
        </w:rPr>
        <w:t>problematic</w:t>
      </w:r>
      <w:r w:rsidR="009F24B9" w:rsidRPr="00975F8D">
        <w:rPr>
          <w:lang w:val="en-AU"/>
        </w:rPr>
        <w:t xml:space="preserve"> </w:t>
      </w:r>
      <w:r w:rsidR="009437DB" w:rsidRPr="00975F8D">
        <w:rPr>
          <w:lang w:val="en-AU"/>
        </w:rPr>
        <w:t xml:space="preserve">way </w:t>
      </w:r>
      <w:r w:rsidR="009F24B9" w:rsidRPr="00975F8D">
        <w:rPr>
          <w:lang w:val="en-AU"/>
        </w:rPr>
        <w:t xml:space="preserve">(i.e., according to </w:t>
      </w:r>
      <w:proofErr w:type="gramStart"/>
      <w:r w:rsidR="009F24B9" w:rsidRPr="00975F8D">
        <w:rPr>
          <w:i/>
          <w:iCs/>
          <w:lang w:val="en-AU"/>
        </w:rPr>
        <w:t>Non-Ambiguity</w:t>
      </w:r>
      <w:proofErr w:type="gramEnd"/>
      <w:r w:rsidR="009F24B9" w:rsidRPr="00975F8D">
        <w:rPr>
          <w:i/>
          <w:iCs/>
          <w:lang w:val="en-AU"/>
        </w:rPr>
        <w:t>)</w:t>
      </w:r>
      <w:r w:rsidR="00C15D5C" w:rsidRPr="00975F8D">
        <w:rPr>
          <w:lang w:val="en-AU"/>
        </w:rPr>
        <w:t>?</w:t>
      </w:r>
      <w:r w:rsidR="000A7C87" w:rsidRPr="00975F8D">
        <w:rPr>
          <w:lang w:val="en-AU"/>
        </w:rPr>
        <w:t xml:space="preserve"> Should </w:t>
      </w:r>
      <w:r w:rsidR="00D80EC7" w:rsidRPr="00975F8D">
        <w:rPr>
          <w:lang w:val="en-AU"/>
        </w:rPr>
        <w:t>they be abandoned</w:t>
      </w:r>
      <w:r w:rsidR="000A7C87" w:rsidRPr="00975F8D">
        <w:rPr>
          <w:lang w:val="en-AU"/>
        </w:rPr>
        <w:t>?</w:t>
      </w:r>
    </w:p>
    <w:p w14:paraId="62982EE5" w14:textId="42075B87" w:rsidR="002F5891" w:rsidRPr="00975F8D" w:rsidRDefault="00CB7211" w:rsidP="000665BB">
      <w:pPr>
        <w:pStyle w:val="Heading2"/>
      </w:pPr>
      <w:r w:rsidRPr="00975F8D">
        <w:t>4</w:t>
      </w:r>
      <w:r w:rsidR="000665BB" w:rsidRPr="00975F8D">
        <w:t>.</w:t>
      </w:r>
      <w:r w:rsidR="00D227FC" w:rsidRPr="00975F8D">
        <w:t xml:space="preserve"> </w:t>
      </w:r>
      <w:r w:rsidR="003A42C3" w:rsidRPr="00975F8D">
        <w:t>Reinterpreti</w:t>
      </w:r>
      <w:r w:rsidR="00216374" w:rsidRPr="00975F8D">
        <w:t>ng</w:t>
      </w:r>
      <w:r w:rsidR="003A42C3" w:rsidRPr="00975F8D">
        <w:t xml:space="preserve"> Formative</w:t>
      </w:r>
      <w:r w:rsidR="00AD0F28" w:rsidRPr="00975F8D">
        <w:t xml:space="preserve"> </w:t>
      </w:r>
      <w:r w:rsidR="003A42C3" w:rsidRPr="00975F8D">
        <w:t>Constructs</w:t>
      </w:r>
      <w:r w:rsidR="00AD0F28" w:rsidRPr="00975F8D">
        <w:t xml:space="preserve"> as Tailored Aggregates</w:t>
      </w:r>
    </w:p>
    <w:p w14:paraId="3B64724F" w14:textId="286D8674" w:rsidR="005F6F2C" w:rsidRPr="00975F8D" w:rsidRDefault="00935742" w:rsidP="007F6E30">
      <w:pPr>
        <w:ind w:firstLine="0"/>
        <w:rPr>
          <w:lang w:val="en-AU"/>
        </w:rPr>
      </w:pPr>
      <w:r>
        <w:t xml:space="preserve">Here I suggest a way of </w:t>
      </w:r>
      <w:r w:rsidRPr="00975F8D">
        <w:t>reconceptualizing</w:t>
      </w:r>
      <w:r w:rsidR="004D6F39" w:rsidRPr="00975F8D">
        <w:t xml:space="preserve"> </w:t>
      </w:r>
      <w:r w:rsidR="00BD5B8B">
        <w:t xml:space="preserve">formatively measured constructs </w:t>
      </w:r>
      <w:r>
        <w:t>that takes care of the worries</w:t>
      </w:r>
      <w:r w:rsidR="004D6F39" w:rsidRPr="00975F8D">
        <w:t xml:space="preserve">. </w:t>
      </w:r>
      <w:r w:rsidR="00AD07CC" w:rsidRPr="00975F8D">
        <w:t>For inspiration</w:t>
      </w:r>
      <w:r w:rsidR="004103FC" w:rsidRPr="00975F8D">
        <w:t xml:space="preserve">, consider </w:t>
      </w:r>
      <w:r w:rsidR="00B4090D" w:rsidRPr="00975F8D">
        <w:t xml:space="preserve">the concept of </w:t>
      </w:r>
      <w:r w:rsidR="00517775">
        <w:rPr>
          <w:i/>
          <w:iCs/>
        </w:rPr>
        <w:t xml:space="preserve">adaptedness </w:t>
      </w:r>
      <w:r w:rsidR="007E5888">
        <w:t xml:space="preserve">(Okasha and Autzen forthcoming) </w:t>
      </w:r>
      <w:r w:rsidR="00B4090D" w:rsidRPr="00975F8D">
        <w:t xml:space="preserve">in </w:t>
      </w:r>
      <w:r w:rsidR="00517775">
        <w:t xml:space="preserve">evolutionary </w:t>
      </w:r>
      <w:r w:rsidR="00B4090D" w:rsidRPr="00975F8D">
        <w:t>biology</w:t>
      </w:r>
      <w:r w:rsidR="007E5888">
        <w:t xml:space="preserve"> (called “fittedness” by Krohs 2022)</w:t>
      </w:r>
      <w:r w:rsidR="00B4090D" w:rsidRPr="00975F8D">
        <w:t xml:space="preserve">. </w:t>
      </w:r>
      <w:r w:rsidR="007E5888">
        <w:t>The idea behind adaptedness or fittedness goes all the way to Darwin</w:t>
      </w:r>
      <w:r w:rsidR="007F6E30">
        <w:t>:</w:t>
      </w:r>
      <w:r w:rsidR="007E5888">
        <w:t xml:space="preserve"> organisms </w:t>
      </w:r>
      <w:r w:rsidR="007F6E30">
        <w:t xml:space="preserve">and their traits </w:t>
      </w:r>
      <w:r w:rsidR="007E5888">
        <w:t>appear well</w:t>
      </w:r>
      <w:r w:rsidR="00A41E59">
        <w:t>-</w:t>
      </w:r>
      <w:r w:rsidR="007E5888">
        <w:t xml:space="preserve">adapted to their </w:t>
      </w:r>
      <w:r w:rsidR="007F6E30">
        <w:t>environment;</w:t>
      </w:r>
      <w:r w:rsidR="007E5888">
        <w:t xml:space="preserve"> they are “fit” to the “conditions of life”. </w:t>
      </w:r>
      <w:r w:rsidR="007F6E30">
        <w:t xml:space="preserve">We can distinguish two notions here, both present in </w:t>
      </w:r>
      <w:r w:rsidR="00985EAC" w:rsidRPr="00975F8D">
        <w:rPr>
          <w:lang w:val="en-AU"/>
        </w:rPr>
        <w:t xml:space="preserve">Darwin’s original </w:t>
      </w:r>
      <w:r w:rsidR="001E151F" w:rsidRPr="00975F8D">
        <w:rPr>
          <w:lang w:val="en-AU"/>
        </w:rPr>
        <w:t>use of “fit”</w:t>
      </w:r>
      <w:r w:rsidR="007F6E30">
        <w:rPr>
          <w:lang w:val="en-AU"/>
        </w:rPr>
        <w:t xml:space="preserve"> (Krohs</w:t>
      </w:r>
      <w:r w:rsidR="00FE30F8">
        <w:rPr>
          <w:lang w:val="en-AU"/>
        </w:rPr>
        <w:t xml:space="preserve"> 2022</w:t>
      </w:r>
      <w:r w:rsidR="007F6E30">
        <w:rPr>
          <w:lang w:val="en-AU"/>
        </w:rPr>
        <w:t>)</w:t>
      </w:r>
      <w:r w:rsidR="00985EAC" w:rsidRPr="00975F8D">
        <w:rPr>
          <w:lang w:val="en-AU"/>
        </w:rPr>
        <w:t xml:space="preserve">: </w:t>
      </w:r>
    </w:p>
    <w:p w14:paraId="769EA775" w14:textId="5290F8B6" w:rsidR="004103FC" w:rsidRPr="00975F8D" w:rsidRDefault="005F6F2C" w:rsidP="004103FC">
      <w:pPr>
        <w:rPr>
          <w:lang w:val="en-AU"/>
        </w:rPr>
      </w:pPr>
      <w:r w:rsidRPr="00975F8D">
        <w:rPr>
          <w:lang w:val="en-AU"/>
        </w:rPr>
        <w:t>(</w:t>
      </w:r>
      <w:proofErr w:type="spellStart"/>
      <w:r w:rsidRPr="00975F8D">
        <w:rPr>
          <w:lang w:val="en-AU"/>
        </w:rPr>
        <w:t>i</w:t>
      </w:r>
      <w:proofErr w:type="spellEnd"/>
      <w:r w:rsidRPr="00975F8D">
        <w:rPr>
          <w:lang w:val="en-AU"/>
        </w:rPr>
        <w:t xml:space="preserve">) </w:t>
      </w:r>
      <w:r w:rsidR="00A41E59">
        <w:rPr>
          <w:lang w:val="en-AU"/>
        </w:rPr>
        <w:t xml:space="preserve">organisms’ </w:t>
      </w:r>
      <w:proofErr w:type="spellStart"/>
      <w:r w:rsidR="007F6E30">
        <w:rPr>
          <w:lang w:val="en-AU"/>
        </w:rPr>
        <w:t>adaptedness</w:t>
      </w:r>
      <w:proofErr w:type="spellEnd"/>
      <w:r w:rsidR="007F6E30">
        <w:rPr>
          <w:lang w:val="en-AU"/>
        </w:rPr>
        <w:t xml:space="preserve"> (or </w:t>
      </w:r>
      <w:r w:rsidRPr="00975F8D">
        <w:rPr>
          <w:lang w:val="en-AU"/>
        </w:rPr>
        <w:t>fittedness</w:t>
      </w:r>
      <w:r w:rsidR="007F6E30">
        <w:rPr>
          <w:lang w:val="en-AU"/>
        </w:rPr>
        <w:t>)</w:t>
      </w:r>
      <w:r w:rsidRPr="00975F8D">
        <w:rPr>
          <w:lang w:val="en-AU"/>
        </w:rPr>
        <w:t>:</w:t>
      </w:r>
      <w:r w:rsidR="004103FC" w:rsidRPr="00975F8D">
        <w:rPr>
          <w:lang w:val="en-AU"/>
        </w:rPr>
        <w:t xml:space="preserve"> </w:t>
      </w:r>
      <w:r w:rsidR="001E151F" w:rsidRPr="00975F8D">
        <w:rPr>
          <w:lang w:val="en-AU"/>
        </w:rPr>
        <w:t xml:space="preserve">How well </w:t>
      </w:r>
      <w:r w:rsidR="007F6E30">
        <w:rPr>
          <w:lang w:val="en-AU"/>
        </w:rPr>
        <w:t xml:space="preserve">adapted </w:t>
      </w:r>
      <w:r w:rsidR="00985EAC" w:rsidRPr="00975F8D">
        <w:rPr>
          <w:lang w:val="en-AU"/>
        </w:rPr>
        <w:t xml:space="preserve">or </w:t>
      </w:r>
      <w:r w:rsidR="0011238F" w:rsidRPr="00975F8D">
        <w:rPr>
          <w:lang w:val="en-AU"/>
        </w:rPr>
        <w:t xml:space="preserve">matched </w:t>
      </w:r>
      <w:r w:rsidR="00985EAC" w:rsidRPr="00975F8D">
        <w:rPr>
          <w:lang w:val="en-AU"/>
        </w:rPr>
        <w:t>to its environment</w:t>
      </w:r>
      <w:r w:rsidR="001E151F" w:rsidRPr="00975F8D">
        <w:rPr>
          <w:lang w:val="en-AU"/>
        </w:rPr>
        <w:t xml:space="preserve"> an organism is</w:t>
      </w:r>
      <w:r w:rsidR="00FE30F8">
        <w:rPr>
          <w:lang w:val="en-AU"/>
        </w:rPr>
        <w:t>.</w:t>
      </w:r>
    </w:p>
    <w:p w14:paraId="21F557A6" w14:textId="749AF14C" w:rsidR="004103FC" w:rsidRPr="00975F8D" w:rsidRDefault="004103FC" w:rsidP="005F6F2C">
      <w:pPr>
        <w:ind w:left="340" w:firstLine="0"/>
        <w:rPr>
          <w:lang w:val="en-AU"/>
        </w:rPr>
      </w:pPr>
      <w:r w:rsidRPr="00975F8D">
        <w:rPr>
          <w:lang w:val="en-AU"/>
        </w:rPr>
        <w:t xml:space="preserve">(ii) </w:t>
      </w:r>
      <w:r w:rsidR="005F6F2C" w:rsidRPr="00975F8D">
        <w:rPr>
          <w:lang w:val="en-AU"/>
        </w:rPr>
        <w:t xml:space="preserve">a trait being </w:t>
      </w:r>
      <w:r w:rsidR="007F6E30">
        <w:rPr>
          <w:lang w:val="en-AU"/>
        </w:rPr>
        <w:t>adapted</w:t>
      </w:r>
      <w:r w:rsidR="00FE30F8">
        <w:rPr>
          <w:lang w:val="en-AU"/>
        </w:rPr>
        <w:t>/</w:t>
      </w:r>
      <w:r w:rsidR="005F6F2C" w:rsidRPr="00975F8D">
        <w:rPr>
          <w:lang w:val="en-AU"/>
        </w:rPr>
        <w:t xml:space="preserve">fitted: </w:t>
      </w:r>
      <w:r w:rsidR="001E151F" w:rsidRPr="00975F8D">
        <w:rPr>
          <w:lang w:val="en-AU"/>
        </w:rPr>
        <w:t xml:space="preserve">How well </w:t>
      </w:r>
      <w:r w:rsidR="00FE30F8">
        <w:rPr>
          <w:lang w:val="en-AU"/>
        </w:rPr>
        <w:t>adapted/</w:t>
      </w:r>
      <w:r w:rsidR="001E151F" w:rsidRPr="00975F8D">
        <w:rPr>
          <w:lang w:val="en-AU"/>
        </w:rPr>
        <w:t xml:space="preserve">fitted </w:t>
      </w:r>
      <w:r w:rsidR="005F6F2C" w:rsidRPr="00975F8D">
        <w:rPr>
          <w:lang w:val="en-AU"/>
        </w:rPr>
        <w:t xml:space="preserve">for </w:t>
      </w:r>
      <w:r w:rsidR="001E151F" w:rsidRPr="00975F8D">
        <w:rPr>
          <w:lang w:val="en-AU"/>
        </w:rPr>
        <w:t>achiev</w:t>
      </w:r>
      <w:r w:rsidR="005F6F2C" w:rsidRPr="00975F8D">
        <w:rPr>
          <w:lang w:val="en-AU"/>
        </w:rPr>
        <w:t>ing</w:t>
      </w:r>
      <w:r w:rsidR="001E151F" w:rsidRPr="00975F8D">
        <w:rPr>
          <w:lang w:val="en-AU"/>
        </w:rPr>
        <w:t xml:space="preserve"> an end or perform</w:t>
      </w:r>
      <w:r w:rsidR="005F6F2C" w:rsidRPr="00975F8D">
        <w:rPr>
          <w:lang w:val="en-AU"/>
        </w:rPr>
        <w:t>ing</w:t>
      </w:r>
      <w:r w:rsidR="001E151F" w:rsidRPr="00975F8D">
        <w:rPr>
          <w:lang w:val="en-AU"/>
        </w:rPr>
        <w:t xml:space="preserve"> a function an organism’s trait is</w:t>
      </w:r>
      <w:r w:rsidR="00FE30F8">
        <w:rPr>
          <w:lang w:val="en-AU"/>
        </w:rPr>
        <w:t>.</w:t>
      </w:r>
    </w:p>
    <w:p w14:paraId="532E70EA" w14:textId="4E5A5AD5" w:rsidR="00B37006" w:rsidRPr="00975F8D" w:rsidRDefault="00B37006" w:rsidP="00AD7D0A">
      <w:pPr>
        <w:ind w:firstLine="0"/>
        <w:rPr>
          <w:lang w:val="en-AU"/>
        </w:rPr>
      </w:pPr>
      <w:r w:rsidRPr="00975F8D">
        <w:rPr>
          <w:lang w:val="en-AU"/>
        </w:rPr>
        <w:t>To illustrate</w:t>
      </w:r>
      <w:r w:rsidR="005F3A56" w:rsidRPr="00975F8D">
        <w:rPr>
          <w:lang w:val="en-AU"/>
        </w:rPr>
        <w:t xml:space="preserve">, </w:t>
      </w:r>
      <w:r w:rsidR="00211F21" w:rsidRPr="00975F8D">
        <w:rPr>
          <w:lang w:val="en-AU"/>
        </w:rPr>
        <w:t>(</w:t>
      </w:r>
      <w:proofErr w:type="spellStart"/>
      <w:r w:rsidR="00211F21" w:rsidRPr="00975F8D">
        <w:rPr>
          <w:lang w:val="en-AU"/>
        </w:rPr>
        <w:t>i</w:t>
      </w:r>
      <w:proofErr w:type="spellEnd"/>
      <w:r w:rsidR="00211F21" w:rsidRPr="00975F8D">
        <w:rPr>
          <w:lang w:val="en-AU"/>
        </w:rPr>
        <w:t xml:space="preserve">) </w:t>
      </w:r>
      <w:r w:rsidR="005F3A56" w:rsidRPr="00975F8D">
        <w:rPr>
          <w:lang w:val="en-AU"/>
        </w:rPr>
        <w:t xml:space="preserve">a flying lemur may be better or worse </w:t>
      </w:r>
      <w:r w:rsidR="007F6E30">
        <w:rPr>
          <w:lang w:val="en-AU"/>
        </w:rPr>
        <w:t xml:space="preserve">adapted </w:t>
      </w:r>
      <w:r w:rsidR="005F3A56" w:rsidRPr="00975F8D">
        <w:rPr>
          <w:lang w:val="en-AU"/>
        </w:rPr>
        <w:t xml:space="preserve">to its environment, while </w:t>
      </w:r>
      <w:r w:rsidR="00211F21" w:rsidRPr="00975F8D">
        <w:rPr>
          <w:lang w:val="en-AU"/>
        </w:rPr>
        <w:t xml:space="preserve">(ii) </w:t>
      </w:r>
      <w:r w:rsidR="005F3A56" w:rsidRPr="00975F8D">
        <w:rPr>
          <w:lang w:val="en-AU"/>
        </w:rPr>
        <w:t xml:space="preserve">its </w:t>
      </w:r>
      <w:r w:rsidR="00F45729" w:rsidRPr="00975F8D">
        <w:rPr>
          <w:lang w:val="en-AU"/>
        </w:rPr>
        <w:t>“</w:t>
      </w:r>
      <w:r w:rsidR="005F3A56" w:rsidRPr="00975F8D">
        <w:rPr>
          <w:lang w:val="en-AU"/>
        </w:rPr>
        <w:t>wings</w:t>
      </w:r>
      <w:r w:rsidR="00F45729" w:rsidRPr="00975F8D">
        <w:rPr>
          <w:lang w:val="en-AU"/>
        </w:rPr>
        <w:t>” (patagium)</w:t>
      </w:r>
      <w:r w:rsidR="005F3A56" w:rsidRPr="00975F8D">
        <w:rPr>
          <w:lang w:val="en-AU"/>
        </w:rPr>
        <w:t xml:space="preserve"> may be better or worse </w:t>
      </w:r>
      <w:r w:rsidR="007F6E30">
        <w:rPr>
          <w:lang w:val="en-AU"/>
        </w:rPr>
        <w:t xml:space="preserve">adapted </w:t>
      </w:r>
      <w:r w:rsidR="005F3A56" w:rsidRPr="00975F8D">
        <w:rPr>
          <w:lang w:val="en-AU"/>
        </w:rPr>
        <w:t xml:space="preserve">for gliding. </w:t>
      </w:r>
    </w:p>
    <w:p w14:paraId="27A6CA9D" w14:textId="6F1F132A" w:rsidR="00F55F16" w:rsidRPr="00975F8D" w:rsidRDefault="005F3A56" w:rsidP="00AD7D0A">
      <w:pPr>
        <w:ind w:firstLine="0"/>
        <w:rPr>
          <w:lang w:val="en-AU"/>
        </w:rPr>
      </w:pPr>
      <w:r w:rsidRPr="00975F8D">
        <w:rPr>
          <w:lang w:val="en-AU"/>
        </w:rPr>
        <w:t>Now, h</w:t>
      </w:r>
      <w:r w:rsidR="005F6F2C" w:rsidRPr="00975F8D">
        <w:rPr>
          <w:lang w:val="en-AU"/>
        </w:rPr>
        <w:t xml:space="preserve">ow </w:t>
      </w:r>
      <w:r w:rsidR="007F6E30">
        <w:rPr>
          <w:lang w:val="en-AU"/>
        </w:rPr>
        <w:t xml:space="preserve">adapted </w:t>
      </w:r>
      <w:r w:rsidR="00AD07CC" w:rsidRPr="00975F8D">
        <w:rPr>
          <w:lang w:val="en-AU"/>
        </w:rPr>
        <w:t xml:space="preserve">a given </w:t>
      </w:r>
      <w:r w:rsidR="005F6F2C" w:rsidRPr="00975F8D">
        <w:rPr>
          <w:lang w:val="en-AU"/>
        </w:rPr>
        <w:t xml:space="preserve">trait </w:t>
      </w:r>
      <w:r w:rsidR="00AD07CC" w:rsidRPr="00975F8D">
        <w:rPr>
          <w:lang w:val="en-AU"/>
        </w:rPr>
        <w:t xml:space="preserve">is </w:t>
      </w:r>
      <w:r w:rsidR="005F6F2C" w:rsidRPr="00975F8D">
        <w:rPr>
          <w:lang w:val="en-AU"/>
        </w:rPr>
        <w:t xml:space="preserve">depends </w:t>
      </w:r>
      <w:r w:rsidR="00FE4A8E" w:rsidRPr="00975F8D">
        <w:rPr>
          <w:lang w:val="en-AU"/>
        </w:rPr>
        <w:t xml:space="preserve">(in a complex and context-sensitive way) </w:t>
      </w:r>
      <w:r w:rsidR="005F6F2C" w:rsidRPr="00975F8D">
        <w:rPr>
          <w:lang w:val="en-AU"/>
        </w:rPr>
        <w:t xml:space="preserve">on </w:t>
      </w:r>
      <w:r w:rsidR="00AD07CC" w:rsidRPr="00975F8D">
        <w:rPr>
          <w:lang w:val="en-AU"/>
        </w:rPr>
        <w:t xml:space="preserve">its </w:t>
      </w:r>
      <w:r w:rsidR="00211F21" w:rsidRPr="00975F8D">
        <w:rPr>
          <w:lang w:val="en-AU"/>
        </w:rPr>
        <w:t xml:space="preserve">internal </w:t>
      </w:r>
      <w:r w:rsidR="005F6F2C" w:rsidRPr="00975F8D">
        <w:rPr>
          <w:lang w:val="en-AU"/>
        </w:rPr>
        <w:t xml:space="preserve">features and the environment. </w:t>
      </w:r>
      <w:r w:rsidRPr="00975F8D">
        <w:rPr>
          <w:lang w:val="en-AU"/>
        </w:rPr>
        <w:t>In turn, a</w:t>
      </w:r>
      <w:r w:rsidR="00055E1B" w:rsidRPr="00975F8D">
        <w:rPr>
          <w:lang w:val="en-AU"/>
        </w:rPr>
        <w:t>n organism’</w:t>
      </w:r>
      <w:r w:rsidRPr="00975F8D">
        <w:rPr>
          <w:lang w:val="en-AU"/>
        </w:rPr>
        <w:t>s</w:t>
      </w:r>
      <w:r w:rsidR="00055E1B" w:rsidRPr="00975F8D">
        <w:rPr>
          <w:lang w:val="en-AU"/>
        </w:rPr>
        <w:t xml:space="preserve"> </w:t>
      </w:r>
      <w:r w:rsidR="007F6E30">
        <w:rPr>
          <w:lang w:val="en-AU"/>
        </w:rPr>
        <w:t xml:space="preserve">adaptedness </w:t>
      </w:r>
      <w:r w:rsidR="00055E1B" w:rsidRPr="00975F8D">
        <w:rPr>
          <w:lang w:val="en-AU"/>
        </w:rPr>
        <w:t xml:space="preserve">depends on how </w:t>
      </w:r>
      <w:r w:rsidR="007F6E30">
        <w:rPr>
          <w:lang w:val="en-AU"/>
        </w:rPr>
        <w:t xml:space="preserve">adapted </w:t>
      </w:r>
      <w:r w:rsidR="00055E1B" w:rsidRPr="00975F8D">
        <w:rPr>
          <w:lang w:val="en-AU"/>
        </w:rPr>
        <w:t xml:space="preserve">its </w:t>
      </w:r>
      <w:r w:rsidR="00F55F16" w:rsidRPr="00975F8D">
        <w:rPr>
          <w:lang w:val="en-AU"/>
        </w:rPr>
        <w:t xml:space="preserve">various </w:t>
      </w:r>
      <w:r w:rsidR="00055E1B" w:rsidRPr="00975F8D">
        <w:rPr>
          <w:lang w:val="en-AU"/>
        </w:rPr>
        <w:t>traits are</w:t>
      </w:r>
      <w:r w:rsidR="00F55F16" w:rsidRPr="00975F8D">
        <w:rPr>
          <w:lang w:val="en-AU"/>
        </w:rPr>
        <w:t xml:space="preserve">. </w:t>
      </w:r>
      <w:r w:rsidR="0011238F" w:rsidRPr="00975F8D">
        <w:rPr>
          <w:lang w:val="en-AU"/>
        </w:rPr>
        <w:t xml:space="preserve">In this sense, </w:t>
      </w:r>
      <w:r w:rsidR="007F6E30">
        <w:rPr>
          <w:lang w:val="en-AU"/>
        </w:rPr>
        <w:t xml:space="preserve">adaptedness </w:t>
      </w:r>
      <w:r w:rsidR="00847A99" w:rsidRPr="00975F8D">
        <w:rPr>
          <w:lang w:val="en-AU"/>
        </w:rPr>
        <w:t>is an aggregate construct</w:t>
      </w:r>
      <w:r w:rsidR="00AD07CC" w:rsidRPr="00975F8D">
        <w:rPr>
          <w:rStyle w:val="FootnoteReference"/>
          <w:lang w:val="en-AU"/>
        </w:rPr>
        <w:footnoteReference w:id="7"/>
      </w:r>
      <w:r w:rsidRPr="00975F8D">
        <w:rPr>
          <w:lang w:val="en-AU"/>
        </w:rPr>
        <w:t>—</w:t>
      </w:r>
      <w:r w:rsidR="00B20682" w:rsidRPr="00975F8D">
        <w:rPr>
          <w:lang w:val="en-AU"/>
        </w:rPr>
        <w:t xml:space="preserve">it’s the </w:t>
      </w:r>
      <w:r w:rsidR="0011238F" w:rsidRPr="00975F8D">
        <w:rPr>
          <w:i/>
          <w:iCs/>
          <w:lang w:val="en-AU"/>
        </w:rPr>
        <w:t xml:space="preserve">overall </w:t>
      </w:r>
      <w:r w:rsidR="007F6E30">
        <w:rPr>
          <w:lang w:val="en-AU"/>
        </w:rPr>
        <w:t xml:space="preserve">match </w:t>
      </w:r>
      <w:r w:rsidR="00AD07CC" w:rsidRPr="00975F8D">
        <w:rPr>
          <w:lang w:val="en-AU"/>
        </w:rPr>
        <w:t>of an organism</w:t>
      </w:r>
      <w:r w:rsidR="007F6E30">
        <w:rPr>
          <w:lang w:val="en-AU"/>
        </w:rPr>
        <w:t xml:space="preserve"> to its environment</w:t>
      </w:r>
      <w:r w:rsidR="00F55F16" w:rsidRPr="00975F8D">
        <w:rPr>
          <w:lang w:val="en-AU"/>
        </w:rPr>
        <w:t>.</w:t>
      </w:r>
    </w:p>
    <w:p w14:paraId="575F4311" w14:textId="41C08327" w:rsidR="00F55F16" w:rsidRPr="00975F8D" w:rsidRDefault="00A41E59" w:rsidP="00AD7D0A">
      <w:pPr>
        <w:ind w:firstLine="0"/>
        <w:rPr>
          <w:lang w:val="en-AU"/>
        </w:rPr>
      </w:pPr>
      <w:r>
        <w:rPr>
          <w:lang w:val="en-AU"/>
        </w:rPr>
        <w:t>Yet, w</w:t>
      </w:r>
      <w:r w:rsidR="00AD7D0A" w:rsidRPr="00975F8D">
        <w:t xml:space="preserve">hat is the overarching principle </w:t>
      </w:r>
      <w:r w:rsidR="00847A99" w:rsidRPr="00975F8D">
        <w:t xml:space="preserve">of </w:t>
      </w:r>
      <w:r w:rsidR="00AD7D0A" w:rsidRPr="00975F8D">
        <w:t>aggregati</w:t>
      </w:r>
      <w:r w:rsidR="00847A99" w:rsidRPr="00975F8D">
        <w:t>on</w:t>
      </w:r>
      <w:r w:rsidR="00AD7D0A" w:rsidRPr="00975F8D">
        <w:t>?</w:t>
      </w:r>
      <w:r w:rsidR="00AE141D" w:rsidRPr="00975F8D">
        <w:rPr>
          <w:lang w:val="en-AU"/>
        </w:rPr>
        <w:t xml:space="preserve"> How are</w:t>
      </w:r>
      <w:r w:rsidR="00AD07CC" w:rsidRPr="00975F8D">
        <w:rPr>
          <w:lang w:val="en-AU"/>
        </w:rPr>
        <w:t xml:space="preserve"> (say)</w:t>
      </w:r>
      <w:r w:rsidR="00AE141D" w:rsidRPr="00975F8D">
        <w:rPr>
          <w:lang w:val="en-AU"/>
        </w:rPr>
        <w:t xml:space="preserve"> size of </w:t>
      </w:r>
      <w:r w:rsidR="00F45729" w:rsidRPr="00975F8D">
        <w:rPr>
          <w:lang w:val="en-AU"/>
        </w:rPr>
        <w:t>“</w:t>
      </w:r>
      <w:r w:rsidR="00AE141D" w:rsidRPr="00975F8D">
        <w:rPr>
          <w:lang w:val="en-AU"/>
        </w:rPr>
        <w:t>wings</w:t>
      </w:r>
      <w:r w:rsidR="00F45729" w:rsidRPr="00975F8D">
        <w:rPr>
          <w:lang w:val="en-AU"/>
        </w:rPr>
        <w:t>”</w:t>
      </w:r>
      <w:r w:rsidR="00AE141D" w:rsidRPr="00975F8D">
        <w:rPr>
          <w:lang w:val="en-AU"/>
        </w:rPr>
        <w:t xml:space="preserve">, </w:t>
      </w:r>
      <w:r w:rsidR="00F45729" w:rsidRPr="00975F8D">
        <w:rPr>
          <w:lang w:val="en-AU"/>
        </w:rPr>
        <w:t xml:space="preserve">nocturnal </w:t>
      </w:r>
      <w:r w:rsidR="00AE141D" w:rsidRPr="00975F8D">
        <w:rPr>
          <w:lang w:val="en-AU"/>
        </w:rPr>
        <w:t>vision</w:t>
      </w:r>
      <w:r w:rsidR="00F45729" w:rsidRPr="00975F8D">
        <w:rPr>
          <w:lang w:val="en-AU"/>
        </w:rPr>
        <w:t xml:space="preserve">, </w:t>
      </w:r>
      <w:r w:rsidR="00847A99" w:rsidRPr="00975F8D">
        <w:rPr>
          <w:lang w:val="en-AU"/>
        </w:rPr>
        <w:t xml:space="preserve">the </w:t>
      </w:r>
      <w:r w:rsidR="00F45729" w:rsidRPr="00975F8D">
        <w:rPr>
          <w:lang w:val="en-AU"/>
        </w:rPr>
        <w:t xml:space="preserve">camouflage </w:t>
      </w:r>
      <w:r w:rsidR="00847A99" w:rsidRPr="00975F8D">
        <w:rPr>
          <w:lang w:val="en-AU"/>
        </w:rPr>
        <w:t>performance</w:t>
      </w:r>
      <w:r w:rsidR="00F45729" w:rsidRPr="00975F8D">
        <w:rPr>
          <w:lang w:val="en-AU"/>
        </w:rPr>
        <w:t xml:space="preserve"> of the </w:t>
      </w:r>
      <w:r w:rsidR="00847A99" w:rsidRPr="00975F8D">
        <w:rPr>
          <w:lang w:val="en-AU"/>
        </w:rPr>
        <w:t xml:space="preserve">mottled </w:t>
      </w:r>
      <w:r w:rsidR="00F45729" w:rsidRPr="00975F8D">
        <w:rPr>
          <w:lang w:val="en-AU"/>
        </w:rPr>
        <w:t>fur</w:t>
      </w:r>
      <w:r w:rsidR="00AE141D" w:rsidRPr="00975F8D">
        <w:rPr>
          <w:lang w:val="en-AU"/>
        </w:rPr>
        <w:t>, etc.</w:t>
      </w:r>
      <w:r w:rsidR="00847A99" w:rsidRPr="00975F8D">
        <w:rPr>
          <w:lang w:val="en-AU"/>
        </w:rPr>
        <w:t>,</w:t>
      </w:r>
      <w:r w:rsidR="00AE141D" w:rsidRPr="00975F8D">
        <w:rPr>
          <w:lang w:val="en-AU"/>
        </w:rPr>
        <w:t xml:space="preserve"> </w:t>
      </w:r>
      <w:r w:rsidR="00847A99" w:rsidRPr="00975F8D">
        <w:rPr>
          <w:lang w:val="en-AU"/>
        </w:rPr>
        <w:t>“</w:t>
      </w:r>
      <w:r w:rsidR="00AE141D" w:rsidRPr="00975F8D">
        <w:rPr>
          <w:lang w:val="en-AU"/>
        </w:rPr>
        <w:t>combined</w:t>
      </w:r>
      <w:r w:rsidR="00847A99" w:rsidRPr="00975F8D">
        <w:rPr>
          <w:lang w:val="en-AU"/>
        </w:rPr>
        <w:t>”</w:t>
      </w:r>
      <w:r w:rsidR="00AE141D" w:rsidRPr="00975F8D">
        <w:rPr>
          <w:lang w:val="en-AU"/>
        </w:rPr>
        <w:t xml:space="preserve"> to make up a</w:t>
      </w:r>
      <w:r w:rsidR="00B37006" w:rsidRPr="00975F8D">
        <w:rPr>
          <w:lang w:val="en-AU"/>
        </w:rPr>
        <w:t xml:space="preserve"> flying lemur’s</w:t>
      </w:r>
      <w:r w:rsidR="00AE141D" w:rsidRPr="00975F8D">
        <w:rPr>
          <w:lang w:val="en-AU"/>
        </w:rPr>
        <w:t xml:space="preserve"> overall degree of </w:t>
      </w:r>
      <w:r w:rsidR="00FE30F8">
        <w:rPr>
          <w:lang w:val="en-AU"/>
        </w:rPr>
        <w:t>adaptedness</w:t>
      </w:r>
      <w:r w:rsidR="00AE141D" w:rsidRPr="00975F8D">
        <w:rPr>
          <w:lang w:val="en-AU"/>
        </w:rPr>
        <w:t>?</w:t>
      </w:r>
      <w:r w:rsidR="00A24E71" w:rsidRPr="00975F8D">
        <w:rPr>
          <w:lang w:val="en-AU"/>
        </w:rPr>
        <w:t xml:space="preserve"> Without an answer, we shouldn’t pretend to have </w:t>
      </w:r>
      <w:r w:rsidR="00A24E71" w:rsidRPr="00975F8D">
        <w:rPr>
          <w:lang w:val="en-AU"/>
        </w:rPr>
        <w:lastRenderedPageBreak/>
        <w:t xml:space="preserve">reasonably specified what we mean by </w:t>
      </w:r>
      <w:r>
        <w:rPr>
          <w:lang w:val="en-AU"/>
        </w:rPr>
        <w:t>adaptedness</w:t>
      </w:r>
      <w:r w:rsidR="00B20682" w:rsidRPr="00975F8D">
        <w:rPr>
          <w:lang w:val="en-AU"/>
        </w:rPr>
        <w:t>.</w:t>
      </w:r>
      <w:r w:rsidR="00A24E71" w:rsidRPr="00975F8D">
        <w:rPr>
          <w:lang w:val="en-AU"/>
        </w:rPr>
        <w:t xml:space="preserve"> </w:t>
      </w:r>
      <w:r w:rsidR="00B20682" w:rsidRPr="00975F8D">
        <w:rPr>
          <w:lang w:val="en-AU"/>
        </w:rPr>
        <w:t>W</w:t>
      </w:r>
      <w:r w:rsidR="00A24E71" w:rsidRPr="00975F8D">
        <w:rPr>
          <w:lang w:val="en-AU"/>
        </w:rPr>
        <w:t>e</w:t>
      </w:r>
      <w:r w:rsidR="00F55F16" w:rsidRPr="00975F8D">
        <w:rPr>
          <w:lang w:val="en-AU"/>
        </w:rPr>
        <w:t xml:space="preserve"> cannot</w:t>
      </w:r>
      <w:r w:rsidR="00A24E71" w:rsidRPr="00975F8D">
        <w:rPr>
          <w:lang w:val="en-AU"/>
        </w:rPr>
        <w:t xml:space="preserve"> </w:t>
      </w:r>
      <w:r w:rsidR="00B37006" w:rsidRPr="00975F8D">
        <w:rPr>
          <w:lang w:val="en-AU"/>
        </w:rPr>
        <w:t xml:space="preserve">just </w:t>
      </w:r>
      <w:r w:rsidR="00B20682" w:rsidRPr="00975F8D">
        <w:rPr>
          <w:lang w:val="en-AU"/>
        </w:rPr>
        <w:t xml:space="preserve">hire </w:t>
      </w:r>
      <w:r w:rsidR="00A24E71" w:rsidRPr="00975F8D">
        <w:rPr>
          <w:lang w:val="en-AU"/>
        </w:rPr>
        <w:t xml:space="preserve">the predicate “overall” </w:t>
      </w:r>
      <w:r w:rsidR="00F55F16" w:rsidRPr="00975F8D">
        <w:rPr>
          <w:lang w:val="en-AU"/>
        </w:rPr>
        <w:t xml:space="preserve">to </w:t>
      </w:r>
      <w:r w:rsidR="00B37006" w:rsidRPr="00975F8D">
        <w:rPr>
          <w:lang w:val="en-AU"/>
        </w:rPr>
        <w:t xml:space="preserve">do the work of </w:t>
      </w:r>
      <w:r w:rsidR="00F55F16" w:rsidRPr="00975F8D">
        <w:rPr>
          <w:lang w:val="en-AU"/>
        </w:rPr>
        <w:t>clar</w:t>
      </w:r>
      <w:r w:rsidR="00B37006" w:rsidRPr="00975F8D">
        <w:rPr>
          <w:lang w:val="en-AU"/>
        </w:rPr>
        <w:t>ifying</w:t>
      </w:r>
      <w:r w:rsidR="00F55F16" w:rsidRPr="00975F8D">
        <w:rPr>
          <w:lang w:val="en-AU"/>
        </w:rPr>
        <w:t xml:space="preserve"> the </w:t>
      </w:r>
      <w:r w:rsidR="00A24E71" w:rsidRPr="00975F8D">
        <w:rPr>
          <w:lang w:val="en-AU"/>
        </w:rPr>
        <w:t>aggregation principle</w:t>
      </w:r>
      <w:r w:rsidR="00F55F16" w:rsidRPr="00975F8D">
        <w:rPr>
          <w:lang w:val="en-AU"/>
        </w:rPr>
        <w:t>—</w:t>
      </w:r>
      <w:r w:rsidR="00762F83" w:rsidRPr="00975F8D">
        <w:rPr>
          <w:lang w:val="en-AU"/>
        </w:rPr>
        <w:t>not</w:t>
      </w:r>
      <w:r w:rsidR="003802B0" w:rsidRPr="00975F8D">
        <w:rPr>
          <w:lang w:val="en-AU"/>
        </w:rPr>
        <w:t xml:space="preserve"> for </w:t>
      </w:r>
      <w:r w:rsidR="00F55F16" w:rsidRPr="00975F8D">
        <w:rPr>
          <w:i/>
          <w:iCs/>
        </w:rPr>
        <w:t>overall cognitive-personality functioning</w:t>
      </w:r>
      <w:r w:rsidR="00F55F16" w:rsidRPr="00975F8D">
        <w:t xml:space="preserve">, </w:t>
      </w:r>
      <w:r w:rsidR="00762F83" w:rsidRPr="00975F8D">
        <w:t xml:space="preserve">not </w:t>
      </w:r>
      <w:r w:rsidR="00F55F16" w:rsidRPr="00975F8D">
        <w:t>here</w:t>
      </w:r>
      <w:r w:rsidR="00A24E71" w:rsidRPr="00975F8D">
        <w:rPr>
          <w:lang w:val="en-AU"/>
        </w:rPr>
        <w:t>.</w:t>
      </w:r>
    </w:p>
    <w:p w14:paraId="2F2F1B11" w14:textId="27BDDB38" w:rsidR="000F67DE" w:rsidRPr="00975F8D" w:rsidRDefault="00FE30F8" w:rsidP="003E7C29">
      <w:pPr>
        <w:ind w:firstLine="0"/>
        <w:rPr>
          <w:lang w:val="en-AU"/>
        </w:rPr>
      </w:pPr>
      <w:r>
        <w:rPr>
          <w:lang w:val="en-AU"/>
        </w:rPr>
        <w:t xml:space="preserve">If (following </w:t>
      </w:r>
      <w:r w:rsidR="003E3E82" w:rsidRPr="00975F8D">
        <w:rPr>
          <w:lang w:val="en-AU"/>
        </w:rPr>
        <w:t>Krohs</w:t>
      </w:r>
      <w:r>
        <w:rPr>
          <w:lang w:val="en-AU"/>
        </w:rPr>
        <w:t xml:space="preserve"> 2022</w:t>
      </w:r>
      <w:r w:rsidR="003E3E82" w:rsidRPr="00975F8D">
        <w:rPr>
          <w:lang w:val="en-AU"/>
        </w:rPr>
        <w:t xml:space="preserve">) </w:t>
      </w:r>
      <w:r>
        <w:rPr>
          <w:lang w:val="en-AU"/>
        </w:rPr>
        <w:t xml:space="preserve">we </w:t>
      </w:r>
      <w:r w:rsidR="005A1E4A">
        <w:rPr>
          <w:lang w:val="en-AU"/>
        </w:rPr>
        <w:t xml:space="preserve">understand adaptedness </w:t>
      </w:r>
      <w:r w:rsidR="00A41E59">
        <w:rPr>
          <w:lang w:val="en-AU"/>
        </w:rPr>
        <w:t xml:space="preserve">(fittedness) </w:t>
      </w:r>
      <w:r w:rsidR="005A1E4A">
        <w:rPr>
          <w:lang w:val="en-AU"/>
        </w:rPr>
        <w:t xml:space="preserve">as including only viability (and excluding </w:t>
      </w:r>
      <w:r w:rsidR="000F67DE" w:rsidRPr="00975F8D">
        <w:rPr>
          <w:lang w:val="en-AU"/>
        </w:rPr>
        <w:t>fecundity</w:t>
      </w:r>
      <w:r w:rsidR="005A1E4A">
        <w:rPr>
          <w:lang w:val="en-AU"/>
        </w:rPr>
        <w:t>)</w:t>
      </w:r>
      <w:r w:rsidR="000F67DE" w:rsidRPr="00975F8D">
        <w:rPr>
          <w:lang w:val="en-AU"/>
        </w:rPr>
        <w:t xml:space="preserve"> </w:t>
      </w:r>
      <w:r w:rsidR="00F55F16" w:rsidRPr="00975F8D">
        <w:rPr>
          <w:lang w:val="en-AU"/>
        </w:rPr>
        <w:t>considerations</w:t>
      </w:r>
      <w:r w:rsidR="003E3E82" w:rsidRPr="00975F8D">
        <w:rPr>
          <w:lang w:val="en-AU"/>
        </w:rPr>
        <w:t>, a</w:t>
      </w:r>
      <w:r w:rsidR="008B489E" w:rsidRPr="00975F8D">
        <w:rPr>
          <w:lang w:val="en-AU"/>
        </w:rPr>
        <w:t xml:space="preserve"> natural suggestion is to </w:t>
      </w:r>
      <w:r w:rsidR="00AD07CC" w:rsidRPr="00975F8D">
        <w:rPr>
          <w:lang w:val="en-AU"/>
        </w:rPr>
        <w:t xml:space="preserve">combine traits in terms of </w:t>
      </w:r>
      <w:r w:rsidR="009851A2" w:rsidRPr="00975F8D">
        <w:rPr>
          <w:lang w:val="en-AU"/>
        </w:rPr>
        <w:t xml:space="preserve">their relation to </w:t>
      </w:r>
      <w:r w:rsidR="003802B0" w:rsidRPr="00975F8D">
        <w:rPr>
          <w:lang w:val="en-AU"/>
        </w:rPr>
        <w:t>survival</w:t>
      </w:r>
      <w:r w:rsidR="008B489E" w:rsidRPr="00975F8D">
        <w:rPr>
          <w:lang w:val="en-AU"/>
        </w:rPr>
        <w:t xml:space="preserve">. </w:t>
      </w:r>
      <w:r w:rsidR="009851A2" w:rsidRPr="00975F8D">
        <w:rPr>
          <w:lang w:val="en-AU"/>
        </w:rPr>
        <w:t xml:space="preserve">That is, </w:t>
      </w:r>
      <w:r w:rsidR="000F67DE" w:rsidRPr="00975F8D">
        <w:rPr>
          <w:lang w:val="en-AU"/>
        </w:rPr>
        <w:t xml:space="preserve">the </w:t>
      </w:r>
      <w:r w:rsidR="003802B0" w:rsidRPr="00975F8D">
        <w:rPr>
          <w:lang w:val="en-AU"/>
        </w:rPr>
        <w:t xml:space="preserve">suggested </w:t>
      </w:r>
      <w:r w:rsidR="000F67DE" w:rsidRPr="00975F8D">
        <w:rPr>
          <w:lang w:val="en-AU"/>
        </w:rPr>
        <w:t>aggregation principle give</w:t>
      </w:r>
      <w:r w:rsidR="003802B0" w:rsidRPr="00975F8D">
        <w:rPr>
          <w:lang w:val="en-AU"/>
        </w:rPr>
        <w:t>s</w:t>
      </w:r>
      <w:r w:rsidR="000F67DE" w:rsidRPr="00975F8D">
        <w:rPr>
          <w:lang w:val="en-AU"/>
        </w:rPr>
        <w:t xml:space="preserve"> </w:t>
      </w:r>
      <w:r w:rsidR="00F45729" w:rsidRPr="00975F8D">
        <w:rPr>
          <w:lang w:val="en-AU"/>
        </w:rPr>
        <w:t xml:space="preserve">weight </w:t>
      </w:r>
      <w:r w:rsidR="000F67DE" w:rsidRPr="00975F8D">
        <w:rPr>
          <w:lang w:val="en-AU"/>
        </w:rPr>
        <w:t xml:space="preserve">to </w:t>
      </w:r>
      <w:r w:rsidR="00F45729" w:rsidRPr="00975F8D">
        <w:rPr>
          <w:lang w:val="en-AU"/>
        </w:rPr>
        <w:t>traits (</w:t>
      </w:r>
      <w:proofErr w:type="gramStart"/>
      <w:r w:rsidR="00F45729" w:rsidRPr="00975F8D">
        <w:rPr>
          <w:lang w:val="en-AU"/>
        </w:rPr>
        <w:t xml:space="preserve">in </w:t>
      </w:r>
      <w:r w:rsidR="00AD07CC" w:rsidRPr="00975F8D">
        <w:rPr>
          <w:lang w:val="en-AU"/>
        </w:rPr>
        <w:t xml:space="preserve">a </w:t>
      </w:r>
      <w:r w:rsidR="00F45729" w:rsidRPr="00975F8D">
        <w:rPr>
          <w:lang w:val="en-AU"/>
        </w:rPr>
        <w:t>given</w:t>
      </w:r>
      <w:proofErr w:type="gramEnd"/>
      <w:r w:rsidR="00F45729" w:rsidRPr="00975F8D">
        <w:rPr>
          <w:lang w:val="en-AU"/>
        </w:rPr>
        <w:t xml:space="preserve"> environment) </w:t>
      </w:r>
      <w:r w:rsidR="003802B0" w:rsidRPr="00975F8D">
        <w:rPr>
          <w:lang w:val="en-AU"/>
        </w:rPr>
        <w:t>according to</w:t>
      </w:r>
      <w:r w:rsidR="00F45729" w:rsidRPr="00975F8D">
        <w:rPr>
          <w:lang w:val="en-AU"/>
        </w:rPr>
        <w:t xml:space="preserve"> </w:t>
      </w:r>
      <w:r w:rsidR="00B37006" w:rsidRPr="00975F8D">
        <w:rPr>
          <w:lang w:val="en-AU"/>
        </w:rPr>
        <w:t xml:space="preserve">the </w:t>
      </w:r>
      <w:r w:rsidR="00F45729" w:rsidRPr="00975F8D">
        <w:rPr>
          <w:lang w:val="en-AU"/>
        </w:rPr>
        <w:t>survival rates</w:t>
      </w:r>
      <w:r w:rsidR="003802B0" w:rsidRPr="00975F8D">
        <w:rPr>
          <w:lang w:val="en-AU"/>
        </w:rPr>
        <w:t xml:space="preserve"> they </w:t>
      </w:r>
      <w:r w:rsidR="00B37006" w:rsidRPr="00975F8D">
        <w:rPr>
          <w:lang w:val="en-AU"/>
        </w:rPr>
        <w:t>correlate with</w:t>
      </w:r>
      <w:r w:rsidR="00A24E71" w:rsidRPr="00975F8D">
        <w:rPr>
          <w:lang w:val="en-AU"/>
        </w:rPr>
        <w:t>.</w:t>
      </w:r>
      <w:r w:rsidR="009851A2" w:rsidRPr="00975F8D">
        <w:rPr>
          <w:lang w:val="en-AU"/>
        </w:rPr>
        <w:t xml:space="preserve"> </w:t>
      </w:r>
      <w:r w:rsidR="000F67DE" w:rsidRPr="00975F8D">
        <w:rPr>
          <w:lang w:val="en-AU"/>
        </w:rPr>
        <w:t xml:space="preserve">“Overall” gets specified here as “overall relative to </w:t>
      </w:r>
      <w:r w:rsidR="003802B0" w:rsidRPr="00975F8D">
        <w:rPr>
          <w:lang w:val="en-AU"/>
        </w:rPr>
        <w:t xml:space="preserve">predicting </w:t>
      </w:r>
      <w:r w:rsidR="000F67DE" w:rsidRPr="00975F8D">
        <w:rPr>
          <w:lang w:val="en-AU"/>
        </w:rPr>
        <w:t xml:space="preserve">survival”. </w:t>
      </w:r>
    </w:p>
    <w:p w14:paraId="35D1A82F" w14:textId="33861028" w:rsidR="003E7C29" w:rsidRPr="00975F8D" w:rsidRDefault="003E7C29" w:rsidP="003E7C29">
      <w:pPr>
        <w:ind w:firstLine="0"/>
        <w:rPr>
          <w:lang w:val="en-AU"/>
        </w:rPr>
      </w:pPr>
      <w:r w:rsidRPr="00975F8D">
        <w:rPr>
          <w:lang w:val="en-AU"/>
        </w:rPr>
        <w:t>This, I hope, start</w:t>
      </w:r>
      <w:r w:rsidR="000F67DE" w:rsidRPr="00975F8D">
        <w:rPr>
          <w:lang w:val="en-AU"/>
        </w:rPr>
        <w:t>s</w:t>
      </w:r>
      <w:r w:rsidRPr="00975F8D">
        <w:rPr>
          <w:lang w:val="en-AU"/>
        </w:rPr>
        <w:t xml:space="preserve"> to look </w:t>
      </w:r>
      <w:r w:rsidR="003E3E82" w:rsidRPr="00975F8D">
        <w:rPr>
          <w:lang w:val="en-AU"/>
        </w:rPr>
        <w:t>familiar</w:t>
      </w:r>
      <w:r w:rsidRPr="00975F8D">
        <w:rPr>
          <w:lang w:val="en-AU"/>
        </w:rPr>
        <w:t>. Recall Heise’s (1972) point that the resulting measure of the formatively measured construct is the composite “</w:t>
      </w:r>
      <w:r w:rsidRPr="00975F8D">
        <w:t>that best predicts the dependent variable” used as criterion</w:t>
      </w:r>
      <w:r w:rsidR="00F65C96" w:rsidRPr="00975F8D">
        <w:t>.</w:t>
      </w:r>
      <w:r w:rsidRPr="00975F8D">
        <w:t xml:space="preserve"> </w:t>
      </w:r>
      <w:r w:rsidR="00A93BB5" w:rsidRPr="00975F8D">
        <w:t xml:space="preserve">Likewise, </w:t>
      </w:r>
      <w:r w:rsidR="009851A2" w:rsidRPr="00975F8D">
        <w:t xml:space="preserve">per the </w:t>
      </w:r>
      <w:r w:rsidR="00A24E71" w:rsidRPr="00975F8D">
        <w:t>suggestion just given</w:t>
      </w:r>
      <w:r w:rsidR="009851A2" w:rsidRPr="00975F8D">
        <w:t>,</w:t>
      </w:r>
      <w:r w:rsidR="00A24E71" w:rsidRPr="00975F8D">
        <w:t xml:space="preserve"> we can estimate an</w:t>
      </w:r>
      <w:r w:rsidR="009A58C7" w:rsidRPr="00975F8D">
        <w:t xml:space="preserve"> organism’s </w:t>
      </w:r>
      <w:r w:rsidR="00FE30F8">
        <w:t xml:space="preserve">adaptedness </w:t>
      </w:r>
      <w:r w:rsidR="009A58C7" w:rsidRPr="00975F8D">
        <w:t>given its traits by regressing survival</w:t>
      </w:r>
      <w:r w:rsidR="00A24E71" w:rsidRPr="00975F8D">
        <w:t xml:space="preserve"> (the dependent variable)</w:t>
      </w:r>
      <w:r w:rsidR="00026F20" w:rsidRPr="00975F8D">
        <w:t xml:space="preserve"> on the traits (the </w:t>
      </w:r>
      <w:r w:rsidR="00026F20" w:rsidRPr="00975F8D">
        <w:rPr>
          <w:i/>
          <w:iCs/>
        </w:rPr>
        <w:t>x</w:t>
      </w:r>
      <w:r w:rsidR="00026F20" w:rsidRPr="00975F8D">
        <w:t>’s)</w:t>
      </w:r>
      <w:r w:rsidR="00782348" w:rsidRPr="00975F8D">
        <w:t>—</w:t>
      </w:r>
      <w:r w:rsidR="009A58C7" w:rsidRPr="00975F8D">
        <w:t xml:space="preserve">the resulting composite is that which best predicts </w:t>
      </w:r>
      <w:r w:rsidR="00A93BB5" w:rsidRPr="00975F8D">
        <w:t>survival.</w:t>
      </w:r>
      <w:r w:rsidR="00A93BB5" w:rsidRPr="00975F8D">
        <w:rPr>
          <w:rStyle w:val="FootnoteReference"/>
        </w:rPr>
        <w:footnoteReference w:id="8"/>
      </w:r>
      <w:r w:rsidR="009A58C7" w:rsidRPr="00975F8D">
        <w:t xml:space="preserve"> </w:t>
      </w:r>
      <w:r w:rsidR="00F65C96" w:rsidRPr="00975F8D">
        <w:t>T</w:t>
      </w:r>
      <w:r w:rsidRPr="00975F8D">
        <w:t xml:space="preserve">he </w:t>
      </w:r>
      <w:r w:rsidR="00026F20" w:rsidRPr="00975F8D">
        <w:t xml:space="preserve">associated </w:t>
      </w:r>
      <w:r w:rsidRPr="00975F8D">
        <w:t xml:space="preserve">worry </w:t>
      </w:r>
      <w:r w:rsidR="000F67DE" w:rsidRPr="00975F8D">
        <w:t xml:space="preserve">back then </w:t>
      </w:r>
      <w:r w:rsidRPr="00975F8D">
        <w:t>was that</w:t>
      </w:r>
      <w:r w:rsidR="003E3E82" w:rsidRPr="00975F8D">
        <w:t>,</w:t>
      </w:r>
      <w:r w:rsidRPr="00975F8D">
        <w:t xml:space="preserve"> if we change the criterion, we change the composite</w:t>
      </w:r>
      <w:r w:rsidR="00D27933" w:rsidRPr="00975F8D">
        <w:t xml:space="preserve"> (because the weights change)</w:t>
      </w:r>
      <w:r w:rsidRPr="00975F8D">
        <w:t xml:space="preserve">. </w:t>
      </w:r>
      <w:r w:rsidR="00F65C96" w:rsidRPr="00975F8D">
        <w:t xml:space="preserve">What looked like a bug </w:t>
      </w:r>
      <w:r w:rsidR="003E3E82" w:rsidRPr="00975F8D">
        <w:t xml:space="preserve">reappears now </w:t>
      </w:r>
      <w:r w:rsidR="00F65C96" w:rsidRPr="00975F8D">
        <w:t xml:space="preserve">as a desirable feature: </w:t>
      </w:r>
      <w:r w:rsidR="00D27933" w:rsidRPr="00975F8D">
        <w:t>since</w:t>
      </w:r>
      <w:r w:rsidR="003E3E82" w:rsidRPr="00975F8D">
        <w:t xml:space="preserve"> </w:t>
      </w:r>
      <w:r w:rsidR="00F65C96" w:rsidRPr="00975F8D">
        <w:t xml:space="preserve">the principle </w:t>
      </w:r>
      <w:r w:rsidR="00D27933" w:rsidRPr="00975F8D">
        <w:t xml:space="preserve">for </w:t>
      </w:r>
      <w:r w:rsidR="00F65C96" w:rsidRPr="00975F8D">
        <w:t>aggregati</w:t>
      </w:r>
      <w:r w:rsidR="00D27933" w:rsidRPr="00975F8D">
        <w:t>ng components</w:t>
      </w:r>
      <w:r w:rsidR="003E3E82" w:rsidRPr="00975F8D">
        <w:t xml:space="preserve"> is how predictive of the criterion the components are, a change in the criterion </w:t>
      </w:r>
      <w:r w:rsidR="003E3E82" w:rsidRPr="00975F8D">
        <w:rPr>
          <w:i/>
          <w:iCs/>
        </w:rPr>
        <w:t xml:space="preserve">should </w:t>
      </w:r>
      <w:r w:rsidR="003E3E82" w:rsidRPr="00975F8D">
        <w:t xml:space="preserve">lead to different weights, hence </w:t>
      </w:r>
      <w:r w:rsidR="00D27933" w:rsidRPr="00975F8D">
        <w:t xml:space="preserve">to </w:t>
      </w:r>
      <w:r w:rsidR="003E3E82" w:rsidRPr="00975F8D">
        <w:t>a different composite</w:t>
      </w:r>
      <w:r w:rsidR="00F65C96" w:rsidRPr="00975F8D">
        <w:t xml:space="preserve">. </w:t>
      </w:r>
      <w:r w:rsidR="00026F20" w:rsidRPr="00975F8D">
        <w:t>S</w:t>
      </w:r>
      <w:r w:rsidR="00F65C96" w:rsidRPr="00975F8D">
        <w:t xml:space="preserve">ay, </w:t>
      </w:r>
      <w:r w:rsidR="00026F20" w:rsidRPr="00975F8D">
        <w:t xml:space="preserve">if </w:t>
      </w:r>
      <w:r w:rsidR="00FE30F8">
        <w:t xml:space="preserve">adaptedness </w:t>
      </w:r>
      <w:r w:rsidR="00F65C96" w:rsidRPr="00975F8D">
        <w:t>would be measured not relative to survival but to reproduction, the</w:t>
      </w:r>
      <w:r w:rsidR="00776F21" w:rsidRPr="00975F8D">
        <w:t xml:space="preserve">n </w:t>
      </w:r>
      <w:r w:rsidR="00D27933" w:rsidRPr="00975F8D">
        <w:t>composite score (i.e., its estimated value</w:t>
      </w:r>
      <w:r w:rsidR="000F67DE" w:rsidRPr="00975F8D">
        <w:t xml:space="preserve"> given the traits</w:t>
      </w:r>
      <w:r w:rsidR="00D27933" w:rsidRPr="00975F8D">
        <w:t xml:space="preserve">) </w:t>
      </w:r>
      <w:r w:rsidR="00776F21" w:rsidRPr="00975F8D">
        <w:t xml:space="preserve">would </w:t>
      </w:r>
      <w:r w:rsidR="003E3E82" w:rsidRPr="00975F8D">
        <w:t xml:space="preserve">be </w:t>
      </w:r>
      <w:r w:rsidR="00776F21" w:rsidRPr="00975F8D">
        <w:t>different</w:t>
      </w:r>
      <w:r w:rsidR="00D27933" w:rsidRPr="00975F8D">
        <w:t>—the predictive value of the size of “wings” relative to nocturnal vision need not be the same for surviv</w:t>
      </w:r>
      <w:r w:rsidR="00026F20" w:rsidRPr="00975F8D">
        <w:t>al</w:t>
      </w:r>
      <w:r w:rsidR="00D27933" w:rsidRPr="00975F8D">
        <w:t xml:space="preserve"> than for reproduction, </w:t>
      </w:r>
      <w:r w:rsidR="003E3E82" w:rsidRPr="00975F8D">
        <w:t>just like in Markus and Borsboom’s example of changing the dependent variable</w:t>
      </w:r>
      <w:r w:rsidR="00D27933" w:rsidRPr="00975F8D">
        <w:t xml:space="preserve"> when formatively measuring </w:t>
      </w:r>
      <w:r w:rsidR="00D27933" w:rsidRPr="00975F8D">
        <w:rPr>
          <w:i/>
          <w:iCs/>
        </w:rPr>
        <w:t>SES</w:t>
      </w:r>
      <w:r w:rsidR="00776F21" w:rsidRPr="00975F8D">
        <w:t xml:space="preserve">. So, </w:t>
      </w:r>
      <w:r w:rsidR="00D27933" w:rsidRPr="00975F8D">
        <w:t xml:space="preserve">once </w:t>
      </w:r>
      <w:r w:rsidR="00776F21" w:rsidRPr="00975F8D">
        <w:t>we understand that the formative measure is an aggregate</w:t>
      </w:r>
      <w:r w:rsidR="00D27933" w:rsidRPr="00975F8D">
        <w:t>, which</w:t>
      </w:r>
      <w:r w:rsidR="004F6993" w:rsidRPr="00975F8D">
        <w:t>—</w:t>
      </w:r>
      <w:r w:rsidR="00776F21" w:rsidRPr="00975F8D">
        <w:t>as any aggregate</w:t>
      </w:r>
      <w:r w:rsidR="004F6993" w:rsidRPr="00975F8D">
        <w:t>—</w:t>
      </w:r>
      <w:r w:rsidR="00776F21" w:rsidRPr="00975F8D">
        <w:t>requires some principle for combin</w:t>
      </w:r>
      <w:r w:rsidR="00D27933" w:rsidRPr="00975F8D">
        <w:t>ing</w:t>
      </w:r>
      <w:r w:rsidR="00776F21" w:rsidRPr="00975F8D">
        <w:t xml:space="preserve"> the components, then the worry about unstable empirical meaning </w:t>
      </w:r>
      <w:r w:rsidR="004F6993" w:rsidRPr="00975F8D">
        <w:t>is no longer a worry</w:t>
      </w:r>
      <w:r w:rsidR="000F67DE" w:rsidRPr="00975F8D">
        <w:t xml:space="preserve">: it’s </w:t>
      </w:r>
      <w:r w:rsidR="004F6993" w:rsidRPr="00975F8D">
        <w:t>just a reminder that aggregating relative to X is not the same as aggregating relative to Y</w:t>
      </w:r>
      <w:r w:rsidR="00776F21" w:rsidRPr="00975F8D">
        <w:t>.</w:t>
      </w:r>
    </w:p>
    <w:p w14:paraId="68B917A4" w14:textId="2FBDE9E9" w:rsidR="00090723" w:rsidRPr="00975F8D" w:rsidRDefault="001868A5" w:rsidP="00090723">
      <w:pPr>
        <w:ind w:firstLine="0"/>
        <w:rPr>
          <w:lang w:val="en-AU"/>
        </w:rPr>
      </w:pPr>
      <w:r w:rsidRPr="00975F8D">
        <w:rPr>
          <w:lang w:val="en-AU"/>
        </w:rPr>
        <w:t xml:space="preserve">What about </w:t>
      </w:r>
      <w:r w:rsidR="00776F21" w:rsidRPr="00975F8D">
        <w:rPr>
          <w:lang w:val="en-AU"/>
        </w:rPr>
        <w:t xml:space="preserve">the internal coherence </w:t>
      </w:r>
      <w:r w:rsidR="00B17009" w:rsidRPr="00975F8D">
        <w:rPr>
          <w:lang w:val="en-AU"/>
        </w:rPr>
        <w:t>worry</w:t>
      </w:r>
      <w:r w:rsidRPr="00975F8D">
        <w:rPr>
          <w:lang w:val="en-AU"/>
        </w:rPr>
        <w:t>?</w:t>
      </w:r>
      <w:r w:rsidR="00776F21" w:rsidRPr="00975F8D">
        <w:rPr>
          <w:lang w:val="en-AU"/>
        </w:rPr>
        <w:t xml:space="preserve"> </w:t>
      </w:r>
      <w:r w:rsidR="00A5302F">
        <w:rPr>
          <w:lang w:val="en-AU"/>
        </w:rPr>
        <w:t xml:space="preserve">Before trying to apply </w:t>
      </w:r>
      <w:proofErr w:type="gramStart"/>
      <w:r w:rsidR="00A5302F">
        <w:rPr>
          <w:i/>
          <w:iCs/>
          <w:lang w:val="en-AU"/>
        </w:rPr>
        <w:t>Non-Ambiguity</w:t>
      </w:r>
      <w:proofErr w:type="gramEnd"/>
      <w:r w:rsidR="00A5302F">
        <w:rPr>
          <w:i/>
          <w:iCs/>
          <w:lang w:val="en-AU"/>
        </w:rPr>
        <w:t xml:space="preserve">, </w:t>
      </w:r>
      <w:r w:rsidR="00A5302F">
        <w:rPr>
          <w:lang w:val="en-AU"/>
        </w:rPr>
        <w:t>l</w:t>
      </w:r>
      <w:r w:rsidR="00776F21" w:rsidRPr="00975F8D">
        <w:rPr>
          <w:lang w:val="en-AU"/>
        </w:rPr>
        <w:t xml:space="preserve">et’s think </w:t>
      </w:r>
      <w:r w:rsidR="00B17009" w:rsidRPr="00975F8D">
        <w:rPr>
          <w:lang w:val="en-AU"/>
        </w:rPr>
        <w:t xml:space="preserve">what role this aggregate concept of </w:t>
      </w:r>
      <w:r w:rsidR="00FE30F8">
        <w:rPr>
          <w:lang w:val="en-AU"/>
        </w:rPr>
        <w:t xml:space="preserve">adaptedness </w:t>
      </w:r>
      <w:r w:rsidR="00B17009" w:rsidRPr="00975F8D">
        <w:rPr>
          <w:lang w:val="en-AU"/>
        </w:rPr>
        <w:t>may play</w:t>
      </w:r>
      <w:r w:rsidR="00776F21" w:rsidRPr="00975F8D">
        <w:rPr>
          <w:lang w:val="en-AU"/>
        </w:rPr>
        <w:t xml:space="preserve">. </w:t>
      </w:r>
      <w:r w:rsidRPr="00975F8D">
        <w:rPr>
          <w:lang w:val="en-AU"/>
        </w:rPr>
        <w:t xml:space="preserve">First, </w:t>
      </w:r>
      <w:r w:rsidR="00FE30F8">
        <w:rPr>
          <w:lang w:val="en-AU"/>
        </w:rPr>
        <w:t>some</w:t>
      </w:r>
      <w:r w:rsidR="00FE30F8" w:rsidRPr="00975F8D">
        <w:rPr>
          <w:lang w:val="en-AU"/>
        </w:rPr>
        <w:t xml:space="preserve"> </w:t>
      </w:r>
      <w:r w:rsidR="00FE30F8">
        <w:rPr>
          <w:lang w:val="en-AU"/>
        </w:rPr>
        <w:t>have</w:t>
      </w:r>
      <w:r w:rsidR="00FE30F8" w:rsidRPr="00975F8D">
        <w:rPr>
          <w:lang w:val="en-AU"/>
        </w:rPr>
        <w:t xml:space="preserve"> </w:t>
      </w:r>
      <w:r w:rsidR="00EB7F3B" w:rsidRPr="00975F8D">
        <w:rPr>
          <w:lang w:val="en-AU"/>
        </w:rPr>
        <w:t xml:space="preserve">considered </w:t>
      </w:r>
      <w:r w:rsidR="00FE30F8">
        <w:rPr>
          <w:lang w:val="en-AU"/>
        </w:rPr>
        <w:t xml:space="preserve">it </w:t>
      </w:r>
      <w:r w:rsidR="00EB7F3B" w:rsidRPr="00975F8D">
        <w:rPr>
          <w:lang w:val="en-AU"/>
        </w:rPr>
        <w:t xml:space="preserve">as </w:t>
      </w:r>
      <w:r w:rsidR="00F74AE3" w:rsidRPr="00975F8D">
        <w:rPr>
          <w:lang w:val="en-AU"/>
        </w:rPr>
        <w:t>a</w:t>
      </w:r>
      <w:r w:rsidR="00B17009" w:rsidRPr="00975F8D">
        <w:rPr>
          <w:lang w:val="en-AU"/>
        </w:rPr>
        <w:t xml:space="preserve">n </w:t>
      </w:r>
      <w:r w:rsidR="00B17009" w:rsidRPr="00975F8D">
        <w:rPr>
          <w:i/>
          <w:iCs/>
          <w:lang w:val="en-AU"/>
        </w:rPr>
        <w:t>explanans</w:t>
      </w:r>
      <w:r w:rsidR="00B17009" w:rsidRPr="00975F8D">
        <w:rPr>
          <w:lang w:val="en-AU"/>
        </w:rPr>
        <w:t xml:space="preserve"> </w:t>
      </w:r>
      <w:r w:rsidRPr="00975F8D">
        <w:rPr>
          <w:lang w:val="en-AU"/>
        </w:rPr>
        <w:t xml:space="preserve">at the population level </w:t>
      </w:r>
      <w:r w:rsidR="00B17009" w:rsidRPr="00975F8D">
        <w:rPr>
          <w:lang w:val="en-AU"/>
        </w:rPr>
        <w:t>or at least</w:t>
      </w:r>
      <w:r w:rsidR="00F74AE3" w:rsidRPr="00975F8D">
        <w:rPr>
          <w:lang w:val="en-AU"/>
        </w:rPr>
        <w:t xml:space="preserve"> </w:t>
      </w:r>
      <w:r w:rsidRPr="00975F8D">
        <w:rPr>
          <w:lang w:val="en-AU"/>
        </w:rPr>
        <w:t xml:space="preserve">as a </w:t>
      </w:r>
      <w:r w:rsidR="00090723" w:rsidRPr="00975F8D">
        <w:rPr>
          <w:lang w:val="en-AU"/>
        </w:rPr>
        <w:t xml:space="preserve">predictive </w:t>
      </w:r>
      <w:r w:rsidR="00EB7F3B" w:rsidRPr="00975F8D">
        <w:rPr>
          <w:lang w:val="en-AU"/>
        </w:rPr>
        <w:t xml:space="preserve">variable </w:t>
      </w:r>
      <w:r w:rsidR="00B17009" w:rsidRPr="00975F8D">
        <w:rPr>
          <w:lang w:val="en-AU"/>
        </w:rPr>
        <w:t xml:space="preserve">of evolutionary outcomes </w:t>
      </w:r>
      <w:r w:rsidR="00EB7F3B" w:rsidRPr="00975F8D">
        <w:rPr>
          <w:lang w:val="en-AU"/>
        </w:rPr>
        <w:t xml:space="preserve">(e.g., </w:t>
      </w:r>
      <w:r w:rsidR="00DE4AFE" w:rsidRPr="00975F8D">
        <w:rPr>
          <w:lang w:val="en-AU"/>
        </w:rPr>
        <w:lastRenderedPageBreak/>
        <w:t>organisms</w:t>
      </w:r>
      <w:r w:rsidR="00B17009" w:rsidRPr="00975F8D">
        <w:rPr>
          <w:lang w:val="en-AU"/>
        </w:rPr>
        <w:t>’</w:t>
      </w:r>
      <w:r w:rsidR="00DE4AFE" w:rsidRPr="00975F8D">
        <w:rPr>
          <w:lang w:val="en-AU"/>
        </w:rPr>
        <w:t xml:space="preserve"> </w:t>
      </w:r>
      <w:r w:rsidR="00FE30F8">
        <w:rPr>
          <w:lang w:val="en-AU"/>
        </w:rPr>
        <w:t xml:space="preserve">adaptedness </w:t>
      </w:r>
      <w:r w:rsidR="00250086" w:rsidRPr="00975F8D">
        <w:rPr>
          <w:lang w:val="en-AU"/>
        </w:rPr>
        <w:t xml:space="preserve">may </w:t>
      </w:r>
      <w:r w:rsidRPr="00975F8D">
        <w:rPr>
          <w:lang w:val="en-AU"/>
        </w:rPr>
        <w:t>explain/</w:t>
      </w:r>
      <w:r w:rsidR="00B04019" w:rsidRPr="00975F8D">
        <w:rPr>
          <w:lang w:val="en-AU"/>
        </w:rPr>
        <w:t xml:space="preserve">predict </w:t>
      </w:r>
      <w:r w:rsidR="00DE4AFE" w:rsidRPr="00975F8D">
        <w:rPr>
          <w:lang w:val="en-AU"/>
        </w:rPr>
        <w:t xml:space="preserve">the </w:t>
      </w:r>
      <w:r w:rsidR="00B04019" w:rsidRPr="00975F8D">
        <w:rPr>
          <w:lang w:val="en-AU"/>
        </w:rPr>
        <w:t>survival of lineage</w:t>
      </w:r>
      <w:r w:rsidR="00B17009" w:rsidRPr="00975F8D">
        <w:rPr>
          <w:lang w:val="en-AU"/>
        </w:rPr>
        <w:t>s</w:t>
      </w:r>
      <w:r w:rsidR="00EB7F3B" w:rsidRPr="00975F8D">
        <w:rPr>
          <w:lang w:val="en-AU"/>
        </w:rPr>
        <w:t>)</w:t>
      </w:r>
      <w:r w:rsidR="00762F83" w:rsidRPr="00975F8D">
        <w:rPr>
          <w:lang w:val="en-AU"/>
        </w:rPr>
        <w:t xml:space="preserve"> (Krohs 2022, 7)</w:t>
      </w:r>
      <w:r w:rsidR="00B04019" w:rsidRPr="00975F8D">
        <w:rPr>
          <w:lang w:val="en-AU"/>
        </w:rPr>
        <w:t>.</w:t>
      </w:r>
      <w:r w:rsidR="00FE30F8">
        <w:rPr>
          <w:rStyle w:val="FootnoteReference"/>
          <w:lang w:val="en-AU"/>
        </w:rPr>
        <w:footnoteReference w:id="9"/>
      </w:r>
      <w:r w:rsidR="003802B0" w:rsidRPr="00975F8D">
        <w:rPr>
          <w:lang w:val="en-AU"/>
        </w:rPr>
        <w:t xml:space="preserve"> </w:t>
      </w:r>
      <w:r w:rsidR="00776F21" w:rsidRPr="00975F8D">
        <w:rPr>
          <w:lang w:val="en-AU"/>
        </w:rPr>
        <w:t xml:space="preserve">Secondly, </w:t>
      </w:r>
      <w:r w:rsidR="00450B5A" w:rsidRPr="00975F8D">
        <w:rPr>
          <w:lang w:val="en-AU"/>
        </w:rPr>
        <w:t xml:space="preserve">Darwin’s </w:t>
      </w:r>
      <w:r w:rsidR="00EB7F3B" w:rsidRPr="00975F8D">
        <w:rPr>
          <w:lang w:val="en-AU"/>
        </w:rPr>
        <w:t>observ</w:t>
      </w:r>
      <w:r w:rsidR="00450B5A" w:rsidRPr="00975F8D">
        <w:rPr>
          <w:lang w:val="en-AU"/>
        </w:rPr>
        <w:t>ation that</w:t>
      </w:r>
      <w:r w:rsidR="00EB7F3B" w:rsidRPr="00975F8D">
        <w:rPr>
          <w:lang w:val="en-AU"/>
        </w:rPr>
        <w:t xml:space="preserve"> organisms</w:t>
      </w:r>
      <w:r w:rsidR="00776F21" w:rsidRPr="00975F8D">
        <w:rPr>
          <w:lang w:val="en-AU"/>
        </w:rPr>
        <w:t xml:space="preserve"> </w:t>
      </w:r>
      <w:r w:rsidR="00450B5A" w:rsidRPr="00975F8D">
        <w:rPr>
          <w:lang w:val="en-AU"/>
        </w:rPr>
        <w:t xml:space="preserve">are remarkably </w:t>
      </w:r>
      <w:r w:rsidR="00FE30F8">
        <w:rPr>
          <w:lang w:val="en-AU"/>
        </w:rPr>
        <w:t>adapted</w:t>
      </w:r>
      <w:r w:rsidR="00EB7F3B" w:rsidRPr="00975F8D">
        <w:rPr>
          <w:lang w:val="en-AU"/>
        </w:rPr>
        <w:t xml:space="preserve"> to their environment has been thought as </w:t>
      </w:r>
      <w:r w:rsidR="00450B5A" w:rsidRPr="00975F8D">
        <w:rPr>
          <w:lang w:val="en-AU"/>
        </w:rPr>
        <w:t xml:space="preserve">an important </w:t>
      </w:r>
      <w:r w:rsidR="00450B5A" w:rsidRPr="00975F8D">
        <w:rPr>
          <w:i/>
          <w:iCs/>
          <w:lang w:val="en-AU"/>
        </w:rPr>
        <w:t>explanandum</w:t>
      </w:r>
      <w:r w:rsidR="00776F21" w:rsidRPr="00975F8D">
        <w:rPr>
          <w:lang w:val="en-AU"/>
        </w:rPr>
        <w:t>.</w:t>
      </w:r>
      <w:r w:rsidR="008640FC" w:rsidRPr="00975F8D">
        <w:rPr>
          <w:lang w:val="en-AU"/>
        </w:rPr>
        <w:t xml:space="preserve"> </w:t>
      </w:r>
      <w:r w:rsidR="00B00D04" w:rsidRPr="00975F8D">
        <w:rPr>
          <w:lang w:val="en-AU"/>
        </w:rPr>
        <w:t>As Okasha and Autzen (</w:t>
      </w:r>
      <w:r w:rsidR="00D8666B">
        <w:rPr>
          <w:lang w:val="en-AU"/>
        </w:rPr>
        <w:t>forthcoming</w:t>
      </w:r>
      <w:r w:rsidR="00B00D04" w:rsidRPr="00975F8D">
        <w:rPr>
          <w:lang w:val="en-AU"/>
        </w:rPr>
        <w:t xml:space="preserve">., sect 3.4) argue, </w:t>
      </w:r>
      <w:r w:rsidR="008640FC" w:rsidRPr="00975F8D">
        <w:rPr>
          <w:lang w:val="en-AU"/>
        </w:rPr>
        <w:t xml:space="preserve">one </w:t>
      </w:r>
      <w:r w:rsidR="008640FC" w:rsidRPr="001777A6">
        <w:rPr>
          <w:i/>
          <w:iCs/>
          <w:lang w:val="en-AU"/>
        </w:rPr>
        <w:t>can</w:t>
      </w:r>
      <w:r w:rsidR="008640FC" w:rsidRPr="00975F8D">
        <w:rPr>
          <w:lang w:val="en-AU"/>
        </w:rPr>
        <w:t xml:space="preserve"> think of the explanatory task in a piecemeal fashion—as needing to explain why lemurs “wings” are so well fitted to gliding, why the shape and size of this finch</w:t>
      </w:r>
      <w:r w:rsidR="000F67DE" w:rsidRPr="00975F8D">
        <w:rPr>
          <w:lang w:val="en-AU"/>
        </w:rPr>
        <w:t>’s beak</w:t>
      </w:r>
      <w:r w:rsidR="008640FC" w:rsidRPr="00975F8D">
        <w:rPr>
          <w:lang w:val="en-AU"/>
        </w:rPr>
        <w:t xml:space="preserve"> is so well fitted to </w:t>
      </w:r>
      <w:r w:rsidR="00603179" w:rsidRPr="00975F8D">
        <w:rPr>
          <w:lang w:val="en-AU"/>
        </w:rPr>
        <w:t xml:space="preserve">the </w:t>
      </w:r>
      <w:r w:rsidR="008640FC" w:rsidRPr="00975F8D">
        <w:rPr>
          <w:lang w:val="en-AU"/>
        </w:rPr>
        <w:t>types of food</w:t>
      </w:r>
      <w:r w:rsidR="00B17009" w:rsidRPr="00975F8D">
        <w:rPr>
          <w:lang w:val="en-AU"/>
        </w:rPr>
        <w:t xml:space="preserve"> available</w:t>
      </w:r>
      <w:r w:rsidR="00B00D04" w:rsidRPr="00975F8D">
        <w:rPr>
          <w:lang w:val="en-AU"/>
        </w:rPr>
        <w:t xml:space="preserve">, etc;  </w:t>
      </w:r>
      <w:r w:rsidR="008640FC" w:rsidRPr="00975F8D">
        <w:rPr>
          <w:lang w:val="en-AU"/>
        </w:rPr>
        <w:t xml:space="preserve">but this </w:t>
      </w:r>
      <w:r w:rsidR="00B17009" w:rsidRPr="00975F8D">
        <w:rPr>
          <w:lang w:val="en-AU"/>
        </w:rPr>
        <w:t>overlook</w:t>
      </w:r>
      <w:r w:rsidR="00AB7AC1">
        <w:rPr>
          <w:lang w:val="en-AU"/>
        </w:rPr>
        <w:t>s</w:t>
      </w:r>
      <w:r w:rsidR="00B17009" w:rsidRPr="00975F8D">
        <w:rPr>
          <w:lang w:val="en-AU"/>
        </w:rPr>
        <w:t xml:space="preserve"> </w:t>
      </w:r>
      <w:r w:rsidR="008640FC" w:rsidRPr="00975F8D">
        <w:rPr>
          <w:lang w:val="en-AU"/>
        </w:rPr>
        <w:t xml:space="preserve">the </w:t>
      </w:r>
      <w:r w:rsidR="008640FC" w:rsidRPr="00975F8D">
        <w:rPr>
          <w:i/>
          <w:iCs/>
          <w:lang w:val="en-AU"/>
        </w:rPr>
        <w:t>general</w:t>
      </w:r>
      <w:r w:rsidR="008640FC" w:rsidRPr="00975F8D">
        <w:rPr>
          <w:lang w:val="en-AU"/>
        </w:rPr>
        <w:t xml:space="preserve"> character of the phenomenon Darwin was after: that </w:t>
      </w:r>
      <w:r w:rsidR="00494F3A" w:rsidRPr="00975F8D">
        <w:rPr>
          <w:lang w:val="en-AU"/>
        </w:rPr>
        <w:t>natural selection tends to bring about well-fitted organisms in general</w:t>
      </w:r>
      <w:r w:rsidR="00E831C2" w:rsidRPr="00975F8D">
        <w:rPr>
          <w:lang w:val="en-AU"/>
        </w:rPr>
        <w:t xml:space="preserve">. A </w:t>
      </w:r>
      <w:r w:rsidR="00B17009" w:rsidRPr="00975F8D">
        <w:rPr>
          <w:lang w:val="en-AU"/>
        </w:rPr>
        <w:t xml:space="preserve">more general </w:t>
      </w:r>
      <w:r w:rsidR="00E831C2" w:rsidRPr="00975F8D">
        <w:rPr>
          <w:lang w:val="en-AU"/>
        </w:rPr>
        <w:t>concept</w:t>
      </w:r>
      <w:r w:rsidR="00B00D04" w:rsidRPr="00975F8D">
        <w:rPr>
          <w:lang w:val="en-AU"/>
        </w:rPr>
        <w:t>,</w:t>
      </w:r>
      <w:r w:rsidR="00E831C2" w:rsidRPr="00975F8D">
        <w:rPr>
          <w:lang w:val="en-AU"/>
        </w:rPr>
        <w:t xml:space="preserve"> like </w:t>
      </w:r>
      <w:r w:rsidR="00FE30F8">
        <w:rPr>
          <w:lang w:val="en-AU"/>
        </w:rPr>
        <w:t>adaptedness</w:t>
      </w:r>
      <w:r w:rsidR="00B00D04" w:rsidRPr="00975F8D">
        <w:rPr>
          <w:lang w:val="en-AU"/>
        </w:rPr>
        <w:t xml:space="preserve">, </w:t>
      </w:r>
      <w:r w:rsidR="00E831C2" w:rsidRPr="00975F8D">
        <w:rPr>
          <w:lang w:val="en-AU"/>
        </w:rPr>
        <w:t xml:space="preserve">allows us to state the </w:t>
      </w:r>
      <w:r w:rsidR="00E831C2" w:rsidRPr="00975F8D">
        <w:rPr>
          <w:i/>
          <w:iCs/>
          <w:lang w:val="en-AU"/>
        </w:rPr>
        <w:t>explanandum</w:t>
      </w:r>
      <w:r w:rsidR="00E831C2" w:rsidRPr="00975F8D">
        <w:rPr>
          <w:lang w:val="en-AU"/>
        </w:rPr>
        <w:t xml:space="preserve"> in the generality desired</w:t>
      </w:r>
      <w:r w:rsidR="00EB7F3B" w:rsidRPr="00975F8D">
        <w:rPr>
          <w:lang w:val="en-AU"/>
        </w:rPr>
        <w:t>.</w:t>
      </w:r>
    </w:p>
    <w:p w14:paraId="4019422F" w14:textId="027C56D8" w:rsidR="001868A5" w:rsidRPr="00975F8D" w:rsidRDefault="00060188" w:rsidP="00561305">
      <w:pPr>
        <w:ind w:firstLine="0"/>
        <w:rPr>
          <w:lang w:val="en-AU"/>
        </w:rPr>
      </w:pPr>
      <w:r w:rsidRPr="00975F8D">
        <w:rPr>
          <w:lang w:val="en-AU"/>
        </w:rPr>
        <w:t xml:space="preserve">If one thinks of </w:t>
      </w:r>
      <w:r w:rsidR="005A1E4A">
        <w:rPr>
          <w:lang w:val="en-AU"/>
        </w:rPr>
        <w:t>adaptedness</w:t>
      </w:r>
      <w:r w:rsidRPr="00975F8D">
        <w:rPr>
          <w:lang w:val="en-AU"/>
        </w:rPr>
        <w:t xml:space="preserve"> as a kind of overview or summary of how </w:t>
      </w:r>
      <w:r w:rsidR="001777A6">
        <w:rPr>
          <w:lang w:val="en-AU"/>
        </w:rPr>
        <w:t>well-</w:t>
      </w:r>
      <w:r w:rsidR="005A1E4A">
        <w:rPr>
          <w:lang w:val="en-AU"/>
        </w:rPr>
        <w:t xml:space="preserve">adapted </w:t>
      </w:r>
      <w:r w:rsidRPr="00975F8D">
        <w:rPr>
          <w:lang w:val="en-AU"/>
        </w:rPr>
        <w:t xml:space="preserve">organisms are </w:t>
      </w:r>
      <w:r w:rsidR="005A1E4A">
        <w:rPr>
          <w:lang w:val="en-AU"/>
        </w:rPr>
        <w:t>in general</w:t>
      </w:r>
      <w:r w:rsidRPr="00975F8D">
        <w:rPr>
          <w:lang w:val="en-AU"/>
        </w:rPr>
        <w:t xml:space="preserve">—with the important specification, as I’ve suggested, that this summary is </w:t>
      </w:r>
      <w:r w:rsidRPr="00975F8D">
        <w:rPr>
          <w:i/>
          <w:iCs/>
          <w:lang w:val="en-AU"/>
        </w:rPr>
        <w:t xml:space="preserve">constructed relative to </w:t>
      </w:r>
      <w:r w:rsidR="00637F0F" w:rsidRPr="00975F8D">
        <w:rPr>
          <w:i/>
          <w:iCs/>
          <w:lang w:val="en-AU"/>
        </w:rPr>
        <w:t>a unique and well-defined criterion</w:t>
      </w:r>
      <w:r w:rsidR="00637F0F" w:rsidRPr="00975F8D">
        <w:rPr>
          <w:lang w:val="en-AU"/>
        </w:rPr>
        <w:t xml:space="preserve"> (</w:t>
      </w:r>
      <w:r w:rsidRPr="00975F8D">
        <w:rPr>
          <w:lang w:val="en-AU"/>
        </w:rPr>
        <w:t>survival</w:t>
      </w:r>
      <w:r w:rsidR="00637F0F" w:rsidRPr="00975F8D">
        <w:rPr>
          <w:lang w:val="en-AU"/>
        </w:rPr>
        <w:t>)</w:t>
      </w:r>
      <w:r w:rsidRPr="00975F8D">
        <w:rPr>
          <w:lang w:val="en-AU"/>
        </w:rPr>
        <w:t xml:space="preserve">, which is what makes </w:t>
      </w:r>
      <w:r w:rsidR="005A1E4A">
        <w:rPr>
          <w:lang w:val="en-AU"/>
        </w:rPr>
        <w:t xml:space="preserve">adaptedness </w:t>
      </w:r>
      <w:r w:rsidRPr="00975F8D">
        <w:rPr>
          <w:lang w:val="en-AU"/>
        </w:rPr>
        <w:t xml:space="preserve">a determinate construct—it seems intuitive that </w:t>
      </w:r>
      <w:r w:rsidR="005A1E4A">
        <w:rPr>
          <w:lang w:val="en-AU"/>
        </w:rPr>
        <w:t xml:space="preserve">it </w:t>
      </w:r>
      <w:r w:rsidRPr="00975F8D">
        <w:rPr>
          <w:lang w:val="en-AU"/>
        </w:rPr>
        <w:t>isn’t a promising causal variable</w:t>
      </w:r>
      <w:r w:rsidR="00637F0F" w:rsidRPr="00975F8D">
        <w:rPr>
          <w:lang w:val="en-AU"/>
        </w:rPr>
        <w:t>. I</w:t>
      </w:r>
      <w:r w:rsidRPr="00975F8D">
        <w:rPr>
          <w:lang w:val="en-AU"/>
        </w:rPr>
        <w:t xml:space="preserve">t’s </w:t>
      </w:r>
      <w:r w:rsidR="00637F0F" w:rsidRPr="00975F8D">
        <w:rPr>
          <w:lang w:val="en-AU"/>
        </w:rPr>
        <w:t xml:space="preserve">after all </w:t>
      </w:r>
      <w:r w:rsidRPr="00975F8D">
        <w:rPr>
          <w:lang w:val="en-AU"/>
        </w:rPr>
        <w:t>a compression of quite disparate things</w:t>
      </w:r>
      <w:r w:rsidR="00637F0F" w:rsidRPr="00975F8D">
        <w:rPr>
          <w:lang w:val="en-AU"/>
        </w:rPr>
        <w:t>,</w:t>
      </w:r>
      <w:r w:rsidRPr="00975F8D">
        <w:rPr>
          <w:lang w:val="en-AU"/>
        </w:rPr>
        <w:t xml:space="preserve"> weighted in a quite specific, tailored way. But </w:t>
      </w:r>
      <w:proofErr w:type="gramStart"/>
      <w:r w:rsidR="00637F0F" w:rsidRPr="00975F8D">
        <w:rPr>
          <w:lang w:val="en-AU"/>
        </w:rPr>
        <w:t>note</w:t>
      </w:r>
      <w:r w:rsidR="00BE7AA5" w:rsidRPr="00975F8D">
        <w:rPr>
          <w:lang w:val="en-AU"/>
        </w:rPr>
        <w:t>:</w:t>
      </w:r>
      <w:proofErr w:type="gramEnd"/>
      <w:r w:rsidR="00637F0F" w:rsidRPr="00975F8D">
        <w:rPr>
          <w:lang w:val="en-AU"/>
        </w:rPr>
        <w:t xml:space="preserve"> </w:t>
      </w:r>
      <w:r w:rsidR="009F24B9" w:rsidRPr="00975F8D">
        <w:rPr>
          <w:lang w:val="en-AU"/>
        </w:rPr>
        <w:t xml:space="preserve">neither role </w:t>
      </w:r>
      <w:r w:rsidRPr="00975F8D">
        <w:rPr>
          <w:lang w:val="en-AU"/>
        </w:rPr>
        <w:t xml:space="preserve">discussed above </w:t>
      </w:r>
      <w:r w:rsidR="009F24B9" w:rsidRPr="00975F8D">
        <w:rPr>
          <w:lang w:val="en-AU"/>
        </w:rPr>
        <w:t xml:space="preserve">requires </w:t>
      </w:r>
      <w:r w:rsidR="005A1E4A">
        <w:rPr>
          <w:lang w:val="en-AU"/>
        </w:rPr>
        <w:t>adaptedness</w:t>
      </w:r>
      <w:r w:rsidR="005A1E4A" w:rsidRPr="00975F8D">
        <w:rPr>
          <w:lang w:val="en-AU"/>
        </w:rPr>
        <w:t xml:space="preserve"> </w:t>
      </w:r>
      <w:r w:rsidR="009F24B9" w:rsidRPr="00975F8D">
        <w:rPr>
          <w:lang w:val="en-AU"/>
        </w:rPr>
        <w:t xml:space="preserve">to be a </w:t>
      </w:r>
      <w:proofErr w:type="spellStart"/>
      <w:r w:rsidR="009F24B9" w:rsidRPr="00975F8D">
        <w:rPr>
          <w:lang w:val="en-AU"/>
        </w:rPr>
        <w:t>bonafide</w:t>
      </w:r>
      <w:proofErr w:type="spellEnd"/>
      <w:r w:rsidR="009F24B9" w:rsidRPr="00975F8D">
        <w:rPr>
          <w:lang w:val="en-AU"/>
        </w:rPr>
        <w:t xml:space="preserve"> causal variable</w:t>
      </w:r>
      <w:r w:rsidR="00BE7AA5" w:rsidRPr="00975F8D">
        <w:rPr>
          <w:lang w:val="en-AU"/>
        </w:rPr>
        <w:t>.</w:t>
      </w:r>
      <w:r w:rsidRPr="00975F8D">
        <w:rPr>
          <w:lang w:val="en-AU"/>
        </w:rPr>
        <w:t xml:space="preserve"> </w:t>
      </w:r>
      <w:r w:rsidR="00BE7AA5" w:rsidRPr="00975F8D">
        <w:rPr>
          <w:lang w:val="en-AU"/>
        </w:rPr>
        <w:t>I</w:t>
      </w:r>
      <w:r w:rsidRPr="00975F8D">
        <w:rPr>
          <w:lang w:val="en-AU"/>
        </w:rPr>
        <w:t xml:space="preserve">t can </w:t>
      </w:r>
      <w:r w:rsidR="00637F0F" w:rsidRPr="00975F8D">
        <w:rPr>
          <w:lang w:val="en-AU"/>
        </w:rPr>
        <w:t xml:space="preserve">still </w:t>
      </w:r>
      <w:r w:rsidRPr="00975F8D">
        <w:rPr>
          <w:lang w:val="en-AU"/>
        </w:rPr>
        <w:t xml:space="preserve">play a predictive role (if not an explanatory role at a population-level) and it can </w:t>
      </w:r>
      <w:r w:rsidR="00637F0F" w:rsidRPr="00975F8D">
        <w:rPr>
          <w:lang w:val="en-AU"/>
        </w:rPr>
        <w:t xml:space="preserve">still </w:t>
      </w:r>
      <w:r w:rsidRPr="00975F8D">
        <w:rPr>
          <w:lang w:val="en-AU"/>
        </w:rPr>
        <w:t>play the role of being a</w:t>
      </w:r>
      <w:r w:rsidR="00637F0F" w:rsidRPr="00975F8D">
        <w:rPr>
          <w:lang w:val="en-AU"/>
        </w:rPr>
        <w:t xml:space="preserve"> general</w:t>
      </w:r>
      <w:r w:rsidRPr="00975F8D">
        <w:rPr>
          <w:lang w:val="en-AU"/>
        </w:rPr>
        <w:t xml:space="preserve"> effect to be explained</w:t>
      </w:r>
      <w:r w:rsidR="00A5302F">
        <w:rPr>
          <w:lang w:val="en-AU"/>
        </w:rPr>
        <w:t xml:space="preserve"> or predicted</w:t>
      </w:r>
      <w:r w:rsidRPr="00975F8D">
        <w:rPr>
          <w:lang w:val="en-AU"/>
        </w:rPr>
        <w:t xml:space="preserve">. </w:t>
      </w:r>
      <w:r w:rsidR="0030015B" w:rsidRPr="00975F8D">
        <w:rPr>
          <w:lang w:val="en-AU"/>
        </w:rPr>
        <w:t>H</w:t>
      </w:r>
      <w:r w:rsidR="00632C88" w:rsidRPr="00975F8D">
        <w:rPr>
          <w:lang w:val="en-AU"/>
        </w:rPr>
        <w:t xml:space="preserve">ence </w:t>
      </w:r>
      <w:proofErr w:type="gramStart"/>
      <w:r w:rsidR="00632C88" w:rsidRPr="00975F8D">
        <w:rPr>
          <w:i/>
          <w:iCs/>
          <w:lang w:val="en-AU"/>
        </w:rPr>
        <w:t>Non-Ambiguity</w:t>
      </w:r>
      <w:proofErr w:type="gramEnd"/>
      <w:r w:rsidR="00632C88" w:rsidRPr="00975F8D">
        <w:rPr>
          <w:i/>
          <w:iCs/>
          <w:lang w:val="en-AU"/>
        </w:rPr>
        <w:t xml:space="preserve"> </w:t>
      </w:r>
      <w:r w:rsidR="009F24B9" w:rsidRPr="00975F8D">
        <w:rPr>
          <w:lang w:val="en-AU"/>
        </w:rPr>
        <w:t xml:space="preserve">need not be </w:t>
      </w:r>
      <w:r w:rsidR="00632C88" w:rsidRPr="00975F8D">
        <w:rPr>
          <w:lang w:val="en-AU"/>
        </w:rPr>
        <w:t>pertinent as a criterion.</w:t>
      </w:r>
      <w:r w:rsidR="00637F0F" w:rsidRPr="00975F8D">
        <w:rPr>
          <w:lang w:val="en-AU"/>
        </w:rPr>
        <w:t xml:space="preserve"> Moreover, the general worry about heterogeneity </w:t>
      </w:r>
      <w:r w:rsidR="00A5302F">
        <w:rPr>
          <w:lang w:val="en-AU"/>
        </w:rPr>
        <w:t xml:space="preserve">that </w:t>
      </w:r>
      <w:r w:rsidR="00BD5B8B">
        <w:rPr>
          <w:lang w:val="en-AU"/>
        </w:rPr>
        <w:t>underlies</w:t>
      </w:r>
      <w:r w:rsidR="00A5302F">
        <w:rPr>
          <w:lang w:val="en-AU"/>
        </w:rPr>
        <w:t xml:space="preserve"> </w:t>
      </w:r>
      <w:proofErr w:type="gramStart"/>
      <w:r w:rsidR="00A5302F">
        <w:rPr>
          <w:i/>
          <w:iCs/>
          <w:lang w:val="en-AU"/>
        </w:rPr>
        <w:t>Non-Ambiguity</w:t>
      </w:r>
      <w:proofErr w:type="gramEnd"/>
      <w:r w:rsidR="00A5302F">
        <w:rPr>
          <w:i/>
          <w:iCs/>
          <w:lang w:val="en-AU"/>
        </w:rPr>
        <w:t xml:space="preserve"> </w:t>
      </w:r>
      <w:r w:rsidR="00637F0F" w:rsidRPr="00975F8D">
        <w:rPr>
          <w:lang w:val="en-AU"/>
        </w:rPr>
        <w:t>seems addressed</w:t>
      </w:r>
      <w:r w:rsidR="00BE7AA5" w:rsidRPr="00975F8D">
        <w:rPr>
          <w:lang w:val="en-AU"/>
        </w:rPr>
        <w:t xml:space="preserve"> as well</w:t>
      </w:r>
      <w:r w:rsidR="00637F0F" w:rsidRPr="00975F8D">
        <w:rPr>
          <w:lang w:val="en-AU"/>
        </w:rPr>
        <w:t xml:space="preserve">: </w:t>
      </w:r>
      <w:r w:rsidR="005A1E4A">
        <w:rPr>
          <w:lang w:val="en-AU"/>
        </w:rPr>
        <w:t xml:space="preserve">adaptedness </w:t>
      </w:r>
      <w:r w:rsidR="00637F0F" w:rsidRPr="00975F8D">
        <w:rPr>
          <w:lang w:val="en-AU"/>
        </w:rPr>
        <w:t xml:space="preserve">only </w:t>
      </w:r>
      <w:r w:rsidR="00A5302F">
        <w:rPr>
          <w:lang w:val="en-AU"/>
        </w:rPr>
        <w:t xml:space="preserve">apparently </w:t>
      </w:r>
      <w:r w:rsidR="00637F0F" w:rsidRPr="00975F8D">
        <w:rPr>
          <w:lang w:val="en-AU"/>
        </w:rPr>
        <w:t>mix</w:t>
      </w:r>
      <w:r w:rsidR="00BD5B8B">
        <w:rPr>
          <w:lang w:val="en-AU"/>
        </w:rPr>
        <w:t>e</w:t>
      </w:r>
      <w:r w:rsidR="00A5302F">
        <w:rPr>
          <w:lang w:val="en-AU"/>
        </w:rPr>
        <w:t>s</w:t>
      </w:r>
      <w:r w:rsidR="00637F0F" w:rsidRPr="00975F8D">
        <w:rPr>
          <w:lang w:val="en-AU"/>
        </w:rPr>
        <w:t xml:space="preserve"> apples </w:t>
      </w:r>
      <w:r w:rsidR="00EC3376" w:rsidRPr="00975F8D">
        <w:rPr>
          <w:lang w:val="en-AU"/>
        </w:rPr>
        <w:t xml:space="preserve">(wings) </w:t>
      </w:r>
      <w:r w:rsidR="00637F0F" w:rsidRPr="00975F8D">
        <w:rPr>
          <w:lang w:val="en-AU"/>
        </w:rPr>
        <w:t xml:space="preserve">and </w:t>
      </w:r>
      <w:r w:rsidR="00AD0F28" w:rsidRPr="00975F8D">
        <w:rPr>
          <w:lang w:val="en-AU"/>
        </w:rPr>
        <w:t>oranges</w:t>
      </w:r>
      <w:r w:rsidR="00EC3376" w:rsidRPr="00975F8D">
        <w:rPr>
          <w:lang w:val="en-AU"/>
        </w:rPr>
        <w:t xml:space="preserve"> (fur)</w:t>
      </w:r>
      <w:r w:rsidR="00637F0F" w:rsidRPr="00975F8D">
        <w:rPr>
          <w:lang w:val="en-AU"/>
        </w:rPr>
        <w:t xml:space="preserve">, since what’s </w:t>
      </w:r>
      <w:r w:rsidR="00B00D04" w:rsidRPr="00975F8D">
        <w:rPr>
          <w:lang w:val="en-AU"/>
        </w:rPr>
        <w:t xml:space="preserve">being </w:t>
      </w:r>
      <w:r w:rsidR="00EC3376" w:rsidRPr="00975F8D">
        <w:rPr>
          <w:lang w:val="en-AU"/>
        </w:rPr>
        <w:t>combin</w:t>
      </w:r>
      <w:r w:rsidR="00B00D04" w:rsidRPr="00975F8D">
        <w:rPr>
          <w:lang w:val="en-AU"/>
        </w:rPr>
        <w:t>ed</w:t>
      </w:r>
      <w:r w:rsidR="00EC3376" w:rsidRPr="00975F8D">
        <w:rPr>
          <w:lang w:val="en-AU"/>
        </w:rPr>
        <w:t xml:space="preserve"> is the predictive value of each in terms of the same criterion (survival). </w:t>
      </w:r>
    </w:p>
    <w:p w14:paraId="0C5E75BE" w14:textId="771C53B0" w:rsidR="00F663C2" w:rsidRPr="00975F8D" w:rsidRDefault="00A5302F" w:rsidP="0030015B">
      <w:pPr>
        <w:ind w:firstLine="0"/>
      </w:pPr>
      <w:r>
        <w:rPr>
          <w:lang w:val="en-AU"/>
        </w:rPr>
        <w:t>M</w:t>
      </w:r>
      <w:r w:rsidR="00EC3376" w:rsidRPr="00975F8D">
        <w:rPr>
          <w:lang w:val="en-AU"/>
        </w:rPr>
        <w:t xml:space="preserve">ay </w:t>
      </w:r>
      <w:r>
        <w:rPr>
          <w:lang w:val="en-AU"/>
        </w:rPr>
        <w:t xml:space="preserve">we </w:t>
      </w:r>
      <w:r w:rsidR="00EC3376" w:rsidRPr="00975F8D">
        <w:rPr>
          <w:lang w:val="en-AU"/>
        </w:rPr>
        <w:t>be able re-conceptualize some of the troublesome social science constructs we’ve discussed</w:t>
      </w:r>
      <w:r>
        <w:rPr>
          <w:lang w:val="en-AU"/>
        </w:rPr>
        <w:t xml:space="preserve"> similarly?</w:t>
      </w:r>
      <w:r w:rsidR="00EC3376" w:rsidRPr="00975F8D">
        <w:rPr>
          <w:lang w:val="en-AU"/>
        </w:rPr>
        <w:t xml:space="preserve"> T</w:t>
      </w:r>
      <w:r w:rsidR="0030015B" w:rsidRPr="00975F8D">
        <w:rPr>
          <w:lang w:val="en-AU"/>
        </w:rPr>
        <w:t xml:space="preserve">he authors of the </w:t>
      </w:r>
      <w:r w:rsidR="0030015B" w:rsidRPr="00975F8D">
        <w:t>“Cognitive-Personality Functioning Index”</w:t>
      </w:r>
      <w:r w:rsidR="005C6A07" w:rsidRPr="00975F8D">
        <w:t>, for example,</w:t>
      </w:r>
      <w:r w:rsidR="0030015B" w:rsidRPr="00975F8D">
        <w:t xml:space="preserve"> combine</w:t>
      </w:r>
      <w:r w:rsidR="00F663C2" w:rsidRPr="00975F8D">
        <w:t>d the</w:t>
      </w:r>
      <w:r w:rsidR="0030015B" w:rsidRPr="00975F8D">
        <w:t xml:space="preserve"> measures of cognitive skills and of personality </w:t>
      </w:r>
      <w:r w:rsidR="00F663C2" w:rsidRPr="00975F8D">
        <w:t>giving weights according to their judgment of how predictive the various component measures</w:t>
      </w:r>
      <w:r w:rsidR="008319CF">
        <w:t xml:space="preserve"> are</w:t>
      </w:r>
      <w:r w:rsidR="00B00D04" w:rsidRPr="00975F8D">
        <w:t xml:space="preserve">. </w:t>
      </w:r>
      <w:r w:rsidR="005C6A07" w:rsidRPr="00975F8D">
        <w:t>So</w:t>
      </w:r>
      <w:r w:rsidR="008319CF">
        <w:t>,</w:t>
      </w:r>
      <w:r w:rsidR="005C6A07" w:rsidRPr="00975F8D">
        <w:t xml:space="preserve"> they were on to something </w:t>
      </w:r>
      <w:proofErr w:type="gramStart"/>
      <w:r w:rsidR="005C6A07" w:rsidRPr="00975F8D">
        <w:t>similar to</w:t>
      </w:r>
      <w:proofErr w:type="gramEnd"/>
      <w:r w:rsidR="005C6A07" w:rsidRPr="00975F8D">
        <w:t xml:space="preserve"> what I’m suggesting</w:t>
      </w:r>
      <w:r w:rsidR="00995933" w:rsidRPr="00975F8D">
        <w:t>; they used their judgment only because they lacked the data</w:t>
      </w:r>
      <w:r w:rsidR="005C6A07" w:rsidRPr="00975F8D">
        <w:t xml:space="preserve">. </w:t>
      </w:r>
      <w:r w:rsidR="00F663C2" w:rsidRPr="00975F8D">
        <w:t xml:space="preserve">Had they had the data to estimate the weights (vs. give educated guesses) </w:t>
      </w:r>
      <w:r w:rsidR="00F663C2" w:rsidRPr="00975F8D">
        <w:rPr>
          <w:i/>
          <w:iCs/>
        </w:rPr>
        <w:t xml:space="preserve">and </w:t>
      </w:r>
      <w:r w:rsidR="00EC3376" w:rsidRPr="00975F8D">
        <w:t>had they used as criterion</w:t>
      </w:r>
      <w:r w:rsidR="00F663C2" w:rsidRPr="00975F8D">
        <w:t xml:space="preserve"> a single</w:t>
      </w:r>
      <w:r w:rsidR="001777A6">
        <w:t>,</w:t>
      </w:r>
      <w:r w:rsidR="00F663C2" w:rsidRPr="00975F8D">
        <w:t xml:space="preserve"> </w:t>
      </w:r>
      <w:r w:rsidR="00EC3376" w:rsidRPr="00975F8D">
        <w:t xml:space="preserve">well-defined variable </w:t>
      </w:r>
      <w:r w:rsidR="00F663C2" w:rsidRPr="00975F8D">
        <w:t xml:space="preserve">(say, </w:t>
      </w:r>
      <w:r w:rsidR="00EC3376" w:rsidRPr="00975F8D">
        <w:t xml:space="preserve">life </w:t>
      </w:r>
      <w:r w:rsidR="00F663C2" w:rsidRPr="00975F8D">
        <w:t xml:space="preserve">income), </w:t>
      </w:r>
      <w:r w:rsidR="00EC3376" w:rsidRPr="00975F8D">
        <w:t xml:space="preserve">the </w:t>
      </w:r>
      <w:r w:rsidR="005C6A07" w:rsidRPr="00975F8D">
        <w:t xml:space="preserve">two </w:t>
      </w:r>
      <w:r w:rsidR="00EC3376" w:rsidRPr="00975F8D">
        <w:t>worr</w:t>
      </w:r>
      <w:r w:rsidR="005C6A07" w:rsidRPr="00975F8D">
        <w:t>ies</w:t>
      </w:r>
      <w:r w:rsidR="00EC3376" w:rsidRPr="00975F8D">
        <w:t xml:space="preserve"> </w:t>
      </w:r>
      <w:r w:rsidR="005C6A07" w:rsidRPr="00975F8D">
        <w:t xml:space="preserve">would seem </w:t>
      </w:r>
      <w:r w:rsidR="00EC3376" w:rsidRPr="00975F8D">
        <w:t>much less concerning. W</w:t>
      </w:r>
      <w:r w:rsidR="00F663C2" w:rsidRPr="00975F8D">
        <w:t xml:space="preserve">e would have a good grasp of what we mean by </w:t>
      </w:r>
      <w:r w:rsidR="00F663C2" w:rsidRPr="00975F8D">
        <w:rPr>
          <w:i/>
          <w:iCs/>
        </w:rPr>
        <w:t>overall cognitive-personality functioning</w:t>
      </w:r>
      <w:r w:rsidR="00F663C2" w:rsidRPr="00975F8D">
        <w:t xml:space="preserve">—an aggregate variable </w:t>
      </w:r>
      <w:r w:rsidR="00F104A0" w:rsidRPr="00975F8D">
        <w:t xml:space="preserve">with the </w:t>
      </w:r>
      <w:r w:rsidR="00F104A0" w:rsidRPr="00975F8D">
        <w:rPr>
          <w:i/>
          <w:iCs/>
        </w:rPr>
        <w:t>x</w:t>
      </w:r>
      <w:r w:rsidR="00F104A0" w:rsidRPr="00975F8D">
        <w:t xml:space="preserve">’s being cognitive and personality traits, where the </w:t>
      </w:r>
      <w:r w:rsidR="00F104A0" w:rsidRPr="00975F8D">
        <w:lastRenderedPageBreak/>
        <w:t xml:space="preserve">aggregation is done relative to “their predictive contributions” </w:t>
      </w:r>
      <w:r w:rsidR="00060188" w:rsidRPr="00975F8D">
        <w:t xml:space="preserve">(as intended by </w:t>
      </w:r>
      <w:r w:rsidR="00F104A0" w:rsidRPr="00975F8D">
        <w:t xml:space="preserve">Gignac and </w:t>
      </w:r>
      <w:proofErr w:type="spellStart"/>
      <w:r w:rsidR="00F104A0" w:rsidRPr="00975F8D">
        <w:t>Zajenkowski</w:t>
      </w:r>
      <w:proofErr w:type="spellEnd"/>
      <w:r w:rsidR="00F104A0" w:rsidRPr="00975F8D">
        <w:t xml:space="preserve"> 2025, 8) to </w:t>
      </w:r>
      <w:r w:rsidR="00060188" w:rsidRPr="00975F8D">
        <w:t xml:space="preserve">a well-defined concept </w:t>
      </w:r>
      <w:r w:rsidR="00995933" w:rsidRPr="00975F8D">
        <w:t>(</w:t>
      </w:r>
      <w:r>
        <w:t xml:space="preserve">say, </w:t>
      </w:r>
      <w:r w:rsidR="00995933" w:rsidRPr="00975F8D">
        <w:t xml:space="preserve">life </w:t>
      </w:r>
      <w:r w:rsidR="00F104A0" w:rsidRPr="00975F8D">
        <w:t>income</w:t>
      </w:r>
      <w:r w:rsidR="00995933" w:rsidRPr="00975F8D">
        <w:t>)</w:t>
      </w:r>
      <w:r w:rsidR="00F104A0" w:rsidRPr="00975F8D">
        <w:t xml:space="preserve">. </w:t>
      </w:r>
      <w:r w:rsidR="00EC3376" w:rsidRPr="00975F8D">
        <w:t>We can think of concrete measurements of this construct as estima</w:t>
      </w:r>
      <w:r w:rsidR="00FF6CA9" w:rsidRPr="00975F8D">
        <w:t>tes of</w:t>
      </w:r>
      <w:r w:rsidR="00EC3376" w:rsidRPr="00975F8D">
        <w:t xml:space="preserve"> “</w:t>
      </w:r>
      <w:r w:rsidR="00F104A0" w:rsidRPr="00975F8D">
        <w:t xml:space="preserve">expected </w:t>
      </w:r>
      <w:r w:rsidR="00EC3376" w:rsidRPr="00975F8D">
        <w:t xml:space="preserve">life </w:t>
      </w:r>
      <w:r w:rsidR="00F104A0" w:rsidRPr="00975F8D">
        <w:t>income given some salient cognitive and personality traits (in a given environment)</w:t>
      </w:r>
      <w:r w:rsidR="00EC3376" w:rsidRPr="00975F8D">
        <w:t>”</w:t>
      </w:r>
      <w:r w:rsidR="00F104A0" w:rsidRPr="00975F8D">
        <w:t>, just like</w:t>
      </w:r>
      <w:r w:rsidR="00EC3376" w:rsidRPr="00975F8D">
        <w:t xml:space="preserve"> concrete measurements of </w:t>
      </w:r>
      <w:r w:rsidR="005A1E4A" w:rsidRPr="00375F68">
        <w:rPr>
          <w:i/>
          <w:iCs/>
        </w:rPr>
        <w:t>adaptedness</w:t>
      </w:r>
      <w:r w:rsidR="005A1E4A">
        <w:t xml:space="preserve"> </w:t>
      </w:r>
      <w:r w:rsidR="00F104A0" w:rsidRPr="00975F8D">
        <w:t xml:space="preserve">(in my suggestion) </w:t>
      </w:r>
      <w:r w:rsidR="00EC3376" w:rsidRPr="00975F8D">
        <w:t>ca</w:t>
      </w:r>
      <w:r w:rsidR="00FF6CA9" w:rsidRPr="00975F8D">
        <w:t xml:space="preserve">n be thought of as estimates of </w:t>
      </w:r>
      <w:r w:rsidR="00EC3376" w:rsidRPr="00975F8D">
        <w:t>“</w:t>
      </w:r>
      <w:r w:rsidR="00F104A0" w:rsidRPr="00975F8D">
        <w:t>the probability of survival given some salient traits (in a given environment)</w:t>
      </w:r>
      <w:r w:rsidR="00EC3376" w:rsidRPr="00975F8D">
        <w:t>”</w:t>
      </w:r>
      <w:r w:rsidR="00F104A0" w:rsidRPr="00975F8D">
        <w:t>.</w:t>
      </w:r>
    </w:p>
    <w:p w14:paraId="11F1CC4B" w14:textId="572433CC" w:rsidR="005C6A07" w:rsidRPr="00975F8D" w:rsidRDefault="00F104A0" w:rsidP="0030015B">
      <w:pPr>
        <w:ind w:firstLine="0"/>
      </w:pPr>
      <w:r w:rsidRPr="00975F8D">
        <w:t>The point</w:t>
      </w:r>
      <w:r w:rsidR="00A5302F">
        <w:t>, of course,</w:t>
      </w:r>
      <w:r w:rsidRPr="00975F8D">
        <w:t xml:space="preserve"> is not that </w:t>
      </w:r>
      <w:r w:rsidRPr="00975F8D">
        <w:rPr>
          <w:i/>
          <w:iCs/>
        </w:rPr>
        <w:t xml:space="preserve">overall cognitive-personality functioning </w:t>
      </w:r>
      <w:proofErr w:type="gramStart"/>
      <w:r w:rsidR="008319CF">
        <w:t xml:space="preserve">in particular </w:t>
      </w:r>
      <w:r w:rsidRPr="00975F8D">
        <w:t>is</w:t>
      </w:r>
      <w:proofErr w:type="gramEnd"/>
      <w:r w:rsidRPr="00975F8D">
        <w:t xml:space="preserve"> worth having as a construct </w:t>
      </w:r>
      <w:r w:rsidR="00995933" w:rsidRPr="00975F8D">
        <w:t xml:space="preserve">in psychology </w:t>
      </w:r>
      <w:r w:rsidRPr="00975F8D">
        <w:t xml:space="preserve">and worth measuring in this way. </w:t>
      </w:r>
      <w:r w:rsidR="00395726" w:rsidRPr="00975F8D">
        <w:t>(</w:t>
      </w:r>
      <w:r w:rsidRPr="00975F8D">
        <w:t xml:space="preserve">That depends on which role may </w:t>
      </w:r>
      <w:r w:rsidR="00FF6CA9" w:rsidRPr="00975F8D">
        <w:t xml:space="preserve">it </w:t>
      </w:r>
      <w:r w:rsidRPr="00975F8D">
        <w:t>play, among other things.</w:t>
      </w:r>
      <w:r w:rsidR="005C6A07" w:rsidRPr="00975F8D">
        <w:t xml:space="preserve"> Can it play interesting explanatory and predictive roles?</w:t>
      </w:r>
      <w:r w:rsidR="00395726" w:rsidRPr="00975F8D">
        <w:t>)</w:t>
      </w:r>
      <w:r w:rsidRPr="00975F8D">
        <w:t xml:space="preserve"> The point is that the two worries faced by formatively measured constructs discussed above </w:t>
      </w:r>
      <w:r w:rsidR="008319CF">
        <w:t xml:space="preserve">are allayed </w:t>
      </w:r>
      <w:r w:rsidRPr="00975F8D">
        <w:t>once we re-conceive of these constructs</w:t>
      </w:r>
      <w:r w:rsidR="00395726" w:rsidRPr="00975F8D">
        <w:t xml:space="preserve"> not as candidate causal variables but </w:t>
      </w:r>
      <w:r w:rsidRPr="00975F8D">
        <w:t xml:space="preserve">as </w:t>
      </w:r>
      <w:r w:rsidR="00FF6CA9" w:rsidRPr="00975F8D">
        <w:t xml:space="preserve">tailored </w:t>
      </w:r>
      <w:r w:rsidRPr="00975F8D">
        <w:t>aggregates in the way suggested</w:t>
      </w:r>
      <w:r w:rsidR="00395726" w:rsidRPr="00975F8D">
        <w:t xml:space="preserve"> for </w:t>
      </w:r>
      <w:r w:rsidR="005A1E4A" w:rsidRPr="00375F68">
        <w:rPr>
          <w:i/>
          <w:iCs/>
        </w:rPr>
        <w:t>adaptedness</w:t>
      </w:r>
      <w:r w:rsidRPr="00975F8D">
        <w:t>.</w:t>
      </w:r>
    </w:p>
    <w:p w14:paraId="43D02344" w14:textId="1962AEE5" w:rsidR="00CA6B21" w:rsidRPr="00975F8D" w:rsidRDefault="00CB7211" w:rsidP="00CA6B21">
      <w:pPr>
        <w:pStyle w:val="Heading2"/>
      </w:pPr>
      <w:r w:rsidRPr="00975F8D">
        <w:t>5</w:t>
      </w:r>
      <w:r w:rsidR="000665BB" w:rsidRPr="00975F8D">
        <w:t xml:space="preserve">. </w:t>
      </w:r>
      <w:r w:rsidR="00CA6B21" w:rsidRPr="00975F8D">
        <w:t>Conclusion</w:t>
      </w:r>
    </w:p>
    <w:p w14:paraId="5F3E4092" w14:textId="247C860E" w:rsidR="00E742B8" w:rsidRDefault="00632215" w:rsidP="00975F8D">
      <w:pPr>
        <w:ind w:firstLine="0"/>
      </w:pPr>
      <w:r>
        <w:t xml:space="preserve">Aggregate constructs </w:t>
      </w:r>
      <w:r w:rsidR="00E742B8">
        <w:t xml:space="preserve">are prevalent </w:t>
      </w:r>
      <w:r>
        <w:t xml:space="preserve">in the social </w:t>
      </w:r>
      <w:r w:rsidR="00E742B8">
        <w:t>sciences</w:t>
      </w:r>
      <w:r w:rsidR="00A8490B">
        <w:t>;</w:t>
      </w:r>
      <w:r w:rsidR="00E742B8">
        <w:t xml:space="preserve"> but</w:t>
      </w:r>
      <w:r>
        <w:t xml:space="preserve"> </w:t>
      </w:r>
      <w:r w:rsidR="00D96ADE">
        <w:t xml:space="preserve">they </w:t>
      </w:r>
      <w:r>
        <w:t xml:space="preserve">raise serious concerns. </w:t>
      </w:r>
      <w:r w:rsidR="00E742B8">
        <w:t xml:space="preserve">Some concerns have been aired in the formative versus reflective measurement debate—prominently, that </w:t>
      </w:r>
      <w:r w:rsidR="00A8490B">
        <w:t xml:space="preserve">formatively measured </w:t>
      </w:r>
      <w:r w:rsidR="00F22944">
        <w:t xml:space="preserve">aggregate </w:t>
      </w:r>
      <w:r w:rsidR="00A8490B">
        <w:t xml:space="preserve">constructs </w:t>
      </w:r>
      <w:r w:rsidR="00E742B8">
        <w:t>lack a stable empirical meaning and that they are not internally coherent</w:t>
      </w:r>
      <w:r w:rsidR="00A8490B">
        <w:t xml:space="preserve">. </w:t>
      </w:r>
      <w:r w:rsidR="005A1E4A">
        <w:t xml:space="preserve">Some </w:t>
      </w:r>
      <w:r w:rsidR="00E742B8">
        <w:t xml:space="preserve">call for abandoning formative measurement altogether. </w:t>
      </w:r>
      <w:r w:rsidR="00A8490B">
        <w:t>In contrast, t</w:t>
      </w:r>
      <w:r>
        <w:t>his paper offers a novel way of conceptualizing formative constructs</w:t>
      </w:r>
      <w:r w:rsidR="00E742B8">
        <w:t xml:space="preserve">, one inspired by the case of </w:t>
      </w:r>
      <w:r w:rsidR="005A1E4A">
        <w:rPr>
          <w:i/>
          <w:iCs/>
        </w:rPr>
        <w:t xml:space="preserve">adaptedness </w:t>
      </w:r>
      <w:r w:rsidR="00E742B8">
        <w:t xml:space="preserve">in biology. This proposal turns the worries </w:t>
      </w:r>
      <w:r w:rsidR="00A8490B">
        <w:t>that motivat</w:t>
      </w:r>
      <w:r w:rsidR="008C206A">
        <w:t>ed</w:t>
      </w:r>
      <w:r w:rsidR="00A8490B">
        <w:t xml:space="preserve"> abandoning formative constructs </w:t>
      </w:r>
      <w:r w:rsidR="00E742B8">
        <w:t>into unproblematic features.</w:t>
      </w:r>
    </w:p>
    <w:p w14:paraId="7EFAE7CA" w14:textId="3F072B5E" w:rsidR="00975F8D" w:rsidRPr="00975F8D" w:rsidRDefault="00975F8D" w:rsidP="00975F8D">
      <w:pPr>
        <w:ind w:firstLine="0"/>
      </w:pPr>
      <w:r w:rsidRPr="00975F8D">
        <w:t xml:space="preserve">How much this conceptualization </w:t>
      </w:r>
      <w:r w:rsidR="00A8490B">
        <w:t xml:space="preserve">can </w:t>
      </w:r>
      <w:r w:rsidRPr="00975F8D">
        <w:t xml:space="preserve">help with making make sense of some contentious formatively measured constructs </w:t>
      </w:r>
      <w:r w:rsidR="00A8490B">
        <w:t xml:space="preserve">in the social sciences </w:t>
      </w:r>
      <w:r w:rsidRPr="00975F8D">
        <w:t xml:space="preserve">is an open question. To my mind, </w:t>
      </w:r>
      <w:r w:rsidRPr="00975F8D">
        <w:rPr>
          <w:i/>
          <w:iCs/>
        </w:rPr>
        <w:t xml:space="preserve">SES </w:t>
      </w:r>
      <w:r w:rsidRPr="00975F8D">
        <w:t xml:space="preserve">is unlikely to benefit, since there isn’t an evident criterion to use that would render a </w:t>
      </w:r>
      <w:r w:rsidRPr="00975F8D">
        <w:rPr>
          <w:i/>
          <w:iCs/>
        </w:rPr>
        <w:t xml:space="preserve">SES </w:t>
      </w:r>
      <w:r w:rsidRPr="00975F8D">
        <w:t>an interesting summary o</w:t>
      </w:r>
      <w:r w:rsidR="007F45C7">
        <w:t>f</w:t>
      </w:r>
      <w:r w:rsidRPr="00975F8D">
        <w:t xml:space="preserve"> the various factors determining one’s social position. More promising</w:t>
      </w:r>
      <w:r w:rsidR="007F45C7">
        <w:t>, I think,</w:t>
      </w:r>
      <w:r w:rsidRPr="00975F8D">
        <w:t xml:space="preserve"> seems the case of constructs like verbal or mathematical ability, which are </w:t>
      </w:r>
      <w:r w:rsidR="008C206A">
        <w:t>typically</w:t>
      </w:r>
      <w:r w:rsidRPr="00975F8D">
        <w:t xml:space="preserve"> thought to be measured reflectively</w:t>
      </w:r>
      <w:r w:rsidR="00A8490B">
        <w:t>,</w:t>
      </w:r>
      <w:r w:rsidRPr="00975F8D">
        <w:t xml:space="preserve"> yet it’s plausible to think of them as aggregates of different capacities (e.g., Michell 2012). Since they are </w:t>
      </w:r>
      <w:r w:rsidR="008C206A">
        <w:t xml:space="preserve">in practice </w:t>
      </w:r>
      <w:r w:rsidRPr="00975F8D">
        <w:t>commonly defended for being predictive (say, of high-school or college graduation rates), perhaps they are best reconceived as overall summaries tailored to a salient and well-defined criterion—graduation.</w:t>
      </w:r>
    </w:p>
    <w:p w14:paraId="5CFEB920" w14:textId="4B3F4CB7" w:rsidR="007F1432" w:rsidRPr="00975F8D" w:rsidRDefault="007F1432" w:rsidP="00564A7C">
      <w:pPr>
        <w:ind w:firstLine="0"/>
      </w:pPr>
      <w:r w:rsidRPr="00975F8D">
        <w:br w:type="page"/>
      </w:r>
    </w:p>
    <w:p w14:paraId="79DC4527" w14:textId="6597FFEF" w:rsidR="00975F8D" w:rsidRPr="00975F8D" w:rsidRDefault="00975F8D" w:rsidP="00975F8D">
      <w:pPr>
        <w:pStyle w:val="Heading2"/>
        <w:jc w:val="center"/>
      </w:pPr>
      <w:r>
        <w:lastRenderedPageBreak/>
        <w:t>References</w:t>
      </w:r>
    </w:p>
    <w:p w14:paraId="6C061493" w14:textId="77777777" w:rsidR="007F59FC" w:rsidRDefault="00A41071" w:rsidP="007F59FC">
      <w:pPr>
        <w:spacing w:after="0"/>
        <w:ind w:left="720" w:hanging="720"/>
        <w:rPr>
          <w:rFonts w:eastAsia="Calibri"/>
          <w:color w:val="000000" w:themeColor="text1"/>
        </w:rPr>
      </w:pPr>
      <w:r w:rsidRPr="00155FCF">
        <w:rPr>
          <w:rFonts w:eastAsia="Calibri"/>
          <w:color w:val="000000" w:themeColor="text1"/>
        </w:rPr>
        <w:t>Alexandrova, Anna. 2017a. Is Well-being Measurable After All? </w:t>
      </w:r>
      <w:r w:rsidRPr="00155FCF">
        <w:rPr>
          <w:rFonts w:eastAsia="Calibri"/>
          <w:i/>
          <w:iCs/>
          <w:color w:val="000000" w:themeColor="text1"/>
        </w:rPr>
        <w:t>Public Health Ethics</w:t>
      </w:r>
      <w:r w:rsidRPr="00155FCF">
        <w:rPr>
          <w:rFonts w:eastAsia="Calibri"/>
          <w:color w:val="000000" w:themeColor="text1"/>
        </w:rPr>
        <w:t xml:space="preserve"> 10:129-137.</w:t>
      </w:r>
    </w:p>
    <w:p w14:paraId="4CCF8900" w14:textId="262E2107" w:rsidR="00A41071" w:rsidRDefault="00A41071" w:rsidP="004F2B76">
      <w:pPr>
        <w:spacing w:after="0"/>
        <w:ind w:left="720" w:hanging="720"/>
        <w:rPr>
          <w:rFonts w:eastAsia="Calibri"/>
          <w:color w:val="000000" w:themeColor="text1"/>
        </w:rPr>
      </w:pPr>
      <w:r w:rsidRPr="00A41071">
        <w:rPr>
          <w:rFonts w:eastAsia="Calibri"/>
          <w:color w:val="000000" w:themeColor="text1"/>
        </w:rPr>
        <w:t>Blalock</w:t>
      </w:r>
      <w:r>
        <w:rPr>
          <w:rFonts w:eastAsia="Calibri"/>
          <w:color w:val="000000" w:themeColor="text1"/>
        </w:rPr>
        <w:t xml:space="preserve">, </w:t>
      </w:r>
      <w:r w:rsidRPr="00A41071">
        <w:rPr>
          <w:rFonts w:eastAsia="Calibri"/>
          <w:color w:val="000000" w:themeColor="text1"/>
        </w:rPr>
        <w:t>H. M.</w:t>
      </w:r>
      <w:r>
        <w:rPr>
          <w:rFonts w:eastAsia="Calibri"/>
          <w:color w:val="000000" w:themeColor="text1"/>
        </w:rPr>
        <w:t xml:space="preserve"> 1963. </w:t>
      </w:r>
      <w:r w:rsidRPr="00A41071">
        <w:rPr>
          <w:rFonts w:eastAsia="Calibri"/>
          <w:color w:val="000000" w:themeColor="text1"/>
        </w:rPr>
        <w:t>Making Causal Inferences for Unmeasured Variables from Correlations Among Indicators</w:t>
      </w:r>
      <w:r>
        <w:rPr>
          <w:rFonts w:eastAsia="Calibri"/>
          <w:color w:val="000000" w:themeColor="text1"/>
        </w:rPr>
        <w:t xml:space="preserve">. </w:t>
      </w:r>
      <w:r w:rsidRPr="00A41071">
        <w:rPr>
          <w:rFonts w:eastAsia="Calibri"/>
          <w:i/>
          <w:iCs/>
          <w:color w:val="000000" w:themeColor="text1"/>
        </w:rPr>
        <w:t>American Journal of Sociology</w:t>
      </w:r>
      <w:r>
        <w:rPr>
          <w:rFonts w:eastAsia="Calibri"/>
          <w:color w:val="000000" w:themeColor="text1"/>
        </w:rPr>
        <w:t xml:space="preserve"> </w:t>
      </w:r>
      <w:r w:rsidRPr="00A41071">
        <w:rPr>
          <w:rFonts w:eastAsia="Calibri"/>
          <w:color w:val="000000" w:themeColor="text1"/>
        </w:rPr>
        <w:t>69</w:t>
      </w:r>
      <w:r w:rsidR="00B1595D">
        <w:rPr>
          <w:rFonts w:eastAsia="Calibri"/>
          <w:color w:val="000000" w:themeColor="text1"/>
        </w:rPr>
        <w:t>:</w:t>
      </w:r>
      <w:r w:rsidRPr="00A41071">
        <w:rPr>
          <w:rFonts w:eastAsia="Calibri"/>
          <w:color w:val="000000" w:themeColor="text1"/>
        </w:rPr>
        <w:t>53-62</w:t>
      </w:r>
    </w:p>
    <w:p w14:paraId="6FFB8970" w14:textId="302548E0" w:rsidR="00A41071" w:rsidRDefault="00A41071" w:rsidP="00A41071">
      <w:pPr>
        <w:spacing w:after="0"/>
        <w:ind w:left="720" w:hanging="720"/>
        <w:rPr>
          <w:rFonts w:eastAsia="Calibri"/>
          <w:color w:val="000000" w:themeColor="text1"/>
        </w:rPr>
      </w:pPr>
      <w:r w:rsidRPr="00A41071">
        <w:rPr>
          <w:rFonts w:eastAsia="Calibri"/>
          <w:color w:val="000000" w:themeColor="text1"/>
        </w:rPr>
        <w:t>Bollen, K. A. (2007). Interpretational confounding is due to misspecification,</w:t>
      </w:r>
      <w:r>
        <w:rPr>
          <w:rFonts w:eastAsia="Calibri"/>
          <w:color w:val="000000" w:themeColor="text1"/>
        </w:rPr>
        <w:t xml:space="preserve"> </w:t>
      </w:r>
      <w:r w:rsidRPr="00A41071">
        <w:rPr>
          <w:rFonts w:eastAsia="Calibri"/>
          <w:color w:val="000000" w:themeColor="text1"/>
        </w:rPr>
        <w:t>not to type of indicator: Comment on Howell,</w:t>
      </w:r>
      <w:r>
        <w:rPr>
          <w:rFonts w:eastAsia="Calibri"/>
          <w:color w:val="000000" w:themeColor="text1"/>
        </w:rPr>
        <w:t xml:space="preserve"> </w:t>
      </w:r>
      <w:r w:rsidRPr="00A41071">
        <w:rPr>
          <w:rFonts w:eastAsia="Calibri"/>
          <w:color w:val="000000" w:themeColor="text1"/>
        </w:rPr>
        <w:t xml:space="preserve">Breivik, and Wilcox (2007). </w:t>
      </w:r>
      <w:r w:rsidRPr="00A41071">
        <w:rPr>
          <w:rFonts w:eastAsia="Calibri"/>
          <w:i/>
          <w:iCs/>
          <w:color w:val="000000" w:themeColor="text1"/>
        </w:rPr>
        <w:t>Psychological Methods</w:t>
      </w:r>
      <w:r w:rsidRPr="00A41071">
        <w:rPr>
          <w:rFonts w:eastAsia="Calibri"/>
          <w:color w:val="000000" w:themeColor="text1"/>
        </w:rPr>
        <w:t>, 12, 219–228.</w:t>
      </w:r>
    </w:p>
    <w:p w14:paraId="7CA67E7A" w14:textId="693B4944" w:rsidR="00A41071" w:rsidRPr="00155FCF" w:rsidRDefault="00A41071" w:rsidP="00A41071">
      <w:pPr>
        <w:spacing w:before="0" w:after="0"/>
        <w:ind w:left="720" w:hanging="720"/>
        <w:rPr>
          <w:rFonts w:eastAsia="Calibri"/>
          <w:color w:val="000000" w:themeColor="text1"/>
        </w:rPr>
      </w:pPr>
      <w:r w:rsidRPr="00604F09">
        <w:rPr>
          <w:rFonts w:eastAsia="Calibri"/>
          <w:color w:val="000000" w:themeColor="text1"/>
        </w:rPr>
        <w:t>Bollen, K. A. and Lennox, R. 1991. Conventional wisdom on measurement: a</w:t>
      </w:r>
      <w:r>
        <w:rPr>
          <w:rFonts w:eastAsia="Calibri"/>
          <w:color w:val="000000" w:themeColor="text1"/>
        </w:rPr>
        <w:t xml:space="preserve"> </w:t>
      </w:r>
      <w:r w:rsidRPr="00604F09">
        <w:rPr>
          <w:rFonts w:eastAsia="Calibri"/>
          <w:color w:val="000000" w:themeColor="text1"/>
        </w:rPr>
        <w:t xml:space="preserve">structural equation perspective. </w:t>
      </w:r>
      <w:r w:rsidRPr="007F59FC">
        <w:rPr>
          <w:rFonts w:eastAsia="Calibri"/>
          <w:i/>
          <w:iCs/>
          <w:color w:val="000000" w:themeColor="text1"/>
        </w:rPr>
        <w:t>Psychological Bulletin</w:t>
      </w:r>
      <w:r w:rsidRPr="00604F09">
        <w:rPr>
          <w:rFonts w:eastAsia="Calibri"/>
          <w:color w:val="000000" w:themeColor="text1"/>
        </w:rPr>
        <w:t>, 110, 305–14</w:t>
      </w:r>
    </w:p>
    <w:p w14:paraId="1A4F1665" w14:textId="77777777" w:rsidR="00A41071" w:rsidRPr="00155FCF" w:rsidRDefault="00A41071" w:rsidP="00A41071">
      <w:pPr>
        <w:spacing w:before="0" w:after="0"/>
        <w:ind w:left="720" w:hanging="720"/>
        <w:rPr>
          <w:rFonts w:eastAsia="Calibri"/>
          <w:color w:val="000000" w:themeColor="text1"/>
        </w:rPr>
      </w:pPr>
      <w:r w:rsidRPr="00155FCF">
        <w:rPr>
          <w:rFonts w:eastAsia="Calibri"/>
          <w:color w:val="000000" w:themeColor="text1"/>
        </w:rPr>
        <w:t xml:space="preserve">Borsboom, Denny. 2005. </w:t>
      </w:r>
      <w:r w:rsidRPr="00155FCF">
        <w:rPr>
          <w:rFonts w:eastAsia="Calibri"/>
          <w:i/>
          <w:color w:val="000000" w:themeColor="text1"/>
        </w:rPr>
        <w:t>Measuring the Mind: Conceptual Issues in Contemporary Psychometrics</w:t>
      </w:r>
      <w:r w:rsidRPr="00155FCF">
        <w:rPr>
          <w:rFonts w:eastAsia="Calibri"/>
          <w:color w:val="000000" w:themeColor="text1"/>
        </w:rPr>
        <w:t>. Cambridge: Cambridge University Press.</w:t>
      </w:r>
    </w:p>
    <w:p w14:paraId="671ACEC5" w14:textId="77777777" w:rsidR="00A41071" w:rsidRPr="00155FCF" w:rsidRDefault="00A41071" w:rsidP="00A41071">
      <w:pPr>
        <w:spacing w:before="0" w:after="0"/>
        <w:ind w:left="720" w:hanging="720"/>
        <w:rPr>
          <w:rFonts w:eastAsia="Calibri"/>
          <w:color w:val="000000" w:themeColor="text1"/>
        </w:rPr>
      </w:pPr>
      <w:r w:rsidRPr="00155FCF">
        <w:rPr>
          <w:rFonts w:eastAsia="Calibri"/>
          <w:color w:val="000000" w:themeColor="text1"/>
        </w:rPr>
        <w:t xml:space="preserve">Cartwright, Nancy and Norman Bradburn. 2011. A Theory of Measurement. In </w:t>
      </w:r>
      <w:r w:rsidRPr="00155FCF">
        <w:rPr>
          <w:rFonts w:eastAsia="Calibri"/>
          <w:i/>
          <w:color w:val="000000" w:themeColor="text1"/>
        </w:rPr>
        <w:t>The Importance of Common Metrics for Advancing Social Science Theory and Research: Proceedings of the National Research Council Committee on Common Metrics</w:t>
      </w:r>
      <w:r w:rsidRPr="00155FCF">
        <w:rPr>
          <w:rFonts w:eastAsia="Calibri"/>
          <w:color w:val="000000" w:themeColor="text1"/>
        </w:rPr>
        <w:t>, pp. 53-70, edited by National Research Council. Washington, DC: National Academies.</w:t>
      </w:r>
    </w:p>
    <w:p w14:paraId="4DA249E9" w14:textId="1489E8B6" w:rsidR="001D34FC" w:rsidRDefault="001D34FC" w:rsidP="00B0533A">
      <w:pPr>
        <w:spacing w:before="0" w:after="0"/>
        <w:ind w:left="720" w:hanging="720"/>
        <w:jc w:val="left"/>
        <w:rPr>
          <w:rFonts w:eastAsia="Calibri"/>
          <w:color w:val="000000" w:themeColor="text1"/>
        </w:rPr>
      </w:pPr>
      <w:r w:rsidRPr="001D34FC">
        <w:rPr>
          <w:rFonts w:eastAsia="Calibri"/>
          <w:color w:val="000000" w:themeColor="text1"/>
        </w:rPr>
        <w:t xml:space="preserve">Eberhardt, Frederick. </w:t>
      </w:r>
      <w:r>
        <w:rPr>
          <w:rFonts w:eastAsia="Calibri"/>
          <w:color w:val="000000" w:themeColor="text1"/>
        </w:rPr>
        <w:t xml:space="preserve">2022. </w:t>
      </w:r>
      <w:r w:rsidRPr="001D34FC">
        <w:rPr>
          <w:rFonts w:eastAsia="Calibri"/>
          <w:color w:val="000000" w:themeColor="text1"/>
        </w:rPr>
        <w:t>A contemporary example of Reichenbachian</w:t>
      </w:r>
      <w:r w:rsidR="007F59FC">
        <w:rPr>
          <w:rFonts w:eastAsia="Calibri"/>
          <w:color w:val="000000" w:themeColor="text1"/>
        </w:rPr>
        <w:t xml:space="preserve"> </w:t>
      </w:r>
      <w:r w:rsidRPr="001D34FC">
        <w:rPr>
          <w:rFonts w:eastAsia="Calibri"/>
          <w:color w:val="000000" w:themeColor="text1"/>
        </w:rPr>
        <w:t>coordination</w:t>
      </w:r>
      <w:r w:rsidR="007F59FC">
        <w:rPr>
          <w:rFonts w:eastAsia="Calibri"/>
          <w:color w:val="000000" w:themeColor="text1"/>
        </w:rPr>
        <w:t>.</w:t>
      </w:r>
      <w:r w:rsidR="00B0533A">
        <w:rPr>
          <w:rFonts w:eastAsia="Calibri"/>
          <w:color w:val="000000" w:themeColor="text1"/>
        </w:rPr>
        <w:t xml:space="preserve"> </w:t>
      </w:r>
      <w:proofErr w:type="spellStart"/>
      <w:r w:rsidRPr="001D34FC">
        <w:rPr>
          <w:rFonts w:eastAsia="Calibri"/>
          <w:i/>
          <w:iCs/>
          <w:color w:val="000000" w:themeColor="text1"/>
        </w:rPr>
        <w:t>Synthese</w:t>
      </w:r>
      <w:proofErr w:type="spellEnd"/>
      <w:r w:rsidRPr="001D34FC">
        <w:rPr>
          <w:rFonts w:eastAsia="Calibri"/>
          <w:color w:val="000000" w:themeColor="text1"/>
        </w:rPr>
        <w:t> 200:90.</w:t>
      </w:r>
    </w:p>
    <w:p w14:paraId="26C82ACA" w14:textId="121F162C" w:rsidR="00A41071" w:rsidRDefault="00A41071" w:rsidP="00A41071">
      <w:pPr>
        <w:spacing w:before="0" w:after="0"/>
        <w:ind w:left="720" w:hanging="720"/>
        <w:jc w:val="left"/>
        <w:rPr>
          <w:rFonts w:eastAsia="Calibri"/>
          <w:color w:val="000000" w:themeColor="text1"/>
        </w:rPr>
      </w:pPr>
      <w:r w:rsidRPr="00A41071">
        <w:rPr>
          <w:rFonts w:eastAsia="Calibri"/>
          <w:color w:val="000000" w:themeColor="text1"/>
        </w:rPr>
        <w:t>Edwards, Jeffrey R. 2011. The fallacy of formative</w:t>
      </w:r>
      <w:r>
        <w:rPr>
          <w:rFonts w:eastAsia="Calibri"/>
          <w:color w:val="000000" w:themeColor="text1"/>
        </w:rPr>
        <w:t xml:space="preserve"> </w:t>
      </w:r>
      <w:r w:rsidRPr="00A41071">
        <w:rPr>
          <w:rFonts w:eastAsia="Calibri"/>
          <w:color w:val="000000" w:themeColor="text1"/>
        </w:rPr>
        <w:t>measurement. Organizational Research</w:t>
      </w:r>
      <w:r>
        <w:rPr>
          <w:rFonts w:eastAsia="Calibri"/>
          <w:color w:val="000000" w:themeColor="text1"/>
        </w:rPr>
        <w:t xml:space="preserve"> </w:t>
      </w:r>
      <w:r w:rsidRPr="00A41071">
        <w:rPr>
          <w:rFonts w:eastAsia="Calibri"/>
          <w:color w:val="000000" w:themeColor="text1"/>
        </w:rPr>
        <w:t>Methods, 14(2), 370-388.</w:t>
      </w:r>
    </w:p>
    <w:p w14:paraId="2CAF9036" w14:textId="73FF7C95" w:rsidR="001D34FC" w:rsidRDefault="00E276A8" w:rsidP="001D34FC">
      <w:pPr>
        <w:spacing w:after="0"/>
        <w:ind w:left="720" w:hanging="720"/>
        <w:rPr>
          <w:rFonts w:eastAsia="Calibri"/>
          <w:color w:val="000000" w:themeColor="text1"/>
        </w:rPr>
      </w:pPr>
      <w:r w:rsidRPr="00604F09">
        <w:rPr>
          <w:rFonts w:eastAsia="Calibri"/>
          <w:color w:val="000000" w:themeColor="text1"/>
        </w:rPr>
        <w:t>Edwards, J. R. and Bagozzi, R. P. 2000. On the nature and direction of relationships</w:t>
      </w:r>
      <w:r>
        <w:rPr>
          <w:rFonts w:eastAsia="Calibri"/>
          <w:color w:val="000000" w:themeColor="text1"/>
        </w:rPr>
        <w:t xml:space="preserve"> </w:t>
      </w:r>
      <w:r w:rsidRPr="00604F09">
        <w:rPr>
          <w:rFonts w:eastAsia="Calibri"/>
          <w:color w:val="000000" w:themeColor="text1"/>
        </w:rPr>
        <w:t>between constructs and measures. Psychological Methods, 5, 155–74.</w:t>
      </w:r>
    </w:p>
    <w:p w14:paraId="184EE133" w14:textId="163FE7E2" w:rsidR="00E276A8" w:rsidRDefault="00E276A8" w:rsidP="001D34FC">
      <w:pPr>
        <w:spacing w:after="0"/>
        <w:ind w:left="720" w:hanging="720"/>
        <w:rPr>
          <w:rFonts w:eastAsia="Calibri"/>
          <w:color w:val="000000" w:themeColor="text1"/>
        </w:rPr>
      </w:pPr>
      <w:r w:rsidRPr="00E276A8">
        <w:rPr>
          <w:rFonts w:eastAsia="Calibri"/>
          <w:color w:val="000000" w:themeColor="text1"/>
        </w:rPr>
        <w:t>Gignac, G.E. and Zajenkowski, M., 2025. Humans peak in midlife: A combined cognitive and personality trait perspective. </w:t>
      </w:r>
      <w:r w:rsidRPr="00E276A8">
        <w:rPr>
          <w:rFonts w:eastAsia="Calibri"/>
          <w:i/>
          <w:iCs/>
          <w:color w:val="000000" w:themeColor="text1"/>
        </w:rPr>
        <w:t>Intelligence</w:t>
      </w:r>
      <w:r w:rsidRPr="00E276A8">
        <w:rPr>
          <w:rFonts w:eastAsia="Calibri"/>
          <w:color w:val="000000" w:themeColor="text1"/>
        </w:rPr>
        <w:t>, </w:t>
      </w:r>
      <w:r w:rsidRPr="00E276A8">
        <w:rPr>
          <w:rFonts w:eastAsia="Calibri"/>
          <w:i/>
          <w:iCs/>
          <w:color w:val="000000" w:themeColor="text1"/>
        </w:rPr>
        <w:t>113</w:t>
      </w:r>
      <w:r w:rsidRPr="00E276A8">
        <w:rPr>
          <w:rFonts w:eastAsia="Calibri"/>
          <w:color w:val="000000" w:themeColor="text1"/>
        </w:rPr>
        <w:t>(10196)</w:t>
      </w:r>
    </w:p>
    <w:p w14:paraId="646C5906" w14:textId="61F2C605" w:rsidR="00A41071" w:rsidRDefault="00E276A8" w:rsidP="00A41071">
      <w:pPr>
        <w:spacing w:after="0"/>
        <w:ind w:left="720" w:hanging="720"/>
        <w:rPr>
          <w:rFonts w:eastAsia="Calibri"/>
          <w:color w:val="000000" w:themeColor="text1"/>
        </w:rPr>
      </w:pPr>
      <w:r w:rsidRPr="00E276A8">
        <w:rPr>
          <w:rFonts w:eastAsia="Calibri"/>
          <w:color w:val="000000" w:themeColor="text1"/>
        </w:rPr>
        <w:t>Goertz, G., 2020. </w:t>
      </w:r>
      <w:r w:rsidRPr="00E276A8">
        <w:rPr>
          <w:rFonts w:eastAsia="Calibri"/>
          <w:i/>
          <w:iCs/>
          <w:color w:val="000000" w:themeColor="text1"/>
        </w:rPr>
        <w:t>Social science concepts and measurement: New and completely revised edition</w:t>
      </w:r>
      <w:r w:rsidRPr="00E276A8">
        <w:rPr>
          <w:rFonts w:eastAsia="Calibri"/>
          <w:color w:val="000000" w:themeColor="text1"/>
        </w:rPr>
        <w:t>. Princeton University Press.</w:t>
      </w:r>
    </w:p>
    <w:p w14:paraId="4D0C987A" w14:textId="77777777" w:rsidR="00A41071" w:rsidRDefault="00A41071" w:rsidP="00A41071">
      <w:pPr>
        <w:spacing w:after="0"/>
        <w:ind w:left="720" w:hanging="720"/>
        <w:rPr>
          <w:rFonts w:eastAsia="Calibri"/>
          <w:color w:val="000000" w:themeColor="text1"/>
        </w:rPr>
      </w:pPr>
      <w:r w:rsidRPr="00604F09">
        <w:rPr>
          <w:rFonts w:eastAsia="Calibri"/>
          <w:color w:val="000000" w:themeColor="text1"/>
        </w:rPr>
        <w:t>Hauser</w:t>
      </w:r>
      <w:r>
        <w:rPr>
          <w:rFonts w:eastAsia="Calibri"/>
          <w:color w:val="000000" w:themeColor="text1"/>
        </w:rPr>
        <w:t>,</w:t>
      </w:r>
      <w:r w:rsidRPr="00604F09">
        <w:rPr>
          <w:rFonts w:eastAsia="Calibri"/>
          <w:color w:val="000000" w:themeColor="text1"/>
        </w:rPr>
        <w:t xml:space="preserve"> Robert</w:t>
      </w:r>
      <w:r>
        <w:rPr>
          <w:rFonts w:eastAsia="Calibri"/>
          <w:color w:val="000000" w:themeColor="text1"/>
        </w:rPr>
        <w:t>.</w:t>
      </w:r>
      <w:r w:rsidRPr="00604F09">
        <w:rPr>
          <w:rFonts w:eastAsia="Calibri"/>
          <w:color w:val="000000" w:themeColor="text1"/>
        </w:rPr>
        <w:t xml:space="preserve"> 1972</w:t>
      </w:r>
      <w:r>
        <w:rPr>
          <w:rFonts w:eastAsia="Calibri"/>
          <w:color w:val="000000" w:themeColor="text1"/>
        </w:rPr>
        <w:t>.</w:t>
      </w:r>
      <w:r w:rsidRPr="00604F09">
        <w:rPr>
          <w:rFonts w:eastAsia="Calibri"/>
          <w:color w:val="000000" w:themeColor="text1"/>
        </w:rPr>
        <w:t xml:space="preserve"> </w:t>
      </w:r>
      <w:r w:rsidRPr="00A41071">
        <w:rPr>
          <w:rFonts w:eastAsia="Calibri"/>
          <w:color w:val="000000" w:themeColor="text1"/>
        </w:rPr>
        <w:t>Disaggregating a Social-Psychological Model</w:t>
      </w:r>
      <w:r>
        <w:rPr>
          <w:rFonts w:eastAsia="Calibri"/>
          <w:color w:val="000000" w:themeColor="text1"/>
        </w:rPr>
        <w:t xml:space="preserve"> </w:t>
      </w:r>
      <w:r w:rsidRPr="00A41071">
        <w:rPr>
          <w:rFonts w:eastAsia="Calibri"/>
          <w:color w:val="000000" w:themeColor="text1"/>
        </w:rPr>
        <w:t>of Educational Attainment</w:t>
      </w:r>
      <w:r>
        <w:rPr>
          <w:rFonts w:eastAsia="Calibri"/>
          <w:color w:val="000000" w:themeColor="text1"/>
        </w:rPr>
        <w:t xml:space="preserve">. </w:t>
      </w:r>
      <w:r w:rsidRPr="00A41071">
        <w:rPr>
          <w:rFonts w:eastAsia="Calibri"/>
          <w:i/>
          <w:iCs/>
          <w:color w:val="000000" w:themeColor="text1"/>
        </w:rPr>
        <w:t>Social Science Research</w:t>
      </w:r>
      <w:r w:rsidRPr="00A41071">
        <w:rPr>
          <w:rFonts w:eastAsia="Calibri"/>
          <w:color w:val="000000" w:themeColor="text1"/>
        </w:rPr>
        <w:t xml:space="preserve"> 1, 159-188</w:t>
      </w:r>
      <w:r>
        <w:rPr>
          <w:rFonts w:eastAsia="Calibri"/>
          <w:color w:val="000000" w:themeColor="text1"/>
        </w:rPr>
        <w:t>.</w:t>
      </w:r>
    </w:p>
    <w:p w14:paraId="1B36D623" w14:textId="1E8879DD" w:rsidR="001D34FC" w:rsidRDefault="001D34FC" w:rsidP="001D34FC">
      <w:pPr>
        <w:spacing w:after="0"/>
        <w:ind w:left="720" w:hanging="720"/>
        <w:rPr>
          <w:rFonts w:eastAsia="Calibri"/>
          <w:color w:val="000000" w:themeColor="text1"/>
        </w:rPr>
      </w:pPr>
      <w:r w:rsidRPr="00604F09">
        <w:rPr>
          <w:rFonts w:eastAsia="Calibri"/>
          <w:color w:val="000000" w:themeColor="text1"/>
        </w:rPr>
        <w:lastRenderedPageBreak/>
        <w:t xml:space="preserve">Hausman, Daniel. 2015. </w:t>
      </w:r>
      <w:r w:rsidRPr="00604F09">
        <w:rPr>
          <w:rFonts w:eastAsia="Calibri"/>
          <w:i/>
          <w:color w:val="000000" w:themeColor="text1"/>
        </w:rPr>
        <w:t>Valuing Health: Well-being, Freedom, and Suffering</w:t>
      </w:r>
      <w:r w:rsidRPr="00604F09">
        <w:rPr>
          <w:rFonts w:eastAsia="Calibri"/>
          <w:color w:val="000000" w:themeColor="text1"/>
        </w:rPr>
        <w:t>, New York: Oxford University Press.</w:t>
      </w:r>
    </w:p>
    <w:p w14:paraId="096FEC36" w14:textId="77777777" w:rsidR="00A41071" w:rsidRDefault="00A41071" w:rsidP="00A41071">
      <w:pPr>
        <w:spacing w:after="0"/>
        <w:ind w:left="720" w:hanging="720"/>
        <w:rPr>
          <w:rFonts w:eastAsia="Calibri"/>
          <w:color w:val="000000" w:themeColor="text1"/>
        </w:rPr>
      </w:pPr>
      <w:r w:rsidRPr="00A41071">
        <w:rPr>
          <w:rFonts w:eastAsia="Calibri"/>
          <w:color w:val="000000" w:themeColor="text1"/>
        </w:rPr>
        <w:t>Heise</w:t>
      </w:r>
      <w:r>
        <w:rPr>
          <w:rFonts w:eastAsia="Calibri"/>
          <w:color w:val="000000" w:themeColor="text1"/>
        </w:rPr>
        <w:t>, David R.</w:t>
      </w:r>
      <w:r w:rsidRPr="00A41071">
        <w:rPr>
          <w:rFonts w:eastAsia="Calibri"/>
          <w:color w:val="000000" w:themeColor="text1"/>
        </w:rPr>
        <w:t xml:space="preserve"> 1972</w:t>
      </w:r>
      <w:r>
        <w:rPr>
          <w:rFonts w:eastAsia="Calibri"/>
          <w:color w:val="000000" w:themeColor="text1"/>
        </w:rPr>
        <w:t xml:space="preserve">. </w:t>
      </w:r>
      <w:r w:rsidRPr="00A41071">
        <w:rPr>
          <w:rFonts w:eastAsia="Calibri"/>
          <w:color w:val="000000" w:themeColor="text1"/>
        </w:rPr>
        <w:t>Employing nominal</w:t>
      </w:r>
      <w:r>
        <w:rPr>
          <w:rFonts w:eastAsia="Calibri"/>
          <w:color w:val="000000" w:themeColor="text1"/>
        </w:rPr>
        <w:t xml:space="preserve"> v</w:t>
      </w:r>
      <w:r w:rsidRPr="00A41071">
        <w:rPr>
          <w:rFonts w:eastAsia="Calibri"/>
          <w:color w:val="000000" w:themeColor="text1"/>
        </w:rPr>
        <w:t>ariables, induced</w:t>
      </w:r>
      <w:r>
        <w:rPr>
          <w:rFonts w:eastAsia="Calibri"/>
          <w:color w:val="000000" w:themeColor="text1"/>
        </w:rPr>
        <w:t xml:space="preserve"> v</w:t>
      </w:r>
      <w:r w:rsidRPr="00A41071">
        <w:rPr>
          <w:rFonts w:eastAsia="Calibri"/>
          <w:color w:val="000000" w:themeColor="text1"/>
        </w:rPr>
        <w:t>ariables, and block</w:t>
      </w:r>
      <w:r>
        <w:rPr>
          <w:rFonts w:eastAsia="Calibri"/>
          <w:color w:val="000000" w:themeColor="text1"/>
        </w:rPr>
        <w:t xml:space="preserve"> v</w:t>
      </w:r>
      <w:r w:rsidRPr="00A41071">
        <w:rPr>
          <w:rFonts w:eastAsia="Calibri"/>
          <w:color w:val="000000" w:themeColor="text1"/>
        </w:rPr>
        <w:t>ariables in path</w:t>
      </w:r>
      <w:r>
        <w:rPr>
          <w:rFonts w:eastAsia="Calibri"/>
          <w:color w:val="000000" w:themeColor="text1"/>
        </w:rPr>
        <w:t xml:space="preserve"> a</w:t>
      </w:r>
      <w:r w:rsidRPr="00A41071">
        <w:rPr>
          <w:rFonts w:eastAsia="Calibri"/>
          <w:color w:val="000000" w:themeColor="text1"/>
        </w:rPr>
        <w:t>nalyses</w:t>
      </w:r>
      <w:r>
        <w:rPr>
          <w:rFonts w:eastAsia="Calibri"/>
          <w:color w:val="000000" w:themeColor="text1"/>
        </w:rPr>
        <w:t xml:space="preserve">. </w:t>
      </w:r>
      <w:r w:rsidRPr="00A41071">
        <w:rPr>
          <w:rFonts w:eastAsia="Calibri"/>
          <w:i/>
          <w:iCs/>
          <w:color w:val="000000" w:themeColor="text1"/>
        </w:rPr>
        <w:t>Sociological Methods &amp; Research</w:t>
      </w:r>
      <w:r>
        <w:rPr>
          <w:rFonts w:eastAsia="Calibri"/>
          <w:color w:val="000000" w:themeColor="text1"/>
        </w:rPr>
        <w:t xml:space="preserve"> 1:147-173 </w:t>
      </w:r>
    </w:p>
    <w:p w14:paraId="7342EB01" w14:textId="06947C44" w:rsidR="00A41071" w:rsidRDefault="00A41071" w:rsidP="00A41071">
      <w:pPr>
        <w:spacing w:after="0"/>
        <w:ind w:left="720" w:hanging="720"/>
        <w:rPr>
          <w:rFonts w:eastAsia="Calibri"/>
          <w:color w:val="000000" w:themeColor="text1"/>
        </w:rPr>
      </w:pPr>
      <w:r w:rsidRPr="005D5641">
        <w:rPr>
          <w:rFonts w:eastAsia="Calibri"/>
          <w:color w:val="000000" w:themeColor="text1"/>
        </w:rPr>
        <w:t>Hodge, R. W. (1970), Social integration, psychological wellbeing, and their socioeconomic</w:t>
      </w:r>
      <w:r>
        <w:rPr>
          <w:rFonts w:eastAsia="Calibri"/>
          <w:color w:val="000000" w:themeColor="text1"/>
        </w:rPr>
        <w:t xml:space="preserve"> </w:t>
      </w:r>
      <w:r w:rsidRPr="005D5641">
        <w:rPr>
          <w:rFonts w:eastAsia="Calibri"/>
          <w:color w:val="000000" w:themeColor="text1"/>
        </w:rPr>
        <w:t>correlates, Sociological Inquiry 40, 182-206.</w:t>
      </w:r>
    </w:p>
    <w:p w14:paraId="03143E9C" w14:textId="3818D772" w:rsidR="007F59FC" w:rsidRPr="005D5641" w:rsidRDefault="007F59FC" w:rsidP="007F59FC">
      <w:pPr>
        <w:spacing w:after="0"/>
        <w:ind w:left="720" w:hanging="720"/>
        <w:rPr>
          <w:rFonts w:eastAsia="Calibri"/>
          <w:color w:val="000000" w:themeColor="text1"/>
        </w:rPr>
      </w:pPr>
      <w:r w:rsidRPr="007F59FC">
        <w:rPr>
          <w:rFonts w:eastAsia="Calibri"/>
          <w:color w:val="000000" w:themeColor="text1"/>
        </w:rPr>
        <w:t xml:space="preserve">Howell, Roy D., Einar Breivik, and James B. Wilcox. </w:t>
      </w:r>
      <w:r>
        <w:rPr>
          <w:rFonts w:eastAsia="Calibri"/>
          <w:color w:val="000000" w:themeColor="text1"/>
        </w:rPr>
        <w:t xml:space="preserve">2007. </w:t>
      </w:r>
      <w:r w:rsidRPr="007F59FC">
        <w:rPr>
          <w:rFonts w:eastAsia="Calibri"/>
          <w:color w:val="000000" w:themeColor="text1"/>
        </w:rPr>
        <w:t>Is Formative Measurement Really Measurement?</w:t>
      </w:r>
      <w:r>
        <w:rPr>
          <w:rFonts w:eastAsia="Calibri"/>
          <w:color w:val="000000" w:themeColor="text1"/>
        </w:rPr>
        <w:t xml:space="preserve"> </w:t>
      </w:r>
      <w:r w:rsidRPr="007F59FC">
        <w:rPr>
          <w:rFonts w:eastAsia="Calibri"/>
          <w:color w:val="000000" w:themeColor="text1"/>
        </w:rPr>
        <w:t>Reply to Bollen (2007) and Bagozzi (2007)</w:t>
      </w:r>
      <w:r>
        <w:rPr>
          <w:rFonts w:eastAsia="Calibri"/>
          <w:color w:val="000000" w:themeColor="text1"/>
        </w:rPr>
        <w:t xml:space="preserve">. </w:t>
      </w:r>
      <w:r w:rsidRPr="007F59FC">
        <w:rPr>
          <w:rFonts w:eastAsia="Calibri"/>
          <w:i/>
          <w:iCs/>
          <w:color w:val="000000" w:themeColor="text1"/>
        </w:rPr>
        <w:t>Psychological Methods</w:t>
      </w:r>
      <w:r>
        <w:rPr>
          <w:rFonts w:eastAsia="Calibri"/>
          <w:color w:val="000000" w:themeColor="text1"/>
        </w:rPr>
        <w:t xml:space="preserve"> </w:t>
      </w:r>
      <w:r w:rsidRPr="007F59FC">
        <w:rPr>
          <w:rFonts w:eastAsia="Calibri"/>
          <w:color w:val="000000" w:themeColor="text1"/>
        </w:rPr>
        <w:t>12</w:t>
      </w:r>
      <w:r>
        <w:rPr>
          <w:rFonts w:eastAsia="Calibri"/>
          <w:color w:val="000000" w:themeColor="text1"/>
        </w:rPr>
        <w:t>:</w:t>
      </w:r>
      <w:r w:rsidRPr="007F59FC">
        <w:rPr>
          <w:rFonts w:eastAsia="Calibri"/>
          <w:color w:val="000000" w:themeColor="text1"/>
        </w:rPr>
        <w:t>238–245</w:t>
      </w:r>
    </w:p>
    <w:p w14:paraId="4529865B" w14:textId="77777777" w:rsidR="007F59FC" w:rsidRDefault="001D34FC" w:rsidP="007F59FC">
      <w:pPr>
        <w:spacing w:after="0"/>
        <w:ind w:left="720" w:hanging="720"/>
      </w:pPr>
      <w:r w:rsidRPr="00C70A64">
        <w:rPr>
          <w:rFonts w:eastAsia="Calibri"/>
          <w:color w:val="000000" w:themeColor="text1"/>
        </w:rPr>
        <w:t>Isaac, Alistair. 2025. Metrological Legitimacy and the Human Sciences. </w:t>
      </w:r>
      <w:r w:rsidRPr="00C70A64">
        <w:rPr>
          <w:rFonts w:eastAsia="Calibri"/>
          <w:i/>
          <w:iCs/>
          <w:color w:val="000000" w:themeColor="text1"/>
        </w:rPr>
        <w:t>Studies in History and Philosophy of Science</w:t>
      </w:r>
      <w:r w:rsidRPr="00C70A64">
        <w:rPr>
          <w:rFonts w:eastAsia="Calibri"/>
          <w:color w:val="000000" w:themeColor="text1"/>
        </w:rPr>
        <w:t> </w:t>
      </w:r>
      <w:r w:rsidRPr="00C70A64">
        <w:rPr>
          <w:rFonts w:eastAsia="Calibri"/>
          <w:i/>
          <w:iCs/>
          <w:color w:val="000000" w:themeColor="text1"/>
        </w:rPr>
        <w:t>112</w:t>
      </w:r>
      <w:r w:rsidRPr="00C70A64">
        <w:rPr>
          <w:rFonts w:eastAsia="Calibri"/>
          <w:color w:val="000000" w:themeColor="text1"/>
        </w:rPr>
        <w:t>:79-89. </w:t>
      </w:r>
      <w:hyperlink r:id="rId9" w:history="1">
        <w:r w:rsidRPr="00C70A64">
          <w:rPr>
            <w:rStyle w:val="Hyperlink"/>
            <w:rFonts w:eastAsia="Calibri"/>
          </w:rPr>
          <w:t>https://doi.org/10.1016/j.shpsa.2025.06.008</w:t>
        </w:r>
      </w:hyperlink>
    </w:p>
    <w:p w14:paraId="60966A94" w14:textId="77777777" w:rsidR="007F59FC" w:rsidRDefault="007F59FC" w:rsidP="007F59FC">
      <w:pPr>
        <w:spacing w:after="0"/>
        <w:ind w:left="720" w:hanging="720"/>
      </w:pPr>
      <w:r w:rsidRPr="007F59FC">
        <w:rPr>
          <w:rFonts w:eastAsia="Calibri"/>
          <w:color w:val="000000" w:themeColor="text1"/>
        </w:rPr>
        <w:t>Krohs U</w:t>
      </w:r>
      <w:r>
        <w:rPr>
          <w:rFonts w:eastAsia="Calibri"/>
          <w:color w:val="000000" w:themeColor="text1"/>
        </w:rPr>
        <w:t>.</w:t>
      </w:r>
      <w:r w:rsidRPr="007F59FC">
        <w:rPr>
          <w:rFonts w:eastAsia="Calibri"/>
          <w:color w:val="000000" w:themeColor="text1"/>
        </w:rPr>
        <w:t xml:space="preserve"> 2006</w:t>
      </w:r>
      <w:r>
        <w:rPr>
          <w:rFonts w:eastAsia="Calibri"/>
          <w:color w:val="000000" w:themeColor="text1"/>
        </w:rPr>
        <w:t>.</w:t>
      </w:r>
      <w:r w:rsidRPr="007F59FC">
        <w:rPr>
          <w:rFonts w:eastAsia="Calibri"/>
          <w:color w:val="000000" w:themeColor="text1"/>
        </w:rPr>
        <w:t xml:space="preserve"> The changeful fate of a groundbreaking insight: the Darwinian fitness principle</w:t>
      </w:r>
      <w:r>
        <w:rPr>
          <w:rFonts w:eastAsia="Calibri"/>
          <w:color w:val="000000" w:themeColor="text1"/>
        </w:rPr>
        <w:t xml:space="preserve"> </w:t>
      </w:r>
      <w:r w:rsidRPr="007F59FC">
        <w:rPr>
          <w:rFonts w:eastAsia="Calibri"/>
          <w:color w:val="000000" w:themeColor="text1"/>
        </w:rPr>
        <w:t xml:space="preserve">caught in different webs of belief. </w:t>
      </w:r>
      <w:r w:rsidRPr="007F59FC">
        <w:rPr>
          <w:rFonts w:eastAsia="Calibri"/>
          <w:i/>
          <w:iCs/>
          <w:color w:val="000000" w:themeColor="text1"/>
        </w:rPr>
        <w:t>Yearbook for European Culture of Science</w:t>
      </w:r>
      <w:r w:rsidRPr="007F59FC">
        <w:rPr>
          <w:rFonts w:eastAsia="Calibri"/>
          <w:color w:val="000000" w:themeColor="text1"/>
        </w:rPr>
        <w:t xml:space="preserve"> 2:107–124</w:t>
      </w:r>
    </w:p>
    <w:p w14:paraId="005C3CC5" w14:textId="782FE5F9" w:rsidR="007F59FC" w:rsidRDefault="007F59FC" w:rsidP="007F59FC">
      <w:pPr>
        <w:spacing w:after="0"/>
        <w:ind w:left="720" w:hanging="720"/>
        <w:rPr>
          <w:rFonts w:eastAsia="Calibri"/>
          <w:color w:val="000000" w:themeColor="text1"/>
        </w:rPr>
      </w:pPr>
      <w:r w:rsidRPr="007F59FC">
        <w:rPr>
          <w:rFonts w:eastAsia="Calibri"/>
          <w:color w:val="000000" w:themeColor="text1"/>
        </w:rPr>
        <w:t>Krohs, U. 2022. Darwin’s empirical claim and the janiform character of fitness</w:t>
      </w:r>
      <w:r>
        <w:rPr>
          <w:rFonts w:eastAsia="Calibri"/>
          <w:color w:val="000000" w:themeColor="text1"/>
        </w:rPr>
        <w:t xml:space="preserve"> </w:t>
      </w:r>
      <w:r w:rsidRPr="007F59FC">
        <w:rPr>
          <w:rFonts w:eastAsia="Calibri"/>
          <w:color w:val="000000" w:themeColor="text1"/>
        </w:rPr>
        <w:t xml:space="preserve">proxies. </w:t>
      </w:r>
      <w:r w:rsidRPr="007F59FC">
        <w:rPr>
          <w:rFonts w:eastAsia="Calibri"/>
          <w:i/>
          <w:iCs/>
          <w:color w:val="000000" w:themeColor="text1"/>
        </w:rPr>
        <w:t>Biology and Philosophy</w:t>
      </w:r>
      <w:r w:rsidRPr="007F59FC">
        <w:rPr>
          <w:rFonts w:eastAsia="Calibri"/>
          <w:color w:val="000000" w:themeColor="text1"/>
        </w:rPr>
        <w:t xml:space="preserve"> 37(2), 1–23.</w:t>
      </w:r>
    </w:p>
    <w:p w14:paraId="564333C0" w14:textId="13C289AA" w:rsidR="00DB27F3" w:rsidRPr="00375F68" w:rsidRDefault="00DB27F3" w:rsidP="00DB27F3">
      <w:pPr>
        <w:spacing w:after="0"/>
        <w:ind w:left="720" w:hanging="720"/>
        <w:rPr>
          <w:lang w:val="en-AU"/>
        </w:rPr>
      </w:pPr>
      <w:r w:rsidRPr="00DB27F3">
        <w:rPr>
          <w:lang w:val="en-AU"/>
        </w:rPr>
        <w:t>Lande, R</w:t>
      </w:r>
      <w:r>
        <w:rPr>
          <w:lang w:val="en-AU"/>
        </w:rPr>
        <w:t>ussell</w:t>
      </w:r>
      <w:r w:rsidRPr="00DB27F3">
        <w:rPr>
          <w:lang w:val="en-AU"/>
        </w:rPr>
        <w:t xml:space="preserve"> and </w:t>
      </w:r>
      <w:r>
        <w:rPr>
          <w:lang w:val="en-AU"/>
        </w:rPr>
        <w:t xml:space="preserve">Stevan J. </w:t>
      </w:r>
      <w:r w:rsidRPr="00DB27F3">
        <w:rPr>
          <w:lang w:val="en-AU"/>
        </w:rPr>
        <w:t>Arnold</w:t>
      </w:r>
      <w:r>
        <w:rPr>
          <w:lang w:val="en-AU"/>
        </w:rPr>
        <w:t xml:space="preserve">. </w:t>
      </w:r>
      <w:r w:rsidRPr="00DB27F3">
        <w:rPr>
          <w:lang w:val="en-AU"/>
        </w:rPr>
        <w:t>1983. The measurement of selection on correlated</w:t>
      </w:r>
      <w:r>
        <w:rPr>
          <w:lang w:val="en-AU"/>
        </w:rPr>
        <w:t xml:space="preserve"> </w:t>
      </w:r>
      <w:r w:rsidRPr="00DB27F3">
        <w:rPr>
          <w:lang w:val="en-AU"/>
        </w:rPr>
        <w:t xml:space="preserve">characters. </w:t>
      </w:r>
      <w:r w:rsidRPr="00375F68">
        <w:rPr>
          <w:i/>
          <w:iCs/>
          <w:lang w:val="en-AU"/>
        </w:rPr>
        <w:t>Evolution</w:t>
      </w:r>
      <w:r w:rsidRPr="00DB27F3">
        <w:rPr>
          <w:lang w:val="en-AU"/>
        </w:rPr>
        <w:t xml:space="preserve"> 37</w:t>
      </w:r>
      <w:r>
        <w:rPr>
          <w:lang w:val="en-AU"/>
        </w:rPr>
        <w:t>:</w:t>
      </w:r>
      <w:r w:rsidRPr="00DB27F3">
        <w:rPr>
          <w:lang w:val="en-AU"/>
        </w:rPr>
        <w:t>1210–26</w:t>
      </w:r>
      <w:r>
        <w:rPr>
          <w:lang w:val="en-AU"/>
        </w:rPr>
        <w:t>.</w:t>
      </w:r>
    </w:p>
    <w:p w14:paraId="4D519E8E" w14:textId="77777777" w:rsidR="001D34FC" w:rsidRDefault="001D34FC" w:rsidP="001D34FC">
      <w:pPr>
        <w:spacing w:after="0"/>
        <w:ind w:left="720" w:hanging="720"/>
        <w:rPr>
          <w:rFonts w:eastAsia="Calibri"/>
          <w:color w:val="000000" w:themeColor="text1"/>
        </w:rPr>
      </w:pPr>
      <w:r w:rsidRPr="00155FCF">
        <w:rPr>
          <w:rFonts w:eastAsia="Calibri"/>
          <w:color w:val="000000" w:themeColor="text1"/>
        </w:rPr>
        <w:t xml:space="preserve">Larroulet Philippi, Cristian. 2021. Valid for What? On the Very Idea of Unconditional Validity. </w:t>
      </w:r>
      <w:r w:rsidRPr="00155FCF">
        <w:rPr>
          <w:rFonts w:eastAsia="Calibri"/>
          <w:i/>
          <w:iCs/>
          <w:color w:val="000000" w:themeColor="text1"/>
        </w:rPr>
        <w:t>Philosophy of the Social Sciences</w:t>
      </w:r>
      <w:r w:rsidRPr="00155FCF">
        <w:rPr>
          <w:rFonts w:eastAsia="Calibri"/>
          <w:color w:val="000000" w:themeColor="text1"/>
        </w:rPr>
        <w:t xml:space="preserve"> 51:151-175.</w:t>
      </w:r>
    </w:p>
    <w:p w14:paraId="39E4906F" w14:textId="77777777" w:rsidR="007F59FC" w:rsidRDefault="001D34FC" w:rsidP="007F59FC">
      <w:pPr>
        <w:spacing w:after="0"/>
        <w:ind w:left="720" w:hanging="720"/>
        <w:rPr>
          <w:rFonts w:eastAsia="Calibri"/>
          <w:color w:val="000000" w:themeColor="text1"/>
          <w:lang w:val="en-AU"/>
        </w:rPr>
      </w:pPr>
      <w:r w:rsidRPr="00F5438B">
        <w:rPr>
          <w:rFonts w:eastAsia="Calibri"/>
          <w:color w:val="000000" w:themeColor="text1"/>
          <w:lang w:val="en-AU"/>
        </w:rPr>
        <w:t>Larroulet Philippi, C</w:t>
      </w:r>
      <w:r>
        <w:rPr>
          <w:rFonts w:eastAsia="Calibri"/>
          <w:color w:val="000000" w:themeColor="text1"/>
          <w:lang w:val="en-AU"/>
        </w:rPr>
        <w:t>ristian</w:t>
      </w:r>
      <w:r w:rsidRPr="00F5438B">
        <w:rPr>
          <w:rFonts w:eastAsia="Calibri"/>
          <w:color w:val="000000" w:themeColor="text1"/>
          <w:lang w:val="en-AU"/>
        </w:rPr>
        <w:t xml:space="preserve">. </w:t>
      </w:r>
      <w:r>
        <w:rPr>
          <w:rFonts w:eastAsia="Calibri"/>
          <w:color w:val="000000" w:themeColor="text1"/>
          <w:lang w:val="en-AU"/>
        </w:rPr>
        <w:t>Forthcoming.</w:t>
      </w:r>
      <w:r w:rsidRPr="00F5438B">
        <w:rPr>
          <w:rFonts w:eastAsia="Calibri"/>
          <w:color w:val="000000" w:themeColor="text1"/>
          <w:lang w:val="en-AU"/>
        </w:rPr>
        <w:t xml:space="preserve"> </w:t>
      </w:r>
      <w:r w:rsidRPr="00FE2E95">
        <w:rPr>
          <w:rFonts w:eastAsia="Calibri"/>
          <w:color w:val="000000" w:themeColor="text1"/>
          <w:lang w:val="en-AU"/>
        </w:rPr>
        <w:t>Is Quantitative Measurement in the Human Sciences Doomed?</w:t>
      </w:r>
      <w:r>
        <w:rPr>
          <w:rFonts w:eastAsia="Calibri"/>
          <w:color w:val="000000" w:themeColor="text1"/>
          <w:lang w:val="en-AU"/>
        </w:rPr>
        <w:t xml:space="preserve"> </w:t>
      </w:r>
      <w:r w:rsidRPr="00FE2E95">
        <w:rPr>
          <w:rFonts w:eastAsia="Calibri"/>
          <w:color w:val="000000" w:themeColor="text1"/>
          <w:lang w:val="en-AU"/>
        </w:rPr>
        <w:t>On the Quantity Objection</w:t>
      </w:r>
      <w:r>
        <w:rPr>
          <w:rFonts w:eastAsia="Calibri"/>
          <w:color w:val="000000" w:themeColor="text1"/>
          <w:lang w:val="en-AU"/>
        </w:rPr>
        <w:t xml:space="preserve">. Available at </w:t>
      </w:r>
      <w:hyperlink r:id="rId10" w:history="1">
        <w:r w:rsidRPr="00F00281">
          <w:rPr>
            <w:rStyle w:val="Hyperlink"/>
            <w:rFonts w:eastAsia="Calibri"/>
            <w:lang w:val="en-AU"/>
          </w:rPr>
          <w:t>https://doi.org/10.1086/732604</w:t>
        </w:r>
      </w:hyperlink>
    </w:p>
    <w:p w14:paraId="78C27CB5" w14:textId="154835A7" w:rsidR="001D34FC" w:rsidRPr="001D34FC" w:rsidRDefault="004F2B76" w:rsidP="001D34FC">
      <w:pPr>
        <w:spacing w:after="0"/>
        <w:ind w:left="720" w:hanging="720"/>
        <w:rPr>
          <w:rFonts w:eastAsia="Calibri"/>
          <w:color w:val="000000" w:themeColor="text1"/>
        </w:rPr>
      </w:pPr>
      <w:r w:rsidRPr="00155FCF">
        <w:rPr>
          <w:rFonts w:eastAsia="Calibri"/>
          <w:color w:val="000000" w:themeColor="text1"/>
        </w:rPr>
        <w:t>Mari, Luca, Mark Wilson, and Andrew Maul. 202</w:t>
      </w:r>
      <w:r>
        <w:rPr>
          <w:rFonts w:eastAsia="Calibri"/>
          <w:color w:val="000000" w:themeColor="text1"/>
        </w:rPr>
        <w:t>3</w:t>
      </w:r>
      <w:r w:rsidRPr="00155FCF">
        <w:rPr>
          <w:rFonts w:eastAsia="Calibri"/>
          <w:color w:val="000000" w:themeColor="text1"/>
        </w:rPr>
        <w:t>. </w:t>
      </w:r>
      <w:r w:rsidRPr="00155FCF">
        <w:rPr>
          <w:rFonts w:eastAsia="Calibri"/>
          <w:i/>
          <w:iCs/>
          <w:color w:val="000000" w:themeColor="text1"/>
        </w:rPr>
        <w:t>Measurement across the Sciences</w:t>
      </w:r>
      <w:r>
        <w:rPr>
          <w:rFonts w:eastAsia="Calibri"/>
          <w:i/>
          <w:iCs/>
          <w:color w:val="000000" w:themeColor="text1"/>
        </w:rPr>
        <w:t xml:space="preserve"> </w:t>
      </w:r>
      <w:r>
        <w:rPr>
          <w:rFonts w:eastAsia="Calibri"/>
          <w:color w:val="000000" w:themeColor="text1"/>
        </w:rPr>
        <w:t>(2</w:t>
      </w:r>
      <w:r w:rsidRPr="00155FCF">
        <w:rPr>
          <w:rFonts w:eastAsia="Calibri"/>
          <w:color w:val="000000" w:themeColor="text1"/>
          <w:vertAlign w:val="superscript"/>
        </w:rPr>
        <w:t>nd</w:t>
      </w:r>
      <w:r>
        <w:rPr>
          <w:rFonts w:eastAsia="Calibri"/>
          <w:color w:val="000000" w:themeColor="text1"/>
        </w:rPr>
        <w:t xml:space="preserve"> Ed.)</w:t>
      </w:r>
      <w:r w:rsidRPr="00155FCF">
        <w:rPr>
          <w:rFonts w:eastAsia="Calibri"/>
          <w:color w:val="000000" w:themeColor="text1"/>
        </w:rPr>
        <w:t>. Springer.</w:t>
      </w:r>
    </w:p>
    <w:p w14:paraId="67CE9A8F" w14:textId="77777777" w:rsidR="004F2B76" w:rsidRDefault="004F2B76" w:rsidP="004F2B76">
      <w:pPr>
        <w:spacing w:before="0" w:after="0"/>
        <w:ind w:left="720" w:hanging="720"/>
        <w:rPr>
          <w:rFonts w:eastAsia="Calibri"/>
          <w:color w:val="000000" w:themeColor="text1"/>
        </w:rPr>
      </w:pPr>
      <w:r w:rsidRPr="00155FCF">
        <w:rPr>
          <w:rFonts w:eastAsia="Calibri"/>
          <w:color w:val="000000" w:themeColor="text1"/>
        </w:rPr>
        <w:t xml:space="preserve">Markus, Keith, and Denny Borsboom. 2013. </w:t>
      </w:r>
      <w:r w:rsidRPr="00155FCF">
        <w:rPr>
          <w:rFonts w:eastAsia="Calibri"/>
          <w:i/>
          <w:iCs/>
          <w:color w:val="000000" w:themeColor="text1"/>
        </w:rPr>
        <w:t>Frontiers of Test Validity Theory: Measurement, Causation, and Meaning</w:t>
      </w:r>
      <w:r w:rsidRPr="00155FCF">
        <w:rPr>
          <w:rFonts w:eastAsia="Calibri"/>
          <w:color w:val="000000" w:themeColor="text1"/>
        </w:rPr>
        <w:t>. Routledge.</w:t>
      </w:r>
    </w:p>
    <w:p w14:paraId="4DEDE678" w14:textId="77777777" w:rsidR="007F59FC" w:rsidRDefault="007F59FC" w:rsidP="007F59FC">
      <w:pPr>
        <w:spacing w:after="0"/>
        <w:ind w:left="720" w:hanging="720"/>
        <w:rPr>
          <w:rFonts w:eastAsia="Calibri"/>
          <w:color w:val="000000" w:themeColor="text1"/>
          <w:lang w:val="en-AU"/>
        </w:rPr>
      </w:pPr>
      <w:r w:rsidRPr="007F59FC">
        <w:rPr>
          <w:rFonts w:eastAsia="Calibri"/>
          <w:color w:val="000000" w:themeColor="text1"/>
        </w:rPr>
        <w:t>McClimans, Leah M. </w:t>
      </w:r>
      <w:r>
        <w:rPr>
          <w:rFonts w:eastAsia="Calibri"/>
          <w:color w:val="000000" w:themeColor="text1"/>
        </w:rPr>
        <w:t xml:space="preserve">2024. </w:t>
      </w:r>
      <w:r w:rsidRPr="007F59FC">
        <w:rPr>
          <w:rFonts w:eastAsia="Calibri"/>
          <w:i/>
          <w:iCs/>
          <w:color w:val="000000" w:themeColor="text1"/>
        </w:rPr>
        <w:t>Patient-Centered Measurement: Ethics, Epistemology, and Dialogue in Contemporary Medicine</w:t>
      </w:r>
      <w:r w:rsidRPr="007F59FC">
        <w:rPr>
          <w:rFonts w:eastAsia="Calibri"/>
          <w:color w:val="000000" w:themeColor="text1"/>
        </w:rPr>
        <w:t>. Oxford University Press.</w:t>
      </w:r>
    </w:p>
    <w:p w14:paraId="7C0C46D3" w14:textId="77777777" w:rsidR="004F2B76" w:rsidRDefault="004F2B76" w:rsidP="004F2B76">
      <w:pPr>
        <w:spacing w:after="0"/>
        <w:ind w:left="720" w:hanging="720"/>
        <w:rPr>
          <w:rFonts w:eastAsia="Calibri"/>
          <w:color w:val="000000" w:themeColor="text1"/>
        </w:rPr>
      </w:pPr>
      <w:r w:rsidRPr="00155FCF">
        <w:rPr>
          <w:rFonts w:eastAsia="Calibri"/>
          <w:color w:val="000000" w:themeColor="text1"/>
        </w:rPr>
        <w:lastRenderedPageBreak/>
        <w:t xml:space="preserve">Michell, Joel. 2012. ‘The Constantly Recurring Argument’: Inferring Quantity from Order. </w:t>
      </w:r>
      <w:r w:rsidRPr="00155FCF">
        <w:rPr>
          <w:rFonts w:eastAsia="Calibri"/>
          <w:i/>
          <w:color w:val="000000" w:themeColor="text1"/>
        </w:rPr>
        <w:t>Theory &amp; Psychology</w:t>
      </w:r>
      <w:r w:rsidRPr="00155FCF">
        <w:rPr>
          <w:rFonts w:eastAsia="Calibri"/>
          <w:color w:val="000000" w:themeColor="text1"/>
        </w:rPr>
        <w:t xml:space="preserve"> 22:255–71.</w:t>
      </w:r>
    </w:p>
    <w:p w14:paraId="1525B71C" w14:textId="0F763D45" w:rsidR="001D34FC" w:rsidRPr="001D34FC" w:rsidRDefault="001D34FC" w:rsidP="001D34FC">
      <w:pPr>
        <w:spacing w:after="0"/>
        <w:ind w:left="720" w:hanging="720"/>
        <w:rPr>
          <w:rFonts w:eastAsia="Calibri"/>
          <w:color w:val="000000" w:themeColor="text1"/>
          <w:lang w:val="en-AU"/>
        </w:rPr>
      </w:pPr>
      <w:r w:rsidRPr="00604F09">
        <w:rPr>
          <w:rFonts w:eastAsia="Calibri"/>
          <w:color w:val="000000" w:themeColor="text1"/>
        </w:rPr>
        <w:t>Nunnally</w:t>
      </w:r>
      <w:r>
        <w:rPr>
          <w:rFonts w:eastAsia="Calibri"/>
          <w:color w:val="000000" w:themeColor="text1"/>
        </w:rPr>
        <w:t>, Jum and</w:t>
      </w:r>
      <w:r w:rsidRPr="00604F09">
        <w:rPr>
          <w:rFonts w:eastAsia="Calibri"/>
          <w:color w:val="000000" w:themeColor="text1"/>
        </w:rPr>
        <w:t xml:space="preserve"> </w:t>
      </w:r>
      <w:r>
        <w:rPr>
          <w:rFonts w:eastAsia="Calibri"/>
          <w:color w:val="000000" w:themeColor="text1"/>
        </w:rPr>
        <w:t xml:space="preserve">Ira </w:t>
      </w:r>
      <w:r w:rsidRPr="00604F09">
        <w:rPr>
          <w:rFonts w:eastAsia="Calibri"/>
          <w:color w:val="000000" w:themeColor="text1"/>
        </w:rPr>
        <w:t>Bernstein</w:t>
      </w:r>
      <w:r>
        <w:rPr>
          <w:rFonts w:eastAsia="Calibri"/>
          <w:color w:val="000000" w:themeColor="text1"/>
        </w:rPr>
        <w:t>.</w:t>
      </w:r>
      <w:r w:rsidRPr="00604F09">
        <w:rPr>
          <w:rFonts w:eastAsia="Calibri"/>
          <w:color w:val="000000" w:themeColor="text1"/>
        </w:rPr>
        <w:t xml:space="preserve"> 1994</w:t>
      </w:r>
      <w:r>
        <w:rPr>
          <w:rFonts w:eastAsia="Calibri"/>
          <w:color w:val="000000" w:themeColor="text1"/>
        </w:rPr>
        <w:t xml:space="preserve">. </w:t>
      </w:r>
      <w:r>
        <w:rPr>
          <w:rFonts w:eastAsia="Calibri"/>
          <w:i/>
          <w:iCs/>
          <w:color w:val="000000" w:themeColor="text1"/>
        </w:rPr>
        <w:t xml:space="preserve">Psychometric Theory </w:t>
      </w:r>
      <w:r>
        <w:rPr>
          <w:rFonts w:eastAsia="Calibri"/>
          <w:color w:val="000000" w:themeColor="text1"/>
        </w:rPr>
        <w:t>(3</w:t>
      </w:r>
      <w:r w:rsidRPr="001D34FC">
        <w:rPr>
          <w:rFonts w:eastAsia="Calibri"/>
          <w:color w:val="000000" w:themeColor="text1"/>
          <w:vertAlign w:val="superscript"/>
        </w:rPr>
        <w:t>rd</w:t>
      </w:r>
      <w:r>
        <w:rPr>
          <w:rFonts w:eastAsia="Calibri"/>
          <w:color w:val="000000" w:themeColor="text1"/>
        </w:rPr>
        <w:t xml:space="preserve"> edition). McGraw Hill.</w:t>
      </w:r>
    </w:p>
    <w:p w14:paraId="02C8803C" w14:textId="03ACBEF0" w:rsidR="004F2B76" w:rsidRDefault="004F2B76" w:rsidP="004F2B76">
      <w:pPr>
        <w:spacing w:before="0" w:after="0"/>
        <w:ind w:left="720" w:hanging="720"/>
        <w:rPr>
          <w:rFonts w:eastAsia="Calibri"/>
          <w:color w:val="000000" w:themeColor="text1"/>
        </w:rPr>
      </w:pPr>
      <w:r w:rsidRPr="004F2B76">
        <w:rPr>
          <w:rFonts w:eastAsia="Calibri"/>
          <w:color w:val="000000" w:themeColor="text1"/>
        </w:rPr>
        <w:t>Okasha</w:t>
      </w:r>
      <w:r>
        <w:rPr>
          <w:rFonts w:eastAsia="Calibri"/>
          <w:color w:val="000000" w:themeColor="text1"/>
        </w:rPr>
        <w:t xml:space="preserve">, </w:t>
      </w:r>
      <w:r w:rsidRPr="004F2B76">
        <w:rPr>
          <w:rFonts w:eastAsia="Calibri"/>
          <w:color w:val="000000" w:themeColor="text1"/>
        </w:rPr>
        <w:t>Samir and Bengt Autzen</w:t>
      </w:r>
      <w:r>
        <w:rPr>
          <w:rFonts w:eastAsia="Calibri"/>
          <w:color w:val="000000" w:themeColor="text1"/>
        </w:rPr>
        <w:t>. Forthcoming.</w:t>
      </w:r>
      <w:r w:rsidRPr="004F2B76">
        <w:rPr>
          <w:rFonts w:eastAsia="Calibri"/>
          <w:color w:val="000000" w:themeColor="text1"/>
        </w:rPr>
        <w:t xml:space="preserve"> </w:t>
      </w:r>
      <w:r w:rsidRPr="004F2B76">
        <w:rPr>
          <w:rFonts w:eastAsia="Calibri"/>
          <w:i/>
          <w:iCs/>
          <w:color w:val="000000" w:themeColor="text1"/>
        </w:rPr>
        <w:t>Biological Fitness: A Philosophical Analysis.</w:t>
      </w:r>
      <w:r w:rsidRPr="004F2B76">
        <w:rPr>
          <w:rFonts w:eastAsia="Calibri"/>
          <w:color w:val="000000" w:themeColor="text1"/>
        </w:rPr>
        <w:t xml:space="preserve"> </w:t>
      </w:r>
      <w:r>
        <w:rPr>
          <w:rFonts w:eastAsia="Calibri"/>
          <w:color w:val="000000" w:themeColor="text1"/>
        </w:rPr>
        <w:t>Cambridge University Press.</w:t>
      </w:r>
    </w:p>
    <w:p w14:paraId="0F3F6827" w14:textId="77777777" w:rsidR="00E276A8" w:rsidRPr="00E276A8" w:rsidRDefault="00E276A8" w:rsidP="00E276A8">
      <w:pPr>
        <w:spacing w:before="0" w:after="0"/>
        <w:ind w:left="720" w:hanging="720"/>
        <w:rPr>
          <w:rFonts w:eastAsia="Calibri"/>
          <w:color w:val="000000" w:themeColor="text1"/>
          <w:lang w:val="en-AU"/>
        </w:rPr>
      </w:pPr>
      <w:r w:rsidRPr="00E276A8">
        <w:rPr>
          <w:rFonts w:eastAsia="Calibri"/>
          <w:color w:val="000000" w:themeColor="text1"/>
          <w:lang w:val="en-AU"/>
        </w:rPr>
        <w:t>Reiss, Julian. 2018. “Measurements and Value Judgements.” In </w:t>
      </w:r>
      <w:r w:rsidRPr="00E276A8">
        <w:rPr>
          <w:rFonts w:eastAsia="Calibri"/>
          <w:i/>
          <w:iCs/>
          <w:color w:val="000000" w:themeColor="text1"/>
          <w:lang w:val="en-AU"/>
        </w:rPr>
        <w:t>The Routledge Handbook of the Philosophy of Economics</w:t>
      </w:r>
      <w:r w:rsidRPr="00E276A8">
        <w:rPr>
          <w:rFonts w:eastAsia="Calibri"/>
          <w:color w:val="000000" w:themeColor="text1"/>
          <w:lang w:val="en-AU"/>
        </w:rPr>
        <w:t>, edited by Julian Reiss and Conrad Heilmann. Routledge.</w:t>
      </w:r>
    </w:p>
    <w:p w14:paraId="49C33CB2" w14:textId="4D20EA47" w:rsidR="00A975B3" w:rsidRDefault="004F2B76" w:rsidP="004F2B76">
      <w:pPr>
        <w:spacing w:before="0" w:after="0"/>
        <w:ind w:left="720" w:hanging="720"/>
        <w:rPr>
          <w:rFonts w:eastAsia="Calibri"/>
          <w:color w:val="000000" w:themeColor="text1"/>
        </w:rPr>
      </w:pPr>
      <w:r w:rsidRPr="00155FCF">
        <w:rPr>
          <w:rFonts w:eastAsia="Calibri"/>
          <w:color w:val="000000" w:themeColor="text1"/>
        </w:rPr>
        <w:t xml:space="preserve">Sober, Elliott. 1984. </w:t>
      </w:r>
      <w:r w:rsidRPr="00155FCF">
        <w:rPr>
          <w:rFonts w:eastAsia="Calibri"/>
          <w:i/>
          <w:iCs/>
          <w:color w:val="000000" w:themeColor="text1"/>
        </w:rPr>
        <w:t>The Nature of Selection: Evolutionary Theory in Philosophical Focus</w:t>
      </w:r>
      <w:r w:rsidRPr="00155FCF">
        <w:rPr>
          <w:rFonts w:eastAsia="Calibri"/>
          <w:color w:val="000000" w:themeColor="text1"/>
        </w:rPr>
        <w:t>. Cambridge: The MIT Press.</w:t>
      </w:r>
    </w:p>
    <w:p w14:paraId="033D0102" w14:textId="60BEC882" w:rsidR="001D34FC" w:rsidRDefault="001D34FC" w:rsidP="001D34FC">
      <w:pPr>
        <w:spacing w:before="0" w:after="0"/>
        <w:ind w:left="720" w:hanging="720"/>
        <w:rPr>
          <w:rFonts w:eastAsia="Calibri"/>
          <w:color w:val="000000" w:themeColor="text1"/>
        </w:rPr>
      </w:pPr>
      <w:r w:rsidRPr="001D34FC">
        <w:rPr>
          <w:rFonts w:eastAsia="Calibri"/>
          <w:color w:val="000000" w:themeColor="text1"/>
        </w:rPr>
        <w:t xml:space="preserve">Spirtes, P. </w:t>
      </w:r>
      <w:r>
        <w:rPr>
          <w:rFonts w:eastAsia="Calibri"/>
          <w:color w:val="000000" w:themeColor="text1"/>
        </w:rPr>
        <w:t>and</w:t>
      </w:r>
      <w:r w:rsidRPr="001D34FC">
        <w:rPr>
          <w:rFonts w:eastAsia="Calibri"/>
          <w:color w:val="000000" w:themeColor="text1"/>
        </w:rPr>
        <w:t xml:space="preserve"> </w:t>
      </w:r>
      <w:proofErr w:type="spellStart"/>
      <w:r w:rsidRPr="001D34FC">
        <w:rPr>
          <w:rFonts w:eastAsia="Calibri"/>
          <w:color w:val="000000" w:themeColor="text1"/>
        </w:rPr>
        <w:t>Scheines</w:t>
      </w:r>
      <w:proofErr w:type="spellEnd"/>
      <w:r w:rsidRPr="001D34FC">
        <w:rPr>
          <w:rFonts w:eastAsia="Calibri"/>
          <w:color w:val="000000" w:themeColor="text1"/>
        </w:rPr>
        <w:t xml:space="preserve">, R. 2004. Causal inference of ambiguous manipulations. </w:t>
      </w:r>
      <w:r w:rsidRPr="001D34FC">
        <w:rPr>
          <w:rFonts w:eastAsia="Calibri"/>
          <w:i/>
          <w:iCs/>
          <w:color w:val="000000" w:themeColor="text1"/>
        </w:rPr>
        <w:t>Philosophy of Science</w:t>
      </w:r>
      <w:r w:rsidRPr="001D34FC">
        <w:rPr>
          <w:rFonts w:eastAsia="Calibri"/>
          <w:color w:val="000000" w:themeColor="text1"/>
        </w:rPr>
        <w:t>,</w:t>
      </w:r>
      <w:r>
        <w:rPr>
          <w:rFonts w:eastAsia="Calibri"/>
          <w:color w:val="000000" w:themeColor="text1"/>
        </w:rPr>
        <w:t xml:space="preserve"> </w:t>
      </w:r>
      <w:r w:rsidRPr="001D34FC">
        <w:rPr>
          <w:rFonts w:eastAsia="Calibri"/>
          <w:color w:val="000000" w:themeColor="text1"/>
        </w:rPr>
        <w:t>71(5), 833–845.</w:t>
      </w:r>
    </w:p>
    <w:p w14:paraId="2E5BAE70" w14:textId="253F359F" w:rsidR="00E276A8" w:rsidRPr="00E276A8" w:rsidRDefault="00E276A8" w:rsidP="00E276A8">
      <w:pPr>
        <w:spacing w:before="0" w:after="0"/>
        <w:ind w:left="720" w:hanging="720"/>
        <w:rPr>
          <w:rFonts w:eastAsia="Calibri"/>
          <w:color w:val="000000" w:themeColor="text1"/>
          <w:lang w:val="en-AU"/>
        </w:rPr>
      </w:pPr>
      <w:proofErr w:type="spellStart"/>
      <w:r w:rsidRPr="00E276A8">
        <w:rPr>
          <w:rFonts w:eastAsia="Calibri"/>
          <w:color w:val="000000" w:themeColor="text1"/>
          <w:lang w:val="en-AU"/>
        </w:rPr>
        <w:t>Thoma</w:t>
      </w:r>
      <w:proofErr w:type="spellEnd"/>
      <w:r w:rsidRPr="00E276A8">
        <w:rPr>
          <w:rFonts w:eastAsia="Calibri"/>
          <w:color w:val="000000" w:themeColor="text1"/>
          <w:lang w:val="en-AU"/>
        </w:rPr>
        <w:t>, Johanna. 2024. “Social Science, Policy and Democracy.” </w:t>
      </w:r>
      <w:r w:rsidRPr="00E276A8">
        <w:rPr>
          <w:rFonts w:eastAsia="Calibri"/>
          <w:i/>
          <w:iCs/>
          <w:color w:val="000000" w:themeColor="text1"/>
          <w:lang w:val="en-AU"/>
        </w:rPr>
        <w:t>Philosophy and Public Affairs</w:t>
      </w:r>
      <w:r w:rsidRPr="00E276A8">
        <w:rPr>
          <w:rFonts w:eastAsia="Calibri"/>
          <w:color w:val="000000" w:themeColor="text1"/>
          <w:lang w:val="en-AU"/>
        </w:rPr>
        <w:t> 52: 5–41.</w:t>
      </w:r>
    </w:p>
    <w:p w14:paraId="0AFCE026" w14:textId="77777777" w:rsidR="00FF6972" w:rsidRPr="00975F8D" w:rsidRDefault="00FF6972" w:rsidP="00B2209F"/>
    <w:p w14:paraId="20568E4F" w14:textId="77777777" w:rsidR="00FF6972" w:rsidRPr="00975F8D" w:rsidRDefault="00FF6972" w:rsidP="00B2209F"/>
    <w:sectPr w:rsidR="00FF6972" w:rsidRPr="00975F8D" w:rsidSect="000C1E3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2210" w14:textId="77777777" w:rsidR="00064FA0" w:rsidRDefault="00064FA0" w:rsidP="00EE6A78">
      <w:pPr>
        <w:spacing w:before="0" w:after="0" w:line="240" w:lineRule="auto"/>
      </w:pPr>
      <w:r>
        <w:separator/>
      </w:r>
    </w:p>
  </w:endnote>
  <w:endnote w:type="continuationSeparator" w:id="0">
    <w:p w14:paraId="23F6AFAB" w14:textId="77777777" w:rsidR="00064FA0" w:rsidRDefault="00064FA0" w:rsidP="00EE6A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195402"/>
      <w:docPartObj>
        <w:docPartGallery w:val="Page Numbers (Bottom of Page)"/>
        <w:docPartUnique/>
      </w:docPartObj>
    </w:sdtPr>
    <w:sdtContent>
      <w:p w14:paraId="05DFD11C" w14:textId="3D574492" w:rsidR="00640DB2" w:rsidRDefault="00640DB2" w:rsidP="00B15B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346CD" w14:textId="77777777" w:rsidR="00640DB2" w:rsidRDefault="00640DB2" w:rsidP="00640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454235"/>
      <w:docPartObj>
        <w:docPartGallery w:val="Page Numbers (Bottom of Page)"/>
        <w:docPartUnique/>
      </w:docPartObj>
    </w:sdtPr>
    <w:sdtContent>
      <w:p w14:paraId="50A43812" w14:textId="6E207AFE" w:rsidR="00640DB2" w:rsidRDefault="00640DB2" w:rsidP="00B15B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A0B09D" w14:textId="77777777" w:rsidR="00640DB2" w:rsidRDefault="00640DB2" w:rsidP="00640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76C8" w14:textId="77777777" w:rsidR="00064FA0" w:rsidRDefault="00064FA0" w:rsidP="00EE6A78">
      <w:pPr>
        <w:spacing w:before="0" w:after="0" w:line="240" w:lineRule="auto"/>
      </w:pPr>
      <w:r>
        <w:separator/>
      </w:r>
    </w:p>
  </w:footnote>
  <w:footnote w:type="continuationSeparator" w:id="0">
    <w:p w14:paraId="227477F7" w14:textId="77777777" w:rsidR="00064FA0" w:rsidRDefault="00064FA0" w:rsidP="00EE6A78">
      <w:pPr>
        <w:spacing w:before="0" w:after="0" w:line="240" w:lineRule="auto"/>
      </w:pPr>
      <w:r>
        <w:continuationSeparator/>
      </w:r>
    </w:p>
  </w:footnote>
  <w:footnote w:id="1">
    <w:p w14:paraId="4A140AB8" w14:textId="051D23FE" w:rsidR="00D3433D" w:rsidRDefault="00D3433D">
      <w:pPr>
        <w:pStyle w:val="FootnoteText"/>
      </w:pPr>
      <w:r>
        <w:rPr>
          <w:rStyle w:val="FootnoteReference"/>
        </w:rPr>
        <w:footnoteRef/>
      </w:r>
      <w:r>
        <w:t xml:space="preserve"> </w:t>
      </w:r>
      <w:r w:rsidR="00173BFA">
        <w:t>Some examples:</w:t>
      </w:r>
      <w:r>
        <w:t xml:space="preserve"> </w:t>
      </w:r>
      <w:r w:rsidRPr="00D3433D">
        <w:t xml:space="preserve">Blalock </w:t>
      </w:r>
      <w:r>
        <w:t>(</w:t>
      </w:r>
      <w:r w:rsidRPr="00D3433D">
        <w:t>1963</w:t>
      </w:r>
      <w:r>
        <w:t>)</w:t>
      </w:r>
      <w:r w:rsidR="005D34B5">
        <w:t xml:space="preserve">, </w:t>
      </w:r>
      <w:r w:rsidRPr="00D3433D">
        <w:t xml:space="preserve">Bollen and Lennox </w:t>
      </w:r>
      <w:r>
        <w:t>(</w:t>
      </w:r>
      <w:r w:rsidRPr="00D3433D">
        <w:t>1991</w:t>
      </w:r>
      <w:r>
        <w:t>)</w:t>
      </w:r>
      <w:r w:rsidR="00173BFA">
        <w:t>,</w:t>
      </w:r>
      <w:r w:rsidRPr="00D3433D">
        <w:t xml:space="preserve"> Edwards and Bagozzi </w:t>
      </w:r>
      <w:r>
        <w:t>(</w:t>
      </w:r>
      <w:r w:rsidRPr="00D3433D">
        <w:t>2000</w:t>
      </w:r>
      <w:r>
        <w:t>)</w:t>
      </w:r>
      <w:r w:rsidR="00173BFA">
        <w:t>,</w:t>
      </w:r>
      <w:r w:rsidRPr="00D3433D">
        <w:t xml:space="preserve"> Borsboom </w:t>
      </w:r>
      <w:r>
        <w:t>(</w:t>
      </w:r>
      <w:r w:rsidRPr="00D3433D">
        <w:t>2005</w:t>
      </w:r>
      <w:r>
        <w:t>)</w:t>
      </w:r>
      <w:r w:rsidR="005D34B5">
        <w:t>,</w:t>
      </w:r>
      <w:r w:rsidRPr="00D3433D">
        <w:t xml:space="preserve"> Goertz </w:t>
      </w:r>
      <w:r>
        <w:t>(</w:t>
      </w:r>
      <w:r w:rsidRPr="00D3433D">
        <w:t>20</w:t>
      </w:r>
      <w:r w:rsidR="00173BFA">
        <w:t>20</w:t>
      </w:r>
      <w:r w:rsidRPr="00D3433D">
        <w:t>)</w:t>
      </w:r>
      <w:r w:rsidR="00173BFA">
        <w:t>.</w:t>
      </w:r>
      <w:r w:rsidRPr="00D3433D">
        <w:t xml:space="preserve"> </w:t>
      </w:r>
      <w:r w:rsidR="006829CE">
        <w:t>P</w:t>
      </w:r>
      <w:r w:rsidRPr="00D3433D">
        <w:t xml:space="preserve">hilosophers </w:t>
      </w:r>
      <w:r w:rsidR="00173BFA">
        <w:t>have discussed this issue</w:t>
      </w:r>
      <w:r w:rsidR="006829CE">
        <w:t xml:space="preserve">, </w:t>
      </w:r>
      <w:r w:rsidR="00360508">
        <w:t>though briefly</w:t>
      </w:r>
      <w:r w:rsidR="006829CE">
        <w:t xml:space="preserve"> (</w:t>
      </w:r>
      <w:r w:rsidRPr="00D3433D">
        <w:rPr>
          <w:lang w:val="en-AU"/>
        </w:rPr>
        <w:t>Cartwright and Bradburn 2011</w:t>
      </w:r>
      <w:r w:rsidR="006829CE">
        <w:rPr>
          <w:lang w:val="en-AU"/>
        </w:rPr>
        <w:t>;</w:t>
      </w:r>
      <w:r w:rsidR="00DF4AA6">
        <w:rPr>
          <w:lang w:val="en-AU"/>
        </w:rPr>
        <w:t xml:space="preserve"> </w:t>
      </w:r>
      <w:r w:rsidRPr="00D3433D">
        <w:rPr>
          <w:lang w:val="en-AU"/>
        </w:rPr>
        <w:t>Larroulet Philippi 2021</w:t>
      </w:r>
      <w:r w:rsidRPr="00D3433D">
        <w:t>)</w:t>
      </w:r>
      <w:r w:rsidR="00173BFA">
        <w:t>.</w:t>
      </w:r>
    </w:p>
  </w:footnote>
  <w:footnote w:id="2">
    <w:p w14:paraId="6DB3E27D" w14:textId="1BB3C32C" w:rsidR="00FA1976" w:rsidRPr="0006005B" w:rsidRDefault="00FA1976">
      <w:pPr>
        <w:pStyle w:val="FootnoteText"/>
        <w:rPr>
          <w:lang w:val="en-AU"/>
        </w:rPr>
      </w:pPr>
      <w:r>
        <w:rPr>
          <w:rStyle w:val="FootnoteReference"/>
        </w:rPr>
        <w:footnoteRef/>
      </w:r>
      <w:r>
        <w:t xml:space="preserve"> </w:t>
      </w:r>
      <w:r w:rsidR="008B61A7">
        <w:t>Several</w:t>
      </w:r>
      <w:r w:rsidR="0006005B">
        <w:t xml:space="preserve"> </w:t>
      </w:r>
      <w:r>
        <w:rPr>
          <w:lang w:val="en-AU"/>
        </w:rPr>
        <w:t>authors</w:t>
      </w:r>
      <w:r w:rsidR="00F04BC1">
        <w:rPr>
          <w:lang w:val="en-AU"/>
        </w:rPr>
        <w:t xml:space="preserve"> </w:t>
      </w:r>
      <w:r>
        <w:rPr>
          <w:lang w:val="en-AU"/>
        </w:rPr>
        <w:t>talk about “causal indicators”</w:t>
      </w:r>
      <w:r w:rsidR="0006005B">
        <w:rPr>
          <w:lang w:val="en-AU"/>
        </w:rPr>
        <w:t xml:space="preserve"> to refer to cases like (1)-(2)</w:t>
      </w:r>
      <w:r w:rsidR="00A70AF4">
        <w:rPr>
          <w:lang w:val="en-AU"/>
        </w:rPr>
        <w:t xml:space="preserve"> and claim that the indicators cause the construct</w:t>
      </w:r>
      <w:r w:rsidR="00272393">
        <w:rPr>
          <w:lang w:val="en-AU"/>
        </w:rPr>
        <w:t>.</w:t>
      </w:r>
      <w:r w:rsidR="00F04BC1">
        <w:rPr>
          <w:lang w:val="en-AU"/>
        </w:rPr>
        <w:t xml:space="preserve"> </w:t>
      </w:r>
      <w:r w:rsidR="000A3A8C">
        <w:rPr>
          <w:lang w:val="en-AU"/>
        </w:rPr>
        <w:t>This is problematic</w:t>
      </w:r>
      <w:r w:rsidR="0006005B">
        <w:rPr>
          <w:lang w:val="en-AU"/>
        </w:rPr>
        <w:t xml:space="preserve"> since</w:t>
      </w:r>
      <w:r w:rsidR="00A70AF4">
        <w:rPr>
          <w:lang w:val="en-AU"/>
        </w:rPr>
        <w:t xml:space="preserve">, plainly, </w:t>
      </w:r>
      <w:r w:rsidR="0006005B">
        <w:rPr>
          <w:lang w:val="en-AU"/>
        </w:rPr>
        <w:t xml:space="preserve">it is not </w:t>
      </w:r>
      <w:r w:rsidR="00A70AF4">
        <w:rPr>
          <w:lang w:val="en-AU"/>
        </w:rPr>
        <w:t>a</w:t>
      </w:r>
      <w:r w:rsidR="0006005B">
        <w:rPr>
          <w:lang w:val="en-AU"/>
        </w:rPr>
        <w:t xml:space="preserve"> measurement indicator</w:t>
      </w:r>
      <w:r w:rsidR="00272393">
        <w:rPr>
          <w:lang w:val="en-AU"/>
        </w:rPr>
        <w:t xml:space="preserve"> </w:t>
      </w:r>
      <w:r w:rsidR="00A70AF4">
        <w:rPr>
          <w:lang w:val="en-AU"/>
        </w:rPr>
        <w:t>(</w:t>
      </w:r>
      <w:r w:rsidR="00272393">
        <w:rPr>
          <w:lang w:val="en-AU"/>
        </w:rPr>
        <w:t xml:space="preserve">say, </w:t>
      </w:r>
      <w:r w:rsidR="0006005B">
        <w:rPr>
          <w:lang w:val="en-AU"/>
        </w:rPr>
        <w:t>recording</w:t>
      </w:r>
      <w:r w:rsidR="00272393">
        <w:rPr>
          <w:lang w:val="en-AU"/>
        </w:rPr>
        <w:t>s</w:t>
      </w:r>
      <w:r w:rsidR="0006005B">
        <w:rPr>
          <w:lang w:val="en-AU"/>
        </w:rPr>
        <w:t xml:space="preserve"> of the time since last feed</w:t>
      </w:r>
      <w:r w:rsidR="00A70AF4">
        <w:rPr>
          <w:lang w:val="en-AU"/>
        </w:rPr>
        <w:t>)</w:t>
      </w:r>
      <w:r w:rsidR="0006005B">
        <w:rPr>
          <w:lang w:val="en-AU"/>
        </w:rPr>
        <w:t xml:space="preserve"> </w:t>
      </w:r>
      <w:r w:rsidR="00A70AF4">
        <w:rPr>
          <w:lang w:val="en-AU"/>
        </w:rPr>
        <w:t xml:space="preserve">what </w:t>
      </w:r>
      <w:r w:rsidR="0006005B">
        <w:rPr>
          <w:lang w:val="en-AU"/>
        </w:rPr>
        <w:t xml:space="preserve">causes </w:t>
      </w:r>
      <w:r w:rsidR="0006005B">
        <w:rPr>
          <w:i/>
          <w:iCs/>
          <w:lang w:val="en-AU"/>
        </w:rPr>
        <w:t>hunger</w:t>
      </w:r>
      <w:r w:rsidR="00272393">
        <w:rPr>
          <w:i/>
          <w:iCs/>
          <w:lang w:val="en-AU"/>
        </w:rPr>
        <w:t>,</w:t>
      </w:r>
      <w:r w:rsidR="0006005B">
        <w:rPr>
          <w:i/>
          <w:iCs/>
          <w:lang w:val="en-AU"/>
        </w:rPr>
        <w:t xml:space="preserve"> </w:t>
      </w:r>
      <w:r w:rsidR="0006005B">
        <w:rPr>
          <w:lang w:val="en-AU"/>
        </w:rPr>
        <w:t xml:space="preserve">but the more directly measurable </w:t>
      </w:r>
      <w:r w:rsidR="000A3A8C">
        <w:rPr>
          <w:lang w:val="en-AU"/>
        </w:rPr>
        <w:t xml:space="preserve">attribute </w:t>
      </w:r>
      <w:r w:rsidR="0006005B">
        <w:rPr>
          <w:lang w:val="en-AU"/>
        </w:rPr>
        <w:t>(</w:t>
      </w:r>
      <w:r w:rsidR="0006005B" w:rsidRPr="00C0656E">
        <w:rPr>
          <w:i/>
          <w:iCs/>
          <w:lang w:val="en-AU"/>
        </w:rPr>
        <w:t>time since last feed</w:t>
      </w:r>
      <w:r w:rsidR="0006005B">
        <w:rPr>
          <w:lang w:val="en-AU"/>
        </w:rPr>
        <w:t>) that does so.</w:t>
      </w:r>
      <w:r w:rsidR="000A3A8C">
        <w:rPr>
          <w:lang w:val="en-AU"/>
        </w:rPr>
        <w:t xml:space="preserve"> Such talk may be harmless when there’s not much of a gap between the more directly measurable attribute and the measurement indication. </w:t>
      </w:r>
    </w:p>
  </w:footnote>
  <w:footnote w:id="3">
    <w:p w14:paraId="67C6941C" w14:textId="22B71D72" w:rsidR="00820D00" w:rsidRDefault="00820D00" w:rsidP="00820D00">
      <w:pPr>
        <w:pStyle w:val="FootnoteText"/>
      </w:pPr>
      <w:r>
        <w:rPr>
          <w:rStyle w:val="FootnoteReference"/>
        </w:rPr>
        <w:footnoteRef/>
      </w:r>
      <w:r>
        <w:t xml:space="preserve"> E.g., by transforming the original measures into T-scores (mean=50 and standard deviation=10)</w:t>
      </w:r>
      <w:r w:rsidR="008B61A7">
        <w:t>.</w:t>
      </w:r>
    </w:p>
  </w:footnote>
  <w:footnote w:id="4">
    <w:p w14:paraId="3703D1F3" w14:textId="2D86FFAA" w:rsidR="000A3A8C" w:rsidRPr="000A3A8C" w:rsidRDefault="000A3A8C">
      <w:pPr>
        <w:pStyle w:val="FootnoteText"/>
        <w:rPr>
          <w:lang w:val="en-AU"/>
        </w:rPr>
      </w:pPr>
      <w:r>
        <w:rPr>
          <w:rStyle w:val="FootnoteReference"/>
        </w:rPr>
        <w:footnoteRef/>
      </w:r>
      <w:r>
        <w:t xml:space="preserve"> </w:t>
      </w:r>
      <w:r w:rsidR="008B61A7">
        <w:t>T</w:t>
      </w:r>
      <w:r>
        <w:rPr>
          <w:lang w:val="en-AU"/>
        </w:rPr>
        <w:t>he phrase “</w:t>
      </w:r>
      <w:r w:rsidRPr="000A3A8C">
        <w:t xml:space="preserve">the </w:t>
      </w:r>
      <w:r w:rsidRPr="000A3A8C">
        <w:rPr>
          <w:i/>
          <w:iCs/>
        </w:rPr>
        <w:t>x</w:t>
      </w:r>
      <w:r w:rsidRPr="000A3A8C">
        <w:t xml:space="preserve">’s determine </w:t>
      </w:r>
      <m:oMath>
        <m:sSub>
          <m:sSubPr>
            <m:ctrlPr>
              <w:rPr>
                <w:rFonts w:ascii="Cambria Math" w:hAnsi="Cambria Math"/>
                <w:i/>
              </w:rPr>
            </m:ctrlPr>
          </m:sSubPr>
          <m:e>
            <m:r>
              <w:rPr>
                <w:rFonts w:ascii="Cambria Math" w:hAnsi="Cambria Math"/>
              </w:rPr>
              <m:t>η</m:t>
            </m:r>
          </m:e>
          <m:sub>
            <m:r>
              <w:rPr>
                <w:rFonts w:ascii="Cambria Math" w:hAnsi="Cambria Math"/>
              </w:rPr>
              <m:t>1</m:t>
            </m:r>
          </m:sub>
        </m:sSub>
      </m:oMath>
      <w:r>
        <w:rPr>
          <w:rFonts w:eastAsiaTheme="minorEastAsia"/>
        </w:rPr>
        <w:t xml:space="preserve">” </w:t>
      </w:r>
      <w:r w:rsidR="008B61A7">
        <w:rPr>
          <w:rFonts w:eastAsiaTheme="minorEastAsia"/>
        </w:rPr>
        <w:t xml:space="preserve">is </w:t>
      </w:r>
      <w:r>
        <w:rPr>
          <w:rFonts w:eastAsiaTheme="minorEastAsia"/>
        </w:rPr>
        <w:t xml:space="preserve">short for “the </w:t>
      </w:r>
      <w:r w:rsidRPr="000A3A8C">
        <w:rPr>
          <w:rFonts w:eastAsiaTheme="minorEastAsia"/>
          <w:i/>
          <w:iCs/>
        </w:rPr>
        <w:t>x</w:t>
      </w:r>
      <w:r w:rsidRPr="000A3A8C">
        <w:rPr>
          <w:rFonts w:eastAsiaTheme="minorEastAsia"/>
        </w:rPr>
        <w:t xml:space="preserve">’s </w:t>
      </w:r>
      <w:r>
        <w:rPr>
          <w:rFonts w:eastAsiaTheme="minorEastAsia"/>
        </w:rPr>
        <w:t xml:space="preserve">are the measurement indications of </w:t>
      </w:r>
      <w:r w:rsidRPr="000A3A8C">
        <w:rPr>
          <w:rFonts w:eastAsiaTheme="minorEastAsia"/>
        </w:rPr>
        <w:t xml:space="preserve">the </w:t>
      </w:r>
      <w:r>
        <w:rPr>
          <w:rFonts w:eastAsiaTheme="minorEastAsia"/>
        </w:rPr>
        <w:t xml:space="preserve">directly measurable concepts which in turn </w:t>
      </w:r>
      <w:r w:rsidRPr="000A3A8C">
        <w:rPr>
          <w:rFonts w:eastAsiaTheme="minorEastAsia"/>
        </w:rPr>
        <w:t xml:space="preserve">determine </w:t>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1</m:t>
            </m:r>
          </m:sub>
        </m:sSub>
      </m:oMath>
      <w:r>
        <w:rPr>
          <w:rFonts w:eastAsiaTheme="minorEastAsia"/>
        </w:rPr>
        <w:t>”</w:t>
      </w:r>
      <w:r w:rsidR="008B61A7">
        <w:rPr>
          <w:rFonts w:eastAsiaTheme="minorEastAsia"/>
        </w:rPr>
        <w:t xml:space="preserve"> (see fn. 2).</w:t>
      </w:r>
    </w:p>
  </w:footnote>
  <w:footnote w:id="5">
    <w:p w14:paraId="0B0C14E3" w14:textId="0DCBC1E6" w:rsidR="00FA0223" w:rsidRPr="00B2209F" w:rsidRDefault="00FA0223" w:rsidP="00FA0223">
      <w:pPr>
        <w:pStyle w:val="FootnoteText"/>
        <w:rPr>
          <w:i/>
          <w:iCs/>
          <w:lang w:val="en-AU"/>
        </w:rPr>
      </w:pPr>
      <w:r>
        <w:rPr>
          <w:rStyle w:val="FootnoteReference"/>
        </w:rPr>
        <w:footnoteRef/>
      </w:r>
      <w:r>
        <w:t xml:space="preserve"> An alleged affinity with anti-</w:t>
      </w:r>
      <w:r>
        <w:rPr>
          <w:lang w:val="en-AU"/>
        </w:rPr>
        <w:t>realism has also been levelled to formative measurement (</w:t>
      </w:r>
      <w:r w:rsidR="007F59FC">
        <w:rPr>
          <w:lang w:val="en-AU"/>
        </w:rPr>
        <w:t xml:space="preserve">e.g., </w:t>
      </w:r>
      <w:r>
        <w:rPr>
          <w:lang w:val="en-AU"/>
        </w:rPr>
        <w:t xml:space="preserve">Borsboom 2005; Howel et al 2007). I don’t review this line here—methodological disputes should be handled independently of the realism debate (Isaac </w:t>
      </w:r>
      <w:r w:rsidRPr="00B2209F">
        <w:rPr>
          <w:lang w:val="en-AU"/>
        </w:rPr>
        <w:t>2025,</w:t>
      </w:r>
      <w:r>
        <w:rPr>
          <w:lang w:val="en-AU"/>
        </w:rPr>
        <w:t xml:space="preserve"> </w:t>
      </w:r>
      <w:r w:rsidRPr="00B2209F">
        <w:rPr>
          <w:lang w:val="en-AU"/>
        </w:rPr>
        <w:t>81)</w:t>
      </w:r>
      <w:r>
        <w:rPr>
          <w:lang w:val="en-AU"/>
        </w:rPr>
        <w:t>.</w:t>
      </w:r>
    </w:p>
  </w:footnote>
  <w:footnote w:id="6">
    <w:p w14:paraId="7F29BC5D" w14:textId="27567D1B" w:rsidR="00054DBF" w:rsidRPr="00F91D67" w:rsidRDefault="00054DBF" w:rsidP="00054DBF">
      <w:pPr>
        <w:pStyle w:val="FootnoteText"/>
        <w:rPr>
          <w:lang w:val="en-AU"/>
        </w:rPr>
      </w:pPr>
      <w:r>
        <w:rPr>
          <w:rStyle w:val="FootnoteReference"/>
        </w:rPr>
        <w:footnoteRef/>
      </w:r>
      <w:r>
        <w:t xml:space="preserve"> Heterogeneity also figures in </w:t>
      </w:r>
      <w:r>
        <w:rPr>
          <w:lang w:val="en-AU"/>
        </w:rPr>
        <w:t>recent philosophical discussions on measurement (Hausman 2015; Alexandrova 2017; McClimans 2024); but their focus (individual</w:t>
      </w:r>
      <w:r w:rsidR="00013056">
        <w:rPr>
          <w:lang w:val="en-AU"/>
        </w:rPr>
        <w:t>s</w:t>
      </w:r>
      <w:r>
        <w:rPr>
          <w:lang w:val="en-AU"/>
        </w:rPr>
        <w:t xml:space="preserve">’ heterogeneity) is not the same as ours. Closer </w:t>
      </w:r>
      <w:r w:rsidR="009C1A80">
        <w:rPr>
          <w:lang w:val="en-AU"/>
        </w:rPr>
        <w:t xml:space="preserve">in spirit is </w:t>
      </w:r>
      <w:r>
        <w:rPr>
          <w:lang w:val="en-AU"/>
        </w:rPr>
        <w:t xml:space="preserve">the so-called quantity objection (Michell 2012; Larroulet Philippi </w:t>
      </w:r>
      <w:r w:rsidR="004F2B76">
        <w:rPr>
          <w:lang w:val="en-AU"/>
        </w:rPr>
        <w:t>forthcoming</w:t>
      </w:r>
      <w:r>
        <w:rPr>
          <w:lang w:val="en-AU"/>
        </w:rPr>
        <w:t>), but there we don’t find clear methodological criteria for when a construct is problematic because heterogeneous, unlike in the sociological literature review</w:t>
      </w:r>
      <w:r w:rsidR="00C86396">
        <w:rPr>
          <w:lang w:val="en-AU"/>
        </w:rPr>
        <w:t>ed</w:t>
      </w:r>
      <w:r w:rsidR="009C1A80">
        <w:rPr>
          <w:lang w:val="en-AU"/>
        </w:rPr>
        <w:t xml:space="preserve"> below</w:t>
      </w:r>
      <w:r>
        <w:rPr>
          <w:lang w:val="en-AU"/>
        </w:rPr>
        <w:t>.</w:t>
      </w:r>
    </w:p>
  </w:footnote>
  <w:footnote w:id="7">
    <w:p w14:paraId="687514FD" w14:textId="037A0A28" w:rsidR="00AD07CC" w:rsidRPr="00090723" w:rsidRDefault="00AD07CC" w:rsidP="00AD07CC">
      <w:pPr>
        <w:pStyle w:val="FootnoteText"/>
        <w:rPr>
          <w:lang w:val="en-AU"/>
        </w:rPr>
      </w:pPr>
      <w:r>
        <w:rPr>
          <w:rStyle w:val="FootnoteReference"/>
        </w:rPr>
        <w:footnoteRef/>
      </w:r>
      <w:r>
        <w:t xml:space="preserve"> Which makes debates about whether </w:t>
      </w:r>
      <w:r>
        <w:rPr>
          <w:lang w:val="en-AU"/>
        </w:rPr>
        <w:t xml:space="preserve">fitness is causally inert (e.g., Sober 1984, 89) </w:t>
      </w:r>
      <w:r>
        <w:t>unsurprising</w:t>
      </w:r>
      <w:r>
        <w:rPr>
          <w:lang w:val="en-AU"/>
        </w:rPr>
        <w:t>.</w:t>
      </w:r>
    </w:p>
  </w:footnote>
  <w:footnote w:id="8">
    <w:p w14:paraId="7C259A05" w14:textId="19732484" w:rsidR="00A93BB5" w:rsidRPr="00A93BB5" w:rsidRDefault="00A93BB5">
      <w:pPr>
        <w:pStyle w:val="FootnoteText"/>
        <w:rPr>
          <w:lang w:val="en-AU"/>
        </w:rPr>
      </w:pPr>
      <w:r>
        <w:rPr>
          <w:rStyle w:val="FootnoteReference"/>
        </w:rPr>
        <w:footnoteRef/>
      </w:r>
      <w:r>
        <w:t xml:space="preserve"> </w:t>
      </w:r>
      <w:r>
        <w:rPr>
          <w:lang w:val="en-AU"/>
        </w:rPr>
        <w:t xml:space="preserve">This </w:t>
      </w:r>
      <w:r w:rsidR="00E742B8">
        <w:rPr>
          <w:lang w:val="en-AU"/>
        </w:rPr>
        <w:t xml:space="preserve">resembles </w:t>
      </w:r>
      <w:r w:rsidR="00A41E59">
        <w:rPr>
          <w:lang w:val="en-AU"/>
        </w:rPr>
        <w:t xml:space="preserve">to some degree </w:t>
      </w:r>
      <w:r w:rsidR="00DB27F3">
        <w:rPr>
          <w:lang w:val="en-AU"/>
        </w:rPr>
        <w:t xml:space="preserve">Lande and </w:t>
      </w:r>
      <w:r>
        <w:rPr>
          <w:lang w:val="en-AU"/>
        </w:rPr>
        <w:t>Arnold</w:t>
      </w:r>
      <w:r w:rsidR="00375F68">
        <w:rPr>
          <w:lang w:val="en-AU"/>
        </w:rPr>
        <w:t>’s</w:t>
      </w:r>
      <w:r>
        <w:rPr>
          <w:lang w:val="en-AU"/>
        </w:rPr>
        <w:t xml:space="preserve"> (1983)</w:t>
      </w:r>
      <w:r w:rsidR="00375F68">
        <w:rPr>
          <w:lang w:val="en-AU"/>
        </w:rPr>
        <w:t xml:space="preserve"> approach</w:t>
      </w:r>
      <w:r>
        <w:rPr>
          <w:lang w:val="en-AU"/>
        </w:rPr>
        <w:t xml:space="preserve">, </w:t>
      </w:r>
      <w:r w:rsidR="00DB27F3">
        <w:rPr>
          <w:lang w:val="en-AU"/>
        </w:rPr>
        <w:t xml:space="preserve">where survival was regressed on </w:t>
      </w:r>
      <w:r w:rsidR="00375F68">
        <w:rPr>
          <w:lang w:val="en-AU"/>
        </w:rPr>
        <w:t xml:space="preserve">various </w:t>
      </w:r>
      <w:r w:rsidR="00DB27F3">
        <w:rPr>
          <w:lang w:val="en-AU"/>
        </w:rPr>
        <w:t xml:space="preserve">traits. </w:t>
      </w:r>
      <w:r w:rsidR="00375F68">
        <w:rPr>
          <w:lang w:val="en-AU"/>
        </w:rPr>
        <w:t>Their focus, however, was not on estimating fitness or adaptedness</w:t>
      </w:r>
      <w:r w:rsidR="00A41E59">
        <w:rPr>
          <w:lang w:val="en-AU"/>
        </w:rPr>
        <w:t xml:space="preserve"> understood as some probability</w:t>
      </w:r>
      <w:r w:rsidR="00375F68">
        <w:rPr>
          <w:lang w:val="en-AU"/>
        </w:rPr>
        <w:t>, but on measuring the force of selection on traits</w:t>
      </w:r>
      <w:r w:rsidR="009A58C7">
        <w:rPr>
          <w:lang w:val="en-AU"/>
        </w:rPr>
        <w:t>.</w:t>
      </w:r>
    </w:p>
  </w:footnote>
  <w:footnote w:id="9">
    <w:p w14:paraId="13738142" w14:textId="77777777" w:rsidR="00FE30F8" w:rsidRPr="00151BA5" w:rsidRDefault="00FE30F8" w:rsidP="00FE30F8">
      <w:pPr>
        <w:pStyle w:val="FootnoteText"/>
        <w:rPr>
          <w:lang w:val="en-AU"/>
        </w:rPr>
      </w:pPr>
      <w:r>
        <w:rPr>
          <w:rStyle w:val="FootnoteReference"/>
        </w:rPr>
        <w:footnoteRef/>
      </w:r>
      <w:r>
        <w:t xml:space="preserve"> Okasha and Autzen’s (</w:t>
      </w:r>
      <w:r>
        <w:rPr>
          <w:lang w:val="en-AU"/>
        </w:rPr>
        <w:t>forthcoming</w:t>
      </w:r>
      <w:r>
        <w:t>) disagree with Krohs on this use of adaptedness.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161"/>
    <w:multiLevelType w:val="hybridMultilevel"/>
    <w:tmpl w:val="C04A9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4E0D"/>
    <w:multiLevelType w:val="multilevel"/>
    <w:tmpl w:val="FD7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842BA"/>
    <w:multiLevelType w:val="hybridMultilevel"/>
    <w:tmpl w:val="AF5AC3CC"/>
    <w:lvl w:ilvl="0" w:tplc="EA0A0AF2">
      <w:start w:val="1"/>
      <w:numFmt w:val="bullet"/>
      <w:lvlText w:val=""/>
      <w:lvlJc w:val="left"/>
      <w:pPr>
        <w:ind w:left="187" w:hanging="17"/>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6D05BB5"/>
    <w:multiLevelType w:val="hybridMultilevel"/>
    <w:tmpl w:val="E29C2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F7D7E"/>
    <w:multiLevelType w:val="hybridMultilevel"/>
    <w:tmpl w:val="3866F4E0"/>
    <w:lvl w:ilvl="0" w:tplc="931AF78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A5273"/>
    <w:multiLevelType w:val="hybridMultilevel"/>
    <w:tmpl w:val="30F23CA4"/>
    <w:lvl w:ilvl="0" w:tplc="92983C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AD5EF8"/>
    <w:multiLevelType w:val="hybridMultilevel"/>
    <w:tmpl w:val="39B2BE5C"/>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3C0D7461"/>
    <w:multiLevelType w:val="hybridMultilevel"/>
    <w:tmpl w:val="F2BE049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15:restartNumberingAfterBreak="0">
    <w:nsid w:val="4A5B4EDD"/>
    <w:multiLevelType w:val="hybridMultilevel"/>
    <w:tmpl w:val="8F2C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25E6E"/>
    <w:multiLevelType w:val="hybridMultilevel"/>
    <w:tmpl w:val="41F0E768"/>
    <w:lvl w:ilvl="0" w:tplc="78E42B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B258B"/>
    <w:multiLevelType w:val="hybridMultilevel"/>
    <w:tmpl w:val="AEBC160E"/>
    <w:lvl w:ilvl="0" w:tplc="22940E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727FB"/>
    <w:multiLevelType w:val="hybridMultilevel"/>
    <w:tmpl w:val="E964276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62A81747"/>
    <w:multiLevelType w:val="hybridMultilevel"/>
    <w:tmpl w:val="6C30D288"/>
    <w:lvl w:ilvl="0" w:tplc="68E0C48C">
      <w:start w:val="1"/>
      <w:numFmt w:val="bullet"/>
      <w:lvlText w:val=""/>
      <w:lvlJc w:val="left"/>
      <w:pPr>
        <w:ind w:left="187" w:hanging="1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C1E71"/>
    <w:multiLevelType w:val="hybridMultilevel"/>
    <w:tmpl w:val="AEBC160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6D1904"/>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67933A24"/>
    <w:multiLevelType w:val="hybridMultilevel"/>
    <w:tmpl w:val="875EAD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AB035D6"/>
    <w:multiLevelType w:val="hybridMultilevel"/>
    <w:tmpl w:val="31ECA4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6EEF0679"/>
    <w:multiLevelType w:val="hybridMultilevel"/>
    <w:tmpl w:val="F5CE7980"/>
    <w:lvl w:ilvl="0" w:tplc="68E0C48C">
      <w:start w:val="1"/>
      <w:numFmt w:val="bullet"/>
      <w:lvlText w:val=""/>
      <w:lvlJc w:val="left"/>
      <w:pPr>
        <w:ind w:left="527" w:hanging="17"/>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720D3CD7"/>
    <w:multiLevelType w:val="hybridMultilevel"/>
    <w:tmpl w:val="C5B44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30367"/>
    <w:multiLevelType w:val="hybridMultilevel"/>
    <w:tmpl w:val="48A2ECDE"/>
    <w:lvl w:ilvl="0" w:tplc="E006E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50559"/>
    <w:multiLevelType w:val="hybridMultilevel"/>
    <w:tmpl w:val="8C98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B7211"/>
    <w:multiLevelType w:val="hybridMultilevel"/>
    <w:tmpl w:val="891ED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C6380"/>
    <w:multiLevelType w:val="hybridMultilevel"/>
    <w:tmpl w:val="CE949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EC6C444">
      <w:numFmt w:val="bullet"/>
      <w:lvlText w:val="-"/>
      <w:lvlJc w:val="left"/>
      <w:pPr>
        <w:ind w:left="3960" w:hanging="360"/>
      </w:pPr>
      <w:rPr>
        <w:rFonts w:ascii="Times New Roman" w:eastAsia="Times New Roman" w:hAnsi="Times New Roman" w:cs="Times New Roman"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2937B7"/>
    <w:multiLevelType w:val="hybridMultilevel"/>
    <w:tmpl w:val="2932AB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95B6FBA"/>
    <w:multiLevelType w:val="hybridMultilevel"/>
    <w:tmpl w:val="E86E4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488F"/>
    <w:multiLevelType w:val="hybridMultilevel"/>
    <w:tmpl w:val="D310A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90854">
    <w:abstractNumId w:val="22"/>
  </w:num>
  <w:num w:numId="2" w16cid:durableId="1461147699">
    <w:abstractNumId w:val="11"/>
  </w:num>
  <w:num w:numId="3" w16cid:durableId="1656109384">
    <w:abstractNumId w:val="6"/>
  </w:num>
  <w:num w:numId="4" w16cid:durableId="1159729859">
    <w:abstractNumId w:val="21"/>
  </w:num>
  <w:num w:numId="5" w16cid:durableId="1503278690">
    <w:abstractNumId w:val="1"/>
  </w:num>
  <w:num w:numId="6" w16cid:durableId="487793661">
    <w:abstractNumId w:val="8"/>
  </w:num>
  <w:num w:numId="7" w16cid:durableId="239481756">
    <w:abstractNumId w:val="3"/>
  </w:num>
  <w:num w:numId="8" w16cid:durableId="493107402">
    <w:abstractNumId w:val="16"/>
  </w:num>
  <w:num w:numId="9" w16cid:durableId="1111362756">
    <w:abstractNumId w:val="18"/>
  </w:num>
  <w:num w:numId="10" w16cid:durableId="1148354171">
    <w:abstractNumId w:val="0"/>
  </w:num>
  <w:num w:numId="11" w16cid:durableId="858664102">
    <w:abstractNumId w:val="14"/>
  </w:num>
  <w:num w:numId="12" w16cid:durableId="1438402178">
    <w:abstractNumId w:val="7"/>
  </w:num>
  <w:num w:numId="13" w16cid:durableId="966160043">
    <w:abstractNumId w:val="23"/>
  </w:num>
  <w:num w:numId="14" w16cid:durableId="1822648022">
    <w:abstractNumId w:val="15"/>
  </w:num>
  <w:num w:numId="15" w16cid:durableId="718286200">
    <w:abstractNumId w:val="2"/>
  </w:num>
  <w:num w:numId="16" w16cid:durableId="1478574773">
    <w:abstractNumId w:val="12"/>
  </w:num>
  <w:num w:numId="17" w16cid:durableId="91781440">
    <w:abstractNumId w:val="17"/>
  </w:num>
  <w:num w:numId="18" w16cid:durableId="985545377">
    <w:abstractNumId w:val="19"/>
  </w:num>
  <w:num w:numId="19" w16cid:durableId="938834104">
    <w:abstractNumId w:val="25"/>
  </w:num>
  <w:num w:numId="20" w16cid:durableId="1318146427">
    <w:abstractNumId w:val="10"/>
  </w:num>
  <w:num w:numId="21" w16cid:durableId="25984743">
    <w:abstractNumId w:val="13"/>
  </w:num>
  <w:num w:numId="22" w16cid:durableId="2086148675">
    <w:abstractNumId w:val="9"/>
  </w:num>
  <w:num w:numId="23" w16cid:durableId="1134903723">
    <w:abstractNumId w:val="20"/>
  </w:num>
  <w:num w:numId="24" w16cid:durableId="1237207544">
    <w:abstractNumId w:val="24"/>
  </w:num>
  <w:num w:numId="25" w16cid:durableId="442306695">
    <w:abstractNumId w:val="4"/>
  </w:num>
  <w:num w:numId="26" w16cid:durableId="1513375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91"/>
    <w:rsid w:val="000008E0"/>
    <w:rsid w:val="00001069"/>
    <w:rsid w:val="00001C66"/>
    <w:rsid w:val="00004BC5"/>
    <w:rsid w:val="00006B85"/>
    <w:rsid w:val="000073AA"/>
    <w:rsid w:val="00010367"/>
    <w:rsid w:val="000125C7"/>
    <w:rsid w:val="00012EBA"/>
    <w:rsid w:val="00013056"/>
    <w:rsid w:val="000130A5"/>
    <w:rsid w:val="0001436E"/>
    <w:rsid w:val="000166A0"/>
    <w:rsid w:val="00021119"/>
    <w:rsid w:val="0002177E"/>
    <w:rsid w:val="00021843"/>
    <w:rsid w:val="00024C3F"/>
    <w:rsid w:val="00026805"/>
    <w:rsid w:val="00026DDA"/>
    <w:rsid w:val="00026F20"/>
    <w:rsid w:val="000277D1"/>
    <w:rsid w:val="000278DB"/>
    <w:rsid w:val="00027C77"/>
    <w:rsid w:val="00030146"/>
    <w:rsid w:val="00030EEF"/>
    <w:rsid w:val="00033037"/>
    <w:rsid w:val="000402E2"/>
    <w:rsid w:val="00042449"/>
    <w:rsid w:val="000456AB"/>
    <w:rsid w:val="000463D7"/>
    <w:rsid w:val="00052123"/>
    <w:rsid w:val="00054CB9"/>
    <w:rsid w:val="00054DBF"/>
    <w:rsid w:val="00055E1B"/>
    <w:rsid w:val="000565E5"/>
    <w:rsid w:val="00056E23"/>
    <w:rsid w:val="0005715A"/>
    <w:rsid w:val="0006005B"/>
    <w:rsid w:val="00060188"/>
    <w:rsid w:val="00061966"/>
    <w:rsid w:val="00062036"/>
    <w:rsid w:val="00063F41"/>
    <w:rsid w:val="00064585"/>
    <w:rsid w:val="00064FA0"/>
    <w:rsid w:val="00065CFE"/>
    <w:rsid w:val="000665BB"/>
    <w:rsid w:val="0007126B"/>
    <w:rsid w:val="000719BE"/>
    <w:rsid w:val="00072C12"/>
    <w:rsid w:val="000730D1"/>
    <w:rsid w:val="00073C53"/>
    <w:rsid w:val="00074289"/>
    <w:rsid w:val="000744FB"/>
    <w:rsid w:val="00074D01"/>
    <w:rsid w:val="00075C09"/>
    <w:rsid w:val="00076BE6"/>
    <w:rsid w:val="00076CC4"/>
    <w:rsid w:val="00080458"/>
    <w:rsid w:val="00080AED"/>
    <w:rsid w:val="000857DF"/>
    <w:rsid w:val="000873BB"/>
    <w:rsid w:val="00087DF6"/>
    <w:rsid w:val="000906A8"/>
    <w:rsid w:val="00090723"/>
    <w:rsid w:val="0009091C"/>
    <w:rsid w:val="00091AF2"/>
    <w:rsid w:val="0009208C"/>
    <w:rsid w:val="0009249C"/>
    <w:rsid w:val="00092DC5"/>
    <w:rsid w:val="00092F99"/>
    <w:rsid w:val="00093B5F"/>
    <w:rsid w:val="00093E46"/>
    <w:rsid w:val="0009570E"/>
    <w:rsid w:val="000976A0"/>
    <w:rsid w:val="000A316B"/>
    <w:rsid w:val="000A34BC"/>
    <w:rsid w:val="000A3A8C"/>
    <w:rsid w:val="000A3AD3"/>
    <w:rsid w:val="000A4776"/>
    <w:rsid w:val="000A4F42"/>
    <w:rsid w:val="000A5BE9"/>
    <w:rsid w:val="000A786F"/>
    <w:rsid w:val="000A7C87"/>
    <w:rsid w:val="000B1A53"/>
    <w:rsid w:val="000B1D4C"/>
    <w:rsid w:val="000B31F2"/>
    <w:rsid w:val="000B3555"/>
    <w:rsid w:val="000B399E"/>
    <w:rsid w:val="000B62D1"/>
    <w:rsid w:val="000C144F"/>
    <w:rsid w:val="000C1B8B"/>
    <w:rsid w:val="000C1E33"/>
    <w:rsid w:val="000C2EBE"/>
    <w:rsid w:val="000C3448"/>
    <w:rsid w:val="000C62D2"/>
    <w:rsid w:val="000D0057"/>
    <w:rsid w:val="000D0327"/>
    <w:rsid w:val="000D0FBF"/>
    <w:rsid w:val="000D262C"/>
    <w:rsid w:val="000D2DE4"/>
    <w:rsid w:val="000D2F1B"/>
    <w:rsid w:val="000D3D5D"/>
    <w:rsid w:val="000D6F0C"/>
    <w:rsid w:val="000E0F86"/>
    <w:rsid w:val="000E1190"/>
    <w:rsid w:val="000E1BC8"/>
    <w:rsid w:val="000F09A7"/>
    <w:rsid w:val="000F2D4E"/>
    <w:rsid w:val="000F40B3"/>
    <w:rsid w:val="000F438F"/>
    <w:rsid w:val="000F5FCB"/>
    <w:rsid w:val="000F67DE"/>
    <w:rsid w:val="000F6B98"/>
    <w:rsid w:val="00100E36"/>
    <w:rsid w:val="00101A66"/>
    <w:rsid w:val="00102805"/>
    <w:rsid w:val="00105A23"/>
    <w:rsid w:val="0011238F"/>
    <w:rsid w:val="001127D7"/>
    <w:rsid w:val="001132C3"/>
    <w:rsid w:val="00113A17"/>
    <w:rsid w:val="001177D9"/>
    <w:rsid w:val="00120B4B"/>
    <w:rsid w:val="00121DB5"/>
    <w:rsid w:val="00122188"/>
    <w:rsid w:val="00125939"/>
    <w:rsid w:val="001315B0"/>
    <w:rsid w:val="00135E0E"/>
    <w:rsid w:val="0014086F"/>
    <w:rsid w:val="001432F7"/>
    <w:rsid w:val="00144F0B"/>
    <w:rsid w:val="001518E1"/>
    <w:rsid w:val="001560AF"/>
    <w:rsid w:val="00164F89"/>
    <w:rsid w:val="0016537A"/>
    <w:rsid w:val="001653E9"/>
    <w:rsid w:val="001669B8"/>
    <w:rsid w:val="001703BB"/>
    <w:rsid w:val="0017144C"/>
    <w:rsid w:val="001719FA"/>
    <w:rsid w:val="00171C72"/>
    <w:rsid w:val="001720F0"/>
    <w:rsid w:val="001725CF"/>
    <w:rsid w:val="00173BFA"/>
    <w:rsid w:val="001747AD"/>
    <w:rsid w:val="00174E84"/>
    <w:rsid w:val="0017538E"/>
    <w:rsid w:val="0017572E"/>
    <w:rsid w:val="00176DDC"/>
    <w:rsid w:val="00177435"/>
    <w:rsid w:val="001777A6"/>
    <w:rsid w:val="00180461"/>
    <w:rsid w:val="001809A7"/>
    <w:rsid w:val="00181E77"/>
    <w:rsid w:val="001821DF"/>
    <w:rsid w:val="00182A07"/>
    <w:rsid w:val="00182E51"/>
    <w:rsid w:val="00183413"/>
    <w:rsid w:val="00183C20"/>
    <w:rsid w:val="00184EBD"/>
    <w:rsid w:val="001868A5"/>
    <w:rsid w:val="001926CD"/>
    <w:rsid w:val="0019352F"/>
    <w:rsid w:val="00196AC7"/>
    <w:rsid w:val="00196E86"/>
    <w:rsid w:val="00197626"/>
    <w:rsid w:val="001A0468"/>
    <w:rsid w:val="001A0528"/>
    <w:rsid w:val="001A3305"/>
    <w:rsid w:val="001A36AB"/>
    <w:rsid w:val="001B01B8"/>
    <w:rsid w:val="001B0F75"/>
    <w:rsid w:val="001B12F4"/>
    <w:rsid w:val="001B1818"/>
    <w:rsid w:val="001B501A"/>
    <w:rsid w:val="001B6A18"/>
    <w:rsid w:val="001B72E5"/>
    <w:rsid w:val="001B7D6A"/>
    <w:rsid w:val="001C00FB"/>
    <w:rsid w:val="001C2F12"/>
    <w:rsid w:val="001C46DA"/>
    <w:rsid w:val="001C6136"/>
    <w:rsid w:val="001C6D07"/>
    <w:rsid w:val="001C7F11"/>
    <w:rsid w:val="001D1022"/>
    <w:rsid w:val="001D14F1"/>
    <w:rsid w:val="001D2087"/>
    <w:rsid w:val="001D34FC"/>
    <w:rsid w:val="001D3B90"/>
    <w:rsid w:val="001D3FBB"/>
    <w:rsid w:val="001D45C0"/>
    <w:rsid w:val="001D64FF"/>
    <w:rsid w:val="001D71D9"/>
    <w:rsid w:val="001D75C4"/>
    <w:rsid w:val="001E00C9"/>
    <w:rsid w:val="001E0FE2"/>
    <w:rsid w:val="001E151F"/>
    <w:rsid w:val="001E2FCB"/>
    <w:rsid w:val="001E4635"/>
    <w:rsid w:val="001E670E"/>
    <w:rsid w:val="001F1A27"/>
    <w:rsid w:val="001F1D16"/>
    <w:rsid w:val="001F2B6C"/>
    <w:rsid w:val="001F39CE"/>
    <w:rsid w:val="001F4382"/>
    <w:rsid w:val="001F61FB"/>
    <w:rsid w:val="001F7CE7"/>
    <w:rsid w:val="002023D0"/>
    <w:rsid w:val="002035C5"/>
    <w:rsid w:val="00203BBD"/>
    <w:rsid w:val="00204417"/>
    <w:rsid w:val="00204750"/>
    <w:rsid w:val="00205945"/>
    <w:rsid w:val="002066D5"/>
    <w:rsid w:val="00206716"/>
    <w:rsid w:val="00206B14"/>
    <w:rsid w:val="00211279"/>
    <w:rsid w:val="00211F21"/>
    <w:rsid w:val="0021530C"/>
    <w:rsid w:val="00215955"/>
    <w:rsid w:val="00215ED1"/>
    <w:rsid w:val="00216374"/>
    <w:rsid w:val="002214B3"/>
    <w:rsid w:val="002236AD"/>
    <w:rsid w:val="00224424"/>
    <w:rsid w:val="00225979"/>
    <w:rsid w:val="00232453"/>
    <w:rsid w:val="0023471F"/>
    <w:rsid w:val="00234F15"/>
    <w:rsid w:val="00236258"/>
    <w:rsid w:val="002368F5"/>
    <w:rsid w:val="002405A7"/>
    <w:rsid w:val="00241610"/>
    <w:rsid w:val="00242898"/>
    <w:rsid w:val="002434C1"/>
    <w:rsid w:val="002437D5"/>
    <w:rsid w:val="00243C9B"/>
    <w:rsid w:val="00244754"/>
    <w:rsid w:val="002475BB"/>
    <w:rsid w:val="0024781B"/>
    <w:rsid w:val="00250086"/>
    <w:rsid w:val="00250361"/>
    <w:rsid w:val="00253165"/>
    <w:rsid w:val="00253A0F"/>
    <w:rsid w:val="00255666"/>
    <w:rsid w:val="002568DC"/>
    <w:rsid w:val="00257A80"/>
    <w:rsid w:val="00257D7D"/>
    <w:rsid w:val="002618C0"/>
    <w:rsid w:val="002633E5"/>
    <w:rsid w:val="00265007"/>
    <w:rsid w:val="0027088B"/>
    <w:rsid w:val="00272393"/>
    <w:rsid w:val="0027591A"/>
    <w:rsid w:val="00280201"/>
    <w:rsid w:val="002806ED"/>
    <w:rsid w:val="0028093A"/>
    <w:rsid w:val="002814EB"/>
    <w:rsid w:val="002827EB"/>
    <w:rsid w:val="00282E22"/>
    <w:rsid w:val="002859E3"/>
    <w:rsid w:val="0029027E"/>
    <w:rsid w:val="00292961"/>
    <w:rsid w:val="0029748C"/>
    <w:rsid w:val="002979D8"/>
    <w:rsid w:val="002A0FBF"/>
    <w:rsid w:val="002A14D5"/>
    <w:rsid w:val="002A2618"/>
    <w:rsid w:val="002A26ED"/>
    <w:rsid w:val="002A7A90"/>
    <w:rsid w:val="002B0443"/>
    <w:rsid w:val="002B04BE"/>
    <w:rsid w:val="002B6169"/>
    <w:rsid w:val="002B6CC9"/>
    <w:rsid w:val="002B7115"/>
    <w:rsid w:val="002B7AAE"/>
    <w:rsid w:val="002C075A"/>
    <w:rsid w:val="002C1B7F"/>
    <w:rsid w:val="002C1E18"/>
    <w:rsid w:val="002C3437"/>
    <w:rsid w:val="002C3AF2"/>
    <w:rsid w:val="002D0D5A"/>
    <w:rsid w:val="002D348C"/>
    <w:rsid w:val="002D66E9"/>
    <w:rsid w:val="002E1025"/>
    <w:rsid w:val="002E4343"/>
    <w:rsid w:val="002E4611"/>
    <w:rsid w:val="002E48AB"/>
    <w:rsid w:val="002E544D"/>
    <w:rsid w:val="002E5514"/>
    <w:rsid w:val="002E637D"/>
    <w:rsid w:val="002E66CE"/>
    <w:rsid w:val="002E7310"/>
    <w:rsid w:val="002F3609"/>
    <w:rsid w:val="002F3C37"/>
    <w:rsid w:val="002F4D0D"/>
    <w:rsid w:val="002F57E2"/>
    <w:rsid w:val="002F5891"/>
    <w:rsid w:val="002F58A9"/>
    <w:rsid w:val="002F6FF1"/>
    <w:rsid w:val="002F7F6A"/>
    <w:rsid w:val="0030015B"/>
    <w:rsid w:val="003006E2"/>
    <w:rsid w:val="00301FD8"/>
    <w:rsid w:val="00303278"/>
    <w:rsid w:val="00303BA0"/>
    <w:rsid w:val="0030404A"/>
    <w:rsid w:val="0030509D"/>
    <w:rsid w:val="00305171"/>
    <w:rsid w:val="0030530D"/>
    <w:rsid w:val="003061B9"/>
    <w:rsid w:val="00306513"/>
    <w:rsid w:val="003071A9"/>
    <w:rsid w:val="00310C78"/>
    <w:rsid w:val="003110C4"/>
    <w:rsid w:val="00313F84"/>
    <w:rsid w:val="00316023"/>
    <w:rsid w:val="0031678E"/>
    <w:rsid w:val="0031718E"/>
    <w:rsid w:val="0031798E"/>
    <w:rsid w:val="00321620"/>
    <w:rsid w:val="00321974"/>
    <w:rsid w:val="00323835"/>
    <w:rsid w:val="00324F5F"/>
    <w:rsid w:val="00327307"/>
    <w:rsid w:val="00327BA3"/>
    <w:rsid w:val="0033157D"/>
    <w:rsid w:val="00331AC7"/>
    <w:rsid w:val="00331E0F"/>
    <w:rsid w:val="00333E32"/>
    <w:rsid w:val="003342C9"/>
    <w:rsid w:val="00334337"/>
    <w:rsid w:val="00335825"/>
    <w:rsid w:val="00337AF3"/>
    <w:rsid w:val="003403CC"/>
    <w:rsid w:val="00341F88"/>
    <w:rsid w:val="00343E39"/>
    <w:rsid w:val="00347E8A"/>
    <w:rsid w:val="00352145"/>
    <w:rsid w:val="003543C0"/>
    <w:rsid w:val="00360508"/>
    <w:rsid w:val="00360785"/>
    <w:rsid w:val="003612DC"/>
    <w:rsid w:val="003619FF"/>
    <w:rsid w:val="003636F2"/>
    <w:rsid w:val="003663FD"/>
    <w:rsid w:val="00375BDC"/>
    <w:rsid w:val="00375F68"/>
    <w:rsid w:val="003760C2"/>
    <w:rsid w:val="003776E3"/>
    <w:rsid w:val="003802B0"/>
    <w:rsid w:val="00381A4D"/>
    <w:rsid w:val="003835B7"/>
    <w:rsid w:val="00384FB6"/>
    <w:rsid w:val="00385081"/>
    <w:rsid w:val="00386E28"/>
    <w:rsid w:val="003904A4"/>
    <w:rsid w:val="00391BED"/>
    <w:rsid w:val="00393138"/>
    <w:rsid w:val="00393413"/>
    <w:rsid w:val="00393ACB"/>
    <w:rsid w:val="00395726"/>
    <w:rsid w:val="00395A75"/>
    <w:rsid w:val="00395B3B"/>
    <w:rsid w:val="003A38A9"/>
    <w:rsid w:val="003A42C3"/>
    <w:rsid w:val="003A474E"/>
    <w:rsid w:val="003A5D6F"/>
    <w:rsid w:val="003A7B0F"/>
    <w:rsid w:val="003B28D0"/>
    <w:rsid w:val="003B48BB"/>
    <w:rsid w:val="003B48D5"/>
    <w:rsid w:val="003B5379"/>
    <w:rsid w:val="003B63DC"/>
    <w:rsid w:val="003C12B4"/>
    <w:rsid w:val="003C6D35"/>
    <w:rsid w:val="003D1F2D"/>
    <w:rsid w:val="003D2026"/>
    <w:rsid w:val="003D4790"/>
    <w:rsid w:val="003D59FE"/>
    <w:rsid w:val="003E15A2"/>
    <w:rsid w:val="003E2222"/>
    <w:rsid w:val="003E24C5"/>
    <w:rsid w:val="003E324E"/>
    <w:rsid w:val="003E3E82"/>
    <w:rsid w:val="003E5213"/>
    <w:rsid w:val="003E5367"/>
    <w:rsid w:val="003E6680"/>
    <w:rsid w:val="003E6809"/>
    <w:rsid w:val="003E7C29"/>
    <w:rsid w:val="003F0124"/>
    <w:rsid w:val="003F0D7B"/>
    <w:rsid w:val="003F2583"/>
    <w:rsid w:val="003F2D89"/>
    <w:rsid w:val="003F302B"/>
    <w:rsid w:val="003F309B"/>
    <w:rsid w:val="003F71AD"/>
    <w:rsid w:val="004021ED"/>
    <w:rsid w:val="00407DA1"/>
    <w:rsid w:val="004103FC"/>
    <w:rsid w:val="00412474"/>
    <w:rsid w:val="004126E2"/>
    <w:rsid w:val="00412B53"/>
    <w:rsid w:val="0041300F"/>
    <w:rsid w:val="0041362E"/>
    <w:rsid w:val="00414EC5"/>
    <w:rsid w:val="00415757"/>
    <w:rsid w:val="00417EBB"/>
    <w:rsid w:val="00422507"/>
    <w:rsid w:val="00424B80"/>
    <w:rsid w:val="00424D7E"/>
    <w:rsid w:val="0042553D"/>
    <w:rsid w:val="00427D61"/>
    <w:rsid w:val="00427F3C"/>
    <w:rsid w:val="00430B1D"/>
    <w:rsid w:val="00432579"/>
    <w:rsid w:val="00433A63"/>
    <w:rsid w:val="00434F4C"/>
    <w:rsid w:val="004350D2"/>
    <w:rsid w:val="00435BE3"/>
    <w:rsid w:val="0043695C"/>
    <w:rsid w:val="004376A2"/>
    <w:rsid w:val="00437B52"/>
    <w:rsid w:val="004423E6"/>
    <w:rsid w:val="00442C7D"/>
    <w:rsid w:val="004460DB"/>
    <w:rsid w:val="0044727A"/>
    <w:rsid w:val="00450B5A"/>
    <w:rsid w:val="0045102E"/>
    <w:rsid w:val="004534C8"/>
    <w:rsid w:val="004554FA"/>
    <w:rsid w:val="004559AB"/>
    <w:rsid w:val="004559F5"/>
    <w:rsid w:val="00457F6F"/>
    <w:rsid w:val="0046346B"/>
    <w:rsid w:val="00463CFD"/>
    <w:rsid w:val="00466217"/>
    <w:rsid w:val="00466484"/>
    <w:rsid w:val="00466C70"/>
    <w:rsid w:val="004678BA"/>
    <w:rsid w:val="00473E2E"/>
    <w:rsid w:val="004749B3"/>
    <w:rsid w:val="00475440"/>
    <w:rsid w:val="00480211"/>
    <w:rsid w:val="0048217A"/>
    <w:rsid w:val="00482EF0"/>
    <w:rsid w:val="0048353C"/>
    <w:rsid w:val="00483F42"/>
    <w:rsid w:val="004841D4"/>
    <w:rsid w:val="004858EB"/>
    <w:rsid w:val="0048784D"/>
    <w:rsid w:val="00490F8F"/>
    <w:rsid w:val="0049340B"/>
    <w:rsid w:val="00494F3A"/>
    <w:rsid w:val="004968B4"/>
    <w:rsid w:val="00496C12"/>
    <w:rsid w:val="00496C30"/>
    <w:rsid w:val="00497AE9"/>
    <w:rsid w:val="004A2BC7"/>
    <w:rsid w:val="004A3E50"/>
    <w:rsid w:val="004A4FB4"/>
    <w:rsid w:val="004A7753"/>
    <w:rsid w:val="004B0D90"/>
    <w:rsid w:val="004B2D17"/>
    <w:rsid w:val="004B4681"/>
    <w:rsid w:val="004B548B"/>
    <w:rsid w:val="004B5773"/>
    <w:rsid w:val="004C0837"/>
    <w:rsid w:val="004C4F81"/>
    <w:rsid w:val="004C534C"/>
    <w:rsid w:val="004C5B1E"/>
    <w:rsid w:val="004C5CF1"/>
    <w:rsid w:val="004C78BE"/>
    <w:rsid w:val="004D0141"/>
    <w:rsid w:val="004D07A7"/>
    <w:rsid w:val="004D0D1D"/>
    <w:rsid w:val="004D2983"/>
    <w:rsid w:val="004D37BB"/>
    <w:rsid w:val="004D54EC"/>
    <w:rsid w:val="004D67BE"/>
    <w:rsid w:val="004D6F39"/>
    <w:rsid w:val="004E3C1F"/>
    <w:rsid w:val="004E4B5E"/>
    <w:rsid w:val="004E58F2"/>
    <w:rsid w:val="004E6218"/>
    <w:rsid w:val="004F28DF"/>
    <w:rsid w:val="004F2B76"/>
    <w:rsid w:val="004F3795"/>
    <w:rsid w:val="004F3CEE"/>
    <w:rsid w:val="004F6993"/>
    <w:rsid w:val="004F751F"/>
    <w:rsid w:val="0050378F"/>
    <w:rsid w:val="00504378"/>
    <w:rsid w:val="005074F9"/>
    <w:rsid w:val="00510053"/>
    <w:rsid w:val="005152CF"/>
    <w:rsid w:val="0051588A"/>
    <w:rsid w:val="00516EF0"/>
    <w:rsid w:val="00517775"/>
    <w:rsid w:val="0052130F"/>
    <w:rsid w:val="00533077"/>
    <w:rsid w:val="00533D89"/>
    <w:rsid w:val="00534025"/>
    <w:rsid w:val="00536EBB"/>
    <w:rsid w:val="00542DE4"/>
    <w:rsid w:val="005431F6"/>
    <w:rsid w:val="00544C99"/>
    <w:rsid w:val="00551279"/>
    <w:rsid w:val="005536D0"/>
    <w:rsid w:val="005559EF"/>
    <w:rsid w:val="00556030"/>
    <w:rsid w:val="00557D0B"/>
    <w:rsid w:val="00560743"/>
    <w:rsid w:val="00561305"/>
    <w:rsid w:val="00561F92"/>
    <w:rsid w:val="005631EA"/>
    <w:rsid w:val="00563C69"/>
    <w:rsid w:val="00564A7C"/>
    <w:rsid w:val="00564CCE"/>
    <w:rsid w:val="005656E4"/>
    <w:rsid w:val="005667DF"/>
    <w:rsid w:val="00570F35"/>
    <w:rsid w:val="005712F5"/>
    <w:rsid w:val="00571F11"/>
    <w:rsid w:val="00572689"/>
    <w:rsid w:val="00572B29"/>
    <w:rsid w:val="00573F28"/>
    <w:rsid w:val="00576F81"/>
    <w:rsid w:val="005773F5"/>
    <w:rsid w:val="00577647"/>
    <w:rsid w:val="00585B95"/>
    <w:rsid w:val="005930A5"/>
    <w:rsid w:val="00593529"/>
    <w:rsid w:val="00596DA7"/>
    <w:rsid w:val="005A0473"/>
    <w:rsid w:val="005A0BEB"/>
    <w:rsid w:val="005A18ED"/>
    <w:rsid w:val="005A1E4A"/>
    <w:rsid w:val="005A27D9"/>
    <w:rsid w:val="005A436F"/>
    <w:rsid w:val="005A4F4F"/>
    <w:rsid w:val="005B0399"/>
    <w:rsid w:val="005B056F"/>
    <w:rsid w:val="005B2A51"/>
    <w:rsid w:val="005B30AE"/>
    <w:rsid w:val="005B38C2"/>
    <w:rsid w:val="005B5596"/>
    <w:rsid w:val="005B6B21"/>
    <w:rsid w:val="005C1DC3"/>
    <w:rsid w:val="005C4C4D"/>
    <w:rsid w:val="005C5089"/>
    <w:rsid w:val="005C51FB"/>
    <w:rsid w:val="005C5C93"/>
    <w:rsid w:val="005C6A07"/>
    <w:rsid w:val="005D2F13"/>
    <w:rsid w:val="005D34B5"/>
    <w:rsid w:val="005D413E"/>
    <w:rsid w:val="005D4515"/>
    <w:rsid w:val="005D5641"/>
    <w:rsid w:val="005E0690"/>
    <w:rsid w:val="005E2745"/>
    <w:rsid w:val="005E2C5E"/>
    <w:rsid w:val="005E4644"/>
    <w:rsid w:val="005E4705"/>
    <w:rsid w:val="005E5ADD"/>
    <w:rsid w:val="005E64EA"/>
    <w:rsid w:val="005E73F5"/>
    <w:rsid w:val="005F0EEF"/>
    <w:rsid w:val="005F18DC"/>
    <w:rsid w:val="005F3A56"/>
    <w:rsid w:val="005F3BBF"/>
    <w:rsid w:val="005F6F2C"/>
    <w:rsid w:val="006001DF"/>
    <w:rsid w:val="00601E05"/>
    <w:rsid w:val="00603179"/>
    <w:rsid w:val="006048A1"/>
    <w:rsid w:val="0060763A"/>
    <w:rsid w:val="00610925"/>
    <w:rsid w:val="00610C64"/>
    <w:rsid w:val="006141E0"/>
    <w:rsid w:val="006147ED"/>
    <w:rsid w:val="006150DA"/>
    <w:rsid w:val="00615FE7"/>
    <w:rsid w:val="006161F4"/>
    <w:rsid w:val="006169AF"/>
    <w:rsid w:val="0061758D"/>
    <w:rsid w:val="00617D62"/>
    <w:rsid w:val="006205B4"/>
    <w:rsid w:val="006230C4"/>
    <w:rsid w:val="0062400C"/>
    <w:rsid w:val="00630897"/>
    <w:rsid w:val="00631525"/>
    <w:rsid w:val="00632215"/>
    <w:rsid w:val="00632C88"/>
    <w:rsid w:val="00632F44"/>
    <w:rsid w:val="006333AA"/>
    <w:rsid w:val="00633F22"/>
    <w:rsid w:val="00635DB7"/>
    <w:rsid w:val="006375CB"/>
    <w:rsid w:val="00637F0F"/>
    <w:rsid w:val="0064015B"/>
    <w:rsid w:val="006404A3"/>
    <w:rsid w:val="00640DB2"/>
    <w:rsid w:val="006429AF"/>
    <w:rsid w:val="00643D2E"/>
    <w:rsid w:val="00646525"/>
    <w:rsid w:val="00650AF0"/>
    <w:rsid w:val="006521BE"/>
    <w:rsid w:val="006525EF"/>
    <w:rsid w:val="006539E4"/>
    <w:rsid w:val="00653D68"/>
    <w:rsid w:val="00654895"/>
    <w:rsid w:val="00656188"/>
    <w:rsid w:val="00657EC4"/>
    <w:rsid w:val="00660B77"/>
    <w:rsid w:val="00660DDB"/>
    <w:rsid w:val="00663070"/>
    <w:rsid w:val="00664472"/>
    <w:rsid w:val="006647BC"/>
    <w:rsid w:val="00665291"/>
    <w:rsid w:val="00666A98"/>
    <w:rsid w:val="0067100E"/>
    <w:rsid w:val="00672AE2"/>
    <w:rsid w:val="006736BC"/>
    <w:rsid w:val="00674638"/>
    <w:rsid w:val="00680F7B"/>
    <w:rsid w:val="006829CE"/>
    <w:rsid w:val="006836BC"/>
    <w:rsid w:val="006839B0"/>
    <w:rsid w:val="006841E4"/>
    <w:rsid w:val="006845EB"/>
    <w:rsid w:val="00684CA4"/>
    <w:rsid w:val="00685A07"/>
    <w:rsid w:val="00686532"/>
    <w:rsid w:val="00686EBB"/>
    <w:rsid w:val="006872BA"/>
    <w:rsid w:val="00687740"/>
    <w:rsid w:val="0069228B"/>
    <w:rsid w:val="00692A41"/>
    <w:rsid w:val="00693BAB"/>
    <w:rsid w:val="00694686"/>
    <w:rsid w:val="00696029"/>
    <w:rsid w:val="00697807"/>
    <w:rsid w:val="006A0A79"/>
    <w:rsid w:val="006A2B6C"/>
    <w:rsid w:val="006A4515"/>
    <w:rsid w:val="006A691F"/>
    <w:rsid w:val="006B4ACC"/>
    <w:rsid w:val="006B4F42"/>
    <w:rsid w:val="006B7B17"/>
    <w:rsid w:val="006C143E"/>
    <w:rsid w:val="006C5F13"/>
    <w:rsid w:val="006C65A9"/>
    <w:rsid w:val="006C6791"/>
    <w:rsid w:val="006D0357"/>
    <w:rsid w:val="006D10A4"/>
    <w:rsid w:val="006D3DBE"/>
    <w:rsid w:val="006D600B"/>
    <w:rsid w:val="006D717E"/>
    <w:rsid w:val="006D76A1"/>
    <w:rsid w:val="006D77A2"/>
    <w:rsid w:val="006D7CD3"/>
    <w:rsid w:val="006D7E0F"/>
    <w:rsid w:val="006E3423"/>
    <w:rsid w:val="006E50AB"/>
    <w:rsid w:val="006E6459"/>
    <w:rsid w:val="006E7A97"/>
    <w:rsid w:val="006F1162"/>
    <w:rsid w:val="006F215B"/>
    <w:rsid w:val="006F388F"/>
    <w:rsid w:val="006F3BDF"/>
    <w:rsid w:val="006F40BA"/>
    <w:rsid w:val="006F49DA"/>
    <w:rsid w:val="0070062E"/>
    <w:rsid w:val="007017C9"/>
    <w:rsid w:val="007031F0"/>
    <w:rsid w:val="00703255"/>
    <w:rsid w:val="00704668"/>
    <w:rsid w:val="0070578F"/>
    <w:rsid w:val="00705D2E"/>
    <w:rsid w:val="007072B7"/>
    <w:rsid w:val="00707A14"/>
    <w:rsid w:val="00707A96"/>
    <w:rsid w:val="00707F70"/>
    <w:rsid w:val="007121E1"/>
    <w:rsid w:val="0071303A"/>
    <w:rsid w:val="00714BD7"/>
    <w:rsid w:val="00715D30"/>
    <w:rsid w:val="00716BE7"/>
    <w:rsid w:val="00720A5C"/>
    <w:rsid w:val="007254A4"/>
    <w:rsid w:val="00727BA2"/>
    <w:rsid w:val="00732EE1"/>
    <w:rsid w:val="00735439"/>
    <w:rsid w:val="0073566D"/>
    <w:rsid w:val="00735945"/>
    <w:rsid w:val="00737212"/>
    <w:rsid w:val="0074425B"/>
    <w:rsid w:val="0074727C"/>
    <w:rsid w:val="00753D0A"/>
    <w:rsid w:val="00754E7C"/>
    <w:rsid w:val="007557C3"/>
    <w:rsid w:val="00760989"/>
    <w:rsid w:val="00762F83"/>
    <w:rsid w:val="00763769"/>
    <w:rsid w:val="007640D7"/>
    <w:rsid w:val="0076472F"/>
    <w:rsid w:val="00765757"/>
    <w:rsid w:val="007667E5"/>
    <w:rsid w:val="00766CA4"/>
    <w:rsid w:val="00767CA8"/>
    <w:rsid w:val="00771A47"/>
    <w:rsid w:val="0077224E"/>
    <w:rsid w:val="00776F21"/>
    <w:rsid w:val="00777F12"/>
    <w:rsid w:val="00780BD5"/>
    <w:rsid w:val="00781BAF"/>
    <w:rsid w:val="00782348"/>
    <w:rsid w:val="007823C3"/>
    <w:rsid w:val="007836A7"/>
    <w:rsid w:val="00786324"/>
    <w:rsid w:val="007906F2"/>
    <w:rsid w:val="0079158F"/>
    <w:rsid w:val="007932C2"/>
    <w:rsid w:val="00793D83"/>
    <w:rsid w:val="00794459"/>
    <w:rsid w:val="00794923"/>
    <w:rsid w:val="007A118E"/>
    <w:rsid w:val="007A1CB2"/>
    <w:rsid w:val="007A22C5"/>
    <w:rsid w:val="007A3739"/>
    <w:rsid w:val="007B0717"/>
    <w:rsid w:val="007B2DA0"/>
    <w:rsid w:val="007B4E01"/>
    <w:rsid w:val="007B5205"/>
    <w:rsid w:val="007B63D8"/>
    <w:rsid w:val="007B72F5"/>
    <w:rsid w:val="007C025C"/>
    <w:rsid w:val="007C066F"/>
    <w:rsid w:val="007C15D0"/>
    <w:rsid w:val="007C5109"/>
    <w:rsid w:val="007C5F30"/>
    <w:rsid w:val="007C64A4"/>
    <w:rsid w:val="007D2880"/>
    <w:rsid w:val="007D2B45"/>
    <w:rsid w:val="007D4169"/>
    <w:rsid w:val="007D436F"/>
    <w:rsid w:val="007D6615"/>
    <w:rsid w:val="007E13A5"/>
    <w:rsid w:val="007E1B27"/>
    <w:rsid w:val="007E2088"/>
    <w:rsid w:val="007E5888"/>
    <w:rsid w:val="007E704E"/>
    <w:rsid w:val="007F1432"/>
    <w:rsid w:val="007F1D8B"/>
    <w:rsid w:val="007F2601"/>
    <w:rsid w:val="007F396B"/>
    <w:rsid w:val="007F4157"/>
    <w:rsid w:val="007F45C7"/>
    <w:rsid w:val="007F48B6"/>
    <w:rsid w:val="007F59FC"/>
    <w:rsid w:val="007F6E30"/>
    <w:rsid w:val="008026E8"/>
    <w:rsid w:val="00803DFC"/>
    <w:rsid w:val="0081137E"/>
    <w:rsid w:val="00814367"/>
    <w:rsid w:val="00814EEB"/>
    <w:rsid w:val="00820D00"/>
    <w:rsid w:val="00822737"/>
    <w:rsid w:val="008237A6"/>
    <w:rsid w:val="008239F4"/>
    <w:rsid w:val="00826593"/>
    <w:rsid w:val="00830A4C"/>
    <w:rsid w:val="008319CF"/>
    <w:rsid w:val="00831BA3"/>
    <w:rsid w:val="00833F4D"/>
    <w:rsid w:val="008342B0"/>
    <w:rsid w:val="008354B8"/>
    <w:rsid w:val="00837E0D"/>
    <w:rsid w:val="00841FE0"/>
    <w:rsid w:val="00842CFA"/>
    <w:rsid w:val="00847A99"/>
    <w:rsid w:val="00847CA2"/>
    <w:rsid w:val="00851E2E"/>
    <w:rsid w:val="00855ABE"/>
    <w:rsid w:val="008614F4"/>
    <w:rsid w:val="008640FC"/>
    <w:rsid w:val="00864494"/>
    <w:rsid w:val="00864D28"/>
    <w:rsid w:val="00873821"/>
    <w:rsid w:val="00873BA2"/>
    <w:rsid w:val="0087780D"/>
    <w:rsid w:val="00885ECC"/>
    <w:rsid w:val="00893EBF"/>
    <w:rsid w:val="0089596C"/>
    <w:rsid w:val="00896DB6"/>
    <w:rsid w:val="008A0A74"/>
    <w:rsid w:val="008A0A9E"/>
    <w:rsid w:val="008A170E"/>
    <w:rsid w:val="008A1889"/>
    <w:rsid w:val="008A1CE7"/>
    <w:rsid w:val="008A23C4"/>
    <w:rsid w:val="008A2D15"/>
    <w:rsid w:val="008A65F3"/>
    <w:rsid w:val="008A7295"/>
    <w:rsid w:val="008B28B5"/>
    <w:rsid w:val="008B489E"/>
    <w:rsid w:val="008B512A"/>
    <w:rsid w:val="008B61A7"/>
    <w:rsid w:val="008B6CC0"/>
    <w:rsid w:val="008B78F2"/>
    <w:rsid w:val="008B795C"/>
    <w:rsid w:val="008C206A"/>
    <w:rsid w:val="008C2687"/>
    <w:rsid w:val="008C292F"/>
    <w:rsid w:val="008C39AA"/>
    <w:rsid w:val="008C3ECC"/>
    <w:rsid w:val="008C4958"/>
    <w:rsid w:val="008C6148"/>
    <w:rsid w:val="008C7C81"/>
    <w:rsid w:val="008D4F46"/>
    <w:rsid w:val="008D4FE5"/>
    <w:rsid w:val="008D66FF"/>
    <w:rsid w:val="008D7015"/>
    <w:rsid w:val="008E10AB"/>
    <w:rsid w:val="008E7927"/>
    <w:rsid w:val="008E7D72"/>
    <w:rsid w:val="008F14E3"/>
    <w:rsid w:val="008F5C53"/>
    <w:rsid w:val="008F79B8"/>
    <w:rsid w:val="00900651"/>
    <w:rsid w:val="00900A1C"/>
    <w:rsid w:val="009039B8"/>
    <w:rsid w:val="00904B2D"/>
    <w:rsid w:val="009055F4"/>
    <w:rsid w:val="00907DD0"/>
    <w:rsid w:val="00911DC8"/>
    <w:rsid w:val="00913777"/>
    <w:rsid w:val="00915DC4"/>
    <w:rsid w:val="009160BB"/>
    <w:rsid w:val="0091684C"/>
    <w:rsid w:val="00920A40"/>
    <w:rsid w:val="00923BF5"/>
    <w:rsid w:val="00924ADE"/>
    <w:rsid w:val="0093068A"/>
    <w:rsid w:val="00930D5F"/>
    <w:rsid w:val="00931677"/>
    <w:rsid w:val="00934125"/>
    <w:rsid w:val="00935742"/>
    <w:rsid w:val="00935F85"/>
    <w:rsid w:val="00942E53"/>
    <w:rsid w:val="009437DB"/>
    <w:rsid w:val="00944583"/>
    <w:rsid w:val="00947D34"/>
    <w:rsid w:val="00947F60"/>
    <w:rsid w:val="00950C63"/>
    <w:rsid w:val="00953596"/>
    <w:rsid w:val="00953FA5"/>
    <w:rsid w:val="009550C1"/>
    <w:rsid w:val="00956A72"/>
    <w:rsid w:val="00957CA6"/>
    <w:rsid w:val="00961C3E"/>
    <w:rsid w:val="0096221F"/>
    <w:rsid w:val="0096253A"/>
    <w:rsid w:val="0097216A"/>
    <w:rsid w:val="00974BAB"/>
    <w:rsid w:val="00974FD0"/>
    <w:rsid w:val="00975608"/>
    <w:rsid w:val="00975A02"/>
    <w:rsid w:val="00975F8D"/>
    <w:rsid w:val="00976F74"/>
    <w:rsid w:val="009811ED"/>
    <w:rsid w:val="0098496F"/>
    <w:rsid w:val="00984EBC"/>
    <w:rsid w:val="009851A2"/>
    <w:rsid w:val="00985CB3"/>
    <w:rsid w:val="00985EAC"/>
    <w:rsid w:val="00992A2D"/>
    <w:rsid w:val="009936D2"/>
    <w:rsid w:val="009941E9"/>
    <w:rsid w:val="00994468"/>
    <w:rsid w:val="00995933"/>
    <w:rsid w:val="00996E1A"/>
    <w:rsid w:val="009A1A94"/>
    <w:rsid w:val="009A4280"/>
    <w:rsid w:val="009A4465"/>
    <w:rsid w:val="009A4661"/>
    <w:rsid w:val="009A56CE"/>
    <w:rsid w:val="009A58C7"/>
    <w:rsid w:val="009A6F62"/>
    <w:rsid w:val="009B0A93"/>
    <w:rsid w:val="009B0DF3"/>
    <w:rsid w:val="009B11B3"/>
    <w:rsid w:val="009B2058"/>
    <w:rsid w:val="009B4082"/>
    <w:rsid w:val="009B5C43"/>
    <w:rsid w:val="009B66E2"/>
    <w:rsid w:val="009B6A8A"/>
    <w:rsid w:val="009B6CEE"/>
    <w:rsid w:val="009C11B0"/>
    <w:rsid w:val="009C1A80"/>
    <w:rsid w:val="009C2A58"/>
    <w:rsid w:val="009C4DC7"/>
    <w:rsid w:val="009C508D"/>
    <w:rsid w:val="009C7685"/>
    <w:rsid w:val="009C7D0A"/>
    <w:rsid w:val="009C7E4A"/>
    <w:rsid w:val="009D0ADC"/>
    <w:rsid w:val="009D2491"/>
    <w:rsid w:val="009D3AF4"/>
    <w:rsid w:val="009D3C65"/>
    <w:rsid w:val="009D6393"/>
    <w:rsid w:val="009D6E71"/>
    <w:rsid w:val="009E02CD"/>
    <w:rsid w:val="009E0354"/>
    <w:rsid w:val="009E163C"/>
    <w:rsid w:val="009E20DF"/>
    <w:rsid w:val="009E3AFC"/>
    <w:rsid w:val="009E5F48"/>
    <w:rsid w:val="009E66EE"/>
    <w:rsid w:val="009E6CB5"/>
    <w:rsid w:val="009F0B99"/>
    <w:rsid w:val="009F1110"/>
    <w:rsid w:val="009F24B9"/>
    <w:rsid w:val="009F753D"/>
    <w:rsid w:val="009F7889"/>
    <w:rsid w:val="009F7B2B"/>
    <w:rsid w:val="00A001F4"/>
    <w:rsid w:val="00A023C3"/>
    <w:rsid w:val="00A02DC7"/>
    <w:rsid w:val="00A042B5"/>
    <w:rsid w:val="00A058D5"/>
    <w:rsid w:val="00A05918"/>
    <w:rsid w:val="00A05DA6"/>
    <w:rsid w:val="00A07D96"/>
    <w:rsid w:val="00A11362"/>
    <w:rsid w:val="00A1302B"/>
    <w:rsid w:val="00A14BC7"/>
    <w:rsid w:val="00A154AC"/>
    <w:rsid w:val="00A16AEB"/>
    <w:rsid w:val="00A20F92"/>
    <w:rsid w:val="00A24E71"/>
    <w:rsid w:val="00A2688C"/>
    <w:rsid w:val="00A34201"/>
    <w:rsid w:val="00A34F5A"/>
    <w:rsid w:val="00A373CB"/>
    <w:rsid w:val="00A409A6"/>
    <w:rsid w:val="00A41071"/>
    <w:rsid w:val="00A410E7"/>
    <w:rsid w:val="00A41E59"/>
    <w:rsid w:val="00A44958"/>
    <w:rsid w:val="00A453AC"/>
    <w:rsid w:val="00A461DF"/>
    <w:rsid w:val="00A47DA2"/>
    <w:rsid w:val="00A47DB6"/>
    <w:rsid w:val="00A50516"/>
    <w:rsid w:val="00A521C6"/>
    <w:rsid w:val="00A5302F"/>
    <w:rsid w:val="00A532EF"/>
    <w:rsid w:val="00A54EB0"/>
    <w:rsid w:val="00A5686E"/>
    <w:rsid w:val="00A60017"/>
    <w:rsid w:val="00A607D1"/>
    <w:rsid w:val="00A60F55"/>
    <w:rsid w:val="00A6343A"/>
    <w:rsid w:val="00A638F5"/>
    <w:rsid w:val="00A63B7D"/>
    <w:rsid w:val="00A70AF4"/>
    <w:rsid w:val="00A71F1D"/>
    <w:rsid w:val="00A74661"/>
    <w:rsid w:val="00A76C84"/>
    <w:rsid w:val="00A80763"/>
    <w:rsid w:val="00A8490B"/>
    <w:rsid w:val="00A9024A"/>
    <w:rsid w:val="00A909A6"/>
    <w:rsid w:val="00A93BB5"/>
    <w:rsid w:val="00A9462D"/>
    <w:rsid w:val="00A96ADD"/>
    <w:rsid w:val="00A975B3"/>
    <w:rsid w:val="00AA2713"/>
    <w:rsid w:val="00AA3E7A"/>
    <w:rsid w:val="00AA3F23"/>
    <w:rsid w:val="00AA5062"/>
    <w:rsid w:val="00AA5556"/>
    <w:rsid w:val="00AA5D0A"/>
    <w:rsid w:val="00AA6A94"/>
    <w:rsid w:val="00AA6AFE"/>
    <w:rsid w:val="00AB1E99"/>
    <w:rsid w:val="00AB589D"/>
    <w:rsid w:val="00AB5E2E"/>
    <w:rsid w:val="00AB64E3"/>
    <w:rsid w:val="00AB6E9C"/>
    <w:rsid w:val="00AB7AC1"/>
    <w:rsid w:val="00AB7BCE"/>
    <w:rsid w:val="00AB7BD6"/>
    <w:rsid w:val="00AC06D3"/>
    <w:rsid w:val="00AC0CE0"/>
    <w:rsid w:val="00AC1EBF"/>
    <w:rsid w:val="00AC5ADD"/>
    <w:rsid w:val="00AC5E51"/>
    <w:rsid w:val="00AD07CC"/>
    <w:rsid w:val="00AD0F28"/>
    <w:rsid w:val="00AD3828"/>
    <w:rsid w:val="00AD3CCD"/>
    <w:rsid w:val="00AD5A08"/>
    <w:rsid w:val="00AD5D1B"/>
    <w:rsid w:val="00AD6597"/>
    <w:rsid w:val="00AD774E"/>
    <w:rsid w:val="00AD7A6A"/>
    <w:rsid w:val="00AD7D0A"/>
    <w:rsid w:val="00AE141D"/>
    <w:rsid w:val="00AE2B98"/>
    <w:rsid w:val="00AE3BAD"/>
    <w:rsid w:val="00AE4456"/>
    <w:rsid w:val="00AE56DD"/>
    <w:rsid w:val="00AE6CD5"/>
    <w:rsid w:val="00AE7307"/>
    <w:rsid w:val="00AF07CF"/>
    <w:rsid w:val="00AF2076"/>
    <w:rsid w:val="00B00D04"/>
    <w:rsid w:val="00B01F7E"/>
    <w:rsid w:val="00B03EDE"/>
    <w:rsid w:val="00B04019"/>
    <w:rsid w:val="00B0533A"/>
    <w:rsid w:val="00B05FCB"/>
    <w:rsid w:val="00B06B3C"/>
    <w:rsid w:val="00B10263"/>
    <w:rsid w:val="00B11265"/>
    <w:rsid w:val="00B11500"/>
    <w:rsid w:val="00B14416"/>
    <w:rsid w:val="00B1595D"/>
    <w:rsid w:val="00B17009"/>
    <w:rsid w:val="00B1744B"/>
    <w:rsid w:val="00B17D36"/>
    <w:rsid w:val="00B201E2"/>
    <w:rsid w:val="00B20682"/>
    <w:rsid w:val="00B20F06"/>
    <w:rsid w:val="00B2209F"/>
    <w:rsid w:val="00B24D6A"/>
    <w:rsid w:val="00B26985"/>
    <w:rsid w:val="00B31A9E"/>
    <w:rsid w:val="00B31BC1"/>
    <w:rsid w:val="00B3219B"/>
    <w:rsid w:val="00B348A6"/>
    <w:rsid w:val="00B355EC"/>
    <w:rsid w:val="00B37006"/>
    <w:rsid w:val="00B40518"/>
    <w:rsid w:val="00B4090D"/>
    <w:rsid w:val="00B41678"/>
    <w:rsid w:val="00B41A46"/>
    <w:rsid w:val="00B43103"/>
    <w:rsid w:val="00B43F63"/>
    <w:rsid w:val="00B46801"/>
    <w:rsid w:val="00B47A47"/>
    <w:rsid w:val="00B50798"/>
    <w:rsid w:val="00B51A39"/>
    <w:rsid w:val="00B5263F"/>
    <w:rsid w:val="00B5543B"/>
    <w:rsid w:val="00B60548"/>
    <w:rsid w:val="00B6117E"/>
    <w:rsid w:val="00B62B43"/>
    <w:rsid w:val="00B643E9"/>
    <w:rsid w:val="00B671D0"/>
    <w:rsid w:val="00B70BFD"/>
    <w:rsid w:val="00B74B7B"/>
    <w:rsid w:val="00B74D9A"/>
    <w:rsid w:val="00B760B5"/>
    <w:rsid w:val="00B7676D"/>
    <w:rsid w:val="00B8042D"/>
    <w:rsid w:val="00B807F4"/>
    <w:rsid w:val="00B819B8"/>
    <w:rsid w:val="00B8466D"/>
    <w:rsid w:val="00B851D3"/>
    <w:rsid w:val="00B85FEC"/>
    <w:rsid w:val="00B8727E"/>
    <w:rsid w:val="00B920ED"/>
    <w:rsid w:val="00B92991"/>
    <w:rsid w:val="00B934FF"/>
    <w:rsid w:val="00B974E9"/>
    <w:rsid w:val="00B97C1C"/>
    <w:rsid w:val="00BA1BB7"/>
    <w:rsid w:val="00BA3831"/>
    <w:rsid w:val="00BA3DA4"/>
    <w:rsid w:val="00BA5446"/>
    <w:rsid w:val="00BB0846"/>
    <w:rsid w:val="00BB2971"/>
    <w:rsid w:val="00BB478F"/>
    <w:rsid w:val="00BB4FBE"/>
    <w:rsid w:val="00BB6CF5"/>
    <w:rsid w:val="00BC7A17"/>
    <w:rsid w:val="00BD15A1"/>
    <w:rsid w:val="00BD5287"/>
    <w:rsid w:val="00BD5B8B"/>
    <w:rsid w:val="00BD5C47"/>
    <w:rsid w:val="00BE0942"/>
    <w:rsid w:val="00BE25D4"/>
    <w:rsid w:val="00BE30EB"/>
    <w:rsid w:val="00BE7714"/>
    <w:rsid w:val="00BE7AA5"/>
    <w:rsid w:val="00BF16DF"/>
    <w:rsid w:val="00BF2CDC"/>
    <w:rsid w:val="00C02626"/>
    <w:rsid w:val="00C026EF"/>
    <w:rsid w:val="00C0656E"/>
    <w:rsid w:val="00C07698"/>
    <w:rsid w:val="00C1571D"/>
    <w:rsid w:val="00C15ADF"/>
    <w:rsid w:val="00C15D5C"/>
    <w:rsid w:val="00C16122"/>
    <w:rsid w:val="00C161D3"/>
    <w:rsid w:val="00C2385A"/>
    <w:rsid w:val="00C26AF0"/>
    <w:rsid w:val="00C27BF7"/>
    <w:rsid w:val="00C305D8"/>
    <w:rsid w:val="00C32418"/>
    <w:rsid w:val="00C41422"/>
    <w:rsid w:val="00C449BC"/>
    <w:rsid w:val="00C50033"/>
    <w:rsid w:val="00C51CDC"/>
    <w:rsid w:val="00C5294E"/>
    <w:rsid w:val="00C52E40"/>
    <w:rsid w:val="00C53827"/>
    <w:rsid w:val="00C551BD"/>
    <w:rsid w:val="00C55D2F"/>
    <w:rsid w:val="00C5651D"/>
    <w:rsid w:val="00C57618"/>
    <w:rsid w:val="00C57BC3"/>
    <w:rsid w:val="00C60047"/>
    <w:rsid w:val="00C623EA"/>
    <w:rsid w:val="00C667F4"/>
    <w:rsid w:val="00C67A48"/>
    <w:rsid w:val="00C71181"/>
    <w:rsid w:val="00C73A0A"/>
    <w:rsid w:val="00C75F97"/>
    <w:rsid w:val="00C760A3"/>
    <w:rsid w:val="00C7636C"/>
    <w:rsid w:val="00C7667B"/>
    <w:rsid w:val="00C83610"/>
    <w:rsid w:val="00C83942"/>
    <w:rsid w:val="00C840CB"/>
    <w:rsid w:val="00C85787"/>
    <w:rsid w:val="00C86396"/>
    <w:rsid w:val="00C865E1"/>
    <w:rsid w:val="00C901D6"/>
    <w:rsid w:val="00C90CD5"/>
    <w:rsid w:val="00C915E2"/>
    <w:rsid w:val="00C91E76"/>
    <w:rsid w:val="00C94E07"/>
    <w:rsid w:val="00CA2E83"/>
    <w:rsid w:val="00CA4E88"/>
    <w:rsid w:val="00CA6B21"/>
    <w:rsid w:val="00CB7211"/>
    <w:rsid w:val="00CC00C3"/>
    <w:rsid w:val="00CC5C00"/>
    <w:rsid w:val="00CC687A"/>
    <w:rsid w:val="00CC79FF"/>
    <w:rsid w:val="00CD169D"/>
    <w:rsid w:val="00CD2C92"/>
    <w:rsid w:val="00CD369E"/>
    <w:rsid w:val="00CD75FF"/>
    <w:rsid w:val="00CD7617"/>
    <w:rsid w:val="00CE1744"/>
    <w:rsid w:val="00CE1D97"/>
    <w:rsid w:val="00CE35D9"/>
    <w:rsid w:val="00CE674F"/>
    <w:rsid w:val="00CF149A"/>
    <w:rsid w:val="00CF5DED"/>
    <w:rsid w:val="00CF6153"/>
    <w:rsid w:val="00D00068"/>
    <w:rsid w:val="00D06899"/>
    <w:rsid w:val="00D06EF4"/>
    <w:rsid w:val="00D1089F"/>
    <w:rsid w:val="00D11DF9"/>
    <w:rsid w:val="00D15CB1"/>
    <w:rsid w:val="00D16E90"/>
    <w:rsid w:val="00D21E64"/>
    <w:rsid w:val="00D22260"/>
    <w:rsid w:val="00D227FC"/>
    <w:rsid w:val="00D23843"/>
    <w:rsid w:val="00D23919"/>
    <w:rsid w:val="00D27933"/>
    <w:rsid w:val="00D31E9A"/>
    <w:rsid w:val="00D33868"/>
    <w:rsid w:val="00D33F99"/>
    <w:rsid w:val="00D3433D"/>
    <w:rsid w:val="00D3650C"/>
    <w:rsid w:val="00D3663E"/>
    <w:rsid w:val="00D408E5"/>
    <w:rsid w:val="00D4190E"/>
    <w:rsid w:val="00D44DD2"/>
    <w:rsid w:val="00D4666C"/>
    <w:rsid w:val="00D46756"/>
    <w:rsid w:val="00D47544"/>
    <w:rsid w:val="00D4767A"/>
    <w:rsid w:val="00D5162D"/>
    <w:rsid w:val="00D52E8C"/>
    <w:rsid w:val="00D52F79"/>
    <w:rsid w:val="00D57528"/>
    <w:rsid w:val="00D610F0"/>
    <w:rsid w:val="00D61A9C"/>
    <w:rsid w:val="00D6323F"/>
    <w:rsid w:val="00D63BEF"/>
    <w:rsid w:val="00D6451E"/>
    <w:rsid w:val="00D660F0"/>
    <w:rsid w:val="00D66212"/>
    <w:rsid w:val="00D7083E"/>
    <w:rsid w:val="00D70FB8"/>
    <w:rsid w:val="00D71B6A"/>
    <w:rsid w:val="00D76868"/>
    <w:rsid w:val="00D77D87"/>
    <w:rsid w:val="00D80EC7"/>
    <w:rsid w:val="00D829BF"/>
    <w:rsid w:val="00D86074"/>
    <w:rsid w:val="00D86190"/>
    <w:rsid w:val="00D8666B"/>
    <w:rsid w:val="00D8685B"/>
    <w:rsid w:val="00D86E69"/>
    <w:rsid w:val="00D90B20"/>
    <w:rsid w:val="00D935A8"/>
    <w:rsid w:val="00D9495D"/>
    <w:rsid w:val="00D9616F"/>
    <w:rsid w:val="00D96ADE"/>
    <w:rsid w:val="00D97F4D"/>
    <w:rsid w:val="00DA5B47"/>
    <w:rsid w:val="00DB27F3"/>
    <w:rsid w:val="00DB52AE"/>
    <w:rsid w:val="00DB6A65"/>
    <w:rsid w:val="00DB7DC2"/>
    <w:rsid w:val="00DC079C"/>
    <w:rsid w:val="00DC0DA9"/>
    <w:rsid w:val="00DC19E8"/>
    <w:rsid w:val="00DC3A20"/>
    <w:rsid w:val="00DC3E17"/>
    <w:rsid w:val="00DC5DBB"/>
    <w:rsid w:val="00DC7DB5"/>
    <w:rsid w:val="00DD0555"/>
    <w:rsid w:val="00DD1477"/>
    <w:rsid w:val="00DD259D"/>
    <w:rsid w:val="00DD2C0E"/>
    <w:rsid w:val="00DD6595"/>
    <w:rsid w:val="00DD7EF4"/>
    <w:rsid w:val="00DE1C8E"/>
    <w:rsid w:val="00DE3B7B"/>
    <w:rsid w:val="00DE4AFE"/>
    <w:rsid w:val="00DE4C76"/>
    <w:rsid w:val="00DE6F23"/>
    <w:rsid w:val="00DE7A87"/>
    <w:rsid w:val="00DF2149"/>
    <w:rsid w:val="00DF4AA6"/>
    <w:rsid w:val="00DF6326"/>
    <w:rsid w:val="00DF75F2"/>
    <w:rsid w:val="00E02B06"/>
    <w:rsid w:val="00E03425"/>
    <w:rsid w:val="00E03EB0"/>
    <w:rsid w:val="00E060A3"/>
    <w:rsid w:val="00E108E9"/>
    <w:rsid w:val="00E1115D"/>
    <w:rsid w:val="00E1352C"/>
    <w:rsid w:val="00E15293"/>
    <w:rsid w:val="00E16BB6"/>
    <w:rsid w:val="00E23550"/>
    <w:rsid w:val="00E23CB2"/>
    <w:rsid w:val="00E23F6D"/>
    <w:rsid w:val="00E24070"/>
    <w:rsid w:val="00E26E17"/>
    <w:rsid w:val="00E274A3"/>
    <w:rsid w:val="00E276A8"/>
    <w:rsid w:val="00E3005C"/>
    <w:rsid w:val="00E30672"/>
    <w:rsid w:val="00E31A0B"/>
    <w:rsid w:val="00E32363"/>
    <w:rsid w:val="00E34779"/>
    <w:rsid w:val="00E35B4F"/>
    <w:rsid w:val="00E416F1"/>
    <w:rsid w:val="00E41B05"/>
    <w:rsid w:val="00E41F31"/>
    <w:rsid w:val="00E42BAA"/>
    <w:rsid w:val="00E44F6E"/>
    <w:rsid w:val="00E4701F"/>
    <w:rsid w:val="00E50E14"/>
    <w:rsid w:val="00E51D73"/>
    <w:rsid w:val="00E523C9"/>
    <w:rsid w:val="00E5286E"/>
    <w:rsid w:val="00E53DE6"/>
    <w:rsid w:val="00E5486B"/>
    <w:rsid w:val="00E56447"/>
    <w:rsid w:val="00E6375C"/>
    <w:rsid w:val="00E65240"/>
    <w:rsid w:val="00E65FD7"/>
    <w:rsid w:val="00E6624A"/>
    <w:rsid w:val="00E66665"/>
    <w:rsid w:val="00E66886"/>
    <w:rsid w:val="00E66DDF"/>
    <w:rsid w:val="00E66E5D"/>
    <w:rsid w:val="00E66ED1"/>
    <w:rsid w:val="00E67211"/>
    <w:rsid w:val="00E713A4"/>
    <w:rsid w:val="00E721ED"/>
    <w:rsid w:val="00E740E1"/>
    <w:rsid w:val="00E742B8"/>
    <w:rsid w:val="00E74902"/>
    <w:rsid w:val="00E80D08"/>
    <w:rsid w:val="00E80F6A"/>
    <w:rsid w:val="00E831C2"/>
    <w:rsid w:val="00E83391"/>
    <w:rsid w:val="00E83A29"/>
    <w:rsid w:val="00E8502A"/>
    <w:rsid w:val="00E87D1C"/>
    <w:rsid w:val="00E9061F"/>
    <w:rsid w:val="00E93434"/>
    <w:rsid w:val="00E94030"/>
    <w:rsid w:val="00E95976"/>
    <w:rsid w:val="00E962BC"/>
    <w:rsid w:val="00E96A30"/>
    <w:rsid w:val="00EA0BDA"/>
    <w:rsid w:val="00EA3239"/>
    <w:rsid w:val="00EA34EE"/>
    <w:rsid w:val="00EB05F6"/>
    <w:rsid w:val="00EB31C2"/>
    <w:rsid w:val="00EB32D6"/>
    <w:rsid w:val="00EB3935"/>
    <w:rsid w:val="00EB4387"/>
    <w:rsid w:val="00EB5A27"/>
    <w:rsid w:val="00EB7F3B"/>
    <w:rsid w:val="00EC033C"/>
    <w:rsid w:val="00EC25F5"/>
    <w:rsid w:val="00EC3376"/>
    <w:rsid w:val="00EC4A56"/>
    <w:rsid w:val="00EC72F7"/>
    <w:rsid w:val="00ED295D"/>
    <w:rsid w:val="00ED2EC3"/>
    <w:rsid w:val="00ED60F2"/>
    <w:rsid w:val="00EE1E3C"/>
    <w:rsid w:val="00EE5374"/>
    <w:rsid w:val="00EE6312"/>
    <w:rsid w:val="00EE6A78"/>
    <w:rsid w:val="00EF0572"/>
    <w:rsid w:val="00EF0E10"/>
    <w:rsid w:val="00EF1461"/>
    <w:rsid w:val="00EF1463"/>
    <w:rsid w:val="00EF2CBD"/>
    <w:rsid w:val="00EF5A6D"/>
    <w:rsid w:val="00F020D4"/>
    <w:rsid w:val="00F03A57"/>
    <w:rsid w:val="00F0426C"/>
    <w:rsid w:val="00F044A3"/>
    <w:rsid w:val="00F04BC1"/>
    <w:rsid w:val="00F0660A"/>
    <w:rsid w:val="00F104A0"/>
    <w:rsid w:val="00F1196D"/>
    <w:rsid w:val="00F21115"/>
    <w:rsid w:val="00F227D3"/>
    <w:rsid w:val="00F22944"/>
    <w:rsid w:val="00F25A86"/>
    <w:rsid w:val="00F2751C"/>
    <w:rsid w:val="00F30091"/>
    <w:rsid w:val="00F30264"/>
    <w:rsid w:val="00F307FC"/>
    <w:rsid w:val="00F31CD3"/>
    <w:rsid w:val="00F3271A"/>
    <w:rsid w:val="00F32FB8"/>
    <w:rsid w:val="00F33088"/>
    <w:rsid w:val="00F33921"/>
    <w:rsid w:val="00F33F76"/>
    <w:rsid w:val="00F3472B"/>
    <w:rsid w:val="00F368A0"/>
    <w:rsid w:val="00F402F6"/>
    <w:rsid w:val="00F4058A"/>
    <w:rsid w:val="00F42907"/>
    <w:rsid w:val="00F449A1"/>
    <w:rsid w:val="00F45729"/>
    <w:rsid w:val="00F462C4"/>
    <w:rsid w:val="00F46A0E"/>
    <w:rsid w:val="00F4714D"/>
    <w:rsid w:val="00F5558A"/>
    <w:rsid w:val="00F55F16"/>
    <w:rsid w:val="00F62162"/>
    <w:rsid w:val="00F630D6"/>
    <w:rsid w:val="00F637C8"/>
    <w:rsid w:val="00F645DA"/>
    <w:rsid w:val="00F64F46"/>
    <w:rsid w:val="00F65C96"/>
    <w:rsid w:val="00F663C2"/>
    <w:rsid w:val="00F66896"/>
    <w:rsid w:val="00F67100"/>
    <w:rsid w:val="00F7064B"/>
    <w:rsid w:val="00F7080F"/>
    <w:rsid w:val="00F74491"/>
    <w:rsid w:val="00F74AE3"/>
    <w:rsid w:val="00F762D6"/>
    <w:rsid w:val="00F76AE7"/>
    <w:rsid w:val="00F76BD7"/>
    <w:rsid w:val="00F8118A"/>
    <w:rsid w:val="00F81879"/>
    <w:rsid w:val="00F82474"/>
    <w:rsid w:val="00F8422E"/>
    <w:rsid w:val="00F844F4"/>
    <w:rsid w:val="00F85793"/>
    <w:rsid w:val="00F86FFB"/>
    <w:rsid w:val="00F901C5"/>
    <w:rsid w:val="00F91881"/>
    <w:rsid w:val="00F91D67"/>
    <w:rsid w:val="00F927D3"/>
    <w:rsid w:val="00F96E3B"/>
    <w:rsid w:val="00F97934"/>
    <w:rsid w:val="00FA0223"/>
    <w:rsid w:val="00FA03D6"/>
    <w:rsid w:val="00FA1976"/>
    <w:rsid w:val="00FA2338"/>
    <w:rsid w:val="00FA3BB1"/>
    <w:rsid w:val="00FB1BA4"/>
    <w:rsid w:val="00FB5295"/>
    <w:rsid w:val="00FB5A1C"/>
    <w:rsid w:val="00FB7DB0"/>
    <w:rsid w:val="00FC06E9"/>
    <w:rsid w:val="00FC0F21"/>
    <w:rsid w:val="00FC1414"/>
    <w:rsid w:val="00FC34D1"/>
    <w:rsid w:val="00FC4C70"/>
    <w:rsid w:val="00FC5067"/>
    <w:rsid w:val="00FC6A9A"/>
    <w:rsid w:val="00FD04E1"/>
    <w:rsid w:val="00FD2E87"/>
    <w:rsid w:val="00FD45E0"/>
    <w:rsid w:val="00FD6CD9"/>
    <w:rsid w:val="00FD7049"/>
    <w:rsid w:val="00FE30F8"/>
    <w:rsid w:val="00FE4A8E"/>
    <w:rsid w:val="00FE4EAA"/>
    <w:rsid w:val="00FE6E01"/>
    <w:rsid w:val="00FF072C"/>
    <w:rsid w:val="00FF126E"/>
    <w:rsid w:val="00FF208B"/>
    <w:rsid w:val="00FF3047"/>
    <w:rsid w:val="00FF4760"/>
    <w:rsid w:val="00FF4B7A"/>
    <w:rsid w:val="00FF520E"/>
    <w:rsid w:val="00FF5745"/>
    <w:rsid w:val="00FF6972"/>
    <w:rsid w:val="00FF6BFF"/>
    <w:rsid w:val="00FF6CA9"/>
    <w:rsid w:val="00FF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93F8"/>
  <w14:defaultImageDpi w14:val="32767"/>
  <w15:chartTrackingRefBased/>
  <w15:docId w15:val="{4BAF6028-B2BD-D941-A2BA-D7EDB176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27F3"/>
    <w:pPr>
      <w:spacing w:before="120" w:after="120" w:line="360" w:lineRule="auto"/>
      <w:ind w:firstLine="340"/>
      <w:jc w:val="both"/>
    </w:pPr>
  </w:style>
  <w:style w:type="paragraph" w:styleId="Heading1">
    <w:name w:val="heading 1"/>
    <w:basedOn w:val="Normal"/>
    <w:next w:val="Normal"/>
    <w:link w:val="Heading1Char"/>
    <w:uiPriority w:val="9"/>
    <w:qFormat/>
    <w:rsid w:val="002F5891"/>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427F3C"/>
    <w:pPr>
      <w:keepNext/>
      <w:keepLines/>
      <w:spacing w:before="160" w:after="80"/>
      <w:ind w:firstLine="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427F3C"/>
    <w:pPr>
      <w:keepNext/>
      <w:keepLines/>
      <w:spacing w:before="160" w:after="80"/>
      <w:ind w:firstLine="0"/>
      <w:outlineLvl w:val="2"/>
    </w:pPr>
    <w:rPr>
      <w:rFonts w:eastAsiaTheme="majorEastAsia" w:cstheme="majorBidi"/>
      <w:i/>
      <w:szCs w:val="28"/>
    </w:rPr>
  </w:style>
  <w:style w:type="paragraph" w:styleId="Heading4">
    <w:name w:val="heading 4"/>
    <w:basedOn w:val="Normal"/>
    <w:next w:val="Normal"/>
    <w:link w:val="Heading4Char"/>
    <w:uiPriority w:val="9"/>
    <w:unhideWhenUsed/>
    <w:qFormat/>
    <w:rsid w:val="002F5891"/>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F58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58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58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58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58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D3828"/>
    <w:pPr>
      <w:spacing w:before="240" w:line="259" w:lineRule="auto"/>
    </w:pPr>
    <w:rPr>
      <w:rFonts w:ascii="Book Antiqua" w:hAnsi="Book Antiqua" w:cstheme="minorHAnsi"/>
      <w:b/>
      <w:bCs/>
      <w:sz w:val="20"/>
      <w:szCs w:val="20"/>
    </w:rPr>
  </w:style>
  <w:style w:type="character" w:customStyle="1" w:styleId="Heading1Char">
    <w:name w:val="Heading 1 Char"/>
    <w:basedOn w:val="DefaultParagraphFont"/>
    <w:link w:val="Heading1"/>
    <w:uiPriority w:val="9"/>
    <w:rsid w:val="002F5891"/>
    <w:rPr>
      <w:rFonts w:eastAsiaTheme="majorEastAsia" w:cstheme="majorBidi"/>
      <w:b/>
      <w:sz w:val="28"/>
      <w:szCs w:val="40"/>
    </w:rPr>
  </w:style>
  <w:style w:type="character" w:customStyle="1" w:styleId="Heading2Char">
    <w:name w:val="Heading 2 Char"/>
    <w:basedOn w:val="DefaultParagraphFont"/>
    <w:link w:val="Heading2"/>
    <w:uiPriority w:val="9"/>
    <w:rsid w:val="00427F3C"/>
    <w:rPr>
      <w:rFonts w:eastAsiaTheme="majorEastAsia" w:cstheme="majorBidi"/>
      <w:b/>
      <w:szCs w:val="32"/>
    </w:rPr>
  </w:style>
  <w:style w:type="character" w:customStyle="1" w:styleId="Heading3Char">
    <w:name w:val="Heading 3 Char"/>
    <w:basedOn w:val="DefaultParagraphFont"/>
    <w:link w:val="Heading3"/>
    <w:uiPriority w:val="9"/>
    <w:rsid w:val="00427F3C"/>
    <w:rPr>
      <w:rFonts w:eastAsiaTheme="majorEastAsia" w:cstheme="majorBidi"/>
      <w:i/>
      <w:szCs w:val="28"/>
    </w:rPr>
  </w:style>
  <w:style w:type="character" w:customStyle="1" w:styleId="Heading4Char">
    <w:name w:val="Heading 4 Char"/>
    <w:basedOn w:val="DefaultParagraphFont"/>
    <w:link w:val="Heading4"/>
    <w:uiPriority w:val="9"/>
    <w:rsid w:val="002F5891"/>
    <w:rPr>
      <w:rFonts w:eastAsiaTheme="majorEastAsia" w:cstheme="majorBidi"/>
      <w:i/>
      <w:iCs/>
    </w:rPr>
  </w:style>
  <w:style w:type="character" w:customStyle="1" w:styleId="Heading5Char">
    <w:name w:val="Heading 5 Char"/>
    <w:basedOn w:val="DefaultParagraphFont"/>
    <w:link w:val="Heading5"/>
    <w:uiPriority w:val="9"/>
    <w:semiHidden/>
    <w:rsid w:val="002F58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58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58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58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58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58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891"/>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8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0D5A"/>
    <w:pPr>
      <w:spacing w:before="160" w:after="160" w:line="240" w:lineRule="auto"/>
      <w:ind w:left="340" w:right="340" w:firstLine="0"/>
    </w:pPr>
    <w:rPr>
      <w:iCs/>
      <w:color w:val="404040" w:themeColor="text1" w:themeTint="BF"/>
    </w:rPr>
  </w:style>
  <w:style w:type="character" w:customStyle="1" w:styleId="QuoteChar">
    <w:name w:val="Quote Char"/>
    <w:basedOn w:val="DefaultParagraphFont"/>
    <w:link w:val="Quote"/>
    <w:uiPriority w:val="29"/>
    <w:rsid w:val="002D0D5A"/>
    <w:rPr>
      <w:iCs/>
      <w:color w:val="404040" w:themeColor="text1" w:themeTint="BF"/>
    </w:rPr>
  </w:style>
  <w:style w:type="paragraph" w:styleId="ListParagraph">
    <w:name w:val="List Paragraph"/>
    <w:basedOn w:val="Normal"/>
    <w:uiPriority w:val="34"/>
    <w:qFormat/>
    <w:rsid w:val="002F5891"/>
    <w:pPr>
      <w:ind w:left="720"/>
      <w:contextualSpacing/>
    </w:pPr>
  </w:style>
  <w:style w:type="character" w:styleId="IntenseEmphasis">
    <w:name w:val="Intense Emphasis"/>
    <w:basedOn w:val="DefaultParagraphFont"/>
    <w:uiPriority w:val="21"/>
    <w:qFormat/>
    <w:rsid w:val="002F5891"/>
    <w:rPr>
      <w:i/>
      <w:iCs/>
      <w:color w:val="0F4761" w:themeColor="accent1" w:themeShade="BF"/>
    </w:rPr>
  </w:style>
  <w:style w:type="paragraph" w:styleId="IntenseQuote">
    <w:name w:val="Intense Quote"/>
    <w:basedOn w:val="Normal"/>
    <w:next w:val="Normal"/>
    <w:link w:val="IntenseQuoteChar"/>
    <w:uiPriority w:val="30"/>
    <w:qFormat/>
    <w:rsid w:val="002F5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891"/>
    <w:rPr>
      <w:i/>
      <w:iCs/>
      <w:color w:val="0F4761" w:themeColor="accent1" w:themeShade="BF"/>
    </w:rPr>
  </w:style>
  <w:style w:type="character" w:styleId="IntenseReference">
    <w:name w:val="Intense Reference"/>
    <w:basedOn w:val="DefaultParagraphFont"/>
    <w:uiPriority w:val="32"/>
    <w:qFormat/>
    <w:rsid w:val="002F5891"/>
    <w:rPr>
      <w:b/>
      <w:bCs/>
      <w:smallCaps/>
      <w:color w:val="0F4761" w:themeColor="accent1" w:themeShade="BF"/>
      <w:spacing w:val="5"/>
    </w:rPr>
  </w:style>
  <w:style w:type="character" w:styleId="Hyperlink">
    <w:name w:val="Hyperlink"/>
    <w:basedOn w:val="DefaultParagraphFont"/>
    <w:uiPriority w:val="99"/>
    <w:unhideWhenUsed/>
    <w:rsid w:val="00CA6B21"/>
    <w:rPr>
      <w:color w:val="467886" w:themeColor="hyperlink"/>
      <w:u w:val="single"/>
    </w:rPr>
  </w:style>
  <w:style w:type="character" w:styleId="UnresolvedMention">
    <w:name w:val="Unresolved Mention"/>
    <w:basedOn w:val="DefaultParagraphFont"/>
    <w:uiPriority w:val="99"/>
    <w:rsid w:val="00CA6B21"/>
    <w:rPr>
      <w:color w:val="605E5C"/>
      <w:shd w:val="clear" w:color="auto" w:fill="E1DFDD"/>
    </w:rPr>
  </w:style>
  <w:style w:type="paragraph" w:styleId="FootnoteText">
    <w:name w:val="footnote text"/>
    <w:basedOn w:val="Normal"/>
    <w:link w:val="FootnoteTextChar"/>
    <w:uiPriority w:val="99"/>
    <w:unhideWhenUsed/>
    <w:rsid w:val="00C94E07"/>
    <w:pPr>
      <w:spacing w:before="0" w:after="0" w:line="240" w:lineRule="auto"/>
      <w:ind w:firstLine="0"/>
    </w:pPr>
    <w:rPr>
      <w:rFonts w:cstheme="minorBidi"/>
      <w:szCs w:val="20"/>
    </w:rPr>
  </w:style>
  <w:style w:type="character" w:customStyle="1" w:styleId="FootnoteTextChar">
    <w:name w:val="Footnote Text Char"/>
    <w:basedOn w:val="DefaultParagraphFont"/>
    <w:link w:val="FootnoteText"/>
    <w:uiPriority w:val="99"/>
    <w:rsid w:val="00C94E07"/>
    <w:rPr>
      <w:rFonts w:cstheme="minorBidi"/>
      <w:szCs w:val="20"/>
    </w:rPr>
  </w:style>
  <w:style w:type="character" w:styleId="FootnoteReference">
    <w:name w:val="footnote reference"/>
    <w:basedOn w:val="DefaultParagraphFont"/>
    <w:uiPriority w:val="99"/>
    <w:semiHidden/>
    <w:unhideWhenUsed/>
    <w:rsid w:val="00EE6A78"/>
    <w:rPr>
      <w:vertAlign w:val="superscript"/>
    </w:rPr>
  </w:style>
  <w:style w:type="character" w:styleId="CommentReference">
    <w:name w:val="annotation reference"/>
    <w:basedOn w:val="DefaultParagraphFont"/>
    <w:uiPriority w:val="99"/>
    <w:semiHidden/>
    <w:unhideWhenUsed/>
    <w:rsid w:val="00065CFE"/>
    <w:rPr>
      <w:sz w:val="16"/>
      <w:szCs w:val="16"/>
    </w:rPr>
  </w:style>
  <w:style w:type="paragraph" w:styleId="CommentText">
    <w:name w:val="annotation text"/>
    <w:basedOn w:val="Normal"/>
    <w:link w:val="CommentTextChar"/>
    <w:uiPriority w:val="99"/>
    <w:unhideWhenUsed/>
    <w:rsid w:val="00065CFE"/>
    <w:pPr>
      <w:spacing w:line="240" w:lineRule="auto"/>
    </w:pPr>
    <w:rPr>
      <w:sz w:val="20"/>
      <w:szCs w:val="20"/>
    </w:rPr>
  </w:style>
  <w:style w:type="character" w:customStyle="1" w:styleId="CommentTextChar">
    <w:name w:val="Comment Text Char"/>
    <w:basedOn w:val="DefaultParagraphFont"/>
    <w:link w:val="CommentText"/>
    <w:uiPriority w:val="99"/>
    <w:rsid w:val="00065CFE"/>
    <w:rPr>
      <w:sz w:val="20"/>
      <w:szCs w:val="20"/>
    </w:rPr>
  </w:style>
  <w:style w:type="paragraph" w:styleId="CommentSubject">
    <w:name w:val="annotation subject"/>
    <w:basedOn w:val="CommentText"/>
    <w:next w:val="CommentText"/>
    <w:link w:val="CommentSubjectChar"/>
    <w:uiPriority w:val="99"/>
    <w:semiHidden/>
    <w:unhideWhenUsed/>
    <w:rsid w:val="00065CFE"/>
    <w:rPr>
      <w:b/>
      <w:bCs/>
    </w:rPr>
  </w:style>
  <w:style w:type="character" w:customStyle="1" w:styleId="CommentSubjectChar">
    <w:name w:val="Comment Subject Char"/>
    <w:basedOn w:val="CommentTextChar"/>
    <w:link w:val="CommentSubject"/>
    <w:uiPriority w:val="99"/>
    <w:semiHidden/>
    <w:rsid w:val="00065CFE"/>
    <w:rPr>
      <w:b/>
      <w:bCs/>
      <w:sz w:val="20"/>
      <w:szCs w:val="20"/>
    </w:rPr>
  </w:style>
  <w:style w:type="paragraph" w:styleId="Revision">
    <w:name w:val="Revision"/>
    <w:hidden/>
    <w:uiPriority w:val="99"/>
    <w:semiHidden/>
    <w:rsid w:val="00DC0DA9"/>
  </w:style>
  <w:style w:type="paragraph" w:styleId="Footer">
    <w:name w:val="footer"/>
    <w:basedOn w:val="Normal"/>
    <w:link w:val="FooterChar"/>
    <w:uiPriority w:val="99"/>
    <w:unhideWhenUsed/>
    <w:rsid w:val="00640D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0DB2"/>
  </w:style>
  <w:style w:type="character" w:styleId="PageNumber">
    <w:name w:val="page number"/>
    <w:basedOn w:val="DefaultParagraphFont"/>
    <w:uiPriority w:val="99"/>
    <w:semiHidden/>
    <w:unhideWhenUsed/>
    <w:rsid w:val="00640DB2"/>
  </w:style>
  <w:style w:type="paragraph" w:styleId="Header">
    <w:name w:val="header"/>
    <w:basedOn w:val="Normal"/>
    <w:link w:val="HeaderChar"/>
    <w:uiPriority w:val="99"/>
    <w:unhideWhenUsed/>
    <w:rsid w:val="001560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60AF"/>
  </w:style>
  <w:style w:type="paragraph" w:styleId="Bibliography">
    <w:name w:val="Bibliography"/>
    <w:basedOn w:val="Normal"/>
    <w:next w:val="Normal"/>
    <w:uiPriority w:val="37"/>
    <w:semiHidden/>
    <w:unhideWhenUsed/>
    <w:rsid w:val="000D0057"/>
  </w:style>
  <w:style w:type="paragraph" w:customStyle="1" w:styleId="p1">
    <w:name w:val="p1"/>
    <w:basedOn w:val="Normal"/>
    <w:rsid w:val="004968B4"/>
    <w:pPr>
      <w:spacing w:before="0" w:after="0" w:line="240" w:lineRule="auto"/>
      <w:ind w:firstLine="0"/>
      <w:jc w:val="left"/>
    </w:pPr>
    <w:rPr>
      <w:rFonts w:ascii="Helvetica" w:eastAsia="Times New Roman" w:hAnsi="Helvetica"/>
      <w:color w:val="1A1718"/>
      <w:sz w:val="15"/>
      <w:szCs w:val="15"/>
      <w:lang w:val="en-AU" w:eastAsia="en-GB"/>
    </w:rPr>
  </w:style>
  <w:style w:type="character" w:styleId="PlaceholderText">
    <w:name w:val="Placeholder Text"/>
    <w:basedOn w:val="DefaultParagraphFont"/>
    <w:uiPriority w:val="99"/>
    <w:semiHidden/>
    <w:rsid w:val="0070062E"/>
    <w:rPr>
      <w:color w:val="666666"/>
    </w:rPr>
  </w:style>
  <w:style w:type="character" w:styleId="FollowedHyperlink">
    <w:name w:val="FollowedHyperlink"/>
    <w:basedOn w:val="DefaultParagraphFont"/>
    <w:uiPriority w:val="99"/>
    <w:semiHidden/>
    <w:unhideWhenUsed/>
    <w:rsid w:val="00F066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3454">
      <w:bodyDiv w:val="1"/>
      <w:marLeft w:val="0"/>
      <w:marRight w:val="0"/>
      <w:marTop w:val="0"/>
      <w:marBottom w:val="0"/>
      <w:divBdr>
        <w:top w:val="none" w:sz="0" w:space="0" w:color="auto"/>
        <w:left w:val="none" w:sz="0" w:space="0" w:color="auto"/>
        <w:bottom w:val="none" w:sz="0" w:space="0" w:color="auto"/>
        <w:right w:val="none" w:sz="0" w:space="0" w:color="auto"/>
      </w:divBdr>
    </w:div>
    <w:div w:id="317730193">
      <w:bodyDiv w:val="1"/>
      <w:marLeft w:val="0"/>
      <w:marRight w:val="0"/>
      <w:marTop w:val="0"/>
      <w:marBottom w:val="0"/>
      <w:divBdr>
        <w:top w:val="none" w:sz="0" w:space="0" w:color="auto"/>
        <w:left w:val="none" w:sz="0" w:space="0" w:color="auto"/>
        <w:bottom w:val="none" w:sz="0" w:space="0" w:color="auto"/>
        <w:right w:val="none" w:sz="0" w:space="0" w:color="auto"/>
      </w:divBdr>
    </w:div>
    <w:div w:id="506865550">
      <w:bodyDiv w:val="1"/>
      <w:marLeft w:val="0"/>
      <w:marRight w:val="0"/>
      <w:marTop w:val="0"/>
      <w:marBottom w:val="0"/>
      <w:divBdr>
        <w:top w:val="none" w:sz="0" w:space="0" w:color="auto"/>
        <w:left w:val="none" w:sz="0" w:space="0" w:color="auto"/>
        <w:bottom w:val="none" w:sz="0" w:space="0" w:color="auto"/>
        <w:right w:val="none" w:sz="0" w:space="0" w:color="auto"/>
      </w:divBdr>
      <w:divsChild>
        <w:div w:id="61295929">
          <w:marLeft w:val="0"/>
          <w:marRight w:val="0"/>
          <w:marTop w:val="0"/>
          <w:marBottom w:val="0"/>
          <w:divBdr>
            <w:top w:val="none" w:sz="0" w:space="0" w:color="auto"/>
            <w:left w:val="none" w:sz="0" w:space="0" w:color="auto"/>
            <w:bottom w:val="none" w:sz="0" w:space="0" w:color="auto"/>
            <w:right w:val="none" w:sz="0" w:space="0" w:color="auto"/>
          </w:divBdr>
        </w:div>
      </w:divsChild>
    </w:div>
    <w:div w:id="663437584">
      <w:bodyDiv w:val="1"/>
      <w:marLeft w:val="0"/>
      <w:marRight w:val="0"/>
      <w:marTop w:val="0"/>
      <w:marBottom w:val="0"/>
      <w:divBdr>
        <w:top w:val="none" w:sz="0" w:space="0" w:color="auto"/>
        <w:left w:val="none" w:sz="0" w:space="0" w:color="auto"/>
        <w:bottom w:val="none" w:sz="0" w:space="0" w:color="auto"/>
        <w:right w:val="none" w:sz="0" w:space="0" w:color="auto"/>
      </w:divBdr>
    </w:div>
    <w:div w:id="908925371">
      <w:bodyDiv w:val="1"/>
      <w:marLeft w:val="0"/>
      <w:marRight w:val="0"/>
      <w:marTop w:val="0"/>
      <w:marBottom w:val="0"/>
      <w:divBdr>
        <w:top w:val="none" w:sz="0" w:space="0" w:color="auto"/>
        <w:left w:val="none" w:sz="0" w:space="0" w:color="auto"/>
        <w:bottom w:val="none" w:sz="0" w:space="0" w:color="auto"/>
        <w:right w:val="none" w:sz="0" w:space="0" w:color="auto"/>
      </w:divBdr>
      <w:divsChild>
        <w:div w:id="1581408587">
          <w:marLeft w:val="0"/>
          <w:marRight w:val="0"/>
          <w:marTop w:val="0"/>
          <w:marBottom w:val="0"/>
          <w:divBdr>
            <w:top w:val="none" w:sz="0" w:space="0" w:color="auto"/>
            <w:left w:val="none" w:sz="0" w:space="0" w:color="auto"/>
            <w:bottom w:val="none" w:sz="0" w:space="0" w:color="auto"/>
            <w:right w:val="none" w:sz="0" w:space="0" w:color="auto"/>
          </w:divBdr>
        </w:div>
        <w:div w:id="247735161">
          <w:marLeft w:val="0"/>
          <w:marRight w:val="0"/>
          <w:marTop w:val="0"/>
          <w:marBottom w:val="0"/>
          <w:divBdr>
            <w:top w:val="none" w:sz="0" w:space="0" w:color="auto"/>
            <w:left w:val="none" w:sz="0" w:space="0" w:color="auto"/>
            <w:bottom w:val="none" w:sz="0" w:space="0" w:color="auto"/>
            <w:right w:val="none" w:sz="0" w:space="0" w:color="auto"/>
          </w:divBdr>
        </w:div>
        <w:div w:id="1616331279">
          <w:marLeft w:val="0"/>
          <w:marRight w:val="0"/>
          <w:marTop w:val="0"/>
          <w:marBottom w:val="0"/>
          <w:divBdr>
            <w:top w:val="none" w:sz="0" w:space="0" w:color="auto"/>
            <w:left w:val="none" w:sz="0" w:space="0" w:color="auto"/>
            <w:bottom w:val="none" w:sz="0" w:space="0" w:color="auto"/>
            <w:right w:val="none" w:sz="0" w:space="0" w:color="auto"/>
          </w:divBdr>
        </w:div>
        <w:div w:id="1328703063">
          <w:marLeft w:val="0"/>
          <w:marRight w:val="0"/>
          <w:marTop w:val="0"/>
          <w:marBottom w:val="0"/>
          <w:divBdr>
            <w:top w:val="none" w:sz="0" w:space="0" w:color="auto"/>
            <w:left w:val="none" w:sz="0" w:space="0" w:color="auto"/>
            <w:bottom w:val="none" w:sz="0" w:space="0" w:color="auto"/>
            <w:right w:val="none" w:sz="0" w:space="0" w:color="auto"/>
          </w:divBdr>
        </w:div>
        <w:div w:id="1309363627">
          <w:marLeft w:val="0"/>
          <w:marRight w:val="0"/>
          <w:marTop w:val="0"/>
          <w:marBottom w:val="0"/>
          <w:divBdr>
            <w:top w:val="none" w:sz="0" w:space="0" w:color="auto"/>
            <w:left w:val="none" w:sz="0" w:space="0" w:color="auto"/>
            <w:bottom w:val="none" w:sz="0" w:space="0" w:color="auto"/>
            <w:right w:val="none" w:sz="0" w:space="0" w:color="auto"/>
          </w:divBdr>
        </w:div>
        <w:div w:id="1085878100">
          <w:marLeft w:val="0"/>
          <w:marRight w:val="0"/>
          <w:marTop w:val="0"/>
          <w:marBottom w:val="0"/>
          <w:divBdr>
            <w:top w:val="none" w:sz="0" w:space="0" w:color="auto"/>
            <w:left w:val="none" w:sz="0" w:space="0" w:color="auto"/>
            <w:bottom w:val="none" w:sz="0" w:space="0" w:color="auto"/>
            <w:right w:val="none" w:sz="0" w:space="0" w:color="auto"/>
          </w:divBdr>
        </w:div>
        <w:div w:id="923149684">
          <w:marLeft w:val="0"/>
          <w:marRight w:val="0"/>
          <w:marTop w:val="0"/>
          <w:marBottom w:val="0"/>
          <w:divBdr>
            <w:top w:val="none" w:sz="0" w:space="0" w:color="auto"/>
            <w:left w:val="none" w:sz="0" w:space="0" w:color="auto"/>
            <w:bottom w:val="none" w:sz="0" w:space="0" w:color="auto"/>
            <w:right w:val="none" w:sz="0" w:space="0" w:color="auto"/>
          </w:divBdr>
        </w:div>
        <w:div w:id="1468352761">
          <w:marLeft w:val="0"/>
          <w:marRight w:val="0"/>
          <w:marTop w:val="0"/>
          <w:marBottom w:val="0"/>
          <w:divBdr>
            <w:top w:val="none" w:sz="0" w:space="0" w:color="auto"/>
            <w:left w:val="none" w:sz="0" w:space="0" w:color="auto"/>
            <w:bottom w:val="none" w:sz="0" w:space="0" w:color="auto"/>
            <w:right w:val="none" w:sz="0" w:space="0" w:color="auto"/>
          </w:divBdr>
        </w:div>
        <w:div w:id="338701930">
          <w:marLeft w:val="0"/>
          <w:marRight w:val="0"/>
          <w:marTop w:val="0"/>
          <w:marBottom w:val="0"/>
          <w:divBdr>
            <w:top w:val="none" w:sz="0" w:space="0" w:color="auto"/>
            <w:left w:val="none" w:sz="0" w:space="0" w:color="auto"/>
            <w:bottom w:val="none" w:sz="0" w:space="0" w:color="auto"/>
            <w:right w:val="none" w:sz="0" w:space="0" w:color="auto"/>
          </w:divBdr>
        </w:div>
      </w:divsChild>
    </w:div>
    <w:div w:id="1301957072">
      <w:bodyDiv w:val="1"/>
      <w:marLeft w:val="0"/>
      <w:marRight w:val="0"/>
      <w:marTop w:val="0"/>
      <w:marBottom w:val="0"/>
      <w:divBdr>
        <w:top w:val="none" w:sz="0" w:space="0" w:color="auto"/>
        <w:left w:val="none" w:sz="0" w:space="0" w:color="auto"/>
        <w:bottom w:val="none" w:sz="0" w:space="0" w:color="auto"/>
        <w:right w:val="none" w:sz="0" w:space="0" w:color="auto"/>
      </w:divBdr>
    </w:div>
    <w:div w:id="1507134983">
      <w:bodyDiv w:val="1"/>
      <w:marLeft w:val="0"/>
      <w:marRight w:val="0"/>
      <w:marTop w:val="0"/>
      <w:marBottom w:val="0"/>
      <w:divBdr>
        <w:top w:val="none" w:sz="0" w:space="0" w:color="auto"/>
        <w:left w:val="none" w:sz="0" w:space="0" w:color="auto"/>
        <w:bottom w:val="none" w:sz="0" w:space="0" w:color="auto"/>
        <w:right w:val="none" w:sz="0" w:space="0" w:color="auto"/>
      </w:divBdr>
    </w:div>
    <w:div w:id="1509833912">
      <w:bodyDiv w:val="1"/>
      <w:marLeft w:val="0"/>
      <w:marRight w:val="0"/>
      <w:marTop w:val="0"/>
      <w:marBottom w:val="0"/>
      <w:divBdr>
        <w:top w:val="none" w:sz="0" w:space="0" w:color="auto"/>
        <w:left w:val="none" w:sz="0" w:space="0" w:color="auto"/>
        <w:bottom w:val="none" w:sz="0" w:space="0" w:color="auto"/>
        <w:right w:val="none" w:sz="0" w:space="0" w:color="auto"/>
      </w:divBdr>
      <w:divsChild>
        <w:div w:id="1992366138">
          <w:marLeft w:val="0"/>
          <w:marRight w:val="0"/>
          <w:marTop w:val="0"/>
          <w:marBottom w:val="0"/>
          <w:divBdr>
            <w:top w:val="none" w:sz="0" w:space="0" w:color="auto"/>
            <w:left w:val="none" w:sz="0" w:space="0" w:color="auto"/>
            <w:bottom w:val="none" w:sz="0" w:space="0" w:color="auto"/>
            <w:right w:val="none" w:sz="0" w:space="0" w:color="auto"/>
          </w:divBdr>
        </w:div>
        <w:div w:id="1738818107">
          <w:marLeft w:val="0"/>
          <w:marRight w:val="0"/>
          <w:marTop w:val="0"/>
          <w:marBottom w:val="0"/>
          <w:divBdr>
            <w:top w:val="none" w:sz="0" w:space="0" w:color="auto"/>
            <w:left w:val="none" w:sz="0" w:space="0" w:color="auto"/>
            <w:bottom w:val="none" w:sz="0" w:space="0" w:color="auto"/>
            <w:right w:val="none" w:sz="0" w:space="0" w:color="auto"/>
          </w:divBdr>
        </w:div>
      </w:divsChild>
    </w:div>
    <w:div w:id="1791169122">
      <w:bodyDiv w:val="1"/>
      <w:marLeft w:val="0"/>
      <w:marRight w:val="0"/>
      <w:marTop w:val="0"/>
      <w:marBottom w:val="0"/>
      <w:divBdr>
        <w:top w:val="none" w:sz="0" w:space="0" w:color="auto"/>
        <w:left w:val="none" w:sz="0" w:space="0" w:color="auto"/>
        <w:bottom w:val="none" w:sz="0" w:space="0" w:color="auto"/>
        <w:right w:val="none" w:sz="0" w:space="0" w:color="auto"/>
      </w:divBdr>
    </w:div>
    <w:div w:id="18225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6/732604" TargetMode="External"/><Relationship Id="rId4" Type="http://schemas.openxmlformats.org/officeDocument/2006/relationships/settings" Target="settings.xml"/><Relationship Id="rId9" Type="http://schemas.openxmlformats.org/officeDocument/2006/relationships/hyperlink" Target="https://doi.org/10.1016/j.shpsa.2025.06.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2F8-25E1-1244-A527-F69D151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Larroulet</dc:creator>
  <cp:keywords/>
  <dc:description/>
  <cp:lastModifiedBy>Cristian Larroulet Philippi</cp:lastModifiedBy>
  <cp:revision>8</cp:revision>
  <cp:lastPrinted>2025-03-30T21:28:00Z</cp:lastPrinted>
  <dcterms:created xsi:type="dcterms:W3CDTF">2026-03-05T03:42:00Z</dcterms:created>
  <dcterms:modified xsi:type="dcterms:W3CDTF">2026-06-03T14:22:00Z</dcterms:modified>
</cp:coreProperties>
</file>